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left"/>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附件13</w:t>
      </w:r>
    </w:p>
    <w:p>
      <w:pPr>
        <w:snapToGrid w:val="0"/>
        <w:jc w:val="center"/>
        <w:rPr>
          <w:rFonts w:hint="eastAsia" w:ascii="方正小标宋简体" w:hAnsi="仿宋" w:eastAsia="方正小标宋简体"/>
          <w:color w:val="000000"/>
          <w:sz w:val="32"/>
          <w:szCs w:val="32"/>
        </w:rPr>
      </w:pPr>
      <w:bookmarkStart w:id="0" w:name="_GoBack"/>
      <w:r>
        <w:rPr>
          <w:rFonts w:hint="eastAsia" w:ascii="方正小标宋简体" w:hAnsi="仿宋" w:eastAsia="方正小标宋简体"/>
          <w:color w:val="000000"/>
          <w:sz w:val="32"/>
          <w:szCs w:val="32"/>
        </w:rPr>
        <w:t>日用陶瓷餐饮具产品</w:t>
      </w:r>
      <w:r>
        <w:rPr>
          <w:rFonts w:hint="eastAsia" w:ascii="方正小标宋简体" w:hAnsi="仿宋" w:eastAsia="方正小标宋简体" w:cs="方正仿宋简体"/>
          <w:color w:val="000000"/>
          <w:sz w:val="32"/>
          <w:szCs w:val="32"/>
        </w:rPr>
        <w:t>质量监督</w:t>
      </w:r>
      <w:r>
        <w:rPr>
          <w:rFonts w:hint="eastAsia" w:ascii="方正小标宋简体" w:hAnsi="仿宋" w:eastAsia="方正小标宋简体"/>
          <w:color w:val="000000"/>
          <w:sz w:val="32"/>
          <w:szCs w:val="32"/>
        </w:rPr>
        <w:t>抽查实施细则</w:t>
      </w:r>
    </w:p>
    <w:bookmarkEnd w:id="0"/>
    <w:p>
      <w:pPr>
        <w:snapToGrid w:val="0"/>
        <w:jc w:val="center"/>
        <w:rPr>
          <w:rFonts w:hint="eastAsia" w:ascii="方正小标宋简体" w:hAnsi="仿宋" w:eastAsia="方正小标宋简体"/>
          <w:color w:val="000000"/>
          <w:sz w:val="32"/>
          <w:szCs w:val="32"/>
        </w:rPr>
      </w:pPr>
    </w:p>
    <w:p>
      <w:pPr>
        <w:snapToGrid w:val="0"/>
        <w:spacing w:line="440" w:lineRule="exact"/>
        <w:rPr>
          <w:rFonts w:ascii="黑体" w:hAnsi="宋体" w:eastAsia="黑体"/>
          <w:color w:val="000000"/>
          <w:szCs w:val="21"/>
        </w:rPr>
      </w:pPr>
      <w:r>
        <w:rPr>
          <w:rFonts w:hint="eastAsia" w:ascii="黑体" w:hAnsi="宋体" w:eastAsia="黑体"/>
          <w:color w:val="000000"/>
          <w:szCs w:val="21"/>
        </w:rPr>
        <w:t>1 抽样方法</w:t>
      </w:r>
    </w:p>
    <w:p>
      <w:pPr>
        <w:snapToGrid w:val="0"/>
        <w:spacing w:line="440" w:lineRule="exact"/>
        <w:ind w:firstLine="420" w:firstLineChars="200"/>
        <w:rPr>
          <w:rFonts w:ascii="宋体" w:hAnsi="宋体"/>
          <w:color w:val="000000"/>
          <w:szCs w:val="21"/>
        </w:rPr>
      </w:pPr>
      <w:r>
        <w:rPr>
          <w:rFonts w:hint="eastAsia" w:ascii="宋体" w:hAnsi="宋体"/>
          <w:color w:val="000000"/>
          <w:szCs w:val="21"/>
        </w:rPr>
        <w:t>以随机抽样的方式在被抽样生产者、销售者的待销合格产品中抽取。</w:t>
      </w:r>
    </w:p>
    <w:p>
      <w:pPr>
        <w:snapToGrid w:val="0"/>
        <w:spacing w:line="440" w:lineRule="exact"/>
        <w:ind w:firstLine="420" w:firstLineChars="200"/>
        <w:rPr>
          <w:rFonts w:ascii="宋体" w:hAnsi="宋体"/>
          <w:color w:val="000000"/>
          <w:szCs w:val="21"/>
        </w:rPr>
      </w:pPr>
      <w:r>
        <w:rPr>
          <w:rFonts w:hint="eastAsia" w:ascii="宋体" w:hAnsi="宋体"/>
          <w:color w:val="000000"/>
          <w:szCs w:val="21"/>
        </w:rPr>
        <w:t>随机数一般可使用随机数表等方法产生。</w:t>
      </w:r>
    </w:p>
    <w:p>
      <w:pPr>
        <w:snapToGrid w:val="0"/>
        <w:spacing w:line="440" w:lineRule="exact"/>
        <w:ind w:firstLine="420" w:firstLineChars="200"/>
        <w:rPr>
          <w:rFonts w:ascii="宋体" w:hAnsi="宋体"/>
          <w:color w:val="000000"/>
          <w:szCs w:val="21"/>
        </w:rPr>
      </w:pPr>
      <w:r>
        <w:rPr>
          <w:rFonts w:hint="eastAsia" w:ascii="宋体" w:hAnsi="宋体"/>
          <w:color w:val="000000"/>
          <w:szCs w:val="21"/>
        </w:rPr>
        <w:t>每种产品抽查总数</w:t>
      </w:r>
      <w:r>
        <w:rPr>
          <w:rFonts w:hint="eastAsia" w:ascii="宋体" w:hAnsi="宋体"/>
          <w:color w:val="000000"/>
          <w:szCs w:val="21"/>
          <w:lang w:val="en-US" w:eastAsia="zh-CN"/>
        </w:rPr>
        <w:t>9</w:t>
      </w:r>
      <w:r>
        <w:rPr>
          <w:rFonts w:hint="eastAsia" w:ascii="宋体" w:hAnsi="宋体"/>
          <w:color w:val="000000"/>
          <w:szCs w:val="21"/>
        </w:rPr>
        <w:t>个，其中</w:t>
      </w:r>
      <w:r>
        <w:rPr>
          <w:rFonts w:hint="eastAsia" w:ascii="宋体" w:hAnsi="宋体"/>
          <w:color w:val="000000"/>
          <w:szCs w:val="21"/>
          <w:lang w:val="en-US" w:eastAsia="zh-CN"/>
        </w:rPr>
        <w:t>6</w:t>
      </w:r>
      <w:r>
        <w:rPr>
          <w:rFonts w:hint="eastAsia" w:ascii="宋体" w:hAnsi="宋体"/>
          <w:color w:val="000000"/>
          <w:szCs w:val="21"/>
        </w:rPr>
        <w:t>个作为检验样品。</w:t>
      </w:r>
      <w:r>
        <w:rPr>
          <w:rFonts w:hint="eastAsia" w:ascii="宋体" w:hAnsi="宋体"/>
          <w:color w:val="000000"/>
          <w:szCs w:val="21"/>
          <w:lang w:val="en-US" w:eastAsia="zh-CN"/>
        </w:rPr>
        <w:t>3</w:t>
      </w:r>
      <w:r>
        <w:rPr>
          <w:rFonts w:hint="eastAsia" w:ascii="宋体" w:hAnsi="宋体"/>
          <w:color w:val="000000"/>
          <w:szCs w:val="21"/>
        </w:rPr>
        <w:t>个作为备用样品。</w:t>
      </w:r>
    </w:p>
    <w:p>
      <w:pPr>
        <w:snapToGrid w:val="0"/>
        <w:jc w:val="both"/>
        <w:rPr>
          <w:rFonts w:ascii="黑体" w:hAnsi="宋体" w:eastAsia="黑体"/>
          <w:color w:val="000000"/>
          <w:szCs w:val="21"/>
        </w:rPr>
      </w:pPr>
      <w:r>
        <w:rPr>
          <w:rFonts w:hint="eastAsia" w:ascii="黑体" w:hAnsi="宋体" w:eastAsia="黑体"/>
          <w:color w:val="000000"/>
          <w:szCs w:val="21"/>
        </w:rPr>
        <w:t>2 检验依据</w:t>
      </w:r>
    </w:p>
    <w:p>
      <w:pPr>
        <w:adjustRightInd w:val="0"/>
        <w:snapToGrid w:val="0"/>
        <w:jc w:val="center"/>
        <w:rPr>
          <w:rFonts w:hint="eastAsia" w:cs="宋体"/>
          <w:szCs w:val="21"/>
        </w:rPr>
      </w:pPr>
      <w:r>
        <w:rPr>
          <w:rFonts w:hint="eastAsia" w:cs="宋体"/>
          <w:szCs w:val="21"/>
        </w:rPr>
        <w:t>表</w:t>
      </w:r>
      <w:r>
        <w:rPr>
          <w:rFonts w:hint="eastAsia" w:cs="宋体"/>
          <w:szCs w:val="21"/>
          <w:lang w:val="en-US" w:eastAsia="zh-CN"/>
        </w:rPr>
        <w:t>1</w:t>
      </w:r>
      <w:r>
        <w:rPr>
          <w:rFonts w:hint="eastAsia" w:cs="宋体"/>
          <w:szCs w:val="21"/>
        </w:rPr>
        <w:t xml:space="preserve"> 检验项目</w:t>
      </w:r>
    </w:p>
    <w:tbl>
      <w:tblPr>
        <w:tblStyle w:val="8"/>
        <w:tblW w:w="89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3425"/>
        <w:gridCol w:w="2268"/>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center"/>
              <w:rPr>
                <w:rFonts w:hint="eastAsia" w:ascii="宋体" w:hAnsi="宋体" w:cs="黑体"/>
                <w:szCs w:val="21"/>
              </w:rPr>
            </w:pPr>
            <w:r>
              <w:rPr>
                <w:rFonts w:hint="eastAsia" w:ascii="宋体" w:hAnsi="宋体" w:cs="黑体"/>
                <w:szCs w:val="21"/>
              </w:rPr>
              <w:t>序号</w:t>
            </w:r>
          </w:p>
        </w:tc>
        <w:tc>
          <w:tcPr>
            <w:tcW w:w="342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center"/>
              <w:rPr>
                <w:rFonts w:hint="eastAsia" w:ascii="宋体" w:hAnsi="宋体" w:cs="黑体"/>
                <w:szCs w:val="21"/>
              </w:rPr>
            </w:pPr>
            <w:r>
              <w:rPr>
                <w:rFonts w:hint="eastAsia" w:ascii="宋体" w:hAnsi="宋体" w:cs="黑体"/>
                <w:szCs w:val="21"/>
              </w:rPr>
              <w:t>检验项目</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center"/>
              <w:rPr>
                <w:rFonts w:hint="eastAsia" w:ascii="宋体" w:hAnsi="宋体" w:cs="黑体"/>
                <w:szCs w:val="21"/>
              </w:rPr>
            </w:pPr>
            <w:r>
              <w:rPr>
                <w:rFonts w:hint="eastAsia" w:ascii="宋体" w:hAnsi="宋体" w:cs="黑体"/>
                <w:szCs w:val="21"/>
              </w:rPr>
              <w:t>检验依据</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center"/>
              <w:rPr>
                <w:rFonts w:hint="eastAsia" w:ascii="宋体" w:hAnsi="宋体" w:cs="黑体"/>
                <w:szCs w:val="21"/>
              </w:rPr>
            </w:pPr>
            <w:r>
              <w:rPr>
                <w:rFonts w:hint="eastAsia" w:ascii="宋体" w:hAnsi="宋体" w:cs="黑体"/>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center"/>
              <w:rPr>
                <w:rFonts w:hint="eastAsia" w:ascii="宋体" w:hAnsi="宋体" w:cs="黑体"/>
                <w:szCs w:val="21"/>
              </w:rPr>
            </w:pPr>
            <w:r>
              <w:rPr>
                <w:rFonts w:hint="eastAsia" w:ascii="宋体" w:hAnsi="宋体" w:cs="黑体"/>
                <w:szCs w:val="21"/>
              </w:rPr>
              <w:t>1</w:t>
            </w:r>
          </w:p>
        </w:tc>
        <w:tc>
          <w:tcPr>
            <w:tcW w:w="342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center"/>
              <w:rPr>
                <w:rFonts w:hint="eastAsia" w:ascii="宋体" w:hAnsi="宋体" w:eastAsia="宋体" w:cs="黑体"/>
                <w:szCs w:val="21"/>
                <w:lang w:val="en-US" w:eastAsia="zh-CN"/>
              </w:rPr>
            </w:pPr>
            <w:r>
              <w:rPr>
                <w:rFonts w:hint="eastAsia" w:ascii="宋体" w:hAnsi="宋体" w:cs="黑体"/>
                <w:szCs w:val="21"/>
              </w:rPr>
              <w:t>感官要求</w:t>
            </w:r>
            <w:r>
              <w:rPr>
                <w:rFonts w:hint="eastAsia" w:ascii="宋体" w:hAnsi="宋体" w:cs="黑体"/>
                <w:szCs w:val="21"/>
                <w:lang w:val="en-US" w:eastAsia="zh-CN"/>
              </w:rPr>
              <w:t>*</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4806.4—2016</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4806.4—2016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center"/>
              <w:rPr>
                <w:rFonts w:hint="eastAsia" w:ascii="宋体" w:hAnsi="宋体" w:cs="黑体"/>
                <w:szCs w:val="21"/>
              </w:rPr>
            </w:pPr>
            <w:r>
              <w:rPr>
                <w:rFonts w:hint="eastAsia" w:ascii="宋体" w:hAnsi="宋体" w:cs="黑体"/>
                <w:szCs w:val="21"/>
              </w:rPr>
              <w:t>2</w:t>
            </w:r>
          </w:p>
        </w:tc>
        <w:tc>
          <w:tcPr>
            <w:tcW w:w="342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center"/>
              <w:rPr>
                <w:rFonts w:hint="eastAsia" w:ascii="宋体" w:hAnsi="宋体" w:eastAsia="宋体" w:cs="黑体"/>
                <w:szCs w:val="21"/>
                <w:lang w:val="en-US" w:eastAsia="zh-CN"/>
              </w:rPr>
            </w:pPr>
            <w:r>
              <w:rPr>
                <w:rFonts w:hint="eastAsia" w:ascii="宋体" w:hAnsi="宋体" w:cs="黑体"/>
                <w:szCs w:val="21"/>
              </w:rPr>
              <w:t>铅迁移量</w:t>
            </w:r>
            <w:r>
              <w:rPr>
                <w:rFonts w:hint="eastAsia" w:ascii="宋体" w:hAnsi="宋体" w:cs="黑体"/>
                <w:szCs w:val="21"/>
                <w:lang w:val="en-US" w:eastAsia="zh-CN"/>
              </w:rPr>
              <w:t>*</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4806.4—2016</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31604.34—2016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center"/>
              <w:rPr>
                <w:rFonts w:hint="eastAsia" w:ascii="宋体" w:hAnsi="宋体" w:cs="黑体"/>
                <w:szCs w:val="21"/>
              </w:rPr>
            </w:pPr>
            <w:r>
              <w:rPr>
                <w:rFonts w:hint="eastAsia" w:ascii="宋体" w:hAnsi="宋体" w:cs="黑体"/>
                <w:szCs w:val="21"/>
              </w:rPr>
              <w:t>3</w:t>
            </w:r>
          </w:p>
        </w:tc>
        <w:tc>
          <w:tcPr>
            <w:tcW w:w="342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center"/>
              <w:rPr>
                <w:rFonts w:hint="eastAsia" w:ascii="宋体" w:hAnsi="宋体" w:eastAsia="宋体" w:cs="黑体"/>
                <w:szCs w:val="21"/>
                <w:lang w:val="en-US" w:eastAsia="zh-CN"/>
              </w:rPr>
            </w:pPr>
            <w:r>
              <w:rPr>
                <w:rFonts w:hint="eastAsia" w:ascii="宋体" w:hAnsi="宋体" w:cs="黑体"/>
                <w:szCs w:val="21"/>
              </w:rPr>
              <w:t>镉迁移量</w:t>
            </w:r>
            <w:r>
              <w:rPr>
                <w:rFonts w:hint="eastAsia" w:ascii="宋体" w:hAnsi="宋体" w:cs="黑体"/>
                <w:szCs w:val="21"/>
                <w:lang w:val="en-US" w:eastAsia="zh-CN"/>
              </w:rPr>
              <w:t>*</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4806.4—2016</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31604.24—2016</w:t>
            </w:r>
          </w:p>
        </w:tc>
      </w:tr>
    </w:tbl>
    <w:p>
      <w:pPr>
        <w:snapToGrid w:val="0"/>
        <w:spacing w:line="440" w:lineRule="exact"/>
        <w:ind w:firstLine="359" w:firstLineChars="171"/>
        <w:rPr>
          <w:rFonts w:ascii="宋体" w:hAnsi="宋体"/>
          <w:color w:val="000000"/>
          <w:szCs w:val="21"/>
        </w:rPr>
      </w:pPr>
      <w:r>
        <w:rPr>
          <w:rFonts w:hint="eastAsia" w:ascii="宋体" w:hAnsi="宋体"/>
          <w:color w:val="000000"/>
          <w:szCs w:val="21"/>
        </w:rPr>
        <w:t>执行企业标准、团体标准、地方标准的产品，检验项目参照上述内容执行。</w:t>
      </w:r>
    </w:p>
    <w:p>
      <w:pPr>
        <w:spacing w:line="360" w:lineRule="auto"/>
        <w:rPr>
          <w:rFonts w:ascii="黑体" w:hAnsi="黑体" w:eastAsia="黑体"/>
          <w:color w:val="000000"/>
          <w:szCs w:val="21"/>
        </w:rPr>
      </w:pPr>
      <w:r>
        <w:rPr>
          <w:rFonts w:ascii="黑体" w:hAnsi="黑体" w:eastAsia="黑体"/>
          <w:color w:val="000000"/>
          <w:szCs w:val="21"/>
        </w:rPr>
        <w:t>3</w:t>
      </w:r>
      <w:r>
        <w:rPr>
          <w:rFonts w:hint="eastAsia" w:ascii="黑体" w:hAnsi="黑体" w:eastAsia="黑体"/>
          <w:color w:val="000000"/>
          <w:szCs w:val="21"/>
        </w:rPr>
        <w:t xml:space="preserve"> 判定规则</w:t>
      </w:r>
    </w:p>
    <w:p>
      <w:pPr>
        <w:snapToGrid w:val="0"/>
        <w:spacing w:line="440" w:lineRule="exact"/>
        <w:rPr>
          <w:rFonts w:ascii="宋体" w:hAnsi="宋体"/>
          <w:color w:val="000000"/>
          <w:szCs w:val="21"/>
        </w:rPr>
      </w:pPr>
      <w:r>
        <w:rPr>
          <w:rFonts w:hint="eastAsia" w:ascii="Times New Roman" w:hAnsi="Times New Roman" w:eastAsia="宋体" w:cs="Times New Roman"/>
          <w:color w:val="000000"/>
          <w:szCs w:val="21"/>
        </w:rPr>
        <w:t>3.1</w:t>
      </w:r>
      <w:r>
        <w:rPr>
          <w:rFonts w:hint="eastAsia" w:ascii="宋体" w:hAnsi="宋体"/>
          <w:color w:val="000000"/>
          <w:szCs w:val="21"/>
        </w:rPr>
        <w:t>依据标准</w:t>
      </w:r>
    </w:p>
    <w:p>
      <w:pPr>
        <w:snapToGrid w:val="0"/>
        <w:spacing w:line="440" w:lineRule="exact"/>
        <w:ind w:firstLine="359" w:firstLineChars="171"/>
        <w:rPr>
          <w:rFonts w:hint="eastAsia" w:ascii="宋体" w:hAnsi="宋体"/>
          <w:color w:val="000000"/>
          <w:szCs w:val="21"/>
        </w:rPr>
      </w:pPr>
      <w:r>
        <w:rPr>
          <w:rFonts w:hint="eastAsia" w:ascii="Times New Roman" w:hAnsi="Times New Roman" w:eastAsia="宋体" w:cs="Times New Roman"/>
          <w:color w:val="000000"/>
          <w:szCs w:val="21"/>
        </w:rPr>
        <w:t xml:space="preserve">GB/T </w:t>
      </w:r>
      <w:r>
        <w:rPr>
          <w:rFonts w:hint="eastAsia" w:ascii="Times New Roman" w:hAnsi="Times New Roman" w:eastAsia="宋体" w:cs="Times New Roman"/>
          <w:color w:val="000000"/>
          <w:szCs w:val="21"/>
          <w:lang w:val="en-US" w:eastAsia="zh-CN"/>
        </w:rPr>
        <w:t>4806.4-2016</w:t>
      </w:r>
      <w:r>
        <w:rPr>
          <w:rFonts w:hint="eastAsia" w:ascii="宋体" w:hAnsi="宋体"/>
          <w:color w:val="000000"/>
          <w:szCs w:val="21"/>
          <w:lang w:val="en-US" w:eastAsia="zh-CN"/>
        </w:rPr>
        <w:t xml:space="preserve"> </w:t>
      </w:r>
      <w:r>
        <w:rPr>
          <w:rFonts w:hint="eastAsia" w:ascii="宋体" w:hAnsi="宋体"/>
          <w:color w:val="000000"/>
          <w:szCs w:val="21"/>
        </w:rPr>
        <w:t>食品安全国家标准  陶瓷制品</w:t>
      </w:r>
    </w:p>
    <w:p>
      <w:pPr>
        <w:snapToGrid w:val="0"/>
        <w:spacing w:line="440" w:lineRule="exact"/>
        <w:ind w:firstLine="359" w:firstLineChars="171"/>
        <w:rPr>
          <w:rFonts w:ascii="宋体" w:hAnsi="宋体"/>
          <w:color w:val="000000"/>
          <w:szCs w:val="21"/>
        </w:rPr>
      </w:pPr>
      <w:r>
        <w:rPr>
          <w:rFonts w:hint="eastAsia" w:ascii="宋体" w:hAnsi="宋体"/>
          <w:color w:val="000000"/>
          <w:szCs w:val="21"/>
        </w:rPr>
        <w:t>现行有效的企业标准、团体标准、地方标准及产品明示质量要求</w:t>
      </w:r>
    </w:p>
    <w:p>
      <w:pPr>
        <w:snapToGrid w:val="0"/>
        <w:spacing w:line="440" w:lineRule="exact"/>
        <w:rPr>
          <w:rFonts w:ascii="宋体" w:hAnsi="宋体"/>
          <w:color w:val="000000"/>
          <w:szCs w:val="21"/>
        </w:rPr>
      </w:pPr>
      <w:r>
        <w:rPr>
          <w:rFonts w:hint="eastAsia" w:ascii="Times New Roman" w:hAnsi="Times New Roman" w:eastAsia="宋体" w:cs="Times New Roman"/>
          <w:color w:val="000000"/>
          <w:szCs w:val="21"/>
        </w:rPr>
        <w:t>3.2</w:t>
      </w:r>
      <w:r>
        <w:rPr>
          <w:rFonts w:hint="eastAsia" w:ascii="宋体" w:hAnsi="宋体"/>
          <w:color w:val="000000"/>
          <w:szCs w:val="21"/>
        </w:rPr>
        <w:t>判定原则</w:t>
      </w:r>
    </w:p>
    <w:p>
      <w:pPr>
        <w:snapToGrid w:val="0"/>
        <w:spacing w:line="440" w:lineRule="exact"/>
        <w:ind w:firstLine="420" w:firstLineChars="200"/>
        <w:rPr>
          <w:rFonts w:ascii="宋体" w:hAnsi="宋体"/>
          <w:color w:val="000000"/>
          <w:szCs w:val="21"/>
        </w:rPr>
      </w:pPr>
      <w:r>
        <w:rPr>
          <w:rFonts w:hint="eastAsia" w:ascii="宋体" w:hAnsi="宋体"/>
          <w:color w:val="000000"/>
          <w:szCs w:val="21"/>
        </w:rPr>
        <w:t>经检验，检验项目全部合格，判定为被抽查产品</w:t>
      </w:r>
      <w:r>
        <w:rPr>
          <w:rFonts w:hint="eastAsia"/>
          <w:color w:val="000000"/>
          <w:szCs w:val="21"/>
        </w:rPr>
        <w:t>所检项目未发现不</w:t>
      </w:r>
      <w:r>
        <w:rPr>
          <w:color w:val="000000"/>
          <w:szCs w:val="21"/>
        </w:rPr>
        <w:t>合格</w:t>
      </w:r>
      <w:r>
        <w:rPr>
          <w:rFonts w:hint="eastAsia" w:ascii="宋体" w:hAnsi="宋体"/>
          <w:color w:val="000000"/>
          <w:szCs w:val="21"/>
        </w:rPr>
        <w:t>；检验项目中任一项或一项以上不合格，判定为被抽查产品不合格。</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若被检产品明示的质量要求低于或包含本细则中检验项目依据的推荐性标准要求时，应以被检产品明示的质量要求判定。</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pPr>
        <w:snapToGrid w:val="0"/>
        <w:spacing w:line="440" w:lineRule="exact"/>
        <w:ind w:firstLine="417" w:firstLineChars="199"/>
        <w:rPr>
          <w:rFonts w:ascii="宋体" w:hAnsi="宋体"/>
          <w:color w:val="FF0000"/>
          <w:szCs w:val="21"/>
        </w:rPr>
      </w:pPr>
      <w:r>
        <w:rPr>
          <w:rFonts w:hint="eastAsia" w:ascii="宋体" w:hAnsi="宋体"/>
          <w:color w:val="000000"/>
          <w:szCs w:val="21"/>
        </w:rPr>
        <w:t>若被检产品明示的质量要求缺少本细则中检验项目依据的推荐性标准要求时，该项目不参与判定。</w:t>
      </w:r>
    </w:p>
    <w:sectPr>
      <w:headerReference r:id="rId3" w:type="default"/>
      <w:footerReference r:id="rId4" w:type="default"/>
      <w:footerReference r:id="rId5" w:type="even"/>
      <w:pgSz w:w="11906" w:h="16838"/>
      <w:pgMar w:top="1985" w:right="1361"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简体">
    <w:altName w:val="方正仿宋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等线">
    <w:altName w:val="国标宋体-超大字符集扩"/>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sz w:val="21"/>
        <w:szCs w:val="24"/>
      </w:rPr>
    </w:pPr>
    <w:r>
      <w:fldChar w:fldCharType="begin"/>
    </w:r>
    <w:r>
      <w:rPr>
        <w:rStyle w:val="10"/>
      </w:rPr>
      <w:instrText xml:space="preserve">PAGE  </w:instrText>
    </w:r>
    <w:r>
      <w:fldChar w:fldCharType="separate"/>
    </w:r>
    <w:r>
      <w:rPr>
        <w:rStyle w:val="10"/>
      </w:rPr>
      <w:t>2</w:t>
    </w:r>
    <w: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5ZjZiMGFmNzJkMTc3YTk5MTBjOGNjMzBmNTg4MTgifQ=="/>
  </w:docVars>
  <w:rsids>
    <w:rsidRoot w:val="00172A27"/>
    <w:rsid w:val="00040DC0"/>
    <w:rsid w:val="0004443B"/>
    <w:rsid w:val="00051A44"/>
    <w:rsid w:val="00064A3C"/>
    <w:rsid w:val="000730E6"/>
    <w:rsid w:val="00074B6A"/>
    <w:rsid w:val="00081CBD"/>
    <w:rsid w:val="000976DE"/>
    <w:rsid w:val="000B5ABF"/>
    <w:rsid w:val="00123D1C"/>
    <w:rsid w:val="00172A27"/>
    <w:rsid w:val="001809DD"/>
    <w:rsid w:val="00193652"/>
    <w:rsid w:val="001950A8"/>
    <w:rsid w:val="001A3E0B"/>
    <w:rsid w:val="001A7FB8"/>
    <w:rsid w:val="001D678F"/>
    <w:rsid w:val="00207BDC"/>
    <w:rsid w:val="00212945"/>
    <w:rsid w:val="00232530"/>
    <w:rsid w:val="00253624"/>
    <w:rsid w:val="002A5836"/>
    <w:rsid w:val="002D7F8A"/>
    <w:rsid w:val="002E0D1D"/>
    <w:rsid w:val="003048C1"/>
    <w:rsid w:val="003203A3"/>
    <w:rsid w:val="0035192B"/>
    <w:rsid w:val="00365449"/>
    <w:rsid w:val="00365CBE"/>
    <w:rsid w:val="003A7D30"/>
    <w:rsid w:val="003C388C"/>
    <w:rsid w:val="003D09A1"/>
    <w:rsid w:val="003E61BF"/>
    <w:rsid w:val="004104AC"/>
    <w:rsid w:val="00445E86"/>
    <w:rsid w:val="0045434D"/>
    <w:rsid w:val="00474E04"/>
    <w:rsid w:val="00482B3F"/>
    <w:rsid w:val="004872CB"/>
    <w:rsid w:val="0049337A"/>
    <w:rsid w:val="004B4FBE"/>
    <w:rsid w:val="004B7547"/>
    <w:rsid w:val="004D0C5A"/>
    <w:rsid w:val="004D184C"/>
    <w:rsid w:val="004E1396"/>
    <w:rsid w:val="004E6C21"/>
    <w:rsid w:val="00555CB7"/>
    <w:rsid w:val="00563EBC"/>
    <w:rsid w:val="005B61EA"/>
    <w:rsid w:val="006D3B38"/>
    <w:rsid w:val="006E1171"/>
    <w:rsid w:val="006F0971"/>
    <w:rsid w:val="006F715F"/>
    <w:rsid w:val="0072334C"/>
    <w:rsid w:val="007410EE"/>
    <w:rsid w:val="00777B55"/>
    <w:rsid w:val="007A6AF1"/>
    <w:rsid w:val="00811F32"/>
    <w:rsid w:val="00895BEA"/>
    <w:rsid w:val="008A3497"/>
    <w:rsid w:val="008C0F90"/>
    <w:rsid w:val="008C5C28"/>
    <w:rsid w:val="00903564"/>
    <w:rsid w:val="00905D89"/>
    <w:rsid w:val="00917A54"/>
    <w:rsid w:val="00923463"/>
    <w:rsid w:val="00985A27"/>
    <w:rsid w:val="00997E2B"/>
    <w:rsid w:val="009C292B"/>
    <w:rsid w:val="00A23D98"/>
    <w:rsid w:val="00A30B04"/>
    <w:rsid w:val="00A43553"/>
    <w:rsid w:val="00A575F7"/>
    <w:rsid w:val="00A64D40"/>
    <w:rsid w:val="00A967B8"/>
    <w:rsid w:val="00AC5391"/>
    <w:rsid w:val="00AF21AE"/>
    <w:rsid w:val="00B10D81"/>
    <w:rsid w:val="00B65F23"/>
    <w:rsid w:val="00BA18AD"/>
    <w:rsid w:val="00BA4112"/>
    <w:rsid w:val="00BD0FD7"/>
    <w:rsid w:val="00BD724E"/>
    <w:rsid w:val="00BF2B8C"/>
    <w:rsid w:val="00C26074"/>
    <w:rsid w:val="00C26209"/>
    <w:rsid w:val="00C411FE"/>
    <w:rsid w:val="00C83B0A"/>
    <w:rsid w:val="00CC7987"/>
    <w:rsid w:val="00CD0B37"/>
    <w:rsid w:val="00CE1E0C"/>
    <w:rsid w:val="00CE277E"/>
    <w:rsid w:val="00CF76CE"/>
    <w:rsid w:val="00D14F61"/>
    <w:rsid w:val="00D56867"/>
    <w:rsid w:val="00D57E79"/>
    <w:rsid w:val="00D61501"/>
    <w:rsid w:val="00D93C08"/>
    <w:rsid w:val="00DD1886"/>
    <w:rsid w:val="00E01AA3"/>
    <w:rsid w:val="00E02A7F"/>
    <w:rsid w:val="00E07880"/>
    <w:rsid w:val="00E14E9A"/>
    <w:rsid w:val="00E32E0F"/>
    <w:rsid w:val="00E50E7E"/>
    <w:rsid w:val="00E82621"/>
    <w:rsid w:val="00E90475"/>
    <w:rsid w:val="00EA2E5A"/>
    <w:rsid w:val="00EC292A"/>
    <w:rsid w:val="00F279FA"/>
    <w:rsid w:val="00F52A55"/>
    <w:rsid w:val="00F77C9A"/>
    <w:rsid w:val="00FB576C"/>
    <w:rsid w:val="00FC1A14"/>
    <w:rsid w:val="00FC2E9E"/>
    <w:rsid w:val="00FD2AA6"/>
    <w:rsid w:val="00FE7E8A"/>
    <w:rsid w:val="062306B1"/>
    <w:rsid w:val="073F4A62"/>
    <w:rsid w:val="0DE26548"/>
    <w:rsid w:val="181B1EE9"/>
    <w:rsid w:val="18A710D3"/>
    <w:rsid w:val="2B656E08"/>
    <w:rsid w:val="37016482"/>
    <w:rsid w:val="465E0AB2"/>
    <w:rsid w:val="46C95885"/>
    <w:rsid w:val="49557320"/>
    <w:rsid w:val="4F958878"/>
    <w:rsid w:val="4FC76963"/>
    <w:rsid w:val="552641FC"/>
    <w:rsid w:val="5C277B49"/>
    <w:rsid w:val="5D6F3BAB"/>
    <w:rsid w:val="61795C61"/>
    <w:rsid w:val="62644844"/>
    <w:rsid w:val="6979104B"/>
    <w:rsid w:val="7A02736C"/>
    <w:rsid w:val="7A1D0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ody Text"/>
    <w:basedOn w:val="1"/>
    <w:link w:val="25"/>
    <w:qFormat/>
    <w:uiPriority w:val="1"/>
    <w:pPr>
      <w:spacing w:before="166"/>
      <w:ind w:left="101"/>
    </w:pPr>
    <w:rPr>
      <w:rFonts w:ascii="宋体" w:hAnsi="宋体"/>
      <w:szCs w:val="21"/>
      <w:lang w:val="zh-CN"/>
    </w:rPr>
  </w:style>
  <w:style w:type="paragraph" w:styleId="4">
    <w:name w:val="Balloon Text"/>
    <w:basedOn w:val="1"/>
    <w:link w:val="14"/>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7"/>
    <w:unhideWhenUsed/>
    <w:qFormat/>
    <w:uiPriority w:val="99"/>
    <w:rPr>
      <w:b/>
      <w:bCs/>
    </w:rPr>
  </w:style>
  <w:style w:type="character" w:styleId="10">
    <w:name w:val="page number"/>
    <w:qFormat/>
    <w:uiPriority w:val="0"/>
  </w:style>
  <w:style w:type="character" w:styleId="11">
    <w:name w:val="Hyperlink"/>
    <w:basedOn w:val="9"/>
    <w:qFormat/>
    <w:uiPriority w:val="0"/>
    <w:rPr>
      <w:color w:val="0000FF"/>
      <w:u w:val="single"/>
    </w:rPr>
  </w:style>
  <w:style w:type="character" w:styleId="12">
    <w:name w:val="annotation reference"/>
    <w:unhideWhenUsed/>
    <w:qFormat/>
    <w:uiPriority w:val="99"/>
    <w:rPr>
      <w:sz w:val="21"/>
      <w:szCs w:val="21"/>
    </w:rPr>
  </w:style>
  <w:style w:type="character" w:customStyle="1" w:styleId="13">
    <w:name w:val="批注文字 字符"/>
    <w:link w:val="2"/>
    <w:semiHidden/>
    <w:qFormat/>
    <w:uiPriority w:val="99"/>
    <w:rPr>
      <w:kern w:val="2"/>
      <w:sz w:val="21"/>
      <w:szCs w:val="24"/>
    </w:rPr>
  </w:style>
  <w:style w:type="character" w:customStyle="1" w:styleId="14">
    <w:name w:val="批注框文本 字符"/>
    <w:link w:val="4"/>
    <w:qFormat/>
    <w:uiPriority w:val="99"/>
    <w:rPr>
      <w:kern w:val="2"/>
      <w:sz w:val="18"/>
      <w:szCs w:val="18"/>
    </w:rPr>
  </w:style>
  <w:style w:type="character" w:customStyle="1" w:styleId="15">
    <w:name w:val="页脚 字符"/>
    <w:link w:val="5"/>
    <w:qFormat/>
    <w:uiPriority w:val="99"/>
    <w:rPr>
      <w:kern w:val="2"/>
      <w:sz w:val="18"/>
      <w:szCs w:val="18"/>
    </w:rPr>
  </w:style>
  <w:style w:type="character" w:customStyle="1" w:styleId="16">
    <w:name w:val="页眉 字符"/>
    <w:link w:val="6"/>
    <w:semiHidden/>
    <w:qFormat/>
    <w:uiPriority w:val="99"/>
    <w:rPr>
      <w:kern w:val="2"/>
      <w:sz w:val="18"/>
      <w:szCs w:val="18"/>
    </w:rPr>
  </w:style>
  <w:style w:type="character" w:customStyle="1" w:styleId="17">
    <w:name w:val="批注主题 字符"/>
    <w:link w:val="7"/>
    <w:semiHidden/>
    <w:qFormat/>
    <w:uiPriority w:val="99"/>
    <w:rPr>
      <w:b/>
      <w:bCs/>
      <w:kern w:val="2"/>
      <w:sz w:val="21"/>
      <w:szCs w:val="24"/>
    </w:rPr>
  </w:style>
  <w:style w:type="paragraph" w:customStyle="1" w:styleId="18">
    <w:name w:val="列出段落1"/>
    <w:basedOn w:val="1"/>
    <w:qFormat/>
    <w:uiPriority w:val="34"/>
    <w:pPr>
      <w:ind w:firstLine="420" w:firstLineChars="200"/>
    </w:pPr>
    <w:rPr>
      <w:rFonts w:ascii="Calibri" w:hAnsi="Calibri"/>
      <w:szCs w:val="22"/>
    </w:rPr>
  </w:style>
  <w:style w:type="paragraph" w:customStyle="1" w:styleId="19">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20">
    <w:name w:val="页脚 Char"/>
    <w:qFormat/>
    <w:uiPriority w:val="99"/>
    <w:rPr>
      <w:kern w:val="2"/>
      <w:sz w:val="18"/>
      <w:szCs w:val="18"/>
    </w:rPr>
  </w:style>
  <w:style w:type="character" w:customStyle="1" w:styleId="21">
    <w:name w:val="页眉 Char"/>
    <w:semiHidden/>
    <w:qFormat/>
    <w:uiPriority w:val="99"/>
    <w:rPr>
      <w:kern w:val="2"/>
      <w:sz w:val="18"/>
      <w:szCs w:val="18"/>
    </w:rPr>
  </w:style>
  <w:style w:type="character" w:customStyle="1" w:styleId="22">
    <w:name w:val="批注框文本 Char"/>
    <w:semiHidden/>
    <w:qFormat/>
    <w:uiPriority w:val="99"/>
    <w:rPr>
      <w:kern w:val="2"/>
      <w:sz w:val="18"/>
      <w:szCs w:val="18"/>
    </w:rPr>
  </w:style>
  <w:style w:type="paragraph" w:customStyle="1" w:styleId="23">
    <w:name w:val="列出段落2"/>
    <w:basedOn w:val="1"/>
    <w:qFormat/>
    <w:uiPriority w:val="0"/>
    <w:pPr>
      <w:ind w:firstLine="420" w:firstLineChars="200"/>
    </w:pPr>
    <w:rPr>
      <w:rFonts w:ascii="Calibri" w:hAnsi="Calibri"/>
      <w:szCs w:val="22"/>
    </w:rPr>
  </w:style>
  <w:style w:type="character" w:customStyle="1" w:styleId="24">
    <w:name w:val="正文文本 字符"/>
    <w:basedOn w:val="9"/>
    <w:semiHidden/>
    <w:qFormat/>
    <w:uiPriority w:val="99"/>
    <w:rPr>
      <w:kern w:val="2"/>
      <w:sz w:val="21"/>
      <w:szCs w:val="24"/>
    </w:rPr>
  </w:style>
  <w:style w:type="character" w:customStyle="1" w:styleId="25">
    <w:name w:val="正文文本 字符1"/>
    <w:link w:val="3"/>
    <w:qFormat/>
    <w:uiPriority w:val="1"/>
    <w:rPr>
      <w:rFonts w:ascii="宋体" w:hAnsi="宋体"/>
      <w:kern w:val="2"/>
      <w:sz w:val="21"/>
      <w:szCs w:val="21"/>
      <w:lang w:val="zh-CN" w:eastAsia="zh-CN"/>
    </w:rPr>
  </w:style>
  <w:style w:type="character" w:customStyle="1" w:styleId="26">
    <w:name w:val="批注文字 Char"/>
    <w:basedOn w:val="9"/>
    <w:qFormat/>
    <w:uiPriority w:val="99"/>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564</Words>
  <Characters>650</Characters>
  <Lines>8</Lines>
  <Paragraphs>2</Paragraphs>
  <TotalTime>0</TotalTime>
  <ScaleCrop>false</ScaleCrop>
  <LinksUpToDate>false</LinksUpToDate>
  <CharactersWithSpaces>669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2004-08-06T11:45:00Z</dcterms:created>
  <dc:creator>lenovo</dc:creator>
  <cp:lastModifiedBy>guest</cp:lastModifiedBy>
  <cp:lastPrinted>2026-03-18T14:01:00Z</cp:lastPrinted>
  <dcterms:modified xsi:type="dcterms:W3CDTF">2026-03-24T10:22:01Z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commondata">
    <vt:lpwstr>eyJoZGlkIjoiNDRmZDlmMjdkNDI1NjEzMmI2Y2M4ZTAxODQ5YmJlMTYifQ==</vt:lpwstr>
  </property>
  <property fmtid="{D5CDD505-2E9C-101B-9397-08002B2CF9AE}" pid="4" name="ICV">
    <vt:lpwstr>BA599F1F300E4E0E83292F7169E9B21A_13</vt:lpwstr>
  </property>
  <property fmtid="{D5CDD505-2E9C-101B-9397-08002B2CF9AE}" pid="5" name="KSOTemplateDocerSaveRecord">
    <vt:lpwstr>eyJoZGlkIjoiNDgwMzk4MDc5MTVjOTdhZTFmYjdkNmU1N2ZlZTA1MmQifQ==</vt:lpwstr>
  </property>
</Properties>
</file>