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黑体" w:hAnsi="黑体" w:eastAsia="黑体" w:cs="宋体"/>
          <w:b w:val="0"/>
          <w:bCs w:val="0"/>
          <w:color w:val="000000"/>
          <w:sz w:val="32"/>
          <w:szCs w:val="32"/>
          <w:lang w:val="en-US" w:eastAsia="zh-CN"/>
        </w:rPr>
      </w:pPr>
      <w:r>
        <w:rPr>
          <w:rFonts w:hint="eastAsia" w:ascii="黑体" w:hAnsi="黑体" w:eastAsia="黑体" w:cs="宋体"/>
          <w:b w:val="0"/>
          <w:bCs w:val="0"/>
          <w:color w:val="000000"/>
          <w:sz w:val="32"/>
          <w:szCs w:val="32"/>
        </w:rPr>
        <w:t>附件</w:t>
      </w:r>
      <w:r>
        <w:rPr>
          <w:rFonts w:hint="eastAsia" w:ascii="黑体" w:hAnsi="黑体" w:eastAsia="黑体" w:cs="宋体"/>
          <w:b w:val="0"/>
          <w:bCs w:val="0"/>
          <w:color w:val="000000"/>
          <w:sz w:val="32"/>
          <w:szCs w:val="32"/>
          <w:lang w:val="en-US" w:eastAsia="zh-CN"/>
        </w:rPr>
        <w:t>44</w:t>
      </w:r>
      <w:bookmarkStart w:id="1" w:name="_GoBack"/>
      <w:bookmarkEnd w:id="1"/>
    </w:p>
    <w:p>
      <w:pPr>
        <w:adjustRightInd w:val="0"/>
        <w:snapToGrid w:val="0"/>
        <w:jc w:val="center"/>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陕西省聚乙烯（PE）管材产品质量监督抽查实施细则</w:t>
      </w:r>
    </w:p>
    <w:p>
      <w:pPr>
        <w:snapToGrid w:val="0"/>
        <w:spacing w:line="440" w:lineRule="exact"/>
        <w:rPr>
          <w:rFonts w:eastAsia="黑体"/>
          <w:szCs w:val="21"/>
        </w:rPr>
      </w:pP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黑体" w:hAnsi="黑体" w:eastAsia="黑体" w:cs="黑体"/>
          <w:b w:val="0"/>
          <w:bCs/>
          <w:szCs w:val="21"/>
        </w:rPr>
      </w:pPr>
      <w:r>
        <w:rPr>
          <w:rFonts w:hint="eastAsia" w:ascii="黑体" w:hAnsi="黑体" w:eastAsia="黑体" w:cs="黑体"/>
          <w:b w:val="0"/>
          <w:bCs/>
          <w:szCs w:val="21"/>
        </w:rPr>
        <w:t>1 抽样方法</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以随机抽样的方式在被抽样生产者、销售者的待销产品中抽取。</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随机数一般可使用随机数表等方法产生。</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直管（单根原始长度≥5米）：对于非饮用水管材，抽样数量为6根，每根截取5段，每段1米，其中3段作为检验样品，2段作为备用样品；对于饮用水管材，抽样数量为7根，每根截取5段，每段1米，其中3段作为检验样品，2段作为备用样品。</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直管（单根原始长度＜5米）：对于非饮用水管材，抽样数量为9根，每根截取4段，每段1米，其中2段作为检验样品，2段作为备用样品；对于饮用水管材，抽样数量为11根，每根截取4段，每段1米，其中2段作为检验样品，2段作为备用样品。</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盘管：对于非饮用水管材，抽样数量为5盘，每盘截取6段，每段1米，其中4段作为检验样品，2段作为备用样品；对于饮用水管材，抽样数量为5盘，每盘截取7段，每段1米，其中4段作为检验样品，3段作为备用样品。</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黑体" w:hAnsi="黑体" w:eastAsia="黑体" w:cs="黑体"/>
          <w:b w:val="0"/>
          <w:bCs/>
          <w:szCs w:val="21"/>
        </w:rPr>
      </w:pPr>
      <w:r>
        <w:rPr>
          <w:rFonts w:hint="eastAsia" w:ascii="黑体" w:hAnsi="黑体" w:eastAsia="黑体" w:cs="黑体"/>
          <w:b w:val="0"/>
          <w:bCs/>
          <w:szCs w:val="21"/>
        </w:rPr>
        <w:t>2 检验依据</w:t>
      </w: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val="0"/>
          <w:bCs/>
          <w:szCs w:val="21"/>
        </w:rPr>
      </w:pPr>
      <w:r>
        <w:rPr>
          <w:rFonts w:hint="eastAsia" w:ascii="宋体" w:hAnsi="宋体"/>
          <w:color w:val="000000"/>
          <w:szCs w:val="21"/>
        </w:rPr>
        <w:t>表</w:t>
      </w:r>
      <w:r>
        <w:rPr>
          <w:rFonts w:hint="eastAsia" w:ascii="宋体" w:hAnsi="宋体"/>
          <w:color w:val="000000"/>
          <w:szCs w:val="21"/>
          <w:lang w:val="en-US" w:eastAsia="zh-CN"/>
        </w:rPr>
        <w:t>1</w:t>
      </w:r>
      <w:r>
        <w:rPr>
          <w:rFonts w:hint="eastAsia" w:ascii="宋体" w:hAnsi="宋体"/>
          <w:color w:val="000000"/>
          <w:szCs w:val="21"/>
        </w:rPr>
        <w:t>检验项目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80"/>
        <w:gridCol w:w="130"/>
        <w:gridCol w:w="1854"/>
        <w:gridCol w:w="2464"/>
        <w:gridCol w:w="2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序号</w:t>
            </w:r>
          </w:p>
        </w:tc>
        <w:tc>
          <w:tcPr>
            <w:tcW w:w="3064" w:type="dxa"/>
            <w:gridSpan w:val="3"/>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检验项目</w:t>
            </w:r>
          </w:p>
        </w:tc>
        <w:tc>
          <w:tcPr>
            <w:tcW w:w="2464"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检验依据</w:t>
            </w:r>
          </w:p>
        </w:tc>
        <w:tc>
          <w:tcPr>
            <w:tcW w:w="2828"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17" w:type="dxa"/>
            <w:vMerge w:val="restart"/>
            <w:noWrap w:val="0"/>
            <w:vAlign w:val="center"/>
          </w:tcPr>
          <w:p>
            <w:pPr>
              <w:snapToGrid w:val="0"/>
              <w:spacing w:line="44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1</w:t>
            </w:r>
          </w:p>
        </w:tc>
        <w:tc>
          <w:tcPr>
            <w:tcW w:w="1210" w:type="dxa"/>
            <w:gridSpan w:val="2"/>
            <w:vMerge w:val="restart"/>
            <w:shd w:val="clear" w:color="auto" w:fill="auto"/>
            <w:noWrap w:val="0"/>
            <w:vAlign w:val="center"/>
          </w:tcPr>
          <w:p>
            <w:pPr>
              <w:spacing w:line="300" w:lineRule="exact"/>
              <w:jc w:val="center"/>
              <w:rPr>
                <w:rFonts w:hint="eastAsia" w:ascii="宋体" w:hAnsi="宋体"/>
                <w:color w:val="000000"/>
                <w:szCs w:val="21"/>
              </w:rPr>
            </w:pPr>
            <w:r>
              <w:rPr>
                <w:szCs w:val="21"/>
              </w:rPr>
              <w:t>几何尺寸</w:t>
            </w:r>
          </w:p>
        </w:tc>
        <w:tc>
          <w:tcPr>
            <w:tcW w:w="1854" w:type="dxa"/>
            <w:shd w:val="clear" w:color="auto" w:fill="auto"/>
            <w:noWrap w:val="0"/>
            <w:vAlign w:val="center"/>
          </w:tcPr>
          <w:p>
            <w:pPr>
              <w:spacing w:line="300" w:lineRule="exact"/>
              <w:jc w:val="center"/>
              <w:rPr>
                <w:rFonts w:hint="eastAsia" w:ascii="Times New Roman" w:hAnsi="Times New Roman" w:eastAsia="宋体" w:cs="Times New Roman"/>
                <w:kern w:val="2"/>
                <w:sz w:val="21"/>
                <w:szCs w:val="21"/>
                <w:lang w:val="en-US" w:eastAsia="zh-CN" w:bidi="ar-SA"/>
              </w:rPr>
            </w:pPr>
            <w:r>
              <w:rPr>
                <w:szCs w:val="21"/>
              </w:rPr>
              <w:t>平均外径</w:t>
            </w:r>
          </w:p>
        </w:tc>
        <w:tc>
          <w:tcPr>
            <w:tcW w:w="2464" w:type="dxa"/>
            <w:vMerge w:val="restart"/>
            <w:noWrap w:val="0"/>
            <w:vAlign w:val="center"/>
          </w:tcPr>
          <w:p>
            <w:pPr>
              <w:spacing w:line="300" w:lineRule="exact"/>
              <w:jc w:val="center"/>
              <w:rPr>
                <w:rFonts w:hint="eastAsia" w:ascii="宋体" w:hAnsi="宋体" w:eastAsia="宋体"/>
                <w:color w:val="000000"/>
                <w:szCs w:val="21"/>
                <w:lang w:val="en-US" w:eastAsia="zh-CN"/>
              </w:rPr>
            </w:pPr>
            <w:r>
              <w:rPr>
                <w:szCs w:val="21"/>
              </w:rPr>
              <w:t>GB/T 13663.2—201</w:t>
            </w:r>
            <w:r>
              <w:rPr>
                <w:rFonts w:hint="eastAsia"/>
                <w:szCs w:val="21"/>
                <w:lang w:val="en-US" w:eastAsia="zh-CN"/>
              </w:rPr>
              <w:t>8</w:t>
            </w:r>
          </w:p>
        </w:tc>
        <w:tc>
          <w:tcPr>
            <w:tcW w:w="2828" w:type="dxa"/>
            <w:vMerge w:val="restart"/>
            <w:noWrap w:val="0"/>
            <w:vAlign w:val="center"/>
          </w:tcPr>
          <w:p>
            <w:pPr>
              <w:snapToGrid w:val="0"/>
              <w:spacing w:line="440" w:lineRule="exact"/>
              <w:jc w:val="center"/>
              <w:rPr>
                <w:rFonts w:hint="eastAsia" w:ascii="宋体" w:hAnsi="宋体"/>
                <w:color w:val="000000"/>
                <w:szCs w:val="21"/>
              </w:rPr>
            </w:pPr>
            <w:r>
              <w:rPr>
                <w:szCs w:val="21"/>
              </w:rPr>
              <w:t>GB/T 8806—2008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Merge w:val="continue"/>
            <w:noWrap w:val="0"/>
            <w:vAlign w:val="center"/>
          </w:tcPr>
          <w:p>
            <w:pPr>
              <w:snapToGrid w:val="0"/>
              <w:spacing w:line="440" w:lineRule="exact"/>
              <w:jc w:val="center"/>
              <w:rPr>
                <w:rFonts w:hint="eastAsia" w:ascii="宋体" w:hAnsi="宋体"/>
                <w:color w:val="000000"/>
                <w:szCs w:val="21"/>
              </w:rPr>
            </w:pPr>
          </w:p>
        </w:tc>
        <w:tc>
          <w:tcPr>
            <w:tcW w:w="1210" w:type="dxa"/>
            <w:gridSpan w:val="2"/>
            <w:vMerge w:val="continue"/>
            <w:noWrap w:val="0"/>
            <w:vAlign w:val="center"/>
          </w:tcPr>
          <w:p>
            <w:pPr>
              <w:snapToGrid w:val="0"/>
              <w:spacing w:line="440" w:lineRule="exact"/>
              <w:jc w:val="center"/>
              <w:rPr>
                <w:rFonts w:hint="eastAsia" w:ascii="宋体" w:hAnsi="宋体"/>
                <w:color w:val="000000"/>
                <w:szCs w:val="21"/>
              </w:rPr>
            </w:pPr>
          </w:p>
        </w:tc>
        <w:tc>
          <w:tcPr>
            <w:tcW w:w="1854" w:type="dxa"/>
            <w:shd w:val="clear" w:color="auto" w:fill="auto"/>
            <w:noWrap w:val="0"/>
            <w:vAlign w:val="center"/>
          </w:tcPr>
          <w:p>
            <w:pPr>
              <w:spacing w:line="300" w:lineRule="exact"/>
              <w:jc w:val="center"/>
              <w:rPr>
                <w:rFonts w:hint="eastAsia" w:ascii="Times New Roman" w:hAnsi="Times New Roman" w:eastAsia="宋体" w:cs="Times New Roman"/>
                <w:kern w:val="2"/>
                <w:sz w:val="21"/>
                <w:szCs w:val="21"/>
                <w:lang w:val="en-US" w:eastAsia="zh-CN" w:bidi="ar-SA"/>
              </w:rPr>
            </w:pPr>
            <w:r>
              <w:rPr>
                <w:szCs w:val="21"/>
              </w:rPr>
              <w:t>壁厚公差</w:t>
            </w:r>
          </w:p>
        </w:tc>
        <w:tc>
          <w:tcPr>
            <w:tcW w:w="2464" w:type="dxa"/>
            <w:vMerge w:val="continue"/>
            <w:noWrap w:val="0"/>
            <w:vAlign w:val="center"/>
          </w:tcPr>
          <w:p>
            <w:pPr>
              <w:snapToGrid w:val="0"/>
              <w:spacing w:line="440" w:lineRule="exact"/>
              <w:jc w:val="center"/>
              <w:rPr>
                <w:rFonts w:hint="eastAsia" w:ascii="宋体" w:hAnsi="宋体"/>
                <w:color w:val="000000"/>
                <w:szCs w:val="21"/>
              </w:rPr>
            </w:pPr>
          </w:p>
        </w:tc>
        <w:tc>
          <w:tcPr>
            <w:tcW w:w="2828" w:type="dxa"/>
            <w:vMerge w:val="continue"/>
            <w:noWrap w:val="0"/>
            <w:vAlign w:val="center"/>
          </w:tcPr>
          <w:p>
            <w:pPr>
              <w:snapToGrid w:val="0"/>
              <w:spacing w:line="44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snapToGrid w:val="0"/>
              <w:spacing w:line="44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2</w:t>
            </w:r>
          </w:p>
        </w:tc>
        <w:tc>
          <w:tcPr>
            <w:tcW w:w="3064" w:type="dxa"/>
            <w:gridSpan w:val="3"/>
            <w:shd w:val="clear" w:color="auto" w:fill="auto"/>
            <w:noWrap w:val="0"/>
            <w:vAlign w:val="center"/>
          </w:tcPr>
          <w:p>
            <w:pPr>
              <w:spacing w:line="300" w:lineRule="exact"/>
              <w:jc w:val="center"/>
              <w:rPr>
                <w:szCs w:val="21"/>
              </w:rPr>
            </w:pPr>
            <w:r>
              <w:rPr>
                <w:szCs w:val="21"/>
              </w:rPr>
              <w:t xml:space="preserve">静液压强度  </w:t>
            </w:r>
          </w:p>
          <w:p>
            <w:pPr>
              <w:spacing w:line="300" w:lineRule="exact"/>
              <w:jc w:val="center"/>
              <w:rPr>
                <w:rFonts w:hint="eastAsia" w:ascii="Times New Roman" w:hAnsi="Times New Roman" w:eastAsia="宋体" w:cs="Times New Roman"/>
                <w:kern w:val="2"/>
                <w:sz w:val="21"/>
                <w:szCs w:val="21"/>
                <w:lang w:val="en-US" w:eastAsia="zh-CN" w:bidi="ar-SA"/>
              </w:rPr>
            </w:pPr>
            <w:r>
              <w:rPr>
                <w:szCs w:val="21"/>
              </w:rPr>
              <w:t xml:space="preserve">（20℃，100h） </w:t>
            </w:r>
          </w:p>
        </w:tc>
        <w:tc>
          <w:tcPr>
            <w:tcW w:w="2464" w:type="dxa"/>
            <w:noWrap w:val="0"/>
            <w:vAlign w:val="center"/>
          </w:tcPr>
          <w:p>
            <w:pPr>
              <w:spacing w:line="300" w:lineRule="exact"/>
              <w:jc w:val="center"/>
              <w:rPr>
                <w:rFonts w:hint="eastAsia" w:ascii="宋体" w:hAnsi="宋体"/>
                <w:color w:val="000000"/>
                <w:szCs w:val="21"/>
              </w:rPr>
            </w:pPr>
            <w:r>
              <w:rPr>
                <w:szCs w:val="21"/>
              </w:rPr>
              <w:t>GB/T 13663.2—2018</w:t>
            </w:r>
          </w:p>
        </w:tc>
        <w:tc>
          <w:tcPr>
            <w:tcW w:w="2828" w:type="dxa"/>
            <w:noWrap w:val="0"/>
            <w:vAlign w:val="center"/>
          </w:tcPr>
          <w:p>
            <w:pPr>
              <w:snapToGrid w:val="0"/>
              <w:spacing w:line="440" w:lineRule="exact"/>
              <w:jc w:val="center"/>
              <w:rPr>
                <w:rFonts w:hint="eastAsia" w:ascii="宋体" w:hAnsi="宋体"/>
                <w:color w:val="000000"/>
                <w:szCs w:val="21"/>
              </w:rPr>
            </w:pPr>
            <w:r>
              <w:rPr>
                <w:szCs w:val="21"/>
              </w:rPr>
              <w:t>GB/T 6111—2003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snapToGrid w:val="0"/>
              <w:spacing w:line="44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3064" w:type="dxa"/>
            <w:gridSpan w:val="3"/>
            <w:shd w:val="clear" w:color="auto" w:fill="auto"/>
            <w:noWrap w:val="0"/>
            <w:vAlign w:val="center"/>
          </w:tcPr>
          <w:p>
            <w:pPr>
              <w:spacing w:line="300" w:lineRule="exact"/>
              <w:jc w:val="center"/>
              <w:rPr>
                <w:rFonts w:hint="eastAsia" w:ascii="Times New Roman" w:hAnsi="Times New Roman" w:eastAsia="宋体" w:cs="Times New Roman"/>
                <w:kern w:val="2"/>
                <w:sz w:val="21"/>
                <w:szCs w:val="21"/>
                <w:lang w:val="en-US" w:eastAsia="zh-CN" w:bidi="ar-SA"/>
              </w:rPr>
            </w:pPr>
            <w:r>
              <w:rPr>
                <w:szCs w:val="21"/>
              </w:rPr>
              <w:t>断裂伸长率</w:t>
            </w:r>
          </w:p>
        </w:tc>
        <w:tc>
          <w:tcPr>
            <w:tcW w:w="2464" w:type="dxa"/>
            <w:noWrap w:val="0"/>
            <w:vAlign w:val="center"/>
          </w:tcPr>
          <w:p>
            <w:pPr>
              <w:spacing w:line="300" w:lineRule="exact"/>
              <w:jc w:val="center"/>
              <w:rPr>
                <w:rFonts w:hint="eastAsia" w:ascii="宋体" w:hAnsi="宋体"/>
                <w:color w:val="000000"/>
                <w:szCs w:val="21"/>
              </w:rPr>
            </w:pPr>
            <w:r>
              <w:rPr>
                <w:szCs w:val="21"/>
              </w:rPr>
              <w:t>GB/T 13663.2—2018</w:t>
            </w:r>
          </w:p>
        </w:tc>
        <w:tc>
          <w:tcPr>
            <w:tcW w:w="2828" w:type="dxa"/>
            <w:noWrap w:val="0"/>
            <w:vAlign w:val="center"/>
          </w:tcPr>
          <w:p>
            <w:pPr>
              <w:snapToGrid w:val="0"/>
              <w:spacing w:line="440" w:lineRule="exact"/>
              <w:jc w:val="center"/>
              <w:rPr>
                <w:rFonts w:hint="eastAsia" w:ascii="宋体" w:hAnsi="宋体"/>
                <w:color w:val="000000"/>
                <w:szCs w:val="21"/>
              </w:rPr>
            </w:pPr>
            <w:r>
              <w:rPr>
                <w:szCs w:val="21"/>
              </w:rPr>
              <w:t>GB/T 8804.3—2003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snapToGrid w:val="0"/>
              <w:spacing w:line="44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3064" w:type="dxa"/>
            <w:gridSpan w:val="3"/>
            <w:shd w:val="clear" w:color="auto" w:fill="auto"/>
            <w:noWrap w:val="0"/>
            <w:vAlign w:val="center"/>
          </w:tcPr>
          <w:p>
            <w:pPr>
              <w:spacing w:line="300" w:lineRule="exact"/>
              <w:jc w:val="center"/>
              <w:rPr>
                <w:rFonts w:hint="eastAsia" w:ascii="Times New Roman" w:hAnsi="Times New Roman" w:eastAsia="宋体" w:cs="Times New Roman"/>
                <w:kern w:val="2"/>
                <w:sz w:val="21"/>
                <w:szCs w:val="21"/>
                <w:lang w:val="en-US" w:eastAsia="zh-CN" w:bidi="ar-SA"/>
              </w:rPr>
            </w:pPr>
            <w:r>
              <w:rPr>
                <w:szCs w:val="21"/>
              </w:rPr>
              <w:t>纵向回缩率</w:t>
            </w:r>
          </w:p>
        </w:tc>
        <w:tc>
          <w:tcPr>
            <w:tcW w:w="2464" w:type="dxa"/>
            <w:noWrap w:val="0"/>
            <w:vAlign w:val="center"/>
          </w:tcPr>
          <w:p>
            <w:pPr>
              <w:spacing w:line="300" w:lineRule="exact"/>
              <w:jc w:val="center"/>
              <w:rPr>
                <w:rFonts w:hint="eastAsia" w:ascii="宋体" w:hAnsi="宋体"/>
                <w:color w:val="000000"/>
                <w:szCs w:val="21"/>
              </w:rPr>
            </w:pPr>
            <w:r>
              <w:rPr>
                <w:szCs w:val="21"/>
              </w:rPr>
              <w:t>GB/T 13663.2—2018</w:t>
            </w:r>
          </w:p>
        </w:tc>
        <w:tc>
          <w:tcPr>
            <w:tcW w:w="2828" w:type="dxa"/>
            <w:noWrap w:val="0"/>
            <w:vAlign w:val="center"/>
          </w:tcPr>
          <w:p>
            <w:pPr>
              <w:snapToGrid w:val="0"/>
              <w:spacing w:line="440" w:lineRule="exact"/>
              <w:jc w:val="center"/>
              <w:rPr>
                <w:rFonts w:hint="eastAsia" w:ascii="宋体" w:hAnsi="宋体"/>
                <w:color w:val="000000"/>
                <w:szCs w:val="21"/>
              </w:rPr>
            </w:pPr>
            <w:r>
              <w:rPr>
                <w:szCs w:val="21"/>
              </w:rPr>
              <w:t>GB/T 6671—2001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snapToGrid w:val="0"/>
              <w:spacing w:line="44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5</w:t>
            </w:r>
          </w:p>
        </w:tc>
        <w:tc>
          <w:tcPr>
            <w:tcW w:w="3064" w:type="dxa"/>
            <w:gridSpan w:val="3"/>
            <w:shd w:val="clear" w:color="auto" w:fill="auto"/>
            <w:noWrap w:val="0"/>
            <w:vAlign w:val="center"/>
          </w:tcPr>
          <w:p>
            <w:pPr>
              <w:spacing w:line="300" w:lineRule="exact"/>
              <w:jc w:val="center"/>
              <w:rPr>
                <w:rFonts w:hint="eastAsia" w:ascii="Times New Roman" w:hAnsi="Times New Roman" w:eastAsia="宋体" w:cs="Times New Roman"/>
                <w:kern w:val="2"/>
                <w:sz w:val="21"/>
                <w:szCs w:val="21"/>
                <w:lang w:val="en-US" w:eastAsia="zh-CN" w:bidi="ar-SA"/>
              </w:rPr>
            </w:pPr>
            <w:r>
              <w:rPr>
                <w:szCs w:val="21"/>
              </w:rPr>
              <w:t>氧化诱导时间</w:t>
            </w:r>
          </w:p>
        </w:tc>
        <w:tc>
          <w:tcPr>
            <w:tcW w:w="2464" w:type="dxa"/>
            <w:noWrap w:val="0"/>
            <w:vAlign w:val="center"/>
          </w:tcPr>
          <w:p>
            <w:pPr>
              <w:spacing w:line="300" w:lineRule="exact"/>
              <w:jc w:val="center"/>
              <w:rPr>
                <w:rFonts w:hint="eastAsia" w:ascii="宋体" w:hAnsi="宋体"/>
                <w:color w:val="000000"/>
                <w:szCs w:val="21"/>
              </w:rPr>
            </w:pPr>
            <w:r>
              <w:rPr>
                <w:szCs w:val="21"/>
              </w:rPr>
              <w:t>GB/T 13663.2—2018</w:t>
            </w:r>
          </w:p>
        </w:tc>
        <w:tc>
          <w:tcPr>
            <w:tcW w:w="2828" w:type="dxa"/>
            <w:noWrap w:val="0"/>
            <w:vAlign w:val="center"/>
          </w:tcPr>
          <w:p>
            <w:pPr>
              <w:snapToGrid w:val="0"/>
              <w:spacing w:line="440" w:lineRule="exact"/>
              <w:jc w:val="center"/>
              <w:rPr>
                <w:rFonts w:hint="eastAsia" w:ascii="宋体" w:hAnsi="宋体"/>
                <w:color w:val="000000"/>
                <w:szCs w:val="21"/>
              </w:rPr>
            </w:pPr>
            <w:r>
              <w:rPr>
                <w:szCs w:val="21"/>
              </w:rPr>
              <w:t>GB/T 19466.6—2009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snapToGrid w:val="0"/>
              <w:spacing w:line="44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6</w:t>
            </w:r>
          </w:p>
        </w:tc>
        <w:tc>
          <w:tcPr>
            <w:tcW w:w="3064" w:type="dxa"/>
            <w:gridSpan w:val="3"/>
            <w:shd w:val="clear" w:color="auto" w:fill="auto"/>
            <w:noWrap w:val="0"/>
            <w:vAlign w:val="center"/>
          </w:tcPr>
          <w:p>
            <w:pPr>
              <w:spacing w:line="300" w:lineRule="exact"/>
              <w:jc w:val="center"/>
              <w:rPr>
                <w:rFonts w:hint="eastAsia" w:ascii="Times New Roman" w:hAnsi="Times New Roman" w:eastAsia="宋体" w:cs="Times New Roman"/>
                <w:kern w:val="2"/>
                <w:sz w:val="21"/>
                <w:szCs w:val="21"/>
                <w:lang w:val="en-US" w:eastAsia="zh-CN" w:bidi="ar-SA"/>
              </w:rPr>
            </w:pPr>
            <w:r>
              <w:rPr>
                <w:szCs w:val="21"/>
              </w:rPr>
              <w:t>灰分</w:t>
            </w:r>
          </w:p>
        </w:tc>
        <w:tc>
          <w:tcPr>
            <w:tcW w:w="2464" w:type="dxa"/>
            <w:noWrap w:val="0"/>
            <w:vAlign w:val="center"/>
          </w:tcPr>
          <w:p>
            <w:pPr>
              <w:spacing w:line="300" w:lineRule="exact"/>
              <w:jc w:val="center"/>
              <w:rPr>
                <w:rFonts w:hint="eastAsia" w:ascii="宋体" w:hAnsi="宋体"/>
                <w:color w:val="000000"/>
                <w:szCs w:val="21"/>
              </w:rPr>
            </w:pPr>
            <w:r>
              <w:rPr>
                <w:szCs w:val="21"/>
              </w:rPr>
              <w:t>GB/T 13663.2—2018</w:t>
            </w:r>
          </w:p>
        </w:tc>
        <w:tc>
          <w:tcPr>
            <w:tcW w:w="2828" w:type="dxa"/>
            <w:noWrap w:val="0"/>
            <w:vAlign w:val="center"/>
          </w:tcPr>
          <w:p>
            <w:pPr>
              <w:snapToGrid w:val="0"/>
              <w:spacing w:line="440" w:lineRule="exact"/>
              <w:jc w:val="center"/>
              <w:rPr>
                <w:rFonts w:hint="eastAsia" w:ascii="宋体" w:hAnsi="宋体"/>
                <w:color w:val="000000"/>
                <w:szCs w:val="21"/>
              </w:rPr>
            </w:pPr>
            <w:r>
              <w:rPr>
                <w:szCs w:val="21"/>
              </w:rPr>
              <w:t>GB/T 9345.1—2008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7" w:type="dxa"/>
            <w:vMerge w:val="restart"/>
            <w:noWrap w:val="0"/>
            <w:vAlign w:val="center"/>
          </w:tcPr>
          <w:p>
            <w:pPr>
              <w:snapToGrid w:val="0"/>
              <w:spacing w:line="44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7</w:t>
            </w:r>
          </w:p>
        </w:tc>
        <w:tc>
          <w:tcPr>
            <w:tcW w:w="1080" w:type="dxa"/>
            <w:vMerge w:val="restart"/>
            <w:shd w:val="clear" w:color="auto" w:fill="auto"/>
            <w:noWrap w:val="0"/>
            <w:vAlign w:val="center"/>
          </w:tcPr>
          <w:p>
            <w:pPr>
              <w:spacing w:line="300" w:lineRule="exact"/>
              <w:jc w:val="center"/>
              <w:rPr>
                <w:rFonts w:hint="eastAsia" w:ascii="宋体" w:hAnsi="宋体"/>
                <w:color w:val="000000"/>
                <w:szCs w:val="21"/>
              </w:rPr>
            </w:pPr>
            <w:r>
              <w:rPr>
                <w:szCs w:val="21"/>
              </w:rPr>
              <w:t>卫生要求</w:t>
            </w:r>
          </w:p>
        </w:tc>
        <w:tc>
          <w:tcPr>
            <w:tcW w:w="1984" w:type="dxa"/>
            <w:gridSpan w:val="2"/>
            <w:shd w:val="clear" w:color="auto" w:fill="auto"/>
            <w:noWrap w:val="0"/>
            <w:vAlign w:val="center"/>
          </w:tcPr>
          <w:p>
            <w:pPr>
              <w:spacing w:line="300" w:lineRule="exact"/>
              <w:jc w:val="center"/>
              <w:rPr>
                <w:rFonts w:hint="eastAsia" w:ascii="Times New Roman" w:hAnsi="Times New Roman" w:eastAsia="宋体" w:cs="Times New Roman"/>
                <w:kern w:val="2"/>
                <w:sz w:val="21"/>
                <w:szCs w:val="21"/>
                <w:lang w:val="en-US" w:eastAsia="zh-CN" w:bidi="ar-SA"/>
              </w:rPr>
            </w:pPr>
            <w:r>
              <w:rPr>
                <w:szCs w:val="21"/>
              </w:rPr>
              <w:t>铅</w:t>
            </w:r>
          </w:p>
        </w:tc>
        <w:tc>
          <w:tcPr>
            <w:tcW w:w="2464" w:type="dxa"/>
            <w:vMerge w:val="restart"/>
            <w:noWrap w:val="0"/>
            <w:vAlign w:val="center"/>
          </w:tcPr>
          <w:p>
            <w:pPr>
              <w:spacing w:line="300" w:lineRule="exact"/>
              <w:jc w:val="center"/>
              <w:rPr>
                <w:rFonts w:hint="eastAsia" w:ascii="宋体" w:hAnsi="宋体"/>
                <w:color w:val="000000"/>
                <w:szCs w:val="21"/>
              </w:rPr>
            </w:pPr>
            <w:r>
              <w:rPr>
                <w:szCs w:val="21"/>
              </w:rPr>
              <w:t>GB/T 13663.2—2018</w:t>
            </w:r>
          </w:p>
        </w:tc>
        <w:tc>
          <w:tcPr>
            <w:tcW w:w="2828" w:type="dxa"/>
            <w:vMerge w:val="restart"/>
            <w:noWrap w:val="0"/>
            <w:vAlign w:val="center"/>
          </w:tcPr>
          <w:p>
            <w:pPr>
              <w:snapToGrid w:val="0"/>
              <w:spacing w:line="440" w:lineRule="exact"/>
              <w:jc w:val="center"/>
              <w:rPr>
                <w:rFonts w:hint="eastAsia" w:ascii="宋体" w:hAnsi="宋体"/>
                <w:color w:val="000000"/>
                <w:szCs w:val="21"/>
              </w:rPr>
            </w:pPr>
            <w:r>
              <w:rPr>
                <w:szCs w:val="21"/>
              </w:rPr>
              <w:t>GB/T 17219—1998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17" w:type="dxa"/>
            <w:vMerge w:val="continue"/>
            <w:noWrap w:val="0"/>
            <w:vAlign w:val="top"/>
          </w:tcPr>
          <w:p>
            <w:pPr>
              <w:snapToGrid w:val="0"/>
              <w:spacing w:line="440" w:lineRule="exact"/>
              <w:jc w:val="center"/>
              <w:rPr>
                <w:rFonts w:hint="eastAsia" w:ascii="宋体" w:hAnsi="宋体"/>
                <w:color w:val="000000"/>
                <w:szCs w:val="21"/>
              </w:rPr>
            </w:pPr>
          </w:p>
        </w:tc>
        <w:tc>
          <w:tcPr>
            <w:tcW w:w="1080" w:type="dxa"/>
            <w:vMerge w:val="continue"/>
            <w:noWrap w:val="0"/>
            <w:vAlign w:val="center"/>
          </w:tcPr>
          <w:p>
            <w:pPr>
              <w:snapToGrid w:val="0"/>
              <w:spacing w:line="440" w:lineRule="exact"/>
              <w:jc w:val="center"/>
              <w:rPr>
                <w:rFonts w:hint="eastAsia" w:ascii="宋体" w:hAnsi="宋体"/>
                <w:color w:val="000000"/>
                <w:szCs w:val="21"/>
              </w:rPr>
            </w:pPr>
          </w:p>
        </w:tc>
        <w:tc>
          <w:tcPr>
            <w:tcW w:w="1984" w:type="dxa"/>
            <w:gridSpan w:val="2"/>
            <w:shd w:val="clear" w:color="auto" w:fill="auto"/>
            <w:noWrap w:val="0"/>
            <w:vAlign w:val="center"/>
          </w:tcPr>
          <w:p>
            <w:pPr>
              <w:spacing w:line="300" w:lineRule="exact"/>
              <w:jc w:val="center"/>
              <w:rPr>
                <w:rFonts w:hint="eastAsia" w:ascii="Times New Roman" w:hAnsi="Times New Roman" w:eastAsia="宋体" w:cs="Times New Roman"/>
                <w:kern w:val="2"/>
                <w:sz w:val="21"/>
                <w:szCs w:val="21"/>
                <w:lang w:val="en-US" w:eastAsia="zh-CN" w:bidi="ar-SA"/>
              </w:rPr>
            </w:pPr>
            <w:r>
              <w:rPr>
                <w:szCs w:val="21"/>
              </w:rPr>
              <w:t>镉</w:t>
            </w:r>
          </w:p>
        </w:tc>
        <w:tc>
          <w:tcPr>
            <w:tcW w:w="2464" w:type="dxa"/>
            <w:vMerge w:val="continue"/>
            <w:noWrap w:val="0"/>
            <w:vAlign w:val="top"/>
          </w:tcPr>
          <w:p>
            <w:pPr>
              <w:snapToGrid w:val="0"/>
              <w:spacing w:line="440" w:lineRule="exact"/>
              <w:jc w:val="center"/>
              <w:rPr>
                <w:rFonts w:hint="eastAsia" w:ascii="宋体" w:hAnsi="宋体"/>
                <w:color w:val="000000"/>
                <w:szCs w:val="21"/>
              </w:rPr>
            </w:pPr>
          </w:p>
        </w:tc>
        <w:tc>
          <w:tcPr>
            <w:tcW w:w="2828" w:type="dxa"/>
            <w:vMerge w:val="continue"/>
            <w:noWrap w:val="0"/>
            <w:vAlign w:val="top"/>
          </w:tcPr>
          <w:p>
            <w:pPr>
              <w:snapToGrid w:val="0"/>
              <w:spacing w:line="44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17" w:type="dxa"/>
            <w:vMerge w:val="continue"/>
            <w:noWrap w:val="0"/>
            <w:vAlign w:val="top"/>
          </w:tcPr>
          <w:p>
            <w:pPr>
              <w:snapToGrid w:val="0"/>
              <w:spacing w:line="440" w:lineRule="exact"/>
              <w:jc w:val="center"/>
              <w:rPr>
                <w:rFonts w:hint="eastAsia" w:ascii="宋体" w:hAnsi="宋体"/>
                <w:color w:val="000000"/>
                <w:szCs w:val="21"/>
              </w:rPr>
            </w:pPr>
          </w:p>
        </w:tc>
        <w:tc>
          <w:tcPr>
            <w:tcW w:w="1080" w:type="dxa"/>
            <w:vMerge w:val="continue"/>
            <w:noWrap w:val="0"/>
            <w:vAlign w:val="center"/>
          </w:tcPr>
          <w:p>
            <w:pPr>
              <w:snapToGrid w:val="0"/>
              <w:spacing w:line="440" w:lineRule="exact"/>
              <w:jc w:val="center"/>
              <w:rPr>
                <w:rFonts w:hint="eastAsia" w:ascii="宋体" w:hAnsi="宋体"/>
                <w:color w:val="000000"/>
                <w:szCs w:val="21"/>
              </w:rPr>
            </w:pPr>
          </w:p>
        </w:tc>
        <w:tc>
          <w:tcPr>
            <w:tcW w:w="1984" w:type="dxa"/>
            <w:gridSpan w:val="2"/>
            <w:shd w:val="clear" w:color="auto" w:fill="auto"/>
            <w:noWrap w:val="0"/>
            <w:vAlign w:val="center"/>
          </w:tcPr>
          <w:p>
            <w:pPr>
              <w:spacing w:line="300" w:lineRule="exact"/>
              <w:jc w:val="center"/>
              <w:rPr>
                <w:rFonts w:hint="eastAsia" w:ascii="Times New Roman" w:hAnsi="Times New Roman" w:eastAsia="宋体" w:cs="Times New Roman"/>
                <w:kern w:val="2"/>
                <w:sz w:val="21"/>
                <w:szCs w:val="21"/>
                <w:lang w:val="en-US" w:eastAsia="zh-CN" w:bidi="ar-SA"/>
              </w:rPr>
            </w:pPr>
            <w:r>
              <w:rPr>
                <w:szCs w:val="21"/>
              </w:rPr>
              <w:t>高锰酸钾消耗量</w:t>
            </w:r>
          </w:p>
        </w:tc>
        <w:tc>
          <w:tcPr>
            <w:tcW w:w="2464" w:type="dxa"/>
            <w:vMerge w:val="continue"/>
            <w:noWrap w:val="0"/>
            <w:vAlign w:val="top"/>
          </w:tcPr>
          <w:p>
            <w:pPr>
              <w:snapToGrid w:val="0"/>
              <w:spacing w:line="440" w:lineRule="exact"/>
              <w:jc w:val="center"/>
              <w:rPr>
                <w:rFonts w:hint="eastAsia" w:ascii="宋体" w:hAnsi="宋体"/>
                <w:color w:val="000000"/>
                <w:szCs w:val="21"/>
              </w:rPr>
            </w:pPr>
          </w:p>
        </w:tc>
        <w:tc>
          <w:tcPr>
            <w:tcW w:w="2828" w:type="dxa"/>
            <w:vMerge w:val="continue"/>
            <w:noWrap w:val="0"/>
            <w:vAlign w:val="top"/>
          </w:tcPr>
          <w:p>
            <w:pPr>
              <w:snapToGrid w:val="0"/>
              <w:spacing w:line="440" w:lineRule="exact"/>
              <w:jc w:val="center"/>
              <w:rPr>
                <w:rFonts w:hint="eastAsia" w:ascii="宋体" w:hAnsi="宋体"/>
                <w:color w:val="000000"/>
                <w:szCs w:val="21"/>
              </w:rPr>
            </w:pPr>
          </w:p>
        </w:tc>
      </w:tr>
    </w:tbl>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eastAsia="黑体"/>
          <w:szCs w:val="21"/>
        </w:rPr>
      </w:pP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szCs w:val="21"/>
        </w:rPr>
      </w:pPr>
      <w:bookmarkStart w:id="0" w:name="_Hlk40347690"/>
      <w:r>
        <w:rPr>
          <w:rFonts w:hint="eastAsia" w:ascii="宋体" w:hAnsi="宋体" w:eastAsia="宋体" w:cs="宋体"/>
          <w:szCs w:val="21"/>
        </w:rPr>
        <w:t>执行企业标准、团体标准、地方标准的产品，检验项目参照上述内容执行。</w:t>
      </w:r>
    </w:p>
    <w:bookmarkEnd w:id="0"/>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黑体" w:hAnsi="黑体" w:eastAsia="黑体" w:cs="黑体"/>
          <w:b w:val="0"/>
          <w:bCs/>
          <w:szCs w:val="21"/>
        </w:rPr>
      </w:pPr>
      <w:r>
        <w:rPr>
          <w:rFonts w:hint="eastAsia" w:ascii="黑体" w:hAnsi="黑体" w:eastAsia="黑体" w:cs="黑体"/>
          <w:b w:val="0"/>
          <w:bCs/>
          <w:szCs w:val="21"/>
        </w:rPr>
        <w:t>3 判定规则</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szCs w:val="21"/>
        </w:rPr>
      </w:pPr>
      <w:r>
        <w:rPr>
          <w:rFonts w:hint="eastAsia" w:eastAsia="宋体"/>
          <w:szCs w:val="21"/>
        </w:rPr>
        <w:t>3.1</w:t>
      </w:r>
      <w:r>
        <w:rPr>
          <w:rFonts w:hint="eastAsia" w:ascii="宋体" w:hAnsi="宋体" w:eastAsia="宋体" w:cs="宋体"/>
          <w:szCs w:val="21"/>
        </w:rPr>
        <w:t>依据标准</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szCs w:val="21"/>
        </w:rPr>
      </w:pPr>
      <w:r>
        <w:rPr>
          <w:rFonts w:hint="eastAsia" w:eastAsia="宋体"/>
          <w:szCs w:val="21"/>
        </w:rPr>
        <w:t xml:space="preserve">GB/T 13663.2—2018 </w:t>
      </w:r>
      <w:r>
        <w:rPr>
          <w:rFonts w:hint="eastAsia" w:ascii="宋体" w:hAnsi="宋体" w:eastAsia="宋体" w:cs="宋体"/>
          <w:szCs w:val="21"/>
        </w:rPr>
        <w:t>给水用聚乙烯（PE）管道系统第2部分：管材</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rPr>
        <w:t>现行有效的企业标准、团体标准、地方标准及产品明示质量要求</w:t>
      </w:r>
      <w:r>
        <w:rPr>
          <w:rFonts w:hint="eastAsia" w:ascii="宋体" w:hAnsi="宋体" w:eastAsia="宋体" w:cs="宋体"/>
          <w:szCs w:val="21"/>
          <w:lang w:eastAsia="zh-CN"/>
        </w:rPr>
        <w:t>。</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szCs w:val="21"/>
        </w:rPr>
      </w:pPr>
      <w:r>
        <w:rPr>
          <w:rFonts w:hint="eastAsia" w:eastAsia="宋体"/>
          <w:szCs w:val="21"/>
        </w:rPr>
        <w:t>3.2</w:t>
      </w:r>
      <w:r>
        <w:rPr>
          <w:rFonts w:hint="eastAsia" w:ascii="宋体" w:hAnsi="宋体" w:eastAsia="宋体" w:cs="宋体"/>
          <w:szCs w:val="21"/>
        </w:rPr>
        <w:t>判定原则</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ascii="宋体" w:hAnsi="宋体" w:cs="宋体"/>
          <w:szCs w:val="21"/>
        </w:rPr>
      </w:pPr>
      <w:r>
        <w:rPr>
          <w:rFonts w:hint="eastAsia" w:ascii="宋体" w:hAnsi="宋体" w:eastAsia="宋体" w:cs="宋体"/>
          <w:szCs w:val="21"/>
        </w:rPr>
        <w:t>若被检产品明示的质量要求缺少本细则中检验项目依据的推荐性标准要求时，该项目不参与判定</w:t>
      </w:r>
      <w:r>
        <w:rPr>
          <w:rFonts w:hint="eastAsia" w:ascii="宋体" w:hAnsi="宋体" w:eastAsia="宋体" w:cs="宋体"/>
          <w:szCs w:val="21"/>
          <w:lang w:eastAsia="zh-CN"/>
        </w:rPr>
        <w:t>，</w:t>
      </w:r>
      <w:r>
        <w:rPr>
          <w:rFonts w:hint="eastAsia" w:ascii="宋体" w:hAnsi="宋体" w:cs="宋体"/>
          <w:szCs w:val="21"/>
        </w:rPr>
        <w:t>但应在检验报告备注中进行说明。</w:t>
      </w:r>
    </w:p>
    <w:p/>
    <w:sectPr>
      <w:headerReference r:id="rId3" w:type="default"/>
      <w:footerReference r:id="rId4" w:type="default"/>
      <w:footerReference r:id="rId5" w:type="even"/>
      <w:pgSz w:w="11906" w:h="16838"/>
      <w:pgMar w:top="1985"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5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黑体">
    <w:panose1 w:val="020005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fldChar w:fldCharType="begin"/>
    </w:r>
    <w:r>
      <w:rPr>
        <w:lang w:val="zh-CN"/>
      </w:rPr>
      <w:instrText xml:space="preserve"> PAGE   \* MERGEFORMAT </w:instrText>
    </w:r>
    <w:r>
      <w:rPr>
        <w:lang w:val="zh-CN"/>
      </w:rPr>
      <w:fldChar w:fldCharType="separate"/>
    </w:r>
    <w:r>
      <w:t>2</w:t>
    </w:r>
    <w:r>
      <w:rPr>
        <w:lang w:val="zh-CN"/>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03ADB"/>
    <w:rsid w:val="0AAE1CAE"/>
    <w:rsid w:val="10BE4469"/>
    <w:rsid w:val="15A666B3"/>
    <w:rsid w:val="1AAE212B"/>
    <w:rsid w:val="1F47016D"/>
    <w:rsid w:val="24134613"/>
    <w:rsid w:val="2B3D7A4A"/>
    <w:rsid w:val="62307DAD"/>
    <w:rsid w:val="655B4A59"/>
    <w:rsid w:val="774A36D3"/>
    <w:rsid w:val="CFFC9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1130</Characters>
  <Lines>0</Lines>
  <Paragraphs>0</Paragraphs>
  <TotalTime>1</TotalTime>
  <ScaleCrop>false</ScaleCrop>
  <LinksUpToDate>false</LinksUpToDate>
  <CharactersWithSpaces>1152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dc:creator>
  <cp:lastModifiedBy>guest</cp:lastModifiedBy>
  <cp:lastPrinted>2025-02-26T09:39:00Z</cp:lastPrinted>
  <dcterms:modified xsi:type="dcterms:W3CDTF">2026-03-24T14:21:01Z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eyJoZGlkIjoiY2ZlMWVhMWEwMDZjNjFjYzE1ZDI2Njk4Njk3ODQzOGUiLCJ1c2VySWQiOiI4NjA2MjQyODIifQ==</vt:lpwstr>
  </property>
  <property fmtid="{D5CDD505-2E9C-101B-9397-08002B2CF9AE}" pid="4" name="ICV">
    <vt:lpwstr>7A9ADC6729FA45E0A17DA56B470EBAB5_12</vt:lpwstr>
  </property>
</Properties>
</file>