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46</w:t>
      </w:r>
      <w:bookmarkStart w:id="3" w:name="_GoBack"/>
      <w:bookmarkEnd w:id="3"/>
    </w:p>
    <w:p>
      <w:pPr>
        <w:adjustRightInd w:val="0"/>
        <w:snapToGrid w:val="0"/>
        <w:jc w:val="center"/>
        <w:rPr>
          <w:rFonts w:hint="eastAsia" w:ascii="Times New Roman" w:hAnsi="Times New Roman" w:eastAsia="方正小标宋简体" w:cs="方正仿宋简体"/>
          <w:color w:val="000000"/>
          <w:sz w:val="32"/>
          <w:szCs w:val="32"/>
          <w:lang w:val="en-US" w:eastAsia="zh-CN"/>
        </w:rPr>
      </w:pPr>
      <w:r>
        <w:rPr>
          <w:rFonts w:hint="eastAsia" w:ascii="Times New Roman" w:hAnsi="Times New Roman" w:eastAsia="方正小标宋简体" w:cs="方正仿宋简体"/>
          <w:color w:val="000000"/>
          <w:sz w:val="32"/>
          <w:szCs w:val="32"/>
          <w:lang w:val="en-US" w:eastAsia="zh-CN"/>
        </w:rPr>
        <w:t>陕西省可重复使用的塑料餐饮具（塑料杯）</w:t>
      </w:r>
    </w:p>
    <w:p>
      <w:pPr>
        <w:adjustRightInd w:val="0"/>
        <w:snapToGrid w:val="0"/>
        <w:jc w:val="center"/>
        <w:rPr>
          <w:rFonts w:hint="eastAsia" w:ascii="Times New Roman" w:hAnsi="Times New Roman" w:eastAsia="方正小标宋简体" w:cs="方正仿宋简体"/>
          <w:color w:val="000000"/>
          <w:sz w:val="32"/>
          <w:szCs w:val="32"/>
          <w:lang w:val="en-US" w:eastAsia="zh-CN"/>
        </w:rPr>
      </w:pPr>
      <w:r>
        <w:rPr>
          <w:rFonts w:hint="eastAsia" w:ascii="Times New Roman" w:hAnsi="Times New Roman" w:eastAsia="方正小标宋简体" w:cs="方正仿宋简体"/>
          <w:color w:val="000000"/>
          <w:sz w:val="32"/>
          <w:szCs w:val="32"/>
          <w:lang w:val="en-US" w:eastAsia="zh-CN"/>
        </w:rPr>
        <w:t>产品质量监督抽查实施细则</w:t>
      </w:r>
    </w:p>
    <w:p>
      <w:pPr>
        <w:snapToGrid w:val="0"/>
        <w:spacing w:line="480" w:lineRule="auto"/>
        <w:rPr>
          <w:rFonts w:hint="eastAsia" w:ascii="黑体" w:hAnsi="宋体" w:eastAsia="黑体" w:cs="黑体"/>
          <w:color w:val="000000"/>
          <w:szCs w:val="21"/>
        </w:rPr>
      </w:pPr>
      <w:r>
        <w:rPr>
          <w:rFonts w:hint="eastAsia" w:ascii="黑体" w:hAnsi="宋体" w:eastAsia="黑体" w:cs="黑体"/>
          <w:color w:val="000000"/>
          <w:szCs w:val="21"/>
          <w:lang w:bidi="ar"/>
        </w:rPr>
        <w:t>1 抽样方法</w:t>
      </w:r>
    </w:p>
    <w:p>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以随机抽样的方式在被抽样生产者、销售者的待销产品中抽取。</w:t>
      </w:r>
    </w:p>
    <w:p>
      <w:pPr>
        <w:adjustRightInd w:val="0"/>
        <w:snapToGrid w:val="0"/>
        <w:spacing w:line="360" w:lineRule="auto"/>
        <w:ind w:firstLine="420" w:firstLineChars="200"/>
        <w:outlineLvl w:val="1"/>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随机数使用随机数表方法产生。</w:t>
      </w:r>
    </w:p>
    <w:p>
      <w:pPr>
        <w:adjustRightInd w:val="0"/>
        <w:snapToGrid w:val="0"/>
        <w:spacing w:line="360" w:lineRule="auto"/>
        <w:ind w:firstLine="420" w:firstLineChars="200"/>
        <w:outlineLvl w:val="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抽样数量见表1。</w:t>
      </w:r>
    </w:p>
    <w:p>
      <w:pPr>
        <w:adjustRightInd w:val="0"/>
        <w:snapToGrid w:val="0"/>
        <w:spacing w:line="360" w:lineRule="auto"/>
        <w:ind w:firstLine="420" w:firstLineChars="200"/>
        <w:jc w:val="center"/>
        <w:outlineLvl w:val="1"/>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表1 抽样数量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56"/>
        <w:gridCol w:w="3402"/>
        <w:gridCol w:w="1417"/>
        <w:gridCol w:w="127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1"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4258" w:type="dxa"/>
            <w:gridSpan w:val="2"/>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产品类型</w:t>
            </w:r>
          </w:p>
        </w:tc>
        <w:tc>
          <w:tcPr>
            <w:tcW w:w="1417"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抽样数量</w:t>
            </w:r>
          </w:p>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（只/个）</w:t>
            </w:r>
          </w:p>
        </w:tc>
        <w:tc>
          <w:tcPr>
            <w:tcW w:w="1276"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检验样品</w:t>
            </w:r>
          </w:p>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（只/个）</w:t>
            </w:r>
          </w:p>
        </w:tc>
        <w:tc>
          <w:tcPr>
            <w:tcW w:w="1411"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备用样品</w:t>
            </w:r>
          </w:p>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（只/个）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restart"/>
            <w:noWrap w:val="0"/>
            <w:vAlign w:val="center"/>
          </w:tcPr>
          <w:p>
            <w:pPr>
              <w:snapToGrid w:val="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856" w:type="dxa"/>
            <w:vMerge w:val="restart"/>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杯</w:t>
            </w:r>
          </w:p>
        </w:tc>
        <w:tc>
          <w:tcPr>
            <w:tcW w:w="3402"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容量≥400mL</w:t>
            </w:r>
          </w:p>
        </w:tc>
        <w:tc>
          <w:tcPr>
            <w:tcW w:w="1417"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276"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411"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noWrap w:val="0"/>
            <w:vAlign w:val="center"/>
          </w:tcPr>
          <w:p>
            <w:pPr>
              <w:snapToGrid w:val="0"/>
              <w:jc w:val="center"/>
              <w:rPr>
                <w:rFonts w:hint="eastAsia" w:asciiTheme="minorEastAsia" w:hAnsiTheme="minorEastAsia" w:eastAsiaTheme="minorEastAsia" w:cstheme="minorEastAsia"/>
                <w:szCs w:val="21"/>
              </w:rPr>
            </w:pPr>
          </w:p>
        </w:tc>
        <w:tc>
          <w:tcPr>
            <w:tcW w:w="856" w:type="dxa"/>
            <w:vMerge w:val="continue"/>
            <w:noWrap w:val="0"/>
            <w:vAlign w:val="center"/>
          </w:tcPr>
          <w:p>
            <w:pPr>
              <w:snapToGrid w:val="0"/>
              <w:jc w:val="center"/>
              <w:rPr>
                <w:rFonts w:hint="eastAsia" w:asciiTheme="minorEastAsia" w:hAnsiTheme="minorEastAsia" w:eastAsiaTheme="minorEastAsia" w:cstheme="minorEastAsia"/>
                <w:szCs w:val="21"/>
              </w:rPr>
            </w:pPr>
          </w:p>
        </w:tc>
        <w:tc>
          <w:tcPr>
            <w:tcW w:w="3402"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200mL</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容量＜400mL</w:t>
            </w:r>
          </w:p>
        </w:tc>
        <w:tc>
          <w:tcPr>
            <w:tcW w:w="1417"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276"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411"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Merge w:val="continue"/>
            <w:noWrap w:val="0"/>
            <w:vAlign w:val="center"/>
          </w:tcPr>
          <w:p>
            <w:pPr>
              <w:snapToGrid w:val="0"/>
              <w:jc w:val="center"/>
              <w:rPr>
                <w:rFonts w:hint="eastAsia" w:asciiTheme="minorEastAsia" w:hAnsiTheme="minorEastAsia" w:eastAsiaTheme="minorEastAsia" w:cstheme="minorEastAsia"/>
                <w:szCs w:val="21"/>
              </w:rPr>
            </w:pPr>
          </w:p>
        </w:tc>
        <w:tc>
          <w:tcPr>
            <w:tcW w:w="856" w:type="dxa"/>
            <w:vMerge w:val="continue"/>
            <w:noWrap w:val="0"/>
            <w:vAlign w:val="center"/>
          </w:tcPr>
          <w:p>
            <w:pPr>
              <w:snapToGrid w:val="0"/>
              <w:jc w:val="center"/>
              <w:rPr>
                <w:rFonts w:hint="eastAsia" w:asciiTheme="minorEastAsia" w:hAnsiTheme="minorEastAsia" w:eastAsiaTheme="minorEastAsia" w:cstheme="minorEastAsia"/>
                <w:szCs w:val="21"/>
              </w:rPr>
            </w:pPr>
          </w:p>
        </w:tc>
        <w:tc>
          <w:tcPr>
            <w:tcW w:w="3402"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容量＜200mL</w:t>
            </w:r>
          </w:p>
        </w:tc>
        <w:tc>
          <w:tcPr>
            <w:tcW w:w="1417"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276"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411" w:type="dxa"/>
            <w:noWrap w:val="0"/>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bl>
    <w:p>
      <w:pPr>
        <w:snapToGrid w:val="0"/>
        <w:jc w:val="both"/>
        <w:rPr>
          <w:rFonts w:hint="eastAsia" w:ascii="黑体" w:hAnsi="宋体" w:eastAsia="黑体" w:cs="黑体"/>
          <w:color w:val="000000"/>
          <w:szCs w:val="21"/>
        </w:rPr>
      </w:pPr>
      <w:r>
        <w:rPr>
          <w:rFonts w:hint="eastAsia" w:ascii="黑体" w:hAnsi="宋体" w:eastAsia="黑体" w:cs="黑体"/>
          <w:color w:val="000000"/>
          <w:szCs w:val="21"/>
          <w:lang w:bidi="ar"/>
        </w:rPr>
        <w:t>2 检验依据</w:t>
      </w:r>
    </w:p>
    <w:p>
      <w:pPr>
        <w:snapToGri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lang w:bidi="ar"/>
        </w:rPr>
        <w:t>表</w:t>
      </w: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 xml:space="preserve">  检验项目</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352"/>
        <w:gridCol w:w="2574"/>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65" w:type="pct"/>
            <w:noWrap w:val="0"/>
            <w:vAlign w:val="center"/>
          </w:tcPr>
          <w:p>
            <w:pPr>
              <w:snapToGrid w:val="0"/>
              <w:jc w:val="center"/>
              <w:rPr>
                <w:color w:val="000000"/>
                <w:szCs w:val="21"/>
              </w:rPr>
            </w:pPr>
            <w:r>
              <w:rPr>
                <w:rFonts w:hint="eastAsia"/>
                <w:color w:val="000000"/>
                <w:szCs w:val="21"/>
              </w:rPr>
              <w:t>序号</w:t>
            </w:r>
          </w:p>
        </w:tc>
        <w:tc>
          <w:tcPr>
            <w:tcW w:w="1827" w:type="pct"/>
            <w:noWrap w:val="0"/>
            <w:vAlign w:val="center"/>
          </w:tcPr>
          <w:p>
            <w:pPr>
              <w:snapToGrid w:val="0"/>
              <w:jc w:val="center"/>
              <w:rPr>
                <w:color w:val="000000"/>
                <w:szCs w:val="21"/>
              </w:rPr>
            </w:pPr>
            <w:r>
              <w:rPr>
                <w:rFonts w:hint="eastAsia"/>
                <w:color w:val="000000"/>
                <w:szCs w:val="21"/>
              </w:rPr>
              <w:t>检验项目</w:t>
            </w:r>
          </w:p>
        </w:tc>
        <w:tc>
          <w:tcPr>
            <w:tcW w:w="1403" w:type="pct"/>
            <w:noWrap w:val="0"/>
            <w:vAlign w:val="center"/>
          </w:tcPr>
          <w:p>
            <w:pPr>
              <w:snapToGrid w:val="0"/>
              <w:jc w:val="center"/>
              <w:rPr>
                <w:rFonts w:hint="eastAsia" w:eastAsiaTheme="minorEastAsia"/>
                <w:color w:val="000000"/>
                <w:szCs w:val="21"/>
                <w:lang w:val="en-US" w:eastAsia="zh-CN"/>
              </w:rPr>
            </w:pPr>
            <w:r>
              <w:rPr>
                <w:rFonts w:hint="eastAsia"/>
                <w:color w:val="000000"/>
                <w:szCs w:val="21"/>
                <w:lang w:val="en-US" w:eastAsia="zh-CN"/>
              </w:rPr>
              <w:t>检验依据</w:t>
            </w:r>
          </w:p>
        </w:tc>
        <w:tc>
          <w:tcPr>
            <w:tcW w:w="1403" w:type="pct"/>
            <w:noWrap w:val="0"/>
            <w:vAlign w:val="center"/>
          </w:tcPr>
          <w:p>
            <w:pPr>
              <w:snapToGrid w:val="0"/>
              <w:jc w:val="center"/>
              <w:rPr>
                <w:color w:val="000000"/>
                <w:szCs w:val="21"/>
              </w:rPr>
            </w:pPr>
            <w:r>
              <w:rPr>
                <w:rFonts w:hint="eastAsia"/>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bookmarkStart w:id="0" w:name="_Hlk195175219"/>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感官要求</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4806.7</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总迁移量</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31604.8</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w:t>
            </w:r>
            <w:r>
              <w:rPr>
                <w:rFonts w:ascii="Times New Roman" w:hAnsi="Times New Roman" w:eastAsia="宋体" w:cs="Times New Roman"/>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高锰酸钾消耗量</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31604.2</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重金属（以Pb计）</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31604.9</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芳香族伯胺迁移量</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31604.52</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脱色试验</w:t>
            </w:r>
            <w:r>
              <w:rPr>
                <w:rFonts w:hint="eastAsia" w:asciiTheme="minorEastAsia" w:hAnsiTheme="minorEastAsia" w:eastAsiaTheme="minorEastAsia" w:cstheme="minorEastAsia"/>
                <w:szCs w:val="21"/>
                <w:lang w:val="en-US" w:eastAsia="zh-CN"/>
              </w:rPr>
              <w:t>*</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31604.7</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特定迁移总量</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（以己内酰胺计）</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（限PA材质）</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31604.19</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氯乙烯特定迁移量</w:t>
            </w:r>
            <w:r>
              <w:rPr>
                <w:rFonts w:hint="eastAsia" w:asciiTheme="minorEastAsia" w:hAnsiTheme="minorEastAsia" w:eastAsiaTheme="minorEastAsia" w:cstheme="minorEastAsia"/>
                <w:szCs w:val="21"/>
                <w:lang w:val="en-US" w:eastAsia="zh-CN"/>
              </w:rPr>
              <w:t>*</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（限PVC、PVDC材质）</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31604.31</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 xml:space="preserve">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邻苯类增塑剂特定迁移量</w:t>
            </w:r>
            <w:r>
              <w:rPr>
                <w:rFonts w:hint="eastAsia" w:asciiTheme="minorEastAsia" w:hAnsiTheme="minorEastAsia" w:eastAsiaTheme="minorEastAsia" w:cstheme="minorEastAsia"/>
                <w:szCs w:val="21"/>
                <w:lang w:val="en-US" w:eastAsia="zh-CN"/>
              </w:rPr>
              <w:t>*</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（限PVC材质）</w:t>
            </w:r>
          </w:p>
        </w:tc>
        <w:tc>
          <w:tcPr>
            <w:tcW w:w="1403" w:type="pct"/>
            <w:noWrap w:val="0"/>
            <w:vAlign w:val="center"/>
          </w:tcPr>
          <w:p>
            <w:pPr>
              <w:snapToGrid w:val="0"/>
              <w:jc w:val="both"/>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31604.30</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特定迁移总量</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（以对苯二甲酸计）</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（限PET、PBT材质）</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31604.21—</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特定迁移总量</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（以1,2-乙二醇计）</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（限PET材质）</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31604.44—</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特定迁移总量</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（以1,4-丁二醇计）</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（限PBT材质）</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31604.51—2021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双酚A特定迁移量</w:t>
            </w:r>
            <w:r>
              <w:rPr>
                <w:rFonts w:hint="eastAsia" w:asciiTheme="minorEastAsia" w:hAnsiTheme="minorEastAsia" w:eastAsiaTheme="minorEastAsia" w:cstheme="minorEastAsia"/>
                <w:szCs w:val="21"/>
                <w:lang w:val="en-US" w:eastAsia="zh-CN"/>
              </w:rPr>
              <w:t>*</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（限PC材质）</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31604.10—2016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苯酚特定迁移量</w:t>
            </w:r>
            <w:r>
              <w:rPr>
                <w:rFonts w:hint="eastAsia" w:asciiTheme="minorEastAsia" w:hAnsiTheme="minorEastAsia" w:eastAsiaTheme="minorEastAsia" w:cstheme="minorEastAsia"/>
                <w:szCs w:val="21"/>
                <w:lang w:val="en-US" w:eastAsia="zh-CN"/>
              </w:rPr>
              <w:t>*</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（限PC材质）</w:t>
            </w:r>
          </w:p>
        </w:tc>
        <w:tc>
          <w:tcPr>
            <w:tcW w:w="1403" w:type="pct"/>
            <w:noWrap w:val="0"/>
            <w:vAlign w:val="center"/>
          </w:tcPr>
          <w:p>
            <w:pPr>
              <w:snapToGrid w:val="0"/>
              <w:jc w:val="both"/>
              <w:rPr>
                <w:rFonts w:hint="eastAsia" w:ascii="Times New Roman" w:hAnsi="Times New Roman" w:eastAsia="宋体" w:cs="Times New Roman"/>
                <w:color w:val="000000"/>
                <w:szCs w:val="21"/>
              </w:rPr>
            </w:pPr>
            <w:bookmarkStart w:id="1" w:name="OLE_LINK9"/>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 31604.46</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5" w:type="pct"/>
            <w:noWrap w:val="0"/>
            <w:vAlign w:val="center"/>
          </w:tcPr>
          <w:p>
            <w:pPr>
              <w:numPr>
                <w:ilvl w:val="0"/>
                <w:numId w:val="1"/>
              </w:numPr>
              <w:adjustRightInd w:val="0"/>
              <w:snapToGrid w:val="0"/>
              <w:jc w:val="center"/>
              <w:rPr>
                <w:rFonts w:hint="eastAsia" w:asciiTheme="minorEastAsia" w:hAnsiTheme="minorEastAsia" w:eastAsiaTheme="minorEastAsia" w:cstheme="minorEastAsia"/>
                <w:szCs w:val="21"/>
              </w:rPr>
            </w:pPr>
          </w:p>
        </w:tc>
        <w:tc>
          <w:tcPr>
            <w:tcW w:w="1827" w:type="pct"/>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1,3-丁二烯特定迁移量</w:t>
            </w:r>
            <w:r>
              <w:rPr>
                <w:rFonts w:hint="eastAsia" w:asciiTheme="minorEastAsia" w:hAnsiTheme="minorEastAsia" w:eastAsiaTheme="minorEastAsia" w:cstheme="minorEastAsia"/>
                <w:szCs w:val="21"/>
                <w:lang w:val="en-US" w:eastAsia="zh-CN"/>
              </w:rPr>
              <w:t>*</w:t>
            </w:r>
          </w:p>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（限有丁二烯单体的聚合物）</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4806.7-2023</w:t>
            </w:r>
          </w:p>
        </w:tc>
        <w:tc>
          <w:tcPr>
            <w:tcW w:w="1403" w:type="pct"/>
            <w:noWrap w:val="0"/>
            <w:vAlign w:val="center"/>
          </w:tcPr>
          <w:p>
            <w:pPr>
              <w:snapToGrid w:val="0"/>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GB 31604.12—</w:t>
            </w:r>
            <w:r>
              <w:rPr>
                <w:rFonts w:hint="eastAsia" w:ascii="Times New Roman" w:hAnsi="Times New Roman" w:eastAsia="宋体" w:cs="Times New Roman"/>
                <w:color w:val="000000"/>
                <w:szCs w:val="21"/>
              </w:rPr>
              <w:t>2016</w:t>
            </w:r>
          </w:p>
        </w:tc>
      </w:tr>
      <w:bookmarkEnd w:id="0"/>
    </w:tbl>
    <w:p>
      <w:pPr>
        <w:adjustRightInd w:val="0"/>
        <w:snapToGrid w:val="0"/>
        <w:spacing w:line="360" w:lineRule="auto"/>
        <w:ind w:firstLine="420" w:firstLineChars="200"/>
        <w:rPr>
          <w:rFonts w:hint="eastAsia" w:ascii="宋体" w:hAnsi="宋体" w:eastAsia="宋体" w:cs="宋体"/>
          <w:color w:val="000000"/>
          <w:szCs w:val="21"/>
        </w:rPr>
      </w:pPr>
      <w:r>
        <w:rPr>
          <w:rFonts w:hint="eastAsia" w:ascii="Times New Roman" w:hAnsi="Times New Roman" w:eastAsia="宋体" w:cs="宋体"/>
          <w:color w:val="000000"/>
          <w:szCs w:val="21"/>
          <w:lang w:bidi="ar"/>
        </w:rPr>
        <w:t>执行企业标准、团体标准、地方标准的产品，检验项目参照上述内容执行。</w:t>
      </w:r>
    </w:p>
    <w:p>
      <w:pPr>
        <w:spacing w:line="360" w:lineRule="auto"/>
        <w:rPr>
          <w:rFonts w:hint="eastAsia" w:ascii="黑体" w:hAnsi="宋体" w:eastAsia="黑体" w:cs="黑体"/>
          <w:color w:val="000000"/>
          <w:szCs w:val="21"/>
        </w:rPr>
      </w:pPr>
      <w:r>
        <w:rPr>
          <w:rFonts w:hint="eastAsia" w:ascii="黑体" w:hAnsi="宋体" w:eastAsia="黑体" w:cs="黑体"/>
          <w:color w:val="000000"/>
          <w:szCs w:val="21"/>
          <w:lang w:bidi="ar"/>
        </w:rPr>
        <w:t>3 判定规则</w:t>
      </w:r>
    </w:p>
    <w:p>
      <w:pPr>
        <w:snapToGrid w:val="0"/>
        <w:spacing w:line="360" w:lineRule="auto"/>
        <w:rPr>
          <w:rFonts w:hint="eastAsia" w:ascii="宋体" w:hAnsi="宋体" w:eastAsia="宋体" w:cs="宋体"/>
          <w:color w:val="000000"/>
          <w:szCs w:val="21"/>
        </w:rPr>
      </w:pPr>
      <w:r>
        <w:rPr>
          <w:rFonts w:hint="eastAsia" w:ascii="Times New Roman" w:hAnsi="Times New Roman" w:eastAsia="宋体" w:cs="Times New Roman"/>
          <w:color w:val="000000"/>
          <w:szCs w:val="21"/>
        </w:rPr>
        <w:t>3.1</w:t>
      </w:r>
      <w:r>
        <w:rPr>
          <w:rFonts w:hint="eastAsia" w:ascii="宋体" w:hAnsi="宋体" w:eastAsia="宋体" w:cs="宋体"/>
          <w:color w:val="000000"/>
          <w:szCs w:val="21"/>
          <w:lang w:bidi="ar"/>
        </w:rPr>
        <w:t>依据标准</w:t>
      </w:r>
    </w:p>
    <w:p>
      <w:pPr>
        <w:adjustRightInd w:val="0"/>
        <w:snapToGrid w:val="0"/>
        <w:spacing w:line="360" w:lineRule="auto"/>
        <w:ind w:firstLine="420" w:firstLineChars="200"/>
        <w:rPr>
          <w:rFonts w:cs="宋体"/>
          <w:szCs w:val="21"/>
        </w:rPr>
      </w:pPr>
      <w:r>
        <w:rPr>
          <w:rFonts w:ascii="Times New Roman" w:hAnsi="Times New Roman" w:eastAsia="宋体" w:cs="宋体"/>
          <w:szCs w:val="21"/>
          <w:lang w:bidi="ar"/>
        </w:rPr>
        <w:t xml:space="preserve">GB 4806.7-2023 </w:t>
      </w:r>
      <w:r>
        <w:rPr>
          <w:rFonts w:hint="eastAsia" w:ascii="Times New Roman" w:hAnsi="Times New Roman" w:eastAsia="宋体" w:cs="宋体"/>
          <w:szCs w:val="21"/>
          <w:lang w:bidi="ar"/>
        </w:rPr>
        <w:t>食品安全国家标准</w:t>
      </w:r>
      <w:r>
        <w:rPr>
          <w:rFonts w:ascii="Times New Roman" w:hAnsi="Times New Roman" w:eastAsia="宋体" w:cs="宋体"/>
          <w:szCs w:val="21"/>
          <w:lang w:bidi="ar"/>
        </w:rPr>
        <w:t xml:space="preserve"> </w:t>
      </w:r>
      <w:r>
        <w:rPr>
          <w:rFonts w:hint="eastAsia" w:ascii="Times New Roman" w:hAnsi="Times New Roman" w:eastAsia="宋体" w:cs="宋体"/>
          <w:szCs w:val="21"/>
          <w:lang w:bidi="ar"/>
        </w:rPr>
        <w:t>食品接触用塑料材料及制品</w:t>
      </w:r>
    </w:p>
    <w:p>
      <w:pPr>
        <w:adjustRightInd w:val="0"/>
        <w:snapToGrid w:val="0"/>
        <w:spacing w:line="360" w:lineRule="auto"/>
        <w:ind w:firstLine="420" w:firstLineChars="200"/>
        <w:rPr>
          <w:rFonts w:cs="宋体"/>
          <w:szCs w:val="21"/>
        </w:rPr>
      </w:pPr>
      <w:r>
        <w:rPr>
          <w:rFonts w:ascii="Times New Roman" w:hAnsi="Times New Roman" w:eastAsia="宋体" w:cs="宋体"/>
          <w:szCs w:val="21"/>
          <w:lang w:bidi="ar"/>
        </w:rPr>
        <w:t>GB 9685</w:t>
      </w:r>
      <w:r>
        <w:rPr>
          <w:rFonts w:ascii="Times New Roman" w:hAnsi="Times New Roman" w:eastAsia="宋体" w:cs="Times New Roman"/>
          <w:szCs w:val="21"/>
          <w:lang w:bidi="ar"/>
        </w:rPr>
        <w:t>-</w:t>
      </w:r>
      <w:r>
        <w:rPr>
          <w:rFonts w:ascii="Times New Roman" w:hAnsi="Times New Roman" w:eastAsia="宋体" w:cs="宋体"/>
          <w:szCs w:val="21"/>
          <w:lang w:bidi="ar"/>
        </w:rPr>
        <w:t xml:space="preserve">2016 </w:t>
      </w:r>
      <w:r>
        <w:rPr>
          <w:rFonts w:hint="eastAsia" w:ascii="Times New Roman" w:hAnsi="Times New Roman" w:eastAsia="宋体" w:cs="宋体"/>
          <w:szCs w:val="21"/>
          <w:lang w:bidi="ar"/>
        </w:rPr>
        <w:t>食品安全国家标准</w:t>
      </w:r>
      <w:r>
        <w:rPr>
          <w:rFonts w:ascii="Times New Roman" w:hAnsi="Times New Roman" w:eastAsia="宋体" w:cs="宋体"/>
          <w:szCs w:val="21"/>
          <w:lang w:bidi="ar"/>
        </w:rPr>
        <w:t xml:space="preserve"> </w:t>
      </w:r>
      <w:r>
        <w:rPr>
          <w:rFonts w:hint="eastAsia" w:ascii="Times New Roman" w:hAnsi="Times New Roman" w:eastAsia="宋体" w:cs="宋体"/>
          <w:szCs w:val="21"/>
          <w:lang w:bidi="ar"/>
        </w:rPr>
        <w:t>食品接触材料及制品用添加剂使用标准</w:t>
      </w:r>
    </w:p>
    <w:p>
      <w:pPr>
        <w:adjustRightInd w:val="0"/>
        <w:snapToGrid w:val="0"/>
        <w:spacing w:line="360" w:lineRule="auto"/>
        <w:ind w:firstLine="420" w:firstLineChars="200"/>
        <w:rPr>
          <w:rFonts w:cs="宋体"/>
          <w:szCs w:val="21"/>
        </w:rPr>
      </w:pPr>
      <w:r>
        <w:rPr>
          <w:rFonts w:hint="eastAsia" w:ascii="Times New Roman" w:hAnsi="Times New Roman" w:eastAsia="宋体" w:cs="宋体"/>
          <w:szCs w:val="21"/>
          <w:lang w:bidi="ar"/>
        </w:rPr>
        <w:t>现行有效的企业标准、团体标准、地方标准及产品明示质量要求</w:t>
      </w:r>
    </w:p>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lang w:bidi="ar"/>
        </w:rPr>
        <w:t>3.2判定原则</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bidi="ar"/>
        </w:rPr>
        <w:t>经检验，检验项目全部合格，判定为被抽查产品所检项目未发现不合格；检验项目中任一项或一项以上不合格，判定为被抽查产品不合格。</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lang w:bidi="ar"/>
        </w:rPr>
        <w:t>若被检产品明示的质量要求高于本细则中检验项目依据的标准要求时，应按被检产品明示的质量要求判定。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lang w:bidi="ar"/>
        </w:rPr>
        <w:t>若被检产品明示的质量要求低于本细则中检验项目依据的强制性标准要求时，应按照强制性标准要求判定。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lang w:bidi="ar"/>
        </w:rPr>
        <w:t>若被检产品明示的质量要求低于或包含本细则中检验项目依据的推荐性标准要求时，应以被检产品明示的质量要求判定。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lang w:bidi="ar"/>
        </w:rPr>
        <w:t>若被检产品明示的质量要求缺少本细则中检验项目依据的强制性标准要求时，应按照强制性标准要求判定。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lang w:bidi="ar"/>
        </w:rPr>
        <w:t>若被检产品明示的质量要求缺少本细则中检验项目依据的推荐性标准要求时，该项目不参与判定。</w:t>
      </w:r>
    </w:p>
    <w:p>
      <w:pPr>
        <w:snapToGrid w:val="0"/>
        <w:spacing w:line="360" w:lineRule="auto"/>
        <w:ind w:firstLine="417" w:firstLineChars="199"/>
      </w:pPr>
      <w:bookmarkStart w:id="2" w:name="_PictureBullets"/>
      <w:bookmarkEnd w:id="2"/>
    </w:p>
    <w:sectPr>
      <w:footerReference r:id="rId3" w:type="default"/>
      <w:pgSz w:w="11906" w:h="16838"/>
      <w:pgMar w:top="1985" w:right="1361"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思源宋体 Medium">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989506"/>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3EADD"/>
    <w:multiLevelType w:val="singleLevel"/>
    <w:tmpl w:val="F303EADD"/>
    <w:lvl w:ilvl="0" w:tentative="0">
      <w:start w:val="1"/>
      <w:numFmt w:val="decimal"/>
      <w:lvlText w:val="%1"/>
      <w:lvlJc w:val="center"/>
      <w:pPr>
        <w:ind w:left="279" w:hanging="13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A4"/>
    <w:rsid w:val="000F2702"/>
    <w:rsid w:val="00214CCE"/>
    <w:rsid w:val="002558F9"/>
    <w:rsid w:val="00303427"/>
    <w:rsid w:val="005B2B32"/>
    <w:rsid w:val="00692695"/>
    <w:rsid w:val="00806ED9"/>
    <w:rsid w:val="008674F9"/>
    <w:rsid w:val="00897112"/>
    <w:rsid w:val="008C4AA4"/>
    <w:rsid w:val="009A072B"/>
    <w:rsid w:val="00B56798"/>
    <w:rsid w:val="00E91830"/>
    <w:rsid w:val="00EC15B8"/>
    <w:rsid w:val="00EF61D1"/>
    <w:rsid w:val="0317189E"/>
    <w:rsid w:val="032844BF"/>
    <w:rsid w:val="05190907"/>
    <w:rsid w:val="0A8F3F52"/>
    <w:rsid w:val="0FE10DAC"/>
    <w:rsid w:val="25034D73"/>
    <w:rsid w:val="29C259C3"/>
    <w:rsid w:val="2E333E67"/>
    <w:rsid w:val="300661A7"/>
    <w:rsid w:val="386F6C89"/>
    <w:rsid w:val="3EAB361B"/>
    <w:rsid w:val="48171B99"/>
    <w:rsid w:val="677F03C3"/>
    <w:rsid w:val="699D2F44"/>
    <w:rsid w:val="76566114"/>
    <w:rsid w:val="CFFDE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kern w:val="2"/>
      <w:sz w:val="18"/>
      <w:szCs w:val="18"/>
    </w:rPr>
  </w:style>
  <w:style w:type="character" w:customStyle="1" w:styleId="9">
    <w:name w:val="页脚 字符1"/>
    <w:basedOn w:val="6"/>
    <w:qFormat/>
    <w:uiPriority w:val="0"/>
    <w:rPr>
      <w:kern w:val="2"/>
      <w:sz w:val="18"/>
      <w:szCs w:val="18"/>
    </w:rPr>
  </w:style>
  <w:style w:type="character" w:customStyle="1" w:styleId="10">
    <w:name w:val="页眉 字符1"/>
    <w:basedOn w:val="6"/>
    <w:qFormat/>
    <w:uiPriority w:val="0"/>
    <w:rPr>
      <w:kern w:val="2"/>
      <w:sz w:val="18"/>
      <w:szCs w:val="18"/>
    </w:rPr>
  </w:style>
  <w:style w:type="character" w:customStyle="1" w:styleId="11">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487</Words>
  <Characters>890</Characters>
  <Lines>20</Lines>
  <Paragraphs>5</Paragraphs>
  <TotalTime>1</TotalTime>
  <ScaleCrop>false</ScaleCrop>
  <LinksUpToDate>false</LinksUpToDate>
  <CharactersWithSpaces>926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2025-02-25T20:28:00Z</dcterms:created>
  <dc:creator>Admin</dc:creator>
  <cp:lastModifiedBy>guest</cp:lastModifiedBy>
  <dcterms:modified xsi:type="dcterms:W3CDTF">2026-03-24T14:24:50Z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DA694593167942E8B027BD286C1ED847_13</vt:lpwstr>
  </property>
</Properties>
</file>