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60</w:t>
      </w:r>
      <w:bookmarkStart w:id="1" w:name="_GoBack"/>
      <w:bookmarkEnd w:id="1"/>
    </w:p>
    <w:p>
      <w:pPr>
        <w:snapToGrid w:val="0"/>
        <w:spacing w:line="48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sz w:val="32"/>
          <w:szCs w:val="32"/>
        </w:rPr>
        <w:t>陕西省一次性塑料餐饮具</w:t>
      </w:r>
      <w:r>
        <w:rPr>
          <w:rFonts w:hint="eastAsia" w:ascii="方正小标宋简体" w:hAnsi="仿宋" w:eastAsia="方正小标宋简体" w:cs="方正仿宋简体"/>
          <w:color w:val="000000"/>
          <w:sz w:val="32"/>
          <w:szCs w:val="32"/>
        </w:rPr>
        <w:t>产品质量监督抽查实施细则</w:t>
      </w:r>
    </w:p>
    <w:p>
      <w:pPr>
        <w:snapToGrid w:val="0"/>
        <w:spacing w:line="480" w:lineRule="auto"/>
        <w:rPr>
          <w:rFonts w:hint="eastAsia" w:ascii="黑体" w:hAnsi="宋体" w:eastAsia="黑体" w:cs="黑体"/>
          <w:color w:val="000000"/>
          <w:szCs w:val="21"/>
        </w:rPr>
      </w:pPr>
      <w:r>
        <w:rPr>
          <w:rFonts w:hint="eastAsia" w:ascii="黑体" w:hAnsi="宋体" w:eastAsia="黑体" w:cs="黑体"/>
          <w:color w:val="000000"/>
          <w:szCs w:val="21"/>
        </w:rPr>
        <w:t>1 抽样方法</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以随机抽样的方式在被抽样生产者、销售者的待销产品中抽取。</w:t>
      </w:r>
    </w:p>
    <w:p>
      <w:pPr>
        <w:adjustRightInd w:val="0"/>
        <w:snapToGrid w:val="0"/>
        <w:spacing w:line="360" w:lineRule="auto"/>
        <w:ind w:firstLine="420" w:firstLineChars="200"/>
        <w:outlineLvl w:val="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随机数使用随机数表方法产生。</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生产企业：每批次产品抽取不少于3份最小销售独立包装，每份样品抽样数量不少于</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0只（个），其中2份作为检验样品，1份作为备用样品。每份样品质量应不少于100g且与食品接触面的最小表面积应不小于10dm</w:t>
      </w:r>
      <w:r>
        <w:rPr>
          <w:rFonts w:hint="eastAsia" w:asciiTheme="minorEastAsia" w:hAnsiTheme="minorEastAsia" w:eastAsiaTheme="minorEastAsia" w:cstheme="minorEastAsia"/>
          <w:szCs w:val="21"/>
          <w:vertAlign w:val="superscript"/>
        </w:rPr>
        <w:t>2</w:t>
      </w:r>
      <w:r>
        <w:rPr>
          <w:rFonts w:hint="eastAsia" w:asciiTheme="minorEastAsia" w:hAnsiTheme="minorEastAsia" w:eastAsiaTheme="minorEastAsia" w:cstheme="minorEastAsia"/>
          <w:szCs w:val="21"/>
        </w:rPr>
        <w:t>，若最小销售包装不是</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0只（个）的整数倍，需按采样数折算，保证检样不少于</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0只（个），备样不少于</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0只（个），抽样过程中应避免损坏原包装。</w:t>
      </w:r>
    </w:p>
    <w:p>
      <w:pPr>
        <w:adjustRightInd w:val="0"/>
        <w:snapToGrid w:val="0"/>
        <w:spacing w:line="360" w:lineRule="auto"/>
        <w:ind w:firstLine="420" w:firstLineChars="200"/>
        <w:rPr>
          <w:rFonts w:hint="eastAsia" w:ascii="Times New Roman" w:hAnsi="Times New Roman" w:eastAsia="宋体" w:cs="宋体"/>
          <w:szCs w:val="21"/>
        </w:rPr>
      </w:pPr>
      <w:r>
        <w:rPr>
          <w:rFonts w:hint="eastAsia" w:asciiTheme="minorEastAsia" w:hAnsiTheme="minorEastAsia" w:eastAsiaTheme="minorEastAsia" w:cstheme="minorEastAsia"/>
          <w:szCs w:val="21"/>
        </w:rPr>
        <w:t>实体店：参见生产企业抽样数量，若无法满足抽样数量，抽取样品数应至少满足检验和</w:t>
      </w:r>
      <w:r>
        <w:rPr>
          <w:rFonts w:hint="eastAsia" w:ascii="Times New Roman" w:hAnsi="Times New Roman" w:eastAsia="宋体" w:cs="宋体"/>
          <w:szCs w:val="21"/>
        </w:rPr>
        <w:t>复检要求。</w:t>
      </w:r>
    </w:p>
    <w:p>
      <w:pPr>
        <w:snapToGrid w:val="0"/>
        <w:spacing w:line="440" w:lineRule="exact"/>
        <w:rPr>
          <w:rFonts w:hint="eastAsia" w:ascii="黑体" w:hAnsi="宋体" w:eastAsia="黑体" w:cs="黑体"/>
          <w:color w:val="000000"/>
          <w:szCs w:val="21"/>
        </w:rPr>
      </w:pPr>
      <w:r>
        <w:rPr>
          <w:rFonts w:hint="eastAsia" w:ascii="黑体" w:hAnsi="宋体" w:eastAsia="黑体" w:cs="黑体"/>
          <w:color w:val="000000"/>
          <w:szCs w:val="21"/>
        </w:rPr>
        <w:t>2 检验依据</w:t>
      </w:r>
    </w:p>
    <w:p>
      <w:pPr>
        <w:snapToGri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表1  检验项目</w:t>
      </w:r>
    </w:p>
    <w:tbl>
      <w:tblPr>
        <w:tblStyle w:val="4"/>
        <w:tblW w:w="89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425"/>
        <w:gridCol w:w="2268"/>
        <w:gridCol w:w="255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仿宋"/>
                <w:szCs w:val="21"/>
              </w:rPr>
            </w:pPr>
            <w:r>
              <w:rPr>
                <w:rFonts w:hint="eastAsia" w:ascii="Times New Roman" w:hAnsi="Times New Roman" w:eastAsia="宋体" w:cs="仿宋"/>
                <w:szCs w:val="21"/>
              </w:rPr>
              <w:t>序号</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仿宋"/>
                <w:szCs w:val="21"/>
              </w:rPr>
            </w:pPr>
            <w:r>
              <w:rPr>
                <w:rFonts w:hint="eastAsia" w:ascii="Times New Roman" w:hAnsi="Times New Roman" w:eastAsia="宋体" w:cs="仿宋"/>
                <w:szCs w:val="21"/>
              </w:rPr>
              <w:t>检验项目</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仿宋"/>
                <w:szCs w:val="21"/>
              </w:rPr>
            </w:pPr>
            <w:r>
              <w:rPr>
                <w:rFonts w:hint="eastAsia" w:ascii="Times New Roman" w:hAnsi="Times New Roman" w:eastAsia="宋体" w:cs="仿宋"/>
                <w:szCs w:val="21"/>
              </w:rPr>
              <w:t>检验依据</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仿宋"/>
                <w:szCs w:val="21"/>
              </w:rPr>
            </w:pPr>
            <w:r>
              <w:rPr>
                <w:rFonts w:hint="eastAsia" w:ascii="Times New Roman" w:hAnsi="Times New Roman" w:eastAsia="宋体" w:cs="仿宋"/>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感官要求</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宋体" w:cs="仿宋"/>
                <w:kern w:val="2"/>
                <w:sz w:val="21"/>
                <w:szCs w:val="21"/>
                <w:lang w:val="en-US" w:eastAsia="zh-CN" w:bidi="ar-SA"/>
              </w:rPr>
            </w:pPr>
            <w:r>
              <w:rPr>
                <w:rFonts w:ascii="Times New Roman" w:hAnsi="Times New Roman" w:eastAsia="宋体" w:cs="仿宋"/>
                <w:szCs w:val="21"/>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总迁移量</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3</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高锰酸钾消耗量</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4</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重金属（以Pb计）</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5</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脱色试验</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6</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芳香族伯胺迁移总量</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hint="eastAsia" w:ascii="Times New Roman" w:hAnsi="Times New Roman" w:eastAsia="宋体" w:cs="仿宋"/>
                <w:kern w:val="2"/>
                <w:sz w:val="21"/>
                <w:szCs w:val="21"/>
                <w:lang w:val="en-US" w:eastAsia="zh-CN" w:bidi="ar-SA"/>
              </w:rPr>
              <w:t>GB 31604.52-2021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7</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特定迁移总量（以己内酰胺计）（限PA材质）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31604.19-2016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8</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氯乙烯特定迁移量（限PVC、PVDC材质）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31604.31-2016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大肠菌群</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 xml:space="preserve">GB 14934-2016 </w:t>
            </w:r>
            <w:r>
              <w:rPr>
                <w:rFonts w:hint="eastAsia" w:ascii="Times New Roman" w:hAnsi="Times New Roman" w:eastAsia="宋体" w:cs="仿宋"/>
                <w:szCs w:val="21"/>
              </w:rPr>
              <w:t xml:space="preserve"> 附录</w:t>
            </w:r>
            <w:r>
              <w:rPr>
                <w:rFonts w:ascii="Times New Roman" w:hAnsi="Times New Roman" w:eastAsia="宋体" w:cs="仿宋"/>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致病菌（沙门氏菌）</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 xml:space="preserve">GB 14934-2016 </w:t>
            </w:r>
            <w:r>
              <w:rPr>
                <w:rFonts w:hint="eastAsia" w:ascii="Times New Roman" w:hAnsi="Times New Roman" w:eastAsia="宋体" w:cs="仿宋"/>
                <w:szCs w:val="21"/>
              </w:rPr>
              <w:t xml:space="preserve"> 附录</w:t>
            </w:r>
            <w:r>
              <w:rPr>
                <w:rFonts w:ascii="Times New Roman" w:hAnsi="Times New Roman" w:eastAsia="宋体" w:cs="仿宋"/>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11</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霉菌</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12</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特定迁移总量（以对苯二甲酸计）（限PET、PBT材质）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31604.21-2016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13</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特定迁移总量（以乙二醇计）（限PET材质）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14</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特定迁移总量（以1,4-丁二醇计）（限PBT材质）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szCs w:val="21"/>
                <w:lang w:val="en-US" w:eastAsia="zh-CN"/>
              </w:rPr>
            </w:pPr>
            <w:r>
              <w:rPr>
                <w:rFonts w:hint="eastAsia" w:ascii="Times New Roman" w:hAnsi="Times New Roman" w:eastAsia="宋体" w:cs="仿宋"/>
                <w:szCs w:val="21"/>
                <w:lang w:val="en-US" w:eastAsia="zh-CN"/>
              </w:rPr>
              <w:fldChar w:fldCharType="begin"/>
            </w:r>
            <w:r>
              <w:rPr>
                <w:rFonts w:hint="eastAsia" w:ascii="Times New Roman" w:hAnsi="Times New Roman" w:eastAsia="宋体" w:cs="仿宋"/>
                <w:szCs w:val="21"/>
                <w:lang w:val="en-US" w:eastAsia="zh-CN"/>
              </w:rPr>
              <w:instrText xml:space="preserve"> HYPERLINK "http://www.bzsb.info/javascript:void(0);" </w:instrText>
            </w:r>
            <w:r>
              <w:rPr>
                <w:rFonts w:hint="eastAsia" w:ascii="Times New Roman" w:hAnsi="Times New Roman" w:eastAsia="宋体" w:cs="仿宋"/>
                <w:szCs w:val="21"/>
                <w:lang w:val="en-US" w:eastAsia="zh-CN"/>
              </w:rPr>
              <w:fldChar w:fldCharType="separate"/>
            </w:r>
            <w:r>
              <w:rPr>
                <w:rFonts w:hint="eastAsia" w:ascii="Times New Roman" w:hAnsi="Times New Roman" w:eastAsia="宋体" w:cs="仿宋"/>
                <w:szCs w:val="21"/>
                <w:lang w:val="en-US" w:eastAsia="zh-CN"/>
              </w:rPr>
              <w:t>GB/T 18006.1-2009</w:t>
            </w:r>
            <w:r>
              <w:rPr>
                <w:rFonts w:hint="eastAsia" w:ascii="Times New Roman" w:hAnsi="Times New Roman" w:eastAsia="宋体" w:cs="仿宋"/>
                <w:szCs w:val="21"/>
                <w:lang w:val="en-US" w:eastAsia="zh-CN"/>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szCs w:val="21"/>
                <w:lang w:val="en-US" w:eastAsia="zh-CN"/>
              </w:rPr>
            </w:pPr>
            <w:r>
              <w:rPr>
                <w:rFonts w:hint="default" w:ascii="Times New Roman" w:hAnsi="Times New Roman" w:eastAsia="宋体" w:cs="仿宋"/>
                <w:szCs w:val="21"/>
              </w:rPr>
              <w:t>GB 31604.51</w:t>
            </w:r>
            <w:r>
              <w:rPr>
                <w:rFonts w:hint="eastAsia" w:ascii="Times New Roman" w:hAnsi="Times New Roman" w:eastAsia="宋体" w:cs="仿宋"/>
                <w:szCs w:val="21"/>
                <w:lang w:val="en-US" w:eastAsia="zh-CN"/>
              </w:rPr>
              <w:t>-</w:t>
            </w:r>
            <w:r>
              <w:rPr>
                <w:rFonts w:hint="default" w:ascii="Times New Roman" w:hAnsi="Times New Roman" w:eastAsia="宋体" w:cs="仿宋"/>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15</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1,3-丁二烯特定迁移量（限有丁二烯单体的聚合物）</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31604.12-2016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16</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邻苯类增塑剂特定迁移量（限PVC材质）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fldChar w:fldCharType="begin"/>
            </w:r>
            <w:r>
              <w:rPr>
                <w:rFonts w:ascii="Times New Roman" w:hAnsi="Times New Roman" w:eastAsia="宋体" w:cs="仿宋"/>
                <w:szCs w:val="21"/>
              </w:rPr>
              <w:instrText xml:space="preserve"> HYPERLINK "http://www.bzsb.info/javascript:void(0);" </w:instrText>
            </w:r>
            <w:r>
              <w:rPr>
                <w:rFonts w:ascii="Times New Roman" w:hAnsi="Times New Roman" w:eastAsia="宋体" w:cs="仿宋"/>
                <w:szCs w:val="21"/>
              </w:rPr>
              <w:fldChar w:fldCharType="separate"/>
            </w:r>
            <w:r>
              <w:rPr>
                <w:rFonts w:hint="eastAsia" w:ascii="Times New Roman" w:hAnsi="Times New Roman" w:eastAsia="宋体" w:cs="仿宋"/>
                <w:szCs w:val="21"/>
              </w:rPr>
              <w:t>GB/T 18006.1-2009</w:t>
            </w:r>
            <w:r>
              <w:rPr>
                <w:rFonts w:hint="eastAsia" w:ascii="Times New Roman" w:hAnsi="Times New Roman" w:eastAsia="宋体" w:cs="仿宋"/>
                <w:szCs w:val="21"/>
              </w:rPr>
              <w:fldChar w:fldCharType="end"/>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仿宋"/>
                <w:kern w:val="2"/>
                <w:sz w:val="21"/>
                <w:szCs w:val="21"/>
                <w:lang w:val="en-US" w:eastAsia="zh-CN" w:bidi="ar-SA"/>
              </w:rPr>
            </w:pPr>
            <w:r>
              <w:rPr>
                <w:rFonts w:ascii="Times New Roman" w:hAnsi="Times New Roman" w:eastAsia="宋体" w:cs="仿宋"/>
                <w:szCs w:val="21"/>
              </w:rPr>
              <w:t>GB 31604.30-2016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注：1.高锰酸钾消耗量不适用于执行标准为GB 4806.7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rPr>
              <w:t>2023中的淀粉含量≥40%的淀粉基塑料材料及制品。</w:t>
            </w:r>
          </w:p>
          <w:p>
            <w:pPr>
              <w:adjustRightInd w:val="0"/>
              <w:snapToGrid w:val="0"/>
              <w:spacing w:line="240" w:lineRule="auto"/>
              <w:ind w:firstLine="420" w:firstLineChars="200"/>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2.芳香族伯胺迁移总量适用于执行标准为GB 4806.7</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000000"/>
              </w:rPr>
              <w:t>2023，且含有芳香族异氰酸酯和偶氮类着色剂等可能产生芳香族伯胺类物质的产品。</w:t>
            </w:r>
          </w:p>
          <w:p>
            <w:pPr>
              <w:spacing w:line="240" w:lineRule="auto"/>
              <w:ind w:firstLine="420" w:firstLineChars="200"/>
              <w:jc w:val="left"/>
              <w:rPr>
                <w:rFonts w:cs="仿宋_GB2312"/>
                <w:szCs w:val="21"/>
              </w:rPr>
            </w:pPr>
            <w:r>
              <w:rPr>
                <w:rFonts w:ascii="Times New Roman" w:hAnsi="Times New Roman" w:eastAsia="宋体" w:cs="Times New Roman"/>
                <w:color w:val="000000"/>
              </w:rPr>
              <w:t>3.</w:t>
            </w:r>
            <w:r>
              <w:rPr>
                <w:rFonts w:hint="eastAsia" w:ascii="宋体" w:hAnsi="宋体" w:eastAsia="宋体" w:cs="宋体"/>
                <w:color w:val="000000"/>
              </w:rPr>
              <w:t>脱色试验仅适用于添加了着色剂的产品。</w:t>
            </w:r>
          </w:p>
        </w:tc>
      </w:tr>
    </w:tbl>
    <w:p>
      <w:pPr>
        <w:adjustRightInd w:val="0"/>
        <w:snapToGrid w:val="0"/>
        <w:spacing w:line="360" w:lineRule="auto"/>
        <w:ind w:firstLine="420" w:firstLineChars="200"/>
        <w:rPr>
          <w:rFonts w:hint="eastAsia" w:ascii="宋体" w:hAnsi="宋体" w:eastAsia="宋体" w:cs="宋体"/>
          <w:color w:val="000000"/>
          <w:szCs w:val="21"/>
        </w:rPr>
      </w:pPr>
      <w:r>
        <w:rPr>
          <w:rFonts w:hint="eastAsia" w:ascii="Times New Roman" w:hAnsi="Times New Roman" w:eastAsia="宋体" w:cs="宋体"/>
          <w:color w:val="000000"/>
          <w:szCs w:val="21"/>
        </w:rPr>
        <w:t>执行企业标准、团体标准、地方标准的产品，检验项目参照上述内容执行。</w:t>
      </w:r>
    </w:p>
    <w:p>
      <w:pPr>
        <w:spacing w:line="360" w:lineRule="auto"/>
        <w:rPr>
          <w:rFonts w:hint="eastAsia" w:ascii="黑体" w:hAnsi="宋体" w:eastAsia="黑体" w:cs="黑体"/>
          <w:color w:val="000000"/>
          <w:szCs w:val="21"/>
        </w:rPr>
      </w:pPr>
      <w:r>
        <w:rPr>
          <w:rFonts w:hint="eastAsia" w:ascii="黑体" w:hAnsi="宋体" w:eastAsia="黑体" w:cs="黑体"/>
          <w:color w:val="000000"/>
          <w:szCs w:val="21"/>
        </w:rPr>
        <w:t>3 判定规则</w:t>
      </w:r>
    </w:p>
    <w:p>
      <w:pPr>
        <w:snapToGrid w:val="0"/>
        <w:spacing w:line="360" w:lineRule="auto"/>
        <w:rPr>
          <w:rFonts w:hint="eastAsia" w:ascii="宋体" w:hAnsi="宋体" w:eastAsia="宋体" w:cs="宋体"/>
          <w:color w:val="000000"/>
          <w:szCs w:val="21"/>
        </w:rPr>
      </w:pPr>
      <w:r>
        <w:rPr>
          <w:rFonts w:hint="eastAsia" w:ascii="Times New Roman" w:hAnsi="Times New Roman" w:eastAsia="宋体" w:cs="宋体"/>
          <w:szCs w:val="21"/>
        </w:rPr>
        <w:t>3.1</w:t>
      </w:r>
      <w:r>
        <w:rPr>
          <w:rFonts w:hint="eastAsia" w:ascii="宋体" w:hAnsi="宋体" w:eastAsia="宋体" w:cs="宋体"/>
          <w:color w:val="000000"/>
          <w:szCs w:val="21"/>
        </w:rPr>
        <w:t>依据标准</w:t>
      </w:r>
    </w:p>
    <w:p>
      <w:pPr>
        <w:adjustRightInd w:val="0"/>
        <w:snapToGrid w:val="0"/>
        <w:spacing w:line="360" w:lineRule="auto"/>
        <w:ind w:firstLine="420" w:firstLineChars="200"/>
        <w:rPr>
          <w:rFonts w:cs="宋体"/>
          <w:szCs w:val="21"/>
        </w:rPr>
      </w:pPr>
      <w:r>
        <w:rPr>
          <w:rFonts w:ascii="Times New Roman" w:hAnsi="Times New Roman" w:eastAsia="宋体" w:cs="宋体"/>
          <w:szCs w:val="21"/>
        </w:rPr>
        <w:t xml:space="preserve">GB 4806.7-2023 </w:t>
      </w:r>
      <w:r>
        <w:rPr>
          <w:rFonts w:hint="eastAsia" w:ascii="Times New Roman" w:hAnsi="Times New Roman" w:eastAsia="宋体" w:cs="宋体"/>
          <w:szCs w:val="21"/>
        </w:rPr>
        <w:t>食品安全国家标准</w:t>
      </w:r>
      <w:r>
        <w:rPr>
          <w:rFonts w:ascii="Times New Roman" w:hAnsi="Times New Roman" w:eastAsia="宋体" w:cs="宋体"/>
          <w:szCs w:val="21"/>
        </w:rPr>
        <w:t xml:space="preserve"> </w:t>
      </w:r>
      <w:r>
        <w:rPr>
          <w:rFonts w:hint="eastAsia" w:ascii="Times New Roman" w:hAnsi="Times New Roman" w:eastAsia="宋体" w:cs="宋体"/>
          <w:szCs w:val="21"/>
        </w:rPr>
        <w:t>食品接触用塑料材料及制品</w:t>
      </w:r>
    </w:p>
    <w:p>
      <w:pPr>
        <w:adjustRightInd w:val="0"/>
        <w:snapToGrid w:val="0"/>
        <w:spacing w:line="360" w:lineRule="auto"/>
        <w:ind w:firstLine="420" w:firstLineChars="200"/>
        <w:rPr>
          <w:rFonts w:cs="宋体"/>
          <w:szCs w:val="21"/>
        </w:rPr>
      </w:pPr>
      <w:r>
        <w:rPr>
          <w:rFonts w:ascii="Times New Roman" w:hAnsi="Times New Roman" w:eastAsia="宋体" w:cs="宋体"/>
          <w:szCs w:val="21"/>
        </w:rPr>
        <w:t>GB 9685</w:t>
      </w:r>
      <w:r>
        <w:rPr>
          <w:rFonts w:ascii="Times New Roman" w:hAnsi="Times New Roman" w:eastAsia="宋体" w:cs="Times New Roman"/>
          <w:szCs w:val="21"/>
        </w:rPr>
        <w:t>-</w:t>
      </w:r>
      <w:r>
        <w:rPr>
          <w:rFonts w:ascii="Times New Roman" w:hAnsi="Times New Roman" w:eastAsia="宋体" w:cs="宋体"/>
          <w:szCs w:val="21"/>
        </w:rPr>
        <w:t xml:space="preserve">2016 </w:t>
      </w:r>
      <w:r>
        <w:rPr>
          <w:rFonts w:hint="eastAsia" w:ascii="Times New Roman" w:hAnsi="Times New Roman" w:eastAsia="宋体" w:cs="宋体"/>
          <w:szCs w:val="21"/>
        </w:rPr>
        <w:t>食品安全国家标准</w:t>
      </w:r>
      <w:r>
        <w:rPr>
          <w:rFonts w:ascii="Times New Roman" w:hAnsi="Times New Roman" w:eastAsia="宋体" w:cs="宋体"/>
          <w:szCs w:val="21"/>
        </w:rPr>
        <w:t xml:space="preserve"> </w:t>
      </w:r>
      <w:r>
        <w:rPr>
          <w:rFonts w:hint="eastAsia" w:ascii="Times New Roman" w:hAnsi="Times New Roman" w:eastAsia="宋体" w:cs="宋体"/>
          <w:szCs w:val="21"/>
        </w:rPr>
        <w:t>食品接触材料及制品用添加剂使用标准</w:t>
      </w:r>
    </w:p>
    <w:p>
      <w:pPr>
        <w:adjustRightInd w:val="0"/>
        <w:snapToGrid w:val="0"/>
        <w:spacing w:line="360" w:lineRule="auto"/>
        <w:ind w:firstLine="420" w:firstLineChars="200"/>
        <w:rPr>
          <w:rFonts w:cs="宋体"/>
          <w:szCs w:val="21"/>
        </w:rPr>
      </w:pPr>
      <w:r>
        <w:rPr>
          <w:rFonts w:ascii="Times New Roman" w:hAnsi="Times New Roman" w:eastAsia="宋体" w:cs="宋体"/>
          <w:szCs w:val="21"/>
        </w:rPr>
        <w:t>GB 14934</w:t>
      </w:r>
      <w:r>
        <w:rPr>
          <w:rFonts w:ascii="Times New Roman" w:hAnsi="Times New Roman" w:eastAsia="宋体" w:cs="Times New Roman"/>
          <w:szCs w:val="21"/>
        </w:rPr>
        <w:t>-</w:t>
      </w:r>
      <w:r>
        <w:rPr>
          <w:rFonts w:ascii="Times New Roman" w:hAnsi="Times New Roman" w:eastAsia="宋体" w:cs="宋体"/>
          <w:szCs w:val="21"/>
        </w:rPr>
        <w:t xml:space="preserve">2016 </w:t>
      </w:r>
      <w:r>
        <w:rPr>
          <w:rFonts w:hint="eastAsia" w:ascii="Times New Roman" w:hAnsi="Times New Roman" w:eastAsia="宋体" w:cs="宋体"/>
          <w:szCs w:val="21"/>
        </w:rPr>
        <w:t>食品安全国家标准</w:t>
      </w:r>
      <w:r>
        <w:rPr>
          <w:rFonts w:ascii="Times New Roman" w:hAnsi="Times New Roman" w:eastAsia="宋体" w:cs="宋体"/>
          <w:szCs w:val="21"/>
        </w:rPr>
        <w:t xml:space="preserve"> </w:t>
      </w:r>
      <w:r>
        <w:rPr>
          <w:rFonts w:hint="eastAsia" w:ascii="Times New Roman" w:hAnsi="Times New Roman" w:eastAsia="宋体" w:cs="宋体"/>
          <w:szCs w:val="21"/>
        </w:rPr>
        <w:t>消毒餐</w:t>
      </w:r>
      <w:r>
        <w:rPr>
          <w:rFonts w:hint="eastAsia" w:ascii="Times New Roman" w:hAnsi="Times New Roman" w:eastAsia="宋体" w:cs="宋体"/>
          <w:szCs w:val="21"/>
          <w:lang w:eastAsia="zh-CN"/>
        </w:rPr>
        <w:t>（</w:t>
      </w:r>
      <w:r>
        <w:rPr>
          <w:rFonts w:hint="eastAsia" w:ascii="Times New Roman" w:hAnsi="Times New Roman" w:eastAsia="宋体" w:cs="宋体"/>
          <w:szCs w:val="21"/>
        </w:rPr>
        <w:t>饮</w:t>
      </w:r>
      <w:r>
        <w:rPr>
          <w:rFonts w:hint="eastAsia" w:ascii="Times New Roman" w:hAnsi="Times New Roman" w:eastAsia="宋体" w:cs="宋体"/>
          <w:szCs w:val="21"/>
          <w:lang w:eastAsia="zh-CN"/>
        </w:rPr>
        <w:t>）</w:t>
      </w:r>
      <w:r>
        <w:rPr>
          <w:rFonts w:hint="eastAsia" w:ascii="Times New Roman" w:hAnsi="Times New Roman" w:eastAsia="宋体" w:cs="宋体"/>
          <w:szCs w:val="21"/>
        </w:rPr>
        <w:t>具</w:t>
      </w:r>
    </w:p>
    <w:p>
      <w:pPr>
        <w:adjustRightInd w:val="0"/>
        <w:snapToGrid w:val="0"/>
        <w:spacing w:line="360" w:lineRule="auto"/>
        <w:ind w:firstLine="420" w:firstLineChars="200"/>
        <w:rPr>
          <w:rFonts w:ascii="Times New Roman" w:hAnsi="Times New Roman" w:eastAsia="宋体" w:cs="宋体"/>
          <w:szCs w:val="21"/>
        </w:rPr>
      </w:pPr>
      <w:r>
        <w:rPr>
          <w:rFonts w:ascii="Times New Roman" w:hAnsi="Times New Roman" w:eastAsia="宋体" w:cs="宋体"/>
          <w:szCs w:val="21"/>
        </w:rPr>
        <w:fldChar w:fldCharType="begin"/>
      </w:r>
      <w:r>
        <w:rPr>
          <w:rFonts w:ascii="Times New Roman" w:hAnsi="Times New Roman" w:eastAsia="宋体" w:cs="宋体"/>
          <w:szCs w:val="21"/>
        </w:rPr>
        <w:instrText xml:space="preserve"> HYPERLINK "http://www.bzsb.info/javascript:void(0);" </w:instrText>
      </w:r>
      <w:r>
        <w:rPr>
          <w:rFonts w:ascii="Times New Roman" w:hAnsi="Times New Roman" w:eastAsia="宋体" w:cs="宋体"/>
          <w:szCs w:val="21"/>
        </w:rPr>
        <w:fldChar w:fldCharType="separate"/>
      </w:r>
      <w:r>
        <w:rPr>
          <w:rFonts w:ascii="Times New Roman" w:hAnsi="Times New Roman" w:eastAsia="宋体" w:cs="宋体"/>
          <w:szCs w:val="21"/>
        </w:rPr>
        <w:t>GB</w:t>
      </w:r>
      <w:r>
        <w:rPr>
          <w:rFonts w:hint="eastAsia" w:ascii="Times New Roman" w:hAnsi="Times New Roman" w:eastAsia="宋体" w:cs="宋体"/>
          <w:szCs w:val="21"/>
          <w:lang w:val="en-US" w:eastAsia="zh-CN"/>
        </w:rPr>
        <w:t>/</w:t>
      </w:r>
      <w:r>
        <w:rPr>
          <w:rFonts w:ascii="Times New Roman" w:hAnsi="Times New Roman" w:eastAsia="宋体" w:cs="宋体"/>
          <w:szCs w:val="21"/>
        </w:rPr>
        <w:t>T 18006.1-2009</w:t>
      </w:r>
      <w:r>
        <w:rPr>
          <w:rFonts w:ascii="Times New Roman" w:hAnsi="Times New Roman" w:eastAsia="宋体" w:cs="宋体"/>
          <w:szCs w:val="21"/>
        </w:rPr>
        <w:fldChar w:fldCharType="end"/>
      </w:r>
      <w:r>
        <w:rPr>
          <w:rFonts w:ascii="Times New Roman" w:hAnsi="Times New Roman" w:eastAsia="宋体" w:cs="宋体"/>
          <w:szCs w:val="21"/>
        </w:rPr>
        <w:t xml:space="preserve"> </w:t>
      </w:r>
      <w:r>
        <w:rPr>
          <w:rFonts w:hint="eastAsia" w:ascii="Times New Roman" w:hAnsi="Times New Roman" w:eastAsia="宋体" w:cs="宋体"/>
          <w:szCs w:val="21"/>
        </w:rPr>
        <w:t>塑料一次性餐饮具通用技术要求</w:t>
      </w:r>
    </w:p>
    <w:p>
      <w:pPr>
        <w:adjustRightInd w:val="0"/>
        <w:snapToGrid w:val="0"/>
        <w:spacing w:line="360" w:lineRule="auto"/>
        <w:ind w:firstLine="420" w:firstLineChars="200"/>
        <w:rPr>
          <w:rFonts w:cs="宋体"/>
          <w:szCs w:val="21"/>
        </w:rPr>
      </w:pPr>
      <w:r>
        <w:rPr>
          <w:rFonts w:hint="eastAsia" w:ascii="Times New Roman" w:hAnsi="Times New Roman" w:eastAsia="宋体" w:cs="宋体"/>
          <w:szCs w:val="21"/>
        </w:rPr>
        <w:t>现行有效的企业标准、团体标准、地方标准及产品明示质量要求</w:t>
      </w:r>
    </w:p>
    <w:p>
      <w:pPr>
        <w:snapToGrid w:val="0"/>
        <w:spacing w:line="360" w:lineRule="auto"/>
        <w:rPr>
          <w:rFonts w:hint="eastAsia" w:ascii="宋体" w:hAnsi="宋体" w:eastAsia="宋体" w:cs="宋体"/>
          <w:color w:val="000000"/>
          <w:szCs w:val="21"/>
        </w:rPr>
      </w:pPr>
      <w:r>
        <w:rPr>
          <w:rFonts w:hint="eastAsia" w:ascii="Times New Roman" w:hAnsi="Times New Roman" w:eastAsia="宋体" w:cs="宋体"/>
          <w:szCs w:val="21"/>
        </w:rPr>
        <w:t>3.2</w:t>
      </w:r>
      <w:r>
        <w:rPr>
          <w:rFonts w:hint="eastAsia" w:ascii="宋体" w:hAnsi="宋体" w:eastAsia="宋体" w:cs="宋体"/>
          <w:color w:val="000000"/>
          <w:szCs w:val="21"/>
        </w:rPr>
        <w:t>判定原则</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经检验，检验项目全部合格，判定为被抽查产品所检项目未发现不合格；检验项目中任一项或一项以上不合格，判定为被抽查产品不合格。</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若被检产品明示的质量要求高于本细则中检验项目依据的标准要求时，应按被检产品明示的质量要求判定。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若被检产品明示的质量要求低于本细则中检验项目依据的强制性标准要求时，应按照强制性标准要求判定。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若被检产品明示的质量要求低于或包含本细则中检验项目依据的推荐性标准要求时，应以被检产品明示的质量要求判定。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若被检产品明示的质量要求缺少本细则中检验项目依据的推荐性标准要求时，该项目不参与判定。</w:t>
      </w:r>
    </w:p>
    <w:p>
      <w:pPr>
        <w:ind w:firstLine="420" w:firstLineChars="200"/>
        <w:rPr>
          <w:rFonts w:hint="eastAsia" w:eastAsia="宋体"/>
          <w:lang w:eastAsia="zh-CN"/>
        </w:rPr>
      </w:pPr>
      <w:bookmarkStart w:id="0" w:name="_PictureBullets"/>
      <w:bookmarkEnd w:id="0"/>
      <w:r>
        <w:rPr>
          <w:rFonts w:hint="eastAsia" w:ascii="宋体" w:hAnsi="宋体" w:eastAsia="宋体" w:cs="宋体"/>
          <w:color w:val="000000"/>
        </w:rPr>
        <w:t>依据</w:t>
      </w:r>
      <w:r>
        <w:rPr>
          <w:rFonts w:ascii="Times New Roman" w:hAnsi="Times New Roman" w:eastAsia="宋体" w:cs="Times New Roman"/>
          <w:color w:val="000000"/>
        </w:rPr>
        <w:t>GB 4789.1</w:t>
      </w:r>
      <w:r>
        <w:rPr>
          <w:rFonts w:hint="eastAsia" w:ascii="Times New Roman" w:hAnsi="Times New Roman" w:eastAsia="宋体" w:cs="Times New Roman"/>
          <w:color w:val="000000"/>
          <w:lang w:val="en-US" w:eastAsia="zh-CN"/>
        </w:rPr>
        <w:t>-</w:t>
      </w:r>
      <w:r>
        <w:rPr>
          <w:rFonts w:ascii="Times New Roman" w:hAnsi="Times New Roman" w:eastAsia="宋体" w:cs="Times New Roman"/>
          <w:color w:val="000000"/>
        </w:rPr>
        <w:t xml:space="preserve">2016 </w:t>
      </w:r>
      <w:r>
        <w:rPr>
          <w:rFonts w:hint="eastAsia" w:ascii="宋体" w:hAnsi="宋体" w:eastAsia="宋体" w:cs="宋体"/>
          <w:color w:val="000000"/>
        </w:rPr>
        <w:t>《食品安全国家标准 食品微生物学检验 总则》第</w:t>
      </w:r>
      <w:r>
        <w:rPr>
          <w:rFonts w:ascii="Times New Roman" w:hAnsi="Times New Roman" w:eastAsia="宋体" w:cs="Times New Roman"/>
          <w:color w:val="000000"/>
        </w:rPr>
        <w:t>7.3</w:t>
      </w:r>
      <w:r>
        <w:rPr>
          <w:rFonts w:hint="eastAsia" w:ascii="宋体" w:hAnsi="宋体" w:eastAsia="宋体" w:cs="宋体"/>
          <w:color w:val="000000"/>
        </w:rPr>
        <w:t>条规定</w:t>
      </w:r>
      <w:r>
        <w:rPr>
          <w:rFonts w:ascii="Times New Roman" w:hAnsi="Times New Roman" w:eastAsia="宋体" w:cs="Times New Roman"/>
          <w:color w:val="000000"/>
        </w:rPr>
        <w:t>“</w:t>
      </w:r>
      <w:r>
        <w:rPr>
          <w:rFonts w:hint="eastAsia" w:ascii="宋体" w:hAnsi="宋体" w:eastAsia="宋体" w:cs="宋体"/>
          <w:color w:val="000000"/>
        </w:rPr>
        <w:t>检验结果报告后，剩余样品和同批产品不进行微生物项目的复检</w:t>
      </w:r>
      <w:r>
        <w:rPr>
          <w:rFonts w:ascii="Times New Roman" w:hAnsi="Times New Roman" w:eastAsia="宋体" w:cs="Times New Roman"/>
          <w:color w:val="000000"/>
        </w:rPr>
        <w:t>”</w:t>
      </w:r>
      <w:r>
        <w:rPr>
          <w:rFonts w:hint="eastAsia" w:ascii="宋体" w:hAnsi="宋体" w:eastAsia="宋体" w:cs="宋体"/>
          <w:color w:val="000000"/>
        </w:rPr>
        <w:t>，微生物指标不合格不进行复检</w:t>
      </w:r>
      <w:r>
        <w:rPr>
          <w:rFonts w:hint="eastAsia" w:ascii="宋体" w:hAnsi="宋体" w:eastAsia="宋体" w:cs="宋体"/>
          <w:color w:val="000000"/>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黑体">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4F7E"/>
    <w:rsid w:val="16E66CA8"/>
    <w:rsid w:val="20ED6E8B"/>
    <w:rsid w:val="213E65A2"/>
    <w:rsid w:val="21CF603C"/>
    <w:rsid w:val="2ECA280E"/>
    <w:rsid w:val="324F1D26"/>
    <w:rsid w:val="42CA7F8D"/>
    <w:rsid w:val="5F5F534D"/>
    <w:rsid w:val="631303F2"/>
    <w:rsid w:val="68632C80"/>
    <w:rsid w:val="693F0895"/>
    <w:rsid w:val="7BE75B20"/>
    <w:rsid w:val="7D0B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1215</Words>
  <Characters>1763</Characters>
  <Lines>0</Lines>
  <Paragraphs>0</Paragraphs>
  <TotalTime>1</TotalTime>
  <ScaleCrop>false</ScaleCrop>
  <LinksUpToDate>false</LinksUpToDate>
  <CharactersWithSpaces>1821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2026-03-13T13:26:00Z</dcterms:created>
  <dc:creator>lenovo</dc:creator>
  <cp:lastModifiedBy>guest</cp:lastModifiedBy>
  <dcterms:modified xsi:type="dcterms:W3CDTF">2026-03-24T15:17:43Z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35A5208AA500462AA654A482FF2061A8_13</vt:lpwstr>
  </property>
</Properties>
</file>