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黑体" w:hAnsi="黑体" w:eastAsia="黑体"/>
          <w:sz w:val="32"/>
          <w:szCs w:val="32"/>
        </w:rPr>
      </w:pPr>
      <w:r>
        <w:rPr>
          <w:rFonts w:hint="eastAsia" w:ascii="黑体" w:hAnsi="黑体" w:eastAsia="黑体"/>
          <w:sz w:val="32"/>
          <w:szCs w:val="32"/>
        </w:rPr>
        <w:t>地方标准《电化学储能电站安全风险评估规范》</w:t>
      </w:r>
    </w:p>
    <w:p>
      <w:pPr>
        <w:spacing w:before="156" w:beforeLines="50" w:line="360" w:lineRule="auto"/>
        <w:jc w:val="center"/>
        <w:rPr>
          <w:rFonts w:ascii="仿宋_GB2312" w:eastAsia="仿宋_GB2312"/>
          <w:sz w:val="32"/>
        </w:rPr>
      </w:pPr>
      <w:r>
        <w:rPr>
          <w:rFonts w:hint="eastAsia" w:ascii="黑体" w:hAnsi="黑体" w:eastAsia="黑体"/>
          <w:sz w:val="32"/>
          <w:szCs w:val="32"/>
        </w:rPr>
        <w:t>编制说明</w:t>
      </w:r>
    </w:p>
    <w:p>
      <w:pPr>
        <w:numPr>
          <w:ilvl w:val="0"/>
          <w:numId w:val="2"/>
        </w:numPr>
        <w:ind w:firstLine="562" w:firstLineChars="200"/>
        <w:rPr>
          <w:rFonts w:asciiTheme="minorEastAsia" w:hAnsiTheme="minorEastAsia" w:eastAsiaTheme="minorEastAsia" w:cstheme="minorEastAsia"/>
          <w:b/>
          <w:bCs/>
          <w:sz w:val="28"/>
          <w:szCs w:val="22"/>
        </w:rPr>
      </w:pPr>
      <w:r>
        <w:rPr>
          <w:rFonts w:hint="eastAsia" w:asciiTheme="minorEastAsia" w:hAnsiTheme="minorEastAsia" w:eastAsiaTheme="minorEastAsia" w:cstheme="minorEastAsia"/>
          <w:b/>
          <w:bCs/>
          <w:sz w:val="28"/>
          <w:szCs w:val="22"/>
        </w:rPr>
        <w:t>工作</w:t>
      </w:r>
      <w:r>
        <w:rPr>
          <w:rFonts w:hint="eastAsia" w:asciiTheme="minorEastAsia" w:hAnsiTheme="minorEastAsia" w:eastAsiaTheme="minorEastAsia" w:cstheme="minorEastAsia"/>
          <w:b/>
          <w:bCs/>
          <w:sz w:val="28"/>
          <w:szCs w:val="22"/>
          <w:lang w:eastAsia="zh-CN"/>
        </w:rPr>
        <w:t>概况</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1.任务来源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是陕西省电力行业协会充电设施分会根据陕西省发展改革与委员会关于基地建设的需求和陕西省电动汽车产业发展需要，在经过陕西省发展和改革委员会批准后，依据陕市监函〔2021〕1319号文《陕西省市场监督管理局关于征集2022年陕西省地方标准制修订项目的函》制定研究计划并开展工作的。</w:t>
      </w:r>
    </w:p>
    <w:p>
      <w:pPr>
        <w:numPr>
          <w:ilvl w:val="0"/>
          <w:numId w:val="3"/>
        </w:num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目的意义</w:t>
      </w:r>
    </w:p>
    <w:p>
      <w:pPr>
        <w:spacing w:line="360" w:lineRule="auto"/>
        <w:ind w:firstLine="480" w:firstLineChars="200"/>
        <w:rPr>
          <w:rFonts w:hint="eastAsia" w:ascii="宋体" w:hAnsi="宋体"/>
          <w:sz w:val="24"/>
        </w:rPr>
      </w:pPr>
      <w:r>
        <w:rPr>
          <w:rFonts w:hint="eastAsia" w:ascii="宋体" w:hAnsi="宋体"/>
          <w:sz w:val="24"/>
        </w:rPr>
        <w:t>随着碳达峰、碳中和战略推进实施，新能源未来将成为电力供应的主体。风电、光伏等大规模随机波动的新能源并网给电网运行带来挑战。储能技术是将随机波动能源变为友好能源的关键技术之一，能有效支撑我国大规模发展新能源、保障能源安全。应用储能技术能提高新能源消纳比例、保障电力系统安全稳定运行、提高发输配电设施利用率、促进多网融合。</w:t>
      </w:r>
    </w:p>
    <w:p>
      <w:pPr>
        <w:spacing w:line="360" w:lineRule="auto"/>
        <w:ind w:firstLine="480" w:firstLineChars="200"/>
        <w:rPr>
          <w:rFonts w:asciiTheme="minorEastAsia" w:hAnsiTheme="minorEastAsia" w:eastAsiaTheme="minorEastAsia" w:cstheme="minorEastAsia"/>
          <w:sz w:val="24"/>
        </w:rPr>
      </w:pPr>
      <w:r>
        <w:rPr>
          <w:rFonts w:hint="eastAsia" w:ascii="宋体" w:hAnsi="宋体"/>
          <w:sz w:val="24"/>
        </w:rPr>
        <w:t>电化学储能是目前技术较为成熟、应用最为广泛的储能技术。电化学储能响应速度快，主要作为功率型储能技术应用。目前，电化学储能应用已覆盖了电力系统各环节，能够满足多样化的场景需求。但是，近年来电化学储能电站安全事故频出，给电网安全运行以及人民生命财产造成了严重威胁。有必要采用合理的方法对电化学储能电站的安全风险进行评估，尽可能地降低事故发生率。因此，结合陕西省的实际情况，制定电化学储能电站安全风险评估规范，是保障电网及人民生命财产安全的必然之举，也是符合国家能源转型和双碳目标的必然发展趋势。</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eastAsia="zh-CN"/>
        </w:rPr>
        <w:t>主导</w:t>
      </w:r>
      <w:r>
        <w:rPr>
          <w:rFonts w:hint="eastAsia" w:asciiTheme="minorEastAsia" w:hAnsiTheme="minorEastAsia" w:eastAsiaTheme="minorEastAsia" w:cstheme="minorEastAsia"/>
          <w:b/>
          <w:bCs/>
          <w:sz w:val="24"/>
        </w:rPr>
        <w:t>单位</w:t>
      </w:r>
    </w:p>
    <w:p>
      <w:pPr>
        <w:pStyle w:val="6"/>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rPr>
        <w:t>主要参加单位如下（排名不分先后）：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陕西省电力行业协会电动交通及储能分会、国网陕西省电力有限公司、国网陕西省电力有限公司电力科学研究院、西安理工大学、陕西华添聚能科技有限公司、西安城投智能充电股份有限公司、西安城投新能源有限责任公司</w:t>
      </w:r>
      <w:r>
        <w:rPr>
          <w:rFonts w:hint="eastAsia" w:asciiTheme="minorEastAsia" w:hAnsiTheme="minorEastAsia" w:eastAsiaTheme="minorEastAsia" w:cstheme="minorEastAsia"/>
          <w:sz w:val="24"/>
          <w:lang w:eastAsia="zh-CN"/>
        </w:rPr>
        <w:t>、中国能源建设集团陕西省电力设计院有限公司、国网陕西省电力有限公司经济技术研究院</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4.主要工作过程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月15日，在国网陕西省电力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公司电力科学研究院召开了项目启动会。会上介绍了陕西省电化学储能电站安全风险评估规范</w:t>
      </w:r>
      <w:r>
        <w:rPr>
          <w:rFonts w:hint="eastAsia" w:asciiTheme="minorEastAsia" w:hAnsiTheme="minorEastAsia" w:eastAsiaTheme="minorEastAsia" w:cstheme="minorEastAsia"/>
          <w:sz w:val="24"/>
          <w:lang w:eastAsia="zh-CN"/>
        </w:rPr>
        <w:t>相关</w:t>
      </w:r>
      <w:r>
        <w:rPr>
          <w:rFonts w:hint="eastAsia" w:asciiTheme="minorEastAsia" w:hAnsiTheme="minorEastAsia" w:eastAsiaTheme="minorEastAsia" w:cstheme="minorEastAsia"/>
          <w:sz w:val="24"/>
        </w:rPr>
        <w:t>资料收集情况，</w:t>
      </w:r>
      <w:r>
        <w:rPr>
          <w:rFonts w:hint="eastAsia" w:asciiTheme="minorEastAsia" w:hAnsiTheme="minorEastAsia" w:eastAsiaTheme="minorEastAsia" w:cstheme="minorEastAsia"/>
          <w:sz w:val="24"/>
          <w:lang w:eastAsia="zh-CN"/>
        </w:rPr>
        <w:t>确定了起草组人员并制定了工作计划，明确了标准名称和范围、标准的主要内容、工作实施计划和进度要求，细化了起草组人员分工等工作</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eastAsia="zh-CN"/>
        </w:rPr>
        <w:t>在</w:t>
      </w:r>
      <w:r>
        <w:rPr>
          <w:rFonts w:hint="eastAsia" w:asciiTheme="minorEastAsia" w:hAnsiTheme="minorEastAsia" w:eastAsiaTheme="minorEastAsia" w:cstheme="minorEastAsia"/>
          <w:sz w:val="24"/>
        </w:rPr>
        <w:t>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公司电力科学研究院召开了第一次讨论会，会上各</w:t>
      </w:r>
      <w:r>
        <w:rPr>
          <w:rFonts w:hint="eastAsia" w:asciiTheme="minorEastAsia" w:hAnsiTheme="minorEastAsia" w:eastAsiaTheme="minorEastAsia" w:cstheme="minorEastAsia"/>
          <w:sz w:val="24"/>
          <w:lang w:eastAsia="zh-CN"/>
        </w:rPr>
        <w:t>起草组人员</w:t>
      </w:r>
      <w:r>
        <w:rPr>
          <w:rFonts w:hint="eastAsia" w:asciiTheme="minorEastAsia" w:hAnsiTheme="minorEastAsia" w:eastAsiaTheme="minorEastAsia" w:cstheme="minorEastAsia"/>
          <w:sz w:val="24"/>
        </w:rPr>
        <w:t>首先介绍了陕西省电化学储能电站安全风险评估规范资料收集</w:t>
      </w:r>
      <w:r>
        <w:rPr>
          <w:rFonts w:hint="eastAsia" w:asciiTheme="minorEastAsia" w:hAnsiTheme="minorEastAsia" w:eastAsiaTheme="minorEastAsia" w:cstheme="minorEastAsia"/>
          <w:sz w:val="24"/>
          <w:lang w:eastAsia="zh-CN"/>
        </w:rPr>
        <w:t>及标准编写进度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随后由起草组成员对标准完成部分进行汇总整理，后经起草组对标准内容进行全面讨论和修改后，形成标准征求意见稿。</w:t>
      </w:r>
    </w:p>
    <w:p>
      <w:pPr>
        <w:spacing w:line="360" w:lineRule="auto"/>
        <w:rPr>
          <w:b/>
          <w:bCs/>
          <w:sz w:val="24"/>
          <w:szCs w:val="32"/>
        </w:rPr>
      </w:pPr>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eastAsia="zh-CN"/>
        </w:rPr>
        <w:t>标准</w:t>
      </w:r>
      <w:r>
        <w:rPr>
          <w:rFonts w:hint="eastAsia" w:asciiTheme="minorEastAsia" w:hAnsiTheme="minorEastAsia" w:eastAsiaTheme="minorEastAsia" w:cstheme="minorEastAsia"/>
          <w:b/>
          <w:bCs/>
          <w:sz w:val="24"/>
        </w:rPr>
        <w:t>起</w:t>
      </w:r>
      <w:r>
        <w:rPr>
          <w:rFonts w:hint="eastAsia"/>
          <w:b/>
          <w:bCs/>
          <w:sz w:val="24"/>
          <w:szCs w:val="32"/>
        </w:rPr>
        <w:t>草组成员</w:t>
      </w:r>
      <w:r>
        <w:rPr>
          <w:rFonts w:hint="eastAsia"/>
          <w:b/>
          <w:bCs/>
          <w:sz w:val="24"/>
          <w:szCs w:val="32"/>
          <w:lang w:eastAsia="zh-CN"/>
        </w:rPr>
        <w:t>及任务</w:t>
      </w:r>
      <w:r>
        <w:rPr>
          <w:rFonts w:hint="eastAsia"/>
          <w:b/>
          <w:bCs/>
          <w:sz w:val="24"/>
          <w:szCs w:val="32"/>
        </w:rPr>
        <w:t>分工</w:t>
      </w:r>
    </w:p>
    <w:tbl>
      <w:tblPr>
        <w:tblStyle w:val="9"/>
        <w:tblW w:w="9310"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85"/>
        <w:gridCol w:w="4170"/>
        <w:gridCol w:w="3602"/>
      </w:tblGrid>
      <w:tr>
        <w:tblPrEx>
          <w:tblLayout w:type="fixed"/>
        </w:tblPrEx>
        <w:trPr>
          <w:trHeight w:val="476" w:hRule="atLeast"/>
          <w:jc w:val="center"/>
        </w:trPr>
        <w:tc>
          <w:tcPr>
            <w:tcW w:w="653" w:type="dxa"/>
            <w:vAlign w:val="center"/>
          </w:tcPr>
          <w:p>
            <w:pPr>
              <w:jc w:val="center"/>
            </w:pPr>
            <w:r>
              <w:rPr>
                <w:rFonts w:hint="eastAsia"/>
              </w:rPr>
              <w:t>序号</w:t>
            </w:r>
          </w:p>
        </w:tc>
        <w:tc>
          <w:tcPr>
            <w:tcW w:w="885" w:type="dxa"/>
            <w:vAlign w:val="center"/>
          </w:tcPr>
          <w:p>
            <w:pPr>
              <w:jc w:val="center"/>
            </w:pPr>
            <w:r>
              <w:rPr>
                <w:rFonts w:hint="eastAsia"/>
              </w:rPr>
              <w:t>姓名</w:t>
            </w:r>
          </w:p>
        </w:tc>
        <w:tc>
          <w:tcPr>
            <w:tcW w:w="4170" w:type="dxa"/>
            <w:vAlign w:val="center"/>
          </w:tcPr>
          <w:p>
            <w:pPr>
              <w:jc w:val="center"/>
            </w:pPr>
            <w:r>
              <w:rPr>
                <w:rFonts w:hint="eastAsia"/>
              </w:rPr>
              <w:t>单位名称</w:t>
            </w:r>
          </w:p>
        </w:tc>
        <w:tc>
          <w:tcPr>
            <w:tcW w:w="3602" w:type="dxa"/>
            <w:vAlign w:val="center"/>
          </w:tcPr>
          <w:p>
            <w:pPr>
              <w:jc w:val="center"/>
            </w:pPr>
            <w:r>
              <w:rPr>
                <w:rFonts w:hint="eastAsia"/>
              </w:rPr>
              <w:t>主要工作</w:t>
            </w:r>
          </w:p>
        </w:tc>
      </w:tr>
      <w:tr>
        <w:tblPrEx>
          <w:tblLayout w:type="fixed"/>
        </w:tblPrEx>
        <w:trPr>
          <w:trHeight w:val="476" w:hRule="atLeast"/>
          <w:jc w:val="center"/>
        </w:trPr>
        <w:tc>
          <w:tcPr>
            <w:tcW w:w="653" w:type="dxa"/>
            <w:vAlign w:val="center"/>
          </w:tcPr>
          <w:p>
            <w:pPr>
              <w:jc w:val="center"/>
            </w:pPr>
            <w:r>
              <w:rPr>
                <w:rFonts w:hint="eastAsia"/>
              </w:rPr>
              <w:t>1</w:t>
            </w:r>
          </w:p>
        </w:tc>
        <w:tc>
          <w:tcPr>
            <w:tcW w:w="885" w:type="dxa"/>
            <w:vAlign w:val="center"/>
          </w:tcPr>
          <w:p>
            <w:pPr>
              <w:jc w:val="center"/>
              <w:rPr>
                <w:rFonts w:ascii="宋体" w:hAnsi="宋体" w:cs="宋体"/>
              </w:rPr>
            </w:pPr>
            <w:r>
              <w:rPr>
                <w:rFonts w:hint="eastAsia" w:ascii="宋体" w:hAnsi="宋体" w:cs="宋体"/>
                <w:szCs w:val="21"/>
              </w:rPr>
              <w:t>张钰声</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rPr>
              <w:t>负责标准总体框架的制定，标准研究进度管理</w:t>
            </w:r>
          </w:p>
        </w:tc>
      </w:tr>
      <w:tr>
        <w:tblPrEx>
          <w:tblLayout w:type="fixed"/>
        </w:tblPrEx>
        <w:trPr>
          <w:trHeight w:val="509" w:hRule="atLeast"/>
          <w:jc w:val="center"/>
        </w:trPr>
        <w:tc>
          <w:tcPr>
            <w:tcW w:w="653" w:type="dxa"/>
            <w:vAlign w:val="center"/>
          </w:tcPr>
          <w:p>
            <w:pPr>
              <w:jc w:val="center"/>
            </w:pPr>
            <w:r>
              <w:rPr>
                <w:rFonts w:hint="eastAsia"/>
              </w:rPr>
              <w:t>2</w:t>
            </w:r>
          </w:p>
        </w:tc>
        <w:tc>
          <w:tcPr>
            <w:tcW w:w="885" w:type="dxa"/>
            <w:vAlign w:val="center"/>
          </w:tcPr>
          <w:p>
            <w:pPr>
              <w:spacing w:line="360" w:lineRule="auto"/>
              <w:jc w:val="center"/>
              <w:rPr>
                <w:rFonts w:ascii="宋体" w:hAnsi="宋体" w:cs="宋体"/>
              </w:rPr>
            </w:pPr>
            <w:r>
              <w:rPr>
                <w:rFonts w:hint="eastAsia" w:ascii="宋体" w:hAnsi="宋体" w:cs="宋体"/>
                <w:lang w:val="en-US" w:eastAsia="zh-CN"/>
              </w:rPr>
              <w:t>锁军</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rPr>
              <w:t>负责标准</w:t>
            </w:r>
            <w:r>
              <w:rPr>
                <w:rFonts w:hint="eastAsia"/>
                <w:szCs w:val="21"/>
                <w:lang w:eastAsia="zh-CN"/>
              </w:rPr>
              <w:t>评估程序</w:t>
            </w:r>
            <w:r>
              <w:rPr>
                <w:rFonts w:hint="eastAsia"/>
                <w:szCs w:val="21"/>
              </w:rPr>
              <w:t>的制定、修改</w:t>
            </w:r>
          </w:p>
        </w:tc>
      </w:tr>
      <w:tr>
        <w:tblPrEx>
          <w:tblLayout w:type="fixed"/>
        </w:tblPrEx>
        <w:trPr>
          <w:trHeight w:val="476" w:hRule="atLeast"/>
          <w:jc w:val="center"/>
        </w:trPr>
        <w:tc>
          <w:tcPr>
            <w:tcW w:w="653" w:type="dxa"/>
            <w:vAlign w:val="center"/>
          </w:tcPr>
          <w:p>
            <w:pPr>
              <w:jc w:val="center"/>
            </w:pPr>
            <w:r>
              <w:rPr>
                <w:rFonts w:hint="eastAsia"/>
              </w:rPr>
              <w:t>3</w:t>
            </w:r>
          </w:p>
        </w:tc>
        <w:tc>
          <w:tcPr>
            <w:tcW w:w="885" w:type="dxa"/>
            <w:vAlign w:val="center"/>
          </w:tcPr>
          <w:p>
            <w:pPr>
              <w:jc w:val="center"/>
              <w:rPr>
                <w:rFonts w:hint="eastAsia" w:ascii="宋体" w:hAnsi="宋体" w:eastAsia="宋体" w:cs="宋体"/>
                <w:lang w:val="en-US" w:eastAsia="zh-CN"/>
              </w:rPr>
            </w:pPr>
            <w:r>
              <w:rPr>
                <w:rFonts w:hint="eastAsia" w:ascii="宋体" w:hAnsi="宋体" w:cs="宋体"/>
                <w:lang w:eastAsia="zh-CN"/>
              </w:rPr>
              <w:t>冯雅琳</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rPr>
              <w:t>负责标准</w:t>
            </w:r>
            <w:r>
              <w:rPr>
                <w:rFonts w:hint="eastAsia"/>
                <w:szCs w:val="21"/>
                <w:lang w:eastAsia="zh-CN"/>
              </w:rPr>
              <w:t>评估程序</w:t>
            </w:r>
            <w:r>
              <w:rPr>
                <w:rFonts w:hint="eastAsia"/>
                <w:szCs w:val="21"/>
              </w:rPr>
              <w:t>的制定、修改</w:t>
            </w:r>
          </w:p>
        </w:tc>
      </w:tr>
      <w:tr>
        <w:tblPrEx>
          <w:tblLayout w:type="fixed"/>
        </w:tblPrEx>
        <w:trPr>
          <w:trHeight w:val="476" w:hRule="atLeast"/>
          <w:jc w:val="center"/>
        </w:trPr>
        <w:tc>
          <w:tcPr>
            <w:tcW w:w="653" w:type="dxa"/>
            <w:vAlign w:val="center"/>
          </w:tcPr>
          <w:p>
            <w:pPr>
              <w:jc w:val="center"/>
              <w:rPr>
                <w:rFonts w:hint="eastAsia"/>
              </w:rPr>
            </w:pPr>
            <w:r>
              <w:rPr>
                <w:rFonts w:hint="eastAsia"/>
              </w:rPr>
              <w:t>4</w:t>
            </w:r>
          </w:p>
        </w:tc>
        <w:tc>
          <w:tcPr>
            <w:tcW w:w="885" w:type="dxa"/>
            <w:vAlign w:val="center"/>
          </w:tcPr>
          <w:p>
            <w:pPr>
              <w:spacing w:line="360" w:lineRule="auto"/>
              <w:jc w:val="center"/>
              <w:rPr>
                <w:rFonts w:hint="eastAsia" w:ascii="宋体" w:hAnsi="宋体" w:cs="宋体"/>
                <w:lang w:eastAsia="zh-CN"/>
              </w:rPr>
            </w:pPr>
            <w:r>
              <w:rPr>
                <w:rFonts w:hint="eastAsia" w:ascii="宋体" w:hAnsi="宋体" w:cs="宋体"/>
                <w:szCs w:val="21"/>
              </w:rPr>
              <w:t>刘军虎</w:t>
            </w:r>
          </w:p>
        </w:tc>
        <w:tc>
          <w:tcPr>
            <w:tcW w:w="4170" w:type="dxa"/>
            <w:vAlign w:val="center"/>
          </w:tcPr>
          <w:p>
            <w:pPr>
              <w:jc w:val="center"/>
              <w:rPr>
                <w:rFonts w:hint="eastAsia" w:ascii="宋体" w:hAnsi="宋体" w:cs="宋体"/>
                <w:szCs w:val="21"/>
              </w:rPr>
            </w:pPr>
            <w:r>
              <w:rPr>
                <w:rFonts w:hint="eastAsia" w:ascii="宋体" w:hAnsi="宋体" w:cs="宋体"/>
                <w:szCs w:val="21"/>
              </w:rPr>
              <w:t>陕西省电力行业协会电动交通及储能分会</w:t>
            </w:r>
          </w:p>
        </w:tc>
        <w:tc>
          <w:tcPr>
            <w:tcW w:w="3602" w:type="dxa"/>
            <w:vAlign w:val="center"/>
          </w:tcPr>
          <w:p>
            <w:pPr>
              <w:jc w:val="center"/>
              <w:rPr>
                <w:rFonts w:hint="eastAsia"/>
                <w:szCs w:val="21"/>
              </w:rPr>
            </w:pPr>
            <w:r>
              <w:rPr>
                <w:rFonts w:hint="eastAsia"/>
                <w:szCs w:val="21"/>
              </w:rPr>
              <w:t>负责标准研究的项目进度管理</w:t>
            </w:r>
          </w:p>
        </w:tc>
      </w:tr>
      <w:tr>
        <w:tblPrEx>
          <w:tblLayout w:type="fixed"/>
        </w:tblPrEx>
        <w:trPr>
          <w:trHeight w:val="463" w:hRule="atLeast"/>
          <w:jc w:val="center"/>
        </w:trPr>
        <w:tc>
          <w:tcPr>
            <w:tcW w:w="653" w:type="dxa"/>
            <w:vAlign w:val="center"/>
          </w:tcPr>
          <w:p>
            <w:pPr>
              <w:jc w:val="center"/>
            </w:pPr>
            <w:r>
              <w:rPr>
                <w:rFonts w:hint="eastAsia"/>
              </w:rPr>
              <w:t>5</w:t>
            </w:r>
          </w:p>
        </w:tc>
        <w:tc>
          <w:tcPr>
            <w:tcW w:w="885" w:type="dxa"/>
            <w:vAlign w:val="center"/>
          </w:tcPr>
          <w:p>
            <w:pPr>
              <w:jc w:val="center"/>
              <w:rPr>
                <w:rFonts w:hint="eastAsia" w:ascii="宋体" w:hAnsi="宋体" w:eastAsia="宋体" w:cs="宋体"/>
                <w:lang w:val="en-US" w:eastAsia="zh-CN"/>
              </w:rPr>
            </w:pPr>
            <w:r>
              <w:rPr>
                <w:rFonts w:hint="eastAsia" w:ascii="宋体" w:hAnsi="宋体" w:cs="宋体"/>
                <w:szCs w:val="21"/>
                <w:lang w:eastAsia="zh-CN"/>
              </w:rPr>
              <w:t>于广亮</w:t>
            </w:r>
          </w:p>
        </w:tc>
        <w:tc>
          <w:tcPr>
            <w:tcW w:w="4170" w:type="dxa"/>
            <w:vAlign w:val="center"/>
          </w:tcPr>
          <w:p>
            <w:pPr>
              <w:jc w:val="center"/>
              <w:rPr>
                <w:rFonts w:ascii="宋体" w:hAnsi="宋体" w:cs="宋体"/>
                <w:szCs w:val="21"/>
              </w:rPr>
            </w:pPr>
            <w:r>
              <w:rPr>
                <w:rFonts w:hint="eastAsia"/>
              </w:rPr>
              <w:t>国网陕西省电力有限</w:t>
            </w:r>
            <w:bookmarkStart w:id="0" w:name="_GoBack"/>
            <w:bookmarkEnd w:id="0"/>
            <w:r>
              <w:rPr>
                <w:rFonts w:hint="eastAsia"/>
              </w:rPr>
              <w:t>公司经济技术研究院</w:t>
            </w:r>
          </w:p>
        </w:tc>
        <w:tc>
          <w:tcPr>
            <w:tcW w:w="3602" w:type="dxa"/>
            <w:vAlign w:val="center"/>
          </w:tcPr>
          <w:p>
            <w:pPr>
              <w:jc w:val="center"/>
              <w:rPr>
                <w:szCs w:val="21"/>
              </w:rPr>
            </w:pPr>
            <w:r>
              <w:rPr>
                <w:rFonts w:hint="eastAsia"/>
                <w:szCs w:val="21"/>
                <w:lang w:eastAsia="zh-CN"/>
              </w:rPr>
              <w:t>负责附录中标准评估内容部分的编写</w:t>
            </w:r>
          </w:p>
        </w:tc>
      </w:tr>
      <w:tr>
        <w:tblPrEx>
          <w:tblLayout w:type="fixed"/>
        </w:tblPrEx>
        <w:trPr>
          <w:trHeight w:val="476" w:hRule="atLeast"/>
          <w:jc w:val="center"/>
        </w:trPr>
        <w:tc>
          <w:tcPr>
            <w:tcW w:w="653" w:type="dxa"/>
            <w:vAlign w:val="center"/>
          </w:tcPr>
          <w:p>
            <w:pPr>
              <w:jc w:val="center"/>
            </w:pPr>
            <w:r>
              <w:rPr>
                <w:rFonts w:hint="eastAsia"/>
              </w:rPr>
              <w:t>6</w:t>
            </w:r>
          </w:p>
        </w:tc>
        <w:tc>
          <w:tcPr>
            <w:tcW w:w="885" w:type="dxa"/>
            <w:vAlign w:val="center"/>
          </w:tcPr>
          <w:p>
            <w:pPr>
              <w:jc w:val="center"/>
              <w:rPr>
                <w:rFonts w:hint="eastAsia" w:ascii="宋体" w:hAnsi="宋体" w:eastAsia="宋体" w:cs="宋体"/>
                <w:lang w:eastAsia="zh-CN"/>
              </w:rPr>
            </w:pPr>
            <w:r>
              <w:rPr>
                <w:rFonts w:hint="eastAsia" w:ascii="宋体" w:hAnsi="宋体" w:cs="宋体"/>
                <w:lang w:eastAsia="zh-CN"/>
              </w:rPr>
              <w:t>宋卫章</w:t>
            </w:r>
          </w:p>
        </w:tc>
        <w:tc>
          <w:tcPr>
            <w:tcW w:w="4170" w:type="dxa"/>
            <w:vAlign w:val="center"/>
          </w:tcPr>
          <w:p>
            <w:pPr>
              <w:jc w:val="center"/>
              <w:rPr>
                <w:rFonts w:ascii="宋体" w:hAnsi="宋体" w:cs="宋体"/>
                <w:szCs w:val="21"/>
              </w:rPr>
            </w:pPr>
            <w:r>
              <w:rPr>
                <w:rFonts w:hint="eastAsia" w:ascii="宋体" w:hAnsi="宋体" w:cs="宋体"/>
                <w:szCs w:val="21"/>
              </w:rPr>
              <w:t>西安理工大学</w:t>
            </w:r>
          </w:p>
        </w:tc>
        <w:tc>
          <w:tcPr>
            <w:tcW w:w="3602" w:type="dxa"/>
            <w:vAlign w:val="center"/>
          </w:tcPr>
          <w:p>
            <w:pPr>
              <w:jc w:val="center"/>
              <w:rPr>
                <w:rFonts w:hint="eastAsia" w:eastAsia="宋体"/>
                <w:szCs w:val="21"/>
                <w:lang w:eastAsia="zh-CN"/>
              </w:rPr>
            </w:pPr>
            <w:r>
              <w:rPr>
                <w:rFonts w:hint="eastAsia"/>
                <w:szCs w:val="21"/>
                <w:lang w:eastAsia="zh-CN"/>
              </w:rPr>
              <w:t>负责标准评估内容部分的编写</w:t>
            </w:r>
          </w:p>
        </w:tc>
      </w:tr>
      <w:tr>
        <w:tblPrEx>
          <w:tblLayout w:type="fixed"/>
        </w:tblPrEx>
        <w:trPr>
          <w:trHeight w:val="476" w:hRule="atLeast"/>
          <w:jc w:val="center"/>
        </w:trPr>
        <w:tc>
          <w:tcPr>
            <w:tcW w:w="653" w:type="dxa"/>
            <w:vAlign w:val="center"/>
          </w:tcPr>
          <w:p>
            <w:pPr>
              <w:jc w:val="center"/>
            </w:pPr>
            <w:r>
              <w:rPr>
                <w:rFonts w:hint="eastAsia"/>
              </w:rPr>
              <w:t>7</w:t>
            </w:r>
          </w:p>
        </w:tc>
        <w:tc>
          <w:tcPr>
            <w:tcW w:w="885" w:type="dxa"/>
            <w:vAlign w:val="center"/>
          </w:tcPr>
          <w:p>
            <w:pPr>
              <w:jc w:val="center"/>
              <w:rPr>
                <w:rFonts w:hint="eastAsia" w:ascii="宋体" w:hAnsi="宋体" w:eastAsia="宋体" w:cs="宋体"/>
                <w:lang w:eastAsia="zh-CN"/>
              </w:rPr>
            </w:pPr>
            <w:r>
              <w:rPr>
                <w:rFonts w:hint="eastAsia" w:ascii="宋体" w:hAnsi="宋体" w:cs="宋体"/>
                <w:lang w:val="en-US" w:eastAsia="zh-CN"/>
              </w:rPr>
              <w:t>曹敏</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pPr>
              <w:jc w:val="center"/>
              <w:rPr>
                <w:rFonts w:hint="eastAsia" w:eastAsia="宋体"/>
                <w:szCs w:val="21"/>
                <w:lang w:eastAsia="zh-CN"/>
              </w:rPr>
            </w:pPr>
            <w:r>
              <w:rPr>
                <w:rFonts w:hint="eastAsia"/>
                <w:szCs w:val="21"/>
              </w:rPr>
              <w:t>负责标准总体框架的制定、修改</w:t>
            </w:r>
          </w:p>
        </w:tc>
      </w:tr>
      <w:tr>
        <w:tblPrEx>
          <w:tblLayout w:type="fixed"/>
        </w:tblPrEx>
        <w:trPr>
          <w:trHeight w:val="476" w:hRule="atLeast"/>
          <w:jc w:val="center"/>
        </w:trPr>
        <w:tc>
          <w:tcPr>
            <w:tcW w:w="653" w:type="dxa"/>
            <w:vAlign w:val="center"/>
          </w:tcPr>
          <w:p>
            <w:pPr>
              <w:jc w:val="center"/>
            </w:pPr>
            <w:r>
              <w:rPr>
                <w:rFonts w:hint="eastAsia"/>
              </w:rPr>
              <w:t>8</w:t>
            </w:r>
          </w:p>
        </w:tc>
        <w:tc>
          <w:tcPr>
            <w:tcW w:w="885" w:type="dxa"/>
            <w:vAlign w:val="center"/>
          </w:tcPr>
          <w:p>
            <w:pPr>
              <w:jc w:val="center"/>
              <w:rPr>
                <w:rFonts w:hint="eastAsia" w:ascii="宋体" w:hAnsi="宋体" w:eastAsia="宋体" w:cs="宋体"/>
                <w:lang w:eastAsia="zh-CN"/>
              </w:rPr>
            </w:pPr>
            <w:r>
              <w:rPr>
                <w:rFonts w:hint="eastAsia" w:ascii="宋体" w:hAnsi="宋体" w:cs="宋体"/>
                <w:lang w:eastAsia="zh-CN"/>
              </w:rPr>
              <w:t>郭鑫</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w:t>
            </w:r>
          </w:p>
        </w:tc>
        <w:tc>
          <w:tcPr>
            <w:tcW w:w="3602" w:type="dxa"/>
            <w:vAlign w:val="center"/>
          </w:tcPr>
          <w:p>
            <w:pPr>
              <w:jc w:val="center"/>
              <w:rPr>
                <w:rFonts w:hint="eastAsia" w:eastAsia="宋体"/>
                <w:szCs w:val="21"/>
                <w:lang w:eastAsia="zh-CN"/>
              </w:rPr>
            </w:pPr>
            <w:r>
              <w:rPr>
                <w:rFonts w:hint="eastAsia"/>
                <w:szCs w:val="21"/>
              </w:rPr>
              <w:t>负责标准总体框架的修改</w:t>
            </w:r>
          </w:p>
        </w:tc>
      </w:tr>
      <w:tr>
        <w:tblPrEx>
          <w:tblLayout w:type="fixed"/>
        </w:tblPrEx>
        <w:trPr>
          <w:trHeight w:val="476" w:hRule="atLeast"/>
          <w:jc w:val="center"/>
        </w:trPr>
        <w:tc>
          <w:tcPr>
            <w:tcW w:w="653" w:type="dxa"/>
            <w:vAlign w:val="center"/>
          </w:tcPr>
          <w:p>
            <w:pPr>
              <w:jc w:val="center"/>
              <w:rPr>
                <w:rFonts w:hint="eastAsia"/>
              </w:rPr>
            </w:pPr>
            <w:r>
              <w:rPr>
                <w:rFonts w:hint="eastAsia"/>
              </w:rPr>
              <w:t>9</w:t>
            </w:r>
          </w:p>
        </w:tc>
        <w:tc>
          <w:tcPr>
            <w:tcW w:w="885" w:type="dxa"/>
            <w:vAlign w:val="center"/>
          </w:tcPr>
          <w:p>
            <w:pPr>
              <w:jc w:val="center"/>
              <w:rPr>
                <w:rFonts w:hint="eastAsia" w:ascii="宋体" w:hAnsi="宋体" w:cs="宋体"/>
                <w:lang w:eastAsia="zh-CN"/>
              </w:rPr>
            </w:pPr>
            <w:r>
              <w:rPr>
                <w:rFonts w:hint="eastAsia" w:ascii="宋体" w:hAnsi="宋体" w:cs="宋体"/>
                <w:lang w:val="en-US" w:eastAsia="zh-CN"/>
              </w:rPr>
              <w:t>李攀</w:t>
            </w:r>
          </w:p>
        </w:tc>
        <w:tc>
          <w:tcPr>
            <w:tcW w:w="4170" w:type="dxa"/>
            <w:vAlign w:val="center"/>
          </w:tcPr>
          <w:p>
            <w:pPr>
              <w:jc w:val="center"/>
              <w:rPr>
                <w:rFonts w:hint="eastAsia"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rFonts w:hint="eastAsia"/>
                <w:szCs w:val="21"/>
                <w:lang w:eastAsia="zh-CN"/>
              </w:rPr>
            </w:pPr>
            <w:r>
              <w:rPr>
                <w:rFonts w:hint="eastAsia"/>
                <w:szCs w:val="21"/>
              </w:rPr>
              <w:t>负责标准内容的整理归纳和修改</w:t>
            </w:r>
          </w:p>
        </w:tc>
      </w:tr>
      <w:tr>
        <w:tblPrEx>
          <w:tblLayout w:type="fixed"/>
        </w:tblPrEx>
        <w:trPr>
          <w:trHeight w:val="476" w:hRule="atLeast"/>
          <w:jc w:val="center"/>
        </w:trPr>
        <w:tc>
          <w:tcPr>
            <w:tcW w:w="653" w:type="dxa"/>
            <w:vAlign w:val="center"/>
          </w:tcPr>
          <w:p>
            <w:pPr>
              <w:jc w:val="center"/>
              <w:rPr>
                <w:rFonts w:hint="eastAsia"/>
              </w:rPr>
            </w:pPr>
            <w:r>
              <w:rPr>
                <w:rFonts w:hint="eastAsia"/>
              </w:rPr>
              <w:t>10</w:t>
            </w:r>
          </w:p>
        </w:tc>
        <w:tc>
          <w:tcPr>
            <w:tcW w:w="885" w:type="dxa"/>
            <w:vAlign w:val="center"/>
          </w:tcPr>
          <w:p>
            <w:pPr>
              <w:jc w:val="center"/>
              <w:rPr>
                <w:rFonts w:hint="eastAsia" w:ascii="宋体" w:hAnsi="宋体" w:eastAsia="宋体" w:cs="宋体"/>
                <w:lang w:val="en-US" w:eastAsia="zh-CN"/>
              </w:rPr>
            </w:pPr>
            <w:r>
              <w:rPr>
                <w:rFonts w:hint="eastAsia" w:ascii="宋体" w:hAnsi="宋体" w:cs="宋体"/>
                <w:szCs w:val="21"/>
                <w:lang w:eastAsia="zh-CN"/>
              </w:rPr>
              <w:t>曹云龙</w:t>
            </w:r>
          </w:p>
        </w:tc>
        <w:tc>
          <w:tcPr>
            <w:tcW w:w="4170" w:type="dxa"/>
            <w:vAlign w:val="center"/>
          </w:tcPr>
          <w:p>
            <w:pPr>
              <w:jc w:val="center"/>
              <w:rPr>
                <w:rFonts w:hint="eastAsia" w:ascii="宋体" w:hAnsi="宋体" w:cs="宋体"/>
                <w:szCs w:val="21"/>
              </w:rPr>
            </w:pPr>
            <w:r>
              <w:rPr>
                <w:rFonts w:hint="eastAsia"/>
              </w:rPr>
              <w:t>中国能源建设集团陕西省电力设计院有限公司</w:t>
            </w:r>
          </w:p>
        </w:tc>
        <w:tc>
          <w:tcPr>
            <w:tcW w:w="3602" w:type="dxa"/>
            <w:vAlign w:val="center"/>
          </w:tcPr>
          <w:p>
            <w:pPr>
              <w:jc w:val="center"/>
              <w:rPr>
                <w:rFonts w:hint="eastAsia"/>
                <w:szCs w:val="21"/>
                <w:lang w:eastAsia="zh-CN"/>
              </w:rPr>
            </w:pPr>
            <w:r>
              <w:rPr>
                <w:rFonts w:hint="eastAsia"/>
                <w:szCs w:val="21"/>
                <w:lang w:eastAsia="zh-CN"/>
              </w:rPr>
              <w:t>负责标准评估方法部分的编写</w:t>
            </w:r>
          </w:p>
        </w:tc>
      </w:tr>
      <w:tr>
        <w:tblPrEx>
          <w:tblLayout w:type="fixed"/>
        </w:tblPrEx>
        <w:trPr>
          <w:trHeight w:val="476" w:hRule="atLeast"/>
          <w:jc w:val="center"/>
        </w:trPr>
        <w:tc>
          <w:tcPr>
            <w:tcW w:w="653" w:type="dxa"/>
            <w:vAlign w:val="center"/>
          </w:tcPr>
          <w:p>
            <w:pPr>
              <w:jc w:val="center"/>
            </w:pPr>
            <w:r>
              <w:rPr>
                <w:rFonts w:hint="eastAsia"/>
                <w:lang w:val="en-US" w:eastAsia="zh-CN"/>
              </w:rPr>
              <w:t>11</w:t>
            </w:r>
          </w:p>
        </w:tc>
        <w:tc>
          <w:tcPr>
            <w:tcW w:w="885" w:type="dxa"/>
            <w:vAlign w:val="center"/>
          </w:tcPr>
          <w:p>
            <w:pPr>
              <w:jc w:val="center"/>
              <w:rPr>
                <w:rFonts w:ascii="宋体" w:hAnsi="宋体" w:cs="宋体"/>
              </w:rPr>
            </w:pPr>
            <w:r>
              <w:rPr>
                <w:rFonts w:hint="eastAsia" w:ascii="宋体" w:hAnsi="宋体" w:cs="宋体"/>
                <w:lang w:eastAsia="zh-CN"/>
              </w:rPr>
              <w:t>李龙</w:t>
            </w:r>
          </w:p>
        </w:tc>
        <w:tc>
          <w:tcPr>
            <w:tcW w:w="4170" w:type="dxa"/>
            <w:vAlign w:val="center"/>
          </w:tcPr>
          <w:p>
            <w:pPr>
              <w:jc w:val="center"/>
              <w:rPr>
                <w:rFonts w:ascii="宋体" w:hAnsi="宋体" w:cs="宋体"/>
                <w:szCs w:val="21"/>
              </w:rPr>
            </w:pPr>
            <w:r>
              <w:rPr>
                <w:rFonts w:hint="eastAsia" w:ascii="宋体" w:hAnsi="宋体" w:cs="宋体"/>
                <w:szCs w:val="21"/>
              </w:rPr>
              <w:t>国网陕西省电力</w:t>
            </w:r>
            <w:r>
              <w:rPr>
                <w:rFonts w:hint="eastAsia" w:ascii="宋体" w:hAnsi="宋体" w:cs="宋体"/>
                <w:szCs w:val="21"/>
                <w:lang w:eastAsia="zh-CN"/>
              </w:rPr>
              <w:t>有限</w:t>
            </w:r>
            <w:r>
              <w:rPr>
                <w:rFonts w:hint="eastAsia" w:ascii="宋体" w:hAnsi="宋体" w:cs="宋体"/>
                <w:szCs w:val="21"/>
              </w:rPr>
              <w:t>公司电力科学研究院</w:t>
            </w:r>
          </w:p>
        </w:tc>
        <w:tc>
          <w:tcPr>
            <w:tcW w:w="3602" w:type="dxa"/>
            <w:vAlign w:val="center"/>
          </w:tcPr>
          <w:p>
            <w:pPr>
              <w:jc w:val="center"/>
              <w:rPr>
                <w:szCs w:val="21"/>
              </w:rPr>
            </w:pPr>
            <w:r>
              <w:rPr>
                <w:rFonts w:hint="eastAsia"/>
                <w:szCs w:val="21"/>
                <w:lang w:eastAsia="zh-CN"/>
              </w:rPr>
              <w:t>负责标准评估方法部分的编写</w:t>
            </w:r>
          </w:p>
        </w:tc>
      </w:tr>
      <w:tr>
        <w:tblPrEx>
          <w:tblLayout w:type="fixed"/>
        </w:tblPrEx>
        <w:trPr>
          <w:trHeight w:val="476" w:hRule="atLeast"/>
          <w:jc w:val="center"/>
        </w:trPr>
        <w:tc>
          <w:tcPr>
            <w:tcW w:w="653" w:type="dxa"/>
            <w:vAlign w:val="center"/>
          </w:tcPr>
          <w:p>
            <w:pPr>
              <w:jc w:val="center"/>
            </w:pPr>
            <w:r>
              <w:rPr>
                <w:rFonts w:hint="eastAsia"/>
              </w:rPr>
              <w:t>12</w:t>
            </w:r>
          </w:p>
        </w:tc>
        <w:tc>
          <w:tcPr>
            <w:tcW w:w="885" w:type="dxa"/>
            <w:vAlign w:val="center"/>
          </w:tcPr>
          <w:p>
            <w:pPr>
              <w:jc w:val="center"/>
              <w:rPr>
                <w:rFonts w:ascii="宋体" w:hAnsi="宋体" w:cs="宋体"/>
              </w:rPr>
            </w:pPr>
            <w:r>
              <w:rPr>
                <w:rFonts w:hint="eastAsia" w:ascii="宋体" w:hAnsi="宋体" w:cs="宋体"/>
                <w:szCs w:val="21"/>
                <w:lang w:eastAsia="zh-CN"/>
              </w:rPr>
              <w:t>刘雪萍</w:t>
            </w:r>
          </w:p>
        </w:tc>
        <w:tc>
          <w:tcPr>
            <w:tcW w:w="4170" w:type="dxa"/>
            <w:vAlign w:val="center"/>
          </w:tcPr>
          <w:p>
            <w:pPr>
              <w:jc w:val="center"/>
              <w:rPr>
                <w:rFonts w:ascii="宋体" w:hAnsi="宋体" w:cs="宋体"/>
                <w:szCs w:val="21"/>
              </w:rPr>
            </w:pPr>
            <w:r>
              <w:rPr>
                <w:rFonts w:hint="eastAsia"/>
              </w:rPr>
              <w:t>陕西省电力行业协会电动交通及储能分会</w:t>
            </w:r>
          </w:p>
        </w:tc>
        <w:tc>
          <w:tcPr>
            <w:tcW w:w="3602" w:type="dxa"/>
            <w:vAlign w:val="center"/>
          </w:tcPr>
          <w:p>
            <w:pPr>
              <w:jc w:val="center"/>
              <w:rPr>
                <w:szCs w:val="21"/>
              </w:rPr>
            </w:pPr>
            <w:r>
              <w:rPr>
                <w:rFonts w:hint="eastAsia"/>
                <w:szCs w:val="21"/>
              </w:rPr>
              <w:t>负责标准研究的项目进度管理</w:t>
            </w:r>
          </w:p>
        </w:tc>
      </w:tr>
      <w:tr>
        <w:tblPrEx>
          <w:tblLayout w:type="fixed"/>
        </w:tblPrEx>
        <w:trPr>
          <w:trHeight w:val="476" w:hRule="atLeast"/>
          <w:jc w:val="center"/>
        </w:trPr>
        <w:tc>
          <w:tcPr>
            <w:tcW w:w="653" w:type="dxa"/>
            <w:vAlign w:val="center"/>
          </w:tcPr>
          <w:p>
            <w:pPr>
              <w:jc w:val="center"/>
              <w:rPr>
                <w:rFonts w:hint="eastAsia"/>
              </w:rPr>
            </w:pPr>
            <w:r>
              <w:rPr>
                <w:rFonts w:hint="eastAsia"/>
              </w:rPr>
              <w:t>13</w:t>
            </w:r>
          </w:p>
        </w:tc>
        <w:tc>
          <w:tcPr>
            <w:tcW w:w="885" w:type="dxa"/>
            <w:vAlign w:val="center"/>
          </w:tcPr>
          <w:p>
            <w:pPr>
              <w:jc w:val="center"/>
              <w:rPr>
                <w:rFonts w:hint="eastAsia" w:ascii="宋体" w:hAnsi="宋体" w:cs="宋体"/>
                <w:lang w:eastAsia="zh-CN"/>
              </w:rPr>
            </w:pPr>
            <w:r>
              <w:rPr>
                <w:rFonts w:hint="eastAsia" w:ascii="宋体" w:hAnsi="宋体" w:cs="宋体"/>
                <w:lang w:eastAsia="zh-CN"/>
              </w:rPr>
              <w:t>周晶</w:t>
            </w:r>
          </w:p>
        </w:tc>
        <w:tc>
          <w:tcPr>
            <w:tcW w:w="4170" w:type="dxa"/>
            <w:vAlign w:val="center"/>
          </w:tcPr>
          <w:p>
            <w:pPr>
              <w:jc w:val="center"/>
              <w:rPr>
                <w:rFonts w:hint="eastAsia" w:ascii="宋体" w:hAnsi="宋体" w:cs="宋体"/>
                <w:szCs w:val="21"/>
              </w:rPr>
            </w:pPr>
            <w:r>
              <w:rPr>
                <w:rFonts w:hint="eastAsia" w:ascii="宋体" w:hAnsi="宋体" w:cs="宋体"/>
                <w:szCs w:val="21"/>
              </w:rPr>
              <w:t>西安城投智能充电股份有限公司</w:t>
            </w:r>
          </w:p>
        </w:tc>
        <w:tc>
          <w:tcPr>
            <w:tcW w:w="3602" w:type="dxa"/>
            <w:vAlign w:val="center"/>
          </w:tcPr>
          <w:p>
            <w:pPr>
              <w:jc w:val="center"/>
              <w:rPr>
                <w:szCs w:val="21"/>
              </w:rPr>
            </w:pPr>
            <w:r>
              <w:rPr>
                <w:rFonts w:hint="eastAsia"/>
                <w:szCs w:val="21"/>
                <w:lang w:eastAsia="zh-CN"/>
              </w:rPr>
              <w:t>负责标准隐患整改部分内容的编写</w:t>
            </w:r>
          </w:p>
        </w:tc>
      </w:tr>
      <w:tr>
        <w:tblPrEx>
          <w:tblLayout w:type="fixed"/>
        </w:tblPrEx>
        <w:trPr>
          <w:trHeight w:val="484" w:hRule="atLeast"/>
          <w:jc w:val="center"/>
        </w:trPr>
        <w:tc>
          <w:tcPr>
            <w:tcW w:w="653" w:type="dxa"/>
            <w:vAlign w:val="center"/>
          </w:tcPr>
          <w:p>
            <w:pPr>
              <w:jc w:val="center"/>
              <w:rPr>
                <w:rFonts w:hint="eastAsia" w:eastAsia="宋体"/>
                <w:lang w:val="en-US" w:eastAsia="zh-CN"/>
              </w:rPr>
            </w:pPr>
            <w:r>
              <w:rPr>
                <w:rFonts w:hint="eastAsia"/>
              </w:rPr>
              <w:t>14</w:t>
            </w:r>
          </w:p>
        </w:tc>
        <w:tc>
          <w:tcPr>
            <w:tcW w:w="885" w:type="dxa"/>
            <w:vAlign w:val="center"/>
          </w:tcPr>
          <w:p>
            <w:pPr>
              <w:jc w:val="center"/>
              <w:rPr>
                <w:rFonts w:hint="eastAsia" w:ascii="宋体" w:hAnsi="宋体" w:eastAsia="宋体" w:cs="宋体"/>
                <w:lang w:eastAsia="zh-CN"/>
              </w:rPr>
            </w:pPr>
            <w:r>
              <w:rPr>
                <w:rFonts w:hint="eastAsia" w:ascii="宋体" w:hAnsi="宋体" w:cs="宋体"/>
                <w:szCs w:val="21"/>
              </w:rPr>
              <w:t>罗超</w:t>
            </w:r>
          </w:p>
        </w:tc>
        <w:tc>
          <w:tcPr>
            <w:tcW w:w="4170" w:type="dxa"/>
            <w:vAlign w:val="center"/>
          </w:tcPr>
          <w:p>
            <w:pPr>
              <w:jc w:val="center"/>
              <w:rPr>
                <w:rFonts w:ascii="宋体" w:hAnsi="宋体" w:cs="宋体"/>
                <w:szCs w:val="21"/>
              </w:rPr>
            </w:pPr>
            <w:r>
              <w:rPr>
                <w:rFonts w:hint="eastAsia" w:ascii="宋体" w:hAnsi="宋体" w:cs="宋体"/>
                <w:szCs w:val="21"/>
              </w:rPr>
              <w:t>西安城投新能源有限责任公司</w:t>
            </w:r>
          </w:p>
        </w:tc>
        <w:tc>
          <w:tcPr>
            <w:tcW w:w="3602" w:type="dxa"/>
            <w:vAlign w:val="center"/>
          </w:tcPr>
          <w:p>
            <w:pPr>
              <w:jc w:val="center"/>
              <w:rPr>
                <w:rFonts w:hint="eastAsia" w:eastAsia="宋体"/>
                <w:szCs w:val="21"/>
                <w:lang w:eastAsia="zh-CN"/>
              </w:rPr>
            </w:pPr>
            <w:r>
              <w:rPr>
                <w:rFonts w:hint="eastAsia"/>
                <w:szCs w:val="21"/>
                <w:lang w:eastAsia="zh-CN"/>
              </w:rPr>
              <w:t>负责标准隐患整改部分内容的编写</w:t>
            </w:r>
          </w:p>
        </w:tc>
      </w:tr>
      <w:tr>
        <w:tblPrEx>
          <w:tblLayout w:type="fixed"/>
        </w:tblPrEx>
        <w:trPr>
          <w:trHeight w:val="476" w:hRule="atLeast"/>
          <w:jc w:val="center"/>
        </w:trPr>
        <w:tc>
          <w:tcPr>
            <w:tcW w:w="653" w:type="dxa"/>
            <w:vAlign w:val="center"/>
          </w:tcPr>
          <w:p>
            <w:pPr>
              <w:jc w:val="center"/>
            </w:pPr>
            <w:r>
              <w:rPr>
                <w:rFonts w:hint="eastAsia"/>
                <w:lang w:val="en-US" w:eastAsia="zh-CN"/>
              </w:rPr>
              <w:t>15</w:t>
            </w:r>
          </w:p>
        </w:tc>
        <w:tc>
          <w:tcPr>
            <w:tcW w:w="885" w:type="dxa"/>
            <w:vAlign w:val="center"/>
          </w:tcPr>
          <w:p>
            <w:pPr>
              <w:jc w:val="center"/>
              <w:rPr>
                <w:rFonts w:ascii="宋体" w:hAnsi="宋体" w:cs="宋体"/>
              </w:rPr>
            </w:pPr>
            <w:r>
              <w:rPr>
                <w:rFonts w:hint="eastAsia" w:ascii="宋体" w:hAnsi="宋体" w:cs="宋体"/>
                <w:szCs w:val="21"/>
              </w:rPr>
              <w:t>武虎雄</w:t>
            </w:r>
          </w:p>
        </w:tc>
        <w:tc>
          <w:tcPr>
            <w:tcW w:w="4170" w:type="dxa"/>
            <w:vAlign w:val="center"/>
          </w:tcPr>
          <w:p>
            <w:pPr>
              <w:jc w:val="center"/>
              <w:rPr>
                <w:rFonts w:ascii="宋体" w:hAnsi="宋体" w:cs="宋体"/>
                <w:szCs w:val="21"/>
              </w:rPr>
            </w:pPr>
            <w:r>
              <w:rPr>
                <w:rFonts w:hint="eastAsia" w:ascii="宋体" w:hAnsi="宋体" w:cs="宋体"/>
                <w:szCs w:val="21"/>
              </w:rPr>
              <w:t>陕西华添聚能科技有限公司</w:t>
            </w:r>
          </w:p>
        </w:tc>
        <w:tc>
          <w:tcPr>
            <w:tcW w:w="3602" w:type="dxa"/>
            <w:vAlign w:val="center"/>
          </w:tcPr>
          <w:p>
            <w:pPr>
              <w:jc w:val="center"/>
              <w:rPr>
                <w:rFonts w:hint="eastAsia" w:eastAsia="宋体"/>
                <w:szCs w:val="21"/>
                <w:lang w:eastAsia="zh-CN"/>
              </w:rPr>
            </w:pPr>
            <w:r>
              <w:rPr>
                <w:rFonts w:hint="eastAsia"/>
                <w:szCs w:val="21"/>
                <w:lang w:eastAsia="zh-CN"/>
              </w:rPr>
              <w:t>负责标准评估方法部分的编写</w:t>
            </w:r>
          </w:p>
        </w:tc>
      </w:tr>
    </w:tbl>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标准编制原则和标准主要内容：包括</w:t>
      </w:r>
      <w:r>
        <w:rPr>
          <w:rFonts w:hint="eastAsia" w:asciiTheme="minorEastAsia" w:hAnsiTheme="minorEastAsia" w:eastAsiaTheme="minorEastAsia" w:cstheme="minorEastAsia"/>
          <w:b/>
          <w:bCs/>
          <w:sz w:val="28"/>
          <w:szCs w:val="28"/>
          <w:lang w:eastAsia="zh-CN"/>
        </w:rPr>
        <w:t>标准编制所遵循的原则，以及标准结构、要素、技术要求、关键指标的确定依据和主要内容；</w:t>
      </w:r>
      <w:r>
        <w:rPr>
          <w:rFonts w:hint="eastAsia" w:asciiTheme="minorEastAsia" w:hAnsiTheme="minorEastAsia" w:eastAsiaTheme="minorEastAsia" w:cstheme="minorEastAsia"/>
          <w:b/>
          <w:bCs/>
          <w:sz w:val="28"/>
          <w:szCs w:val="28"/>
        </w:rPr>
        <w:t>地方标准修订项目还应当列出和原标准主要差异情况；</w:t>
      </w:r>
    </w:p>
    <w:p>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1.陕西省地方标准编制原则</w:t>
      </w:r>
    </w:p>
    <w:p>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本标准的编制依据《中华人民共和国标准法》和《地方标准管理办法》的规定进行编制。</w:t>
      </w:r>
    </w:p>
    <w:p>
      <w:pPr>
        <w:tabs>
          <w:tab w:val="left" w:pos="851"/>
        </w:tabs>
        <w:spacing w:line="360" w:lineRule="auto"/>
        <w:ind w:firstLine="480"/>
        <w:rPr>
          <w:rFonts w:asciiTheme="minorEastAsia" w:hAnsiTheme="minorEastAsia" w:eastAsiaTheme="minorEastAsia" w:cstheme="minorEastAsia"/>
          <w:b/>
          <w:bCs/>
          <w:color w:val="000000"/>
          <w:sz w:val="24"/>
          <w:szCs w:val="32"/>
        </w:rPr>
      </w:pPr>
      <w:r>
        <w:rPr>
          <w:rFonts w:hint="eastAsia" w:asciiTheme="minorEastAsia" w:hAnsiTheme="minorEastAsia" w:eastAsiaTheme="minorEastAsia" w:cstheme="minorEastAsia"/>
          <w:b/>
          <w:bCs/>
          <w:color w:val="000000"/>
          <w:sz w:val="24"/>
          <w:szCs w:val="32"/>
        </w:rPr>
        <w:t>2.确定地方标准的主要内容</w:t>
      </w:r>
    </w:p>
    <w:p>
      <w:pPr>
        <w:tabs>
          <w:tab w:val="left" w:pos="851"/>
        </w:tabs>
        <w:spacing w:line="360" w:lineRule="auto"/>
        <w:ind w:firstLine="480"/>
        <w:rPr>
          <w:rFonts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本标准是起草组以现有</w:t>
      </w:r>
      <w:r>
        <w:rPr>
          <w:rFonts w:hint="eastAsia" w:asciiTheme="minorEastAsia" w:hAnsiTheme="minorEastAsia" w:eastAsiaTheme="minorEastAsia" w:cstheme="minorEastAsia"/>
          <w:color w:val="000000"/>
          <w:sz w:val="24"/>
          <w:szCs w:val="32"/>
          <w:lang w:eastAsia="zh-CN"/>
        </w:rPr>
        <w:t>电动汽车充电</w:t>
      </w:r>
      <w:r>
        <w:rPr>
          <w:rFonts w:hint="eastAsia" w:asciiTheme="minorEastAsia" w:hAnsiTheme="minorEastAsia" w:eastAsiaTheme="minorEastAsia" w:cstheme="minorEastAsia"/>
          <w:color w:val="000000"/>
          <w:sz w:val="24"/>
          <w:szCs w:val="32"/>
        </w:rPr>
        <w:t>问题为导向，结合陕西省</w:t>
      </w:r>
      <w:r>
        <w:rPr>
          <w:rFonts w:hint="eastAsia" w:ascii="宋体" w:hAnsi="宋体"/>
          <w:sz w:val="24"/>
        </w:rPr>
        <w:t>电化学储能</w:t>
      </w:r>
      <w:r>
        <w:rPr>
          <w:rFonts w:hint="eastAsia" w:ascii="宋体" w:hAnsi="宋体"/>
          <w:sz w:val="24"/>
          <w:lang w:eastAsia="zh-CN"/>
        </w:rPr>
        <w:t>技术在充电领域应用存在</w:t>
      </w:r>
      <w:r>
        <w:rPr>
          <w:rFonts w:hint="eastAsia" w:asciiTheme="minorEastAsia" w:hAnsiTheme="minorEastAsia" w:eastAsiaTheme="minorEastAsia" w:cstheme="minorEastAsia"/>
          <w:color w:val="000000"/>
          <w:sz w:val="24"/>
          <w:szCs w:val="32"/>
        </w:rPr>
        <w:t>的</w:t>
      </w:r>
      <w:r>
        <w:rPr>
          <w:rFonts w:hint="eastAsia" w:asciiTheme="minorEastAsia" w:hAnsiTheme="minorEastAsia" w:eastAsiaTheme="minorEastAsia" w:cstheme="minorEastAsia"/>
          <w:color w:val="000000"/>
          <w:sz w:val="24"/>
          <w:szCs w:val="32"/>
          <w:lang w:eastAsia="zh-CN"/>
        </w:rPr>
        <w:t>风险</w:t>
      </w:r>
      <w:r>
        <w:rPr>
          <w:rFonts w:hint="eastAsia" w:asciiTheme="minorEastAsia" w:hAnsiTheme="minorEastAsia" w:eastAsiaTheme="minorEastAsia" w:cstheme="minorEastAsia"/>
          <w:color w:val="000000"/>
          <w:sz w:val="24"/>
          <w:szCs w:val="32"/>
        </w:rPr>
        <w:t>，同时结合国内同类研究进展而制定的。</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（1）适用范围</w:t>
      </w:r>
    </w:p>
    <w:p>
      <w:pPr>
        <w:tabs>
          <w:tab w:val="left" w:pos="851"/>
        </w:tabs>
        <w:spacing w:line="360" w:lineRule="auto"/>
        <w:ind w:firstLine="48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本文件规定了电化学储能电站安全评估组织、程序、评估内容、风险评估方法和隐患整改的要求。</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文件适用于功率500kW及以上且容量500kW·h及以上的磷酸铁锂电池、铅酸/铅炭电池、全钒液流电池储能电站或储能设施，不适用于移动储能车和数据中心、通信机房等场所作为应急电源的铅酸/铅炭电池储能设施。其他规模相关电池类型的储能电站（储能设施）可参照执行。</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（2）规范引用文件</w:t>
      </w:r>
    </w:p>
    <w:p>
      <w:pPr>
        <w:tabs>
          <w:tab w:val="left" w:pos="851"/>
        </w:tabs>
        <w:spacing w:line="360" w:lineRule="auto"/>
        <w:ind w:firstLine="480"/>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下列文件中的条款通过本标准的引用而成为本标准的条款。凡是注日期的引用文件，其随后所有的修改单（不包括勘误的内容）或修订版进不适用本标准。凡是不注明日期的引用文件，其最新版本适用本标准。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25201-2010 建筑消防设施的维护管理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26860-2011 电力安全工作规程（发电厂和变电站电气部分）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34131-2017 电化学储能电站用锂离子电池管理系统技术规范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34133-2017 储能变流器检测技术规程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34120-2017 电化学储能系统储能变流器技术规范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36276-2018 电力储能用锂离子电池</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36280-2018 电力储能用铅炭电池</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36547-2018 电化学储能系统接入电网技术规定</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36548-2018 电化学储能系统接入电网测试规范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36549-2018 电化学储能电站运行指标及评价</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36558-2018 电力系统电化学储能系统通用技术条件</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40090-2021 储能电站运行维护规程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GB/T 40248-2021 人员密集场所消防安全管理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50016-2014（2018年版） 建筑设计防火规范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50229-2019 火力发电厂及变电站设计防火标准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GB 51048-2014 电化学储能电站设计规范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DL/T 2246-2021 电化学储能电站并网运行与控制技术规范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DL/T 5027-2015 电力设备典型消防规程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GA 503-2004 建筑消防设施检测技术规程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DB32/T 186—2015 建筑消防设施检测技术规程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T/CEC 252-2019 分布式电化学储能系统运行维护规程</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T/CEC 373-2020 预制舱式磷酸铁锂电池储能电站消防技术规范</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T/CSAE 88-2018 小型电化学储能电站消防安全技术要求</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NFPA 855-2020 固定式储能系统安装标准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UL 9540-2020 储能系统与设备安全标准</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建设工程消防设计审查验收管理暂行规定</w:t>
      </w:r>
    </w:p>
    <w:p>
      <w:pPr>
        <w:tabs>
          <w:tab w:val="left" w:pos="851"/>
          <w:tab w:val="right" w:pos="7826"/>
        </w:tabs>
        <w:spacing w:line="360" w:lineRule="auto"/>
        <w:ind w:firstLine="480"/>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中华人民共和国消防法</w:t>
      </w:r>
    </w:p>
    <w:p>
      <w:pPr>
        <w:tabs>
          <w:tab w:val="left" w:pos="851"/>
          <w:tab w:val="right" w:pos="7826"/>
        </w:tabs>
        <w:spacing w:line="360" w:lineRule="auto"/>
        <w:ind w:firstLine="480"/>
        <w:rPr>
          <w:rFonts w:asciiTheme="minorEastAsia" w:hAnsiTheme="minorEastAsia" w:eastAsiaTheme="minorEastAsia" w:cstheme="minorEastAsia"/>
          <w:color w:val="FF0000"/>
          <w:sz w:val="24"/>
          <w:szCs w:val="32"/>
        </w:rPr>
      </w:pPr>
      <w:r>
        <w:rPr>
          <w:rFonts w:hint="eastAsia" w:asciiTheme="minorEastAsia" w:hAnsiTheme="minorEastAsia" w:eastAsiaTheme="minorEastAsia" w:cstheme="minorEastAsia"/>
          <w:color w:val="auto"/>
          <w:sz w:val="24"/>
          <w:szCs w:val="32"/>
        </w:rPr>
        <w:t>中华人民共和国安全生产法</w:t>
      </w:r>
      <w:r>
        <w:rPr>
          <w:rFonts w:hint="eastAsia" w:asciiTheme="minorEastAsia" w:hAnsiTheme="minorEastAsia" w:eastAsiaTheme="minorEastAsia" w:cstheme="minorEastAsia"/>
          <w:color w:val="FF0000"/>
          <w:sz w:val="24"/>
          <w:szCs w:val="32"/>
        </w:rPr>
        <w:tab/>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3.地方标准修订项目还应当列出和原标准主要差异情况</w:t>
      </w:r>
    </w:p>
    <w:p>
      <w:pPr>
        <w:spacing w:line="360" w:lineRule="auto"/>
        <w:ind w:firstLine="48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4"/>
        </w:rPr>
        <w:t>本标准为新编标准，无差异情况。</w:t>
      </w:r>
    </w:p>
    <w:p>
      <w:pPr>
        <w:numPr>
          <w:ilvl w:val="0"/>
          <w:numId w:val="2"/>
        </w:numPr>
        <w:ind w:firstLine="56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8"/>
          <w:szCs w:val="28"/>
        </w:rPr>
        <w:t>实证研究：应将标准实施验证工作所采用的试验</w:t>
      </w:r>
      <w:r>
        <w:rPr>
          <w:rFonts w:hint="eastAsia" w:asciiTheme="minorEastAsia" w:hAnsiTheme="minorEastAsia" w:eastAsiaTheme="minorEastAsia" w:cstheme="minorEastAsia"/>
          <w:b/>
          <w:bCs/>
          <w:sz w:val="28"/>
          <w:szCs w:val="28"/>
          <w:lang w:eastAsia="zh-CN"/>
        </w:rPr>
        <w:t>方法</w:t>
      </w:r>
      <w:r>
        <w:rPr>
          <w:rFonts w:hint="eastAsia" w:asciiTheme="minorEastAsia" w:hAnsiTheme="minorEastAsia" w:eastAsiaTheme="minorEastAsia" w:cstheme="minorEastAsia"/>
          <w:b/>
          <w:bCs/>
          <w:sz w:val="28"/>
          <w:szCs w:val="28"/>
        </w:rPr>
        <w:t>、调查、测量分析、数据统计、实证效果</w:t>
      </w:r>
      <w:r>
        <w:rPr>
          <w:rFonts w:hint="eastAsia" w:asciiTheme="minorEastAsia" w:hAnsiTheme="minorEastAsia" w:eastAsiaTheme="minorEastAsia" w:cstheme="minorEastAsia"/>
          <w:b/>
          <w:bCs/>
          <w:sz w:val="28"/>
          <w:szCs w:val="28"/>
          <w:lang w:eastAsia="zh-CN"/>
        </w:rPr>
        <w:t>验证报告</w:t>
      </w:r>
      <w:r>
        <w:rPr>
          <w:rFonts w:hint="eastAsia" w:asciiTheme="minorEastAsia" w:hAnsiTheme="minorEastAsia" w:eastAsiaTheme="minorEastAsia" w:cstheme="minorEastAsia"/>
          <w:b/>
          <w:bCs/>
          <w:sz w:val="28"/>
          <w:szCs w:val="28"/>
        </w:rPr>
        <w:t>等情况进行说明</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该标准研究不涉及试验、测量分析、效果验证。</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知识产权说明：标准涉及的相关知识产权说明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本标准知识产权归国网陕西省电力</w:t>
      </w:r>
      <w:r>
        <w:rPr>
          <w:rFonts w:hint="eastAsia" w:asciiTheme="minorEastAsia" w:hAnsiTheme="minorEastAsia" w:eastAsiaTheme="minorEastAsia" w:cstheme="minorEastAsia"/>
          <w:sz w:val="24"/>
          <w:lang w:eastAsia="zh-CN"/>
        </w:rPr>
        <w:t>有限</w:t>
      </w:r>
      <w:r>
        <w:rPr>
          <w:rFonts w:hint="eastAsia" w:asciiTheme="minorEastAsia" w:hAnsiTheme="minorEastAsia" w:eastAsiaTheme="minorEastAsia" w:cstheme="minorEastAsia"/>
          <w:sz w:val="24"/>
        </w:rPr>
        <w:t>公司电力科学研究院所有。</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采标情况：采用国际标准和国外先进标准的程度或与国内同类标准水平的比较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目前，国内尚没有制定该方面的行业标准和地方标准，本项目所制定的地方标准属首次提出。该标准可作为我省在电化学储能电站安全风险评估的地方标准，填补我省在该领域的空白。</w:t>
      </w:r>
    </w:p>
    <w:p>
      <w:pPr>
        <w:numPr>
          <w:ilvl w:val="0"/>
          <w:numId w:val="2"/>
        </w:num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重大意见分歧的处理：包括处理过程、依据和结果；</w:t>
      </w:r>
    </w:p>
    <w:p>
      <w:pPr>
        <w:spacing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无重大分歧意见。</w:t>
      </w:r>
    </w:p>
    <w:p>
      <w:pPr>
        <w:pStyle w:val="14"/>
        <w:numPr>
          <w:ilvl w:val="0"/>
          <w:numId w:val="0"/>
        </w:numPr>
        <w:spacing w:line="360" w:lineRule="auto"/>
        <w:ind w:firstLine="562" w:firstLineChars="200"/>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七、</w:t>
      </w:r>
      <w:r>
        <w:rPr>
          <w:rFonts w:hint="eastAsia" w:asciiTheme="minorEastAsia" w:hAnsiTheme="minorEastAsia" w:eastAsiaTheme="minorEastAsia" w:cstheme="minorEastAsia"/>
          <w:b/>
          <w:bCs/>
          <w:sz w:val="28"/>
          <w:szCs w:val="28"/>
          <w:lang w:eastAsia="zh-CN"/>
        </w:rPr>
        <w:t>其他应说明的事项</w:t>
      </w:r>
    </w:p>
    <w:p>
      <w:pPr>
        <w:pStyle w:val="14"/>
        <w:numPr>
          <w:ilvl w:val="0"/>
          <w:numId w:val="0"/>
        </w:numPr>
        <w:spacing w:line="360" w:lineRule="auto"/>
        <w:ind w:firstLine="480" w:firstLineChars="200"/>
        <w:outlineLvl w:val="9"/>
        <w:rPr>
          <w:rFonts w:hint="eastAsia" w:hAnsi="宋体" w:eastAsia="宋体" w:cs="宋体"/>
          <w:color w:val="000000"/>
          <w:sz w:val="24"/>
          <w:szCs w:val="24"/>
          <w:shd w:val="clear" w:color="auto" w:fill="FFFFFF"/>
          <w:lang w:eastAsia="zh-CN"/>
        </w:rPr>
      </w:pPr>
      <w:r>
        <w:rPr>
          <w:rFonts w:hint="eastAsia" w:hAnsi="宋体" w:cs="宋体"/>
          <w:color w:val="000000"/>
          <w:sz w:val="24"/>
          <w:szCs w:val="24"/>
          <w:shd w:val="clear" w:color="auto" w:fill="FFFFFF"/>
          <w:lang w:eastAsia="zh-CN"/>
        </w:rPr>
        <w:t>无其他应说明的事项。</w:t>
      </w:r>
    </w:p>
    <w:p>
      <w:pPr>
        <w:pStyle w:val="14"/>
        <w:numPr>
          <w:ilvl w:val="0"/>
          <w:numId w:val="0"/>
        </w:numPr>
        <w:spacing w:line="360" w:lineRule="auto"/>
        <w:outlineLvl w:val="9"/>
        <w:rPr>
          <w:rFonts w:hAnsi="宋体" w:cs="宋体"/>
          <w:color w:val="000000"/>
          <w:shd w:val="clear" w:color="auto" w:fill="FFFFFF"/>
        </w:rPr>
      </w:pPr>
    </w:p>
    <w:p>
      <w:pPr>
        <w:pStyle w:val="12"/>
        <w:ind w:firstLine="0" w:firstLineChars="0"/>
        <w:rPr>
          <w:rFonts w:hAnsi="宋体" w:cs="宋体"/>
          <w:color w:val="000000"/>
          <w:shd w:val="clear" w:color="auto" w:fill="FFFFFF"/>
        </w:rPr>
      </w:pPr>
    </w:p>
    <w:sectPr>
      <w:footerReference r:id="rId3" w:type="default"/>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644369"/>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99EA"/>
    <w:multiLevelType w:val="singleLevel"/>
    <w:tmpl w:val="085F99EA"/>
    <w:lvl w:ilvl="0" w:tentative="0">
      <w:start w:val="2"/>
      <w:numFmt w:val="decimal"/>
      <w:lvlText w:val="%1."/>
      <w:lvlJc w:val="left"/>
      <w:pPr>
        <w:tabs>
          <w:tab w:val="left" w:pos="312"/>
        </w:tabs>
      </w:pPr>
    </w:lvl>
  </w:abstractNum>
  <w:abstractNum w:abstractNumId="1">
    <w:nsid w:val="0EA87F3E"/>
    <w:multiLevelType w:val="singleLevel"/>
    <w:tmpl w:val="0EA87F3E"/>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6107"/>
    <w:rsid w:val="002A4F3E"/>
    <w:rsid w:val="003A5A70"/>
    <w:rsid w:val="004B6A67"/>
    <w:rsid w:val="00631197"/>
    <w:rsid w:val="00675FC7"/>
    <w:rsid w:val="00735A5B"/>
    <w:rsid w:val="007A2786"/>
    <w:rsid w:val="007F0071"/>
    <w:rsid w:val="00805176"/>
    <w:rsid w:val="00816E50"/>
    <w:rsid w:val="00833304"/>
    <w:rsid w:val="008C1099"/>
    <w:rsid w:val="009121C5"/>
    <w:rsid w:val="00934E05"/>
    <w:rsid w:val="009A46EE"/>
    <w:rsid w:val="009C0F7A"/>
    <w:rsid w:val="00B06068"/>
    <w:rsid w:val="00BE3EFF"/>
    <w:rsid w:val="00C62C09"/>
    <w:rsid w:val="00C84068"/>
    <w:rsid w:val="00CD0812"/>
    <w:rsid w:val="00F43AE5"/>
    <w:rsid w:val="00F66CD9"/>
    <w:rsid w:val="05A770A6"/>
    <w:rsid w:val="07E66BB3"/>
    <w:rsid w:val="0E3B25D2"/>
    <w:rsid w:val="1119280B"/>
    <w:rsid w:val="1202048D"/>
    <w:rsid w:val="172169F0"/>
    <w:rsid w:val="18374614"/>
    <w:rsid w:val="18926075"/>
    <w:rsid w:val="18DA20A1"/>
    <w:rsid w:val="18E505AC"/>
    <w:rsid w:val="1B826C75"/>
    <w:rsid w:val="1E3E31E1"/>
    <w:rsid w:val="1EBF6107"/>
    <w:rsid w:val="1F6D544A"/>
    <w:rsid w:val="2195288B"/>
    <w:rsid w:val="25193E40"/>
    <w:rsid w:val="2A160D51"/>
    <w:rsid w:val="2E056440"/>
    <w:rsid w:val="2F52372A"/>
    <w:rsid w:val="2F6D191E"/>
    <w:rsid w:val="304F754B"/>
    <w:rsid w:val="31C43EDB"/>
    <w:rsid w:val="338D31C9"/>
    <w:rsid w:val="363261C0"/>
    <w:rsid w:val="37270ABF"/>
    <w:rsid w:val="3BC1062B"/>
    <w:rsid w:val="3C2C4D6A"/>
    <w:rsid w:val="3FBA4A7E"/>
    <w:rsid w:val="42D80128"/>
    <w:rsid w:val="457E64F9"/>
    <w:rsid w:val="46F062A7"/>
    <w:rsid w:val="48FE5348"/>
    <w:rsid w:val="4A8D6FC1"/>
    <w:rsid w:val="4DEA56E4"/>
    <w:rsid w:val="4FBA46FF"/>
    <w:rsid w:val="50A51AA9"/>
    <w:rsid w:val="52F63A20"/>
    <w:rsid w:val="535B1FAE"/>
    <w:rsid w:val="5B1537C7"/>
    <w:rsid w:val="5E3A59AA"/>
    <w:rsid w:val="609F39BC"/>
    <w:rsid w:val="60EE4B42"/>
    <w:rsid w:val="61D459D9"/>
    <w:rsid w:val="654614E1"/>
    <w:rsid w:val="6BFA70B0"/>
    <w:rsid w:val="79150843"/>
    <w:rsid w:val="7B7E3170"/>
    <w:rsid w:val="7BE1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8"/>
    <w:unhideWhenUsed/>
    <w:qFormat/>
    <w:uiPriority w:val="0"/>
    <w:pPr>
      <w:autoSpaceDE w:val="0"/>
      <w:autoSpaceDN w:val="0"/>
      <w:adjustRightInd w:val="0"/>
      <w:ind w:left="118"/>
      <w:jc w:val="left"/>
    </w:pPr>
    <w:rPr>
      <w:rFonts w:ascii="宋体" w:cs="宋体"/>
      <w:kern w:val="0"/>
      <w:sz w:val="20"/>
      <w:szCs w:val="21"/>
    </w:rPr>
  </w:style>
  <w:style w:type="paragraph" w:styleId="3">
    <w:name w:val="Balloon Text"/>
    <w:basedOn w:val="1"/>
    <w:link w:val="17"/>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页脚 Char"/>
    <w:basedOn w:val="7"/>
    <w:link w:val="4"/>
    <w:qFormat/>
    <w:uiPriority w:val="99"/>
    <w:rPr>
      <w:rFonts w:ascii="Times New Roman" w:hAnsi="Times New Roman"/>
      <w:kern w:val="2"/>
      <w:sz w:val="18"/>
      <w:szCs w:val="18"/>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二级无"/>
    <w:basedOn w:val="15"/>
    <w:qFormat/>
    <w:uiPriority w:val="0"/>
    <w:pPr>
      <w:spacing w:beforeLines="0" w:afterLines="0"/>
    </w:pPr>
    <w:rPr>
      <w:rFonts w:ascii="宋体" w:eastAsia="宋体"/>
    </w:rPr>
  </w:style>
  <w:style w:type="paragraph" w:customStyle="1" w:styleId="15">
    <w:name w:val="二级条标题"/>
    <w:basedOn w:val="16"/>
    <w:next w:val="12"/>
    <w:qFormat/>
    <w:uiPriority w:val="0"/>
    <w:pPr>
      <w:numPr>
        <w:ilvl w:val="2"/>
      </w:numPr>
      <w:spacing w:before="50" w:after="50"/>
      <w:outlineLvl w:val="3"/>
    </w:pPr>
  </w:style>
  <w:style w:type="paragraph" w:customStyle="1" w:styleId="16">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7">
    <w:name w:val="批注框文本 Char"/>
    <w:basedOn w:val="7"/>
    <w:link w:val="3"/>
    <w:qFormat/>
    <w:uiPriority w:val="0"/>
    <w:rPr>
      <w:kern w:val="2"/>
      <w:sz w:val="18"/>
      <w:szCs w:val="18"/>
    </w:rPr>
  </w:style>
  <w:style w:type="character" w:customStyle="1" w:styleId="18">
    <w:name w:val="正文文本 Char"/>
    <w:basedOn w:val="7"/>
    <w:link w:val="2"/>
    <w:qFormat/>
    <w:uiPriority w:val="0"/>
    <w:rPr>
      <w:rFonts w:ascii="宋体" w:cs="宋体"/>
      <w:szCs w:val="21"/>
    </w:rPr>
  </w:style>
  <w:style w:type="character" w:customStyle="1" w:styleId="19">
    <w:name w:val="正文文本 Char1"/>
    <w:basedOn w:val="7"/>
    <w:qFormat/>
    <w:uiPriority w:val="0"/>
    <w:rPr>
      <w:kern w:val="2"/>
      <w:sz w:val="21"/>
      <w:szCs w:val="24"/>
    </w:rPr>
  </w:style>
  <w:style w:type="paragraph" w:customStyle="1" w:styleId="20">
    <w:name w:val="Table Paragraph"/>
    <w:basedOn w:val="1"/>
    <w:qFormat/>
    <w:uiPriority w:val="0"/>
    <w:pPr>
      <w:autoSpaceDE w:val="0"/>
      <w:autoSpaceDN w:val="0"/>
      <w:adjustRightInd w:val="0"/>
      <w:jc w:val="left"/>
    </w:pPr>
    <w:rPr>
      <w:kern w:val="0"/>
      <w:sz w:val="24"/>
    </w:rPr>
  </w:style>
  <w:style w:type="table" w:customStyle="1" w:styleId="21">
    <w:name w:val="Table Normal"/>
    <w:basedOn w:val="8"/>
    <w:semiHidden/>
    <w:qFormat/>
    <w:uiPriority w:val="0"/>
    <w:pPr>
      <w:widowControl w:val="0"/>
    </w:pPr>
    <w:rPr>
      <w:rFonts w:ascii="Calibri" w:hAnsi="Calibri"/>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5811</Words>
  <Characters>1322</Characters>
  <Lines>11</Lines>
  <Paragraphs>14</Paragraphs>
  <TotalTime>0</TotalTime>
  <ScaleCrop>false</ScaleCrop>
  <LinksUpToDate>false</LinksUpToDate>
  <CharactersWithSpaces>7119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2021-07-12T01:06:00Z</dcterms:created>
  <dc:creator>卞晓庆</dc:creator>
  <cp:lastModifiedBy>Q</cp:lastModifiedBy>
  <cp:lastPrinted>2021-03-23T01:28:00Z</cp:lastPrinted>
  <dcterms:modified xsi:type="dcterms:W3CDTF">2023-04-11T01:13:22Z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