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hint="eastAsia" w:ascii="黑体" w:eastAsia="黑体"/>
          <w:b w:val="0"/>
          <w:w w:val="100"/>
          <w:sz w:val="48"/>
        </w:rPr>
        <w:t>陕西省</w:t>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猕猴桃水肥一体化施肥技术规程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（完成时间：2022年10月15日）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bookmarkStart w:id="37" w:name="_GoBack"/>
      <w:bookmarkEnd w:id="37"/>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232"/>
      </w:pPr>
      <w:bookmarkStart w:id="21" w:name="BookMark1"/>
      <w:r>
        <w:rPr>
          <w:rFonts w:hint="eastAsia"/>
        </w:rPr>
        <w:t>目</w:t>
      </w:r>
      <w:bookmarkStart w:id="22" w:name="BKML"/>
      <w:r>
        <w:t>  </w:t>
      </w:r>
      <w:r>
        <w:rPr>
          <w:rFonts w:hint="eastAsia"/>
        </w:rPr>
        <w:t>次</w:t>
      </w:r>
      <w:bookmarkEnd w:id="22"/>
    </w:p>
    <w:p>
      <w:pPr>
        <w:pStyle w:val="19"/>
        <w:tabs>
          <w:tab w:val="right" w:leader="dot" w:pos="9241"/>
        </w:tabs>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"_Toc518044637" </w:instrText>
      </w:r>
      <w:r>
        <w:fldChar w:fldCharType="separate"/>
      </w:r>
      <w:r>
        <w:rPr>
          <w:rStyle w:val="32"/>
          <w:rFonts w:hint="eastAsia"/>
        </w:rPr>
        <w:t>前言</w:t>
      </w:r>
      <w:r>
        <w:tab/>
      </w:r>
      <w:r>
        <w:fldChar w:fldCharType="begin" w:fldLock="1"/>
      </w:r>
      <w:r>
        <w:instrText xml:space="preserve"> PAGEREF _Toc518044637 \h </w:instrText>
      </w:r>
      <w:r>
        <w:fldChar w:fldCharType="separate"/>
      </w:r>
      <w:r>
        <w:t>II</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"_Toc518044638" </w:instrText>
      </w:r>
      <w:r>
        <w:fldChar w:fldCharType="separate"/>
      </w:r>
      <w:r>
        <w:rPr>
          <w:rStyle w:val="32"/>
        </w:rPr>
        <w:t>1</w:t>
      </w:r>
      <w:r>
        <w:rPr>
          <w:rStyle w:val="32"/>
          <w:rFonts w:hint="eastAsia"/>
        </w:rPr>
        <w:t>　范围</w:t>
      </w:r>
      <w:r>
        <w:tab/>
      </w:r>
      <w:r>
        <w:fldChar w:fldCharType="begin" w:fldLock="1"/>
      </w:r>
      <w:r>
        <w:instrText xml:space="preserve"> PAGEREF _Toc518044638 \h </w:instrText>
      </w:r>
      <w:r>
        <w:fldChar w:fldCharType="separate"/>
      </w:r>
      <w:r>
        <w:t>1</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"_Toc518044639" </w:instrText>
      </w:r>
      <w:r>
        <w:fldChar w:fldCharType="separate"/>
      </w:r>
      <w:r>
        <w:rPr>
          <w:rStyle w:val="32"/>
        </w:rPr>
        <w:t>2</w:t>
      </w:r>
      <w:r>
        <w:rPr>
          <w:rStyle w:val="32"/>
          <w:rFonts w:hint="eastAsia"/>
        </w:rPr>
        <w:t>　规范性引用文件</w:t>
      </w:r>
      <w:r>
        <w:tab/>
      </w:r>
      <w:r>
        <w:fldChar w:fldCharType="begin" w:fldLock="1"/>
      </w:r>
      <w:r>
        <w:instrText xml:space="preserve"> PAGEREF _Toc518044639 \h </w:instrText>
      </w:r>
      <w:r>
        <w:fldChar w:fldCharType="separate"/>
      </w:r>
      <w:r>
        <w:t>1</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"_Toc518044640" </w:instrText>
      </w:r>
      <w:r>
        <w:fldChar w:fldCharType="separate"/>
      </w:r>
      <w:r>
        <w:rPr>
          <w:rStyle w:val="32"/>
        </w:rPr>
        <w:t>3</w:t>
      </w:r>
      <w:r>
        <w:rPr>
          <w:rStyle w:val="32"/>
          <w:rFonts w:hint="eastAsia"/>
        </w:rPr>
        <w:t>　术语和定义</w:t>
      </w:r>
      <w:r>
        <w:tab/>
      </w:r>
      <w:r>
        <w:fldChar w:fldCharType="begin" w:fldLock="1"/>
      </w:r>
      <w:r>
        <w:instrText xml:space="preserve"> PAGEREF _Toc518044640 \h </w:instrText>
      </w:r>
      <w:r>
        <w:fldChar w:fldCharType="separate"/>
      </w:r>
      <w:r>
        <w:t>1</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"_Toc518044641" </w:instrText>
      </w:r>
      <w:r>
        <w:fldChar w:fldCharType="separate"/>
      </w:r>
      <w:r>
        <w:rPr>
          <w:rStyle w:val="32"/>
        </w:rPr>
        <w:t>4</w:t>
      </w:r>
      <w:r>
        <w:rPr>
          <w:rStyle w:val="32"/>
          <w:rFonts w:hint="eastAsia"/>
        </w:rPr>
        <w:t>　系统组成</w:t>
      </w:r>
      <w:r>
        <w:tab/>
      </w:r>
      <w:r>
        <w:fldChar w:fldCharType="begin" w:fldLock="1"/>
      </w:r>
      <w:r>
        <w:instrText xml:space="preserve"> PAGEREF _Toc518044641 \h </w:instrText>
      </w:r>
      <w:r>
        <w:fldChar w:fldCharType="separate"/>
      </w:r>
      <w:r>
        <w:t>1</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"_Toc518044642" </w:instrText>
      </w:r>
      <w:r>
        <w:fldChar w:fldCharType="separate"/>
      </w:r>
      <w:r>
        <w:rPr>
          <w:rStyle w:val="32"/>
        </w:rPr>
        <w:t>5</w:t>
      </w:r>
      <w:r>
        <w:rPr>
          <w:rStyle w:val="32"/>
          <w:rFonts w:hint="eastAsia"/>
        </w:rPr>
        <w:t>　操作方法</w:t>
      </w:r>
      <w:r>
        <w:tab/>
      </w:r>
      <w:r>
        <w:fldChar w:fldCharType="begin" w:fldLock="1"/>
      </w:r>
      <w:r>
        <w:instrText xml:space="preserve"> PAGEREF _Toc518044642 \h </w:instrText>
      </w:r>
      <w:r>
        <w:fldChar w:fldCharType="separate"/>
      </w:r>
      <w:r>
        <w:t>2</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"_Toc518044643" </w:instrText>
      </w:r>
      <w:r>
        <w:fldChar w:fldCharType="separate"/>
      </w:r>
      <w:r>
        <w:rPr>
          <w:rStyle w:val="32"/>
        </w:rPr>
        <w:t>6</w:t>
      </w:r>
      <w:r>
        <w:rPr>
          <w:rStyle w:val="32"/>
          <w:rFonts w:hint="eastAsia"/>
        </w:rPr>
        <w:t>　肥料管理</w:t>
      </w:r>
      <w:r>
        <w:tab/>
      </w:r>
      <w:r>
        <w:fldChar w:fldCharType="begin" w:fldLock="1"/>
      </w:r>
      <w:r>
        <w:instrText xml:space="preserve"> PAGEREF _Toc518044643 \h </w:instrText>
      </w:r>
      <w:r>
        <w:fldChar w:fldCharType="separate"/>
      </w:r>
      <w:r>
        <w:t>3</w:t>
      </w:r>
      <w:r>
        <w:fldChar w:fldCharType="end"/>
      </w:r>
      <w:r>
        <w:fldChar w:fldCharType="end"/>
      </w:r>
    </w:p>
    <w:p>
      <w:pPr>
        <w:pStyle w:val="19"/>
        <w:tabs>
          <w:tab w:val="right" w:leader="dot" w:pos="9241"/>
        </w:tabs>
        <w:spacing w:before="78" w:after="78"/>
        <w:rPr>
          <w:rFonts w:ascii="Times New Roman"/>
          <w:szCs w:val="24"/>
        </w:rPr>
      </w:pPr>
      <w:r>
        <w:fldChar w:fldCharType="begin"/>
      </w:r>
      <w:r>
        <w:instrText xml:space="preserve"> HYPERLINK \l "_Toc518044644" </w:instrText>
      </w:r>
      <w:r>
        <w:fldChar w:fldCharType="separate"/>
      </w:r>
      <w:r>
        <w:rPr>
          <w:rStyle w:val="32"/>
        </w:rPr>
        <w:t>7</w:t>
      </w:r>
      <w:r>
        <w:rPr>
          <w:rStyle w:val="32"/>
          <w:rFonts w:hint="eastAsia"/>
        </w:rPr>
        <w:t>　系统维护</w:t>
      </w:r>
      <w:r>
        <w:tab/>
      </w:r>
      <w:r>
        <w:fldChar w:fldCharType="begin" w:fldLock="1"/>
      </w:r>
      <w:r>
        <w:instrText xml:space="preserve"> PAGEREF _Toc518044644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90304025"/>
      <w:bookmarkStart w:id="24" w:name="BookMark2"/>
      <w:r>
        <w:rPr>
          <w:rFonts w:hint="eastAsia"/>
          <w:spacing w:val="320"/>
        </w:rPr>
        <w:t>前</w:t>
      </w:r>
      <w:r>
        <w:rPr>
          <w:rFonts w:hint="eastAsia"/>
        </w:rPr>
        <w:t>言</w:t>
      </w:r>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本文件由陕西省农业农村厅提出并归口。</w:t>
      </w:r>
    </w:p>
    <w:p>
      <w:pPr>
        <w:pStyle w:val="56"/>
        <w:ind w:firstLine="420"/>
      </w:pPr>
      <w:r>
        <w:rPr>
          <w:rFonts w:hint="eastAsia"/>
        </w:rPr>
        <w:t>本文件起草单位：西安市农业技术推广中心、周至县土壤肥料工作站、宝鸡市农业技术推广服务中心。</w:t>
      </w:r>
    </w:p>
    <w:p>
      <w:pPr>
        <w:pStyle w:val="56"/>
        <w:ind w:firstLine="420"/>
      </w:pPr>
      <w:r>
        <w:rPr>
          <w:rFonts w:hint="eastAsia"/>
        </w:rPr>
        <w:t>本文件主要起草人：吕爽、蔡苗、孙喜军、刘瑞、赵永锋、朱永利、李荃、强红妮、王虎、王安、孟菁、王天舒。</w:t>
      </w:r>
    </w:p>
    <w:p>
      <w:pPr>
        <w:pStyle w:val="56"/>
        <w:ind w:firstLine="420"/>
      </w:pPr>
    </w:p>
    <w:p>
      <w:pPr>
        <w:pStyle w:val="56"/>
        <w:ind w:firstLine="420"/>
      </w:pPr>
      <w:r>
        <w:rPr>
          <w:rFonts w:hint="eastAsia"/>
        </w:rPr>
        <w:t>本文件由西安市农业技术推广中心负责解释。</w:t>
      </w:r>
    </w:p>
    <w:p>
      <w:pPr>
        <w:pStyle w:val="56"/>
        <w:ind w:firstLine="420"/>
      </w:pPr>
      <w:r>
        <w:rPr>
          <w:rFonts w:hint="eastAsia"/>
        </w:rPr>
        <w:t>本文件首次发布。</w:t>
      </w:r>
    </w:p>
    <w:p>
      <w:pPr>
        <w:pStyle w:val="56"/>
        <w:ind w:firstLine="420"/>
      </w:pPr>
    </w:p>
    <w:p>
      <w:pPr>
        <w:pStyle w:val="230"/>
        <w:ind w:firstLine="420"/>
      </w:pPr>
      <w:r>
        <w:rPr>
          <w:rFonts w:hint="eastAsia"/>
        </w:rPr>
        <w:t>联系信息如下：</w:t>
      </w:r>
    </w:p>
    <w:p>
      <w:pPr>
        <w:pStyle w:val="230"/>
        <w:ind w:firstLine="420"/>
      </w:pPr>
      <w:r>
        <w:rPr>
          <w:rFonts w:hint="eastAsia"/>
        </w:rPr>
        <w:t xml:space="preserve">单位：西安市农业技术推广中心 </w:t>
      </w:r>
    </w:p>
    <w:p>
      <w:pPr>
        <w:pStyle w:val="230"/>
        <w:ind w:firstLine="420"/>
      </w:pPr>
      <w:r>
        <w:rPr>
          <w:rFonts w:hint="eastAsia"/>
        </w:rPr>
        <w:t>电话：029-85221626</w:t>
      </w:r>
    </w:p>
    <w:p>
      <w:pPr>
        <w:pStyle w:val="230"/>
        <w:ind w:firstLine="420"/>
      </w:pPr>
      <w:r>
        <w:rPr>
          <w:rFonts w:hint="eastAsia"/>
        </w:rPr>
        <w:t>地址： 西安市长安南路140号</w:t>
      </w:r>
    </w:p>
    <w:p>
      <w:pPr>
        <w:pStyle w:val="230"/>
        <w:ind w:firstLine="420"/>
      </w:pPr>
      <w:r>
        <w:rPr>
          <w:rFonts w:hint="eastAsia"/>
        </w:rPr>
        <w:t>邮编：710061</w:t>
      </w:r>
    </w:p>
    <w:p>
      <w:pPr>
        <w:pStyle w:val="56"/>
        <w:ind w:firstLine="199" w:firstLineChars="95"/>
        <w:sectPr>
          <w:pgSz w:w="11906" w:h="16838"/>
          <w:pgMar w:top="2410" w:right="1134" w:bottom="1134" w:left="1134" w:header="1418" w:footer="1134" w:gutter="284"/>
          <w:pgNumType w:fmt="upperRoman"/>
          <w:cols w:space="425" w:num="1"/>
          <w:formProt w:val="0"/>
          <w:docGrid w:type="lines" w:linePitch="312" w:charSpace="0"/>
        </w:sectPr>
      </w:pPr>
    </w:p>
    <w:bookmarkEnd w:id="24"/>
    <w:sdt>
      <w:sdtPr>
        <w:tag w:val="NEW_STAND_NAME"/>
        <w:id w:val="595910757"/>
        <w:lock w:val="sdtLocked"/>
        <w:placeholder>
          <w:docPart w:val="F8F63FCE286F4435B6ECA25255EBB3E7"/>
        </w:placeholder>
      </w:sdtPr>
      <w:sdtContent>
        <w:p>
          <w:pPr>
            <w:pStyle w:val="232"/>
          </w:pPr>
          <w:bookmarkStart w:id="25" w:name="NEW_STAND_NAME"/>
          <w:bookmarkStart w:id="26" w:name="BookMark4"/>
          <w:r>
            <w:rPr>
              <w:rFonts w:hint="eastAsia"/>
            </w:rPr>
            <w:t>猕</w:t>
          </w:r>
          <w:bookmarkStart w:id="27" w:name="StandardName"/>
          <w:r>
            <w:rPr>
              <w:rFonts w:hint="eastAsia"/>
            </w:rPr>
            <w:t>猴桃水肥一体化施肥技术规程</w:t>
          </w:r>
        </w:p>
      </w:sdtContent>
    </w:sdt>
    <w:bookmarkEnd w:id="25"/>
    <w:bookmarkEnd w:id="27"/>
    <w:p>
      <w:pPr>
        <w:pStyle w:val="233"/>
        <w:numPr>
          <w:ilvl w:val="0"/>
          <w:numId w:val="32"/>
        </w:numPr>
      </w:pPr>
      <w:bookmarkStart w:id="28" w:name="_Toc518044638"/>
      <w:bookmarkStart w:id="29" w:name="_Toc90304028"/>
      <w:r>
        <w:rPr>
          <w:rFonts w:hint="eastAsia"/>
        </w:rPr>
        <w:t>范围</w:t>
      </w:r>
      <w:bookmarkEnd w:id="28"/>
    </w:p>
    <w:bookmarkEnd w:id="26"/>
    <w:bookmarkEnd w:id="29"/>
    <w:p>
      <w:pPr>
        <w:pStyle w:val="56"/>
        <w:ind w:firstLine="420"/>
        <w:rPr>
          <w:rFonts w:ascii="Times New Roman"/>
        </w:rPr>
      </w:pPr>
      <w:bookmarkStart w:id="30" w:name="_Toc518044639"/>
      <w:bookmarkStart w:id="31" w:name="BookMark8"/>
      <w:r>
        <w:rPr>
          <w:rFonts w:ascii="Times New Roman"/>
        </w:rPr>
        <w:t>本规程规定了陕西省猕猴桃(结果树)水肥一体化施肥操作技术要点。</w:t>
      </w:r>
    </w:p>
    <w:p>
      <w:pPr>
        <w:pStyle w:val="56"/>
        <w:ind w:firstLine="420"/>
        <w:rPr>
          <w:rFonts w:ascii="Times New Roman"/>
        </w:rPr>
      </w:pPr>
      <w:r>
        <w:rPr>
          <w:rFonts w:ascii="Times New Roman"/>
        </w:rPr>
        <w:t>本规程适用于陕西省猕猴桃(结果树)水肥一体化种植。</w:t>
      </w:r>
    </w:p>
    <w:p>
      <w:pPr>
        <w:pStyle w:val="233"/>
        <w:numPr>
          <w:ilvl w:val="0"/>
          <w:numId w:val="32"/>
        </w:numPr>
      </w:pPr>
      <w:r>
        <w:rPr>
          <w:rFonts w:hint="eastAsia"/>
        </w:rPr>
        <w:t>规范性引用文件</w:t>
      </w:r>
      <w:bookmarkEnd w:id="30"/>
    </w:p>
    <w:p>
      <w:pPr>
        <w:spacing w:before="50" w:after="50"/>
        <w:ind w:firstLine="420" w:firstLineChars="200"/>
        <w:rPr>
          <w:rFonts w:ascii="宋体" w:hAnsi="宋体"/>
        </w:rPr>
      </w:pPr>
      <w:r>
        <w:rPr>
          <w:rFonts w:hint="eastAsia" w:ascii="宋体" w:hAnsi="宋体"/>
        </w:rPr>
        <w:t>下列文件对于本文件的应用是必不可少的。凡是注日期的引用文件，仅所注日期的版本适用于本文件。凡是不注日期的引用文件，其最新版本（包括所有的修改单）适用于本文件。</w:t>
      </w:r>
    </w:p>
    <w:p>
      <w:pPr>
        <w:spacing w:before="50" w:after="50"/>
        <w:ind w:firstLine="420" w:firstLineChars="200"/>
        <w:rPr>
          <w:rFonts w:ascii="宋体" w:hAnsi="宋体"/>
        </w:rPr>
      </w:pPr>
      <w:r>
        <w:rPr>
          <w:rFonts w:hint="eastAsia" w:ascii="宋体" w:hAnsi="宋体"/>
        </w:rPr>
        <w:t>GB 5084 农田灌溉水质标准</w:t>
      </w:r>
    </w:p>
    <w:p>
      <w:pPr>
        <w:spacing w:before="50" w:after="50"/>
        <w:ind w:firstLine="420" w:firstLineChars="200"/>
        <w:rPr>
          <w:rFonts w:ascii="宋体" w:hAnsi="宋体"/>
        </w:rPr>
      </w:pPr>
      <w:r>
        <w:rPr>
          <w:rFonts w:hint="eastAsia" w:ascii="宋体" w:hAnsi="宋体"/>
        </w:rPr>
        <w:t>GB/T 50485 微灌工程技术规范</w:t>
      </w:r>
    </w:p>
    <w:p>
      <w:pPr>
        <w:spacing w:before="50" w:after="50"/>
        <w:ind w:firstLine="420" w:firstLineChars="200"/>
        <w:rPr>
          <w:rFonts w:ascii="宋体" w:hAnsi="宋体"/>
        </w:rPr>
      </w:pPr>
      <w:r>
        <w:rPr>
          <w:rFonts w:hint="eastAsia" w:ascii="宋体" w:hAnsi="宋体"/>
        </w:rPr>
        <w:t>NY 1107-2020 大量元素水溶肥料</w:t>
      </w:r>
    </w:p>
    <w:p>
      <w:pPr>
        <w:spacing w:before="50" w:after="50"/>
        <w:ind w:firstLine="420" w:firstLineChars="200"/>
        <w:rPr>
          <w:rFonts w:ascii="宋体" w:hAnsi="宋体"/>
        </w:rPr>
      </w:pPr>
      <w:r>
        <w:rPr>
          <w:rFonts w:hint="eastAsia" w:ascii="宋体" w:hAnsi="宋体"/>
        </w:rPr>
        <w:t>NY 1110-2010 水溶肥料汞、砷、镉、铅、铬的限量要求</w:t>
      </w:r>
    </w:p>
    <w:p>
      <w:pPr>
        <w:spacing w:before="50" w:after="50"/>
        <w:ind w:firstLine="420" w:firstLineChars="200"/>
        <w:rPr>
          <w:rFonts w:ascii="宋体" w:hAnsi="宋体"/>
        </w:rPr>
      </w:pPr>
      <w:r>
        <w:rPr>
          <w:rFonts w:hint="eastAsia" w:ascii="宋体" w:hAnsi="宋体"/>
        </w:rPr>
        <w:t>NY 1428-2010 微量元素水溶肥料</w:t>
      </w:r>
    </w:p>
    <w:p>
      <w:pPr>
        <w:ind w:firstLine="420" w:firstLineChars="200"/>
      </w:pPr>
      <w:r>
        <w:rPr>
          <w:rFonts w:hint="eastAsia" w:ascii="宋体" w:hAnsi="宋体"/>
        </w:rPr>
        <w:t>NY/T 496 肥料合理使用准则、通则</w:t>
      </w:r>
    </w:p>
    <w:p>
      <w:pPr>
        <w:pStyle w:val="233"/>
        <w:numPr>
          <w:ilvl w:val="0"/>
          <w:numId w:val="32"/>
        </w:numPr>
      </w:pPr>
      <w:bookmarkStart w:id="32" w:name="_Toc518044640"/>
      <w:r>
        <w:rPr>
          <w:rFonts w:hint="eastAsia"/>
        </w:rPr>
        <w:t>术语和定义</w:t>
      </w:r>
      <w:bookmarkEnd w:id="32"/>
    </w:p>
    <w:p>
      <w:pPr>
        <w:pStyle w:val="230"/>
        <w:tabs>
          <w:tab w:val="center" w:pos="4201"/>
          <w:tab w:val="right" w:leader="dot" w:pos="9298"/>
        </w:tabs>
        <w:ind w:firstLine="420" w:firstLineChars="200"/>
      </w:pPr>
      <w:r>
        <w:rPr>
          <w:rFonts w:hint="eastAsia"/>
        </w:rPr>
        <w:t>下列术语和定义适用于本标准。</w:t>
      </w:r>
    </w:p>
    <w:p>
      <w:pPr>
        <w:pStyle w:val="230"/>
        <w:tabs>
          <w:tab w:val="center" w:pos="4201"/>
          <w:tab w:val="right" w:leader="dot" w:pos="9298"/>
        </w:tabs>
        <w:ind w:firstLine="420" w:firstLineChars="200"/>
      </w:pPr>
      <w:r>
        <w:rPr>
          <w:rFonts w:hint="eastAsia"/>
        </w:rPr>
        <w:t>水肥一体化是借助压力系统（或地形自然落差），将灌溉和施肥相结合，以微灌系统中的水为载体，在灌溉的同时进行施肥，使水和肥料在土壤中以优化的组合状态供应给作物吸收利用。实现水肥一体化利用和管理，具有省水、省肥、省药、省工，提升作物产量和品质等功效。</w:t>
      </w:r>
    </w:p>
    <w:p>
      <w:pPr>
        <w:pStyle w:val="233"/>
        <w:numPr>
          <w:ilvl w:val="0"/>
          <w:numId w:val="32"/>
        </w:numPr>
      </w:pPr>
      <w:bookmarkStart w:id="33" w:name="_Toc518044641"/>
      <w:r>
        <w:rPr>
          <w:rFonts w:hint="eastAsia"/>
        </w:rPr>
        <w:t>系统组成</w:t>
      </w:r>
      <w:bookmarkEnd w:id="33"/>
    </w:p>
    <w:p>
      <w:pPr>
        <w:pStyle w:val="230"/>
        <w:tabs>
          <w:tab w:val="center" w:pos="4201"/>
          <w:tab w:val="right" w:leader="dot" w:pos="9298"/>
        </w:tabs>
        <w:ind w:firstLine="420" w:firstLineChars="200"/>
      </w:pPr>
      <w:r>
        <w:rPr>
          <w:rFonts w:hint="eastAsia"/>
        </w:rPr>
        <w:t>由水源、首部枢纽、输配水管网、灌水器四部分组成。系统设计、安装应符合GB/T 50485要求。</w:t>
      </w:r>
    </w:p>
    <w:p>
      <w:pPr>
        <w:pStyle w:val="235"/>
        <w:numPr>
          <w:ilvl w:val="1"/>
          <w:numId w:val="32"/>
        </w:numPr>
      </w:pPr>
      <w:r>
        <w:rPr>
          <w:rFonts w:hint="eastAsia"/>
        </w:rPr>
        <w:t>水源</w:t>
      </w:r>
    </w:p>
    <w:p>
      <w:pPr>
        <w:pStyle w:val="230"/>
        <w:tabs>
          <w:tab w:val="center" w:pos="4201"/>
          <w:tab w:val="right" w:leader="dot" w:pos="9298"/>
        </w:tabs>
        <w:ind w:firstLine="420" w:firstLineChars="200"/>
      </w:pPr>
      <w:r>
        <w:rPr>
          <w:rFonts w:hint="eastAsia"/>
        </w:rPr>
        <w:t>以地下水为主要水源，无法开采地下水地区可采用地面建蓄水池，由外部引水的方式作为水源。水质应符合GB 5084规定要求。</w:t>
      </w:r>
    </w:p>
    <w:p>
      <w:pPr>
        <w:pStyle w:val="235"/>
        <w:numPr>
          <w:ilvl w:val="1"/>
          <w:numId w:val="32"/>
        </w:numPr>
      </w:pPr>
      <w:r>
        <w:rPr>
          <w:rFonts w:hint="eastAsia"/>
        </w:rPr>
        <w:t>首部枢纽</w:t>
      </w:r>
    </w:p>
    <w:p>
      <w:pPr>
        <w:pStyle w:val="230"/>
        <w:tabs>
          <w:tab w:val="center" w:pos="4201"/>
          <w:tab w:val="right" w:leader="dot" w:pos="9298"/>
        </w:tabs>
        <w:ind w:firstLine="420" w:firstLineChars="200"/>
      </w:pPr>
      <w:r>
        <w:rPr>
          <w:rFonts w:hint="eastAsia"/>
        </w:rPr>
        <w:t>由水泵、变频控制柜、施肥器、过滤器、控制阀和仪表等组成，具有动力加压、加肥、过滤、控制等作用。</w:t>
      </w:r>
    </w:p>
    <w:p>
      <w:pPr>
        <w:pStyle w:val="237"/>
        <w:numPr>
          <w:ilvl w:val="2"/>
          <w:numId w:val="32"/>
        </w:numPr>
        <w:spacing w:before="156" w:after="156"/>
      </w:pPr>
      <w:r>
        <w:rPr>
          <w:rFonts w:hint="eastAsia"/>
        </w:rPr>
        <w:t>水泵</w:t>
      </w:r>
    </w:p>
    <w:p>
      <w:pPr>
        <w:pStyle w:val="230"/>
        <w:tabs>
          <w:tab w:val="center" w:pos="4201"/>
          <w:tab w:val="right" w:leader="dot" w:pos="9298"/>
        </w:tabs>
        <w:ind w:firstLine="420" w:firstLineChars="200"/>
      </w:pPr>
      <w:r>
        <w:rPr>
          <w:rFonts w:hint="eastAsia"/>
        </w:rPr>
        <w:t>多选用潜水泵、离心泵等，一般采用恒压变频控制装置。根据需水量、供水压力、扬程、果园电网承载能力选择适宜的水泵型号。</w:t>
      </w:r>
    </w:p>
    <w:p>
      <w:pPr>
        <w:pStyle w:val="237"/>
        <w:numPr>
          <w:ilvl w:val="2"/>
          <w:numId w:val="32"/>
        </w:numPr>
        <w:spacing w:before="156" w:after="156"/>
      </w:pPr>
      <w:r>
        <w:rPr>
          <w:rFonts w:hint="eastAsia"/>
        </w:rPr>
        <w:t>施肥器</w:t>
      </w:r>
    </w:p>
    <w:p>
      <w:pPr>
        <w:pStyle w:val="230"/>
        <w:tabs>
          <w:tab w:val="center" w:pos="4201"/>
          <w:tab w:val="right" w:leader="dot" w:pos="9298"/>
        </w:tabs>
        <w:ind w:firstLine="420" w:firstLineChars="200"/>
      </w:pPr>
      <w:r>
        <w:rPr>
          <w:rFonts w:hint="eastAsia"/>
        </w:rPr>
        <w:t>根据果园面积、投资预算、坡度等实际情况，可选用自压重力式施肥、压差式施肥罐、注肥泵、全自动施肥机等。</w:t>
      </w:r>
    </w:p>
    <w:p>
      <w:pPr>
        <w:pStyle w:val="237"/>
        <w:numPr>
          <w:ilvl w:val="2"/>
          <w:numId w:val="32"/>
        </w:numPr>
        <w:spacing w:before="156" w:after="156"/>
      </w:pPr>
      <w:r>
        <w:rPr>
          <w:rFonts w:hint="eastAsia"/>
        </w:rPr>
        <w:t>过滤器</w:t>
      </w:r>
    </w:p>
    <w:p>
      <w:pPr>
        <w:pStyle w:val="230"/>
        <w:tabs>
          <w:tab w:val="center" w:pos="4201"/>
          <w:tab w:val="right" w:leader="dot" w:pos="9298"/>
        </w:tabs>
        <w:ind w:firstLine="420" w:firstLineChars="200"/>
      </w:pPr>
      <w:r>
        <w:rPr>
          <w:rFonts w:hint="eastAsia"/>
        </w:rPr>
        <w:t>一级过滤一般选用离心式和叠片式组合过滤，一级过滤器流量应满足或大于水泵流量。田间二级过滤可选用网式过滤器。</w:t>
      </w:r>
    </w:p>
    <w:p>
      <w:pPr>
        <w:pStyle w:val="237"/>
        <w:numPr>
          <w:ilvl w:val="2"/>
          <w:numId w:val="32"/>
        </w:numPr>
        <w:spacing w:before="156" w:after="156"/>
      </w:pPr>
      <w:r>
        <w:rPr>
          <w:rFonts w:hint="eastAsia"/>
        </w:rPr>
        <w:t>控制阀和仪表</w:t>
      </w:r>
    </w:p>
    <w:p>
      <w:pPr>
        <w:pStyle w:val="230"/>
        <w:tabs>
          <w:tab w:val="center" w:pos="4201"/>
          <w:tab w:val="right" w:leader="dot" w:pos="9298"/>
        </w:tabs>
        <w:ind w:firstLine="420" w:firstLineChars="200"/>
      </w:pPr>
      <w:r>
        <w:rPr>
          <w:rFonts w:hint="eastAsia"/>
        </w:rPr>
        <w:t>可选择安装包括阀门、水表、压力表、空气阀、止逆阀、减压阀等。</w:t>
      </w:r>
    </w:p>
    <w:p>
      <w:pPr>
        <w:pStyle w:val="237"/>
        <w:numPr>
          <w:ilvl w:val="2"/>
          <w:numId w:val="32"/>
        </w:numPr>
        <w:spacing w:before="156" w:after="156"/>
      </w:pPr>
      <w:r>
        <w:rPr>
          <w:rFonts w:hint="eastAsia"/>
        </w:rPr>
        <w:t>输配水管网</w:t>
      </w:r>
    </w:p>
    <w:p>
      <w:pPr>
        <w:pStyle w:val="230"/>
        <w:tabs>
          <w:tab w:val="center" w:pos="4201"/>
          <w:tab w:val="right" w:leader="dot" w:pos="9298"/>
        </w:tabs>
        <w:ind w:firstLine="420" w:firstLineChars="200"/>
      </w:pPr>
      <w:r>
        <w:rPr>
          <w:rFonts w:hint="eastAsia"/>
        </w:rPr>
        <w:t>由干管、支管组成。干管采用塑料给水管，支管采用聚乙烯管（PE），干管可埋在地下，喷灌支管可固定在猕猴桃支架上，滴灌支管可铺设于地面，也可架高距地面30cm～50cm。</w:t>
      </w:r>
    </w:p>
    <w:p>
      <w:pPr>
        <w:pStyle w:val="237"/>
        <w:numPr>
          <w:ilvl w:val="2"/>
          <w:numId w:val="32"/>
        </w:numPr>
        <w:spacing w:before="156" w:after="156"/>
      </w:pPr>
      <w:r>
        <w:rPr>
          <w:rFonts w:hint="eastAsia"/>
        </w:rPr>
        <w:t>灌水器</w:t>
      </w:r>
    </w:p>
    <w:p>
      <w:pPr>
        <w:pStyle w:val="230"/>
        <w:tabs>
          <w:tab w:val="center" w:pos="4201"/>
          <w:tab w:val="right" w:leader="dot" w:pos="9298"/>
        </w:tabs>
        <w:ind w:firstLine="420" w:firstLineChars="200"/>
        <w:rPr>
          <w:rFonts w:hint="eastAsia"/>
        </w:rPr>
      </w:pPr>
      <w:r>
        <w:rPr>
          <w:rFonts w:hint="eastAsia"/>
        </w:rPr>
        <w:t>灌水器宜采用滴灌管和微喷头相结合的方式。内镶式滴灌管滴头间距30cm～50cm，根据猕猴桃株距调整，使滴头主要分布在两株之间，流量为2L/h～4L/h；微喷头流量为60L/h～120L/h，喷洒半径在1.5m～3.5m，根据实际株行距确定。每两株果树之间设1个吊挂微喷头。</w:t>
      </w:r>
      <w:bookmarkStart w:id="34" w:name="_Toc518044642"/>
      <w:r>
        <w:rPr>
          <w:rFonts w:hint="eastAsia"/>
        </w:rPr>
        <w:t>地形起伏高差大于3 m 的果园用普通滴头会导致出水不均匀，建议使用压力补偿滴头。</w:t>
      </w:r>
      <w:bookmarkEnd w:id="34"/>
    </w:p>
    <w:p>
      <w:pPr>
        <w:pStyle w:val="233"/>
        <w:numPr>
          <w:ilvl w:val="0"/>
          <w:numId w:val="32"/>
        </w:numPr>
      </w:pPr>
      <w:r>
        <w:rPr>
          <w:rFonts w:hint="eastAsia"/>
        </w:rPr>
        <w:t>操作方法</w:t>
      </w:r>
    </w:p>
    <w:p>
      <w:pPr>
        <w:pStyle w:val="235"/>
        <w:numPr>
          <w:ilvl w:val="1"/>
          <w:numId w:val="32"/>
        </w:numPr>
      </w:pPr>
      <w:r>
        <w:rPr>
          <w:rFonts w:hint="eastAsia"/>
        </w:rPr>
        <w:t>灌水</w:t>
      </w:r>
    </w:p>
    <w:p>
      <w:pPr>
        <w:pStyle w:val="230"/>
        <w:tabs>
          <w:tab w:val="center" w:pos="4201"/>
          <w:tab w:val="right" w:leader="dot" w:pos="9298"/>
        </w:tabs>
        <w:ind w:firstLine="420" w:firstLineChars="200"/>
      </w:pPr>
      <w:r>
        <w:rPr>
          <w:rFonts w:hint="eastAsia"/>
        </w:rPr>
        <w:t>灌溉时应关闭施肥装置上的阀门，把滴灌系统支管的控制阀完全打开，按照灌溉方案进行灌溉。灌溉结束时先切断动力，然后立即关闭控制阀。</w:t>
      </w:r>
    </w:p>
    <w:p>
      <w:pPr>
        <w:pStyle w:val="230"/>
        <w:tabs>
          <w:tab w:val="center" w:pos="4201"/>
          <w:tab w:val="right" w:leader="dot" w:pos="9298"/>
        </w:tabs>
        <w:ind w:firstLine="420" w:firstLineChars="200"/>
      </w:pPr>
      <w:r>
        <w:rPr>
          <w:rFonts w:hint="eastAsia"/>
        </w:rPr>
        <w:t>当田间相对含水量低于60%时，必须灌水，每次灌水量以渗透至根系分布最多的土层为度，保持灌溉后土壤相对含水量为80%左右。</w:t>
      </w:r>
    </w:p>
    <w:p>
      <w:pPr>
        <w:ind w:firstLine="420" w:firstLineChars="200"/>
      </w:pPr>
      <w:r>
        <w:rPr>
          <w:rFonts w:hint="eastAsia" w:ascii="宋体" w:hAnsi="宋体"/>
        </w:rPr>
        <w:t>每棵果树每次灌水量20L左右，具体可根据实际情况稍作调整。夏季（7、8月份）高温季节，田间要应用微喷系统辅助灌水，防止猕猴桃日灼发生。</w:t>
      </w:r>
    </w:p>
    <w:p>
      <w:pPr>
        <w:pStyle w:val="235"/>
        <w:numPr>
          <w:ilvl w:val="1"/>
          <w:numId w:val="32"/>
        </w:numPr>
      </w:pPr>
      <w:r>
        <w:rPr>
          <w:rFonts w:hint="eastAsia"/>
        </w:rPr>
        <w:t>施肥</w:t>
      </w:r>
    </w:p>
    <w:p>
      <w:pPr>
        <w:pStyle w:val="230"/>
        <w:tabs>
          <w:tab w:val="center" w:pos="4201"/>
          <w:tab w:val="right" w:leader="dot" w:pos="9298"/>
        </w:tabs>
        <w:ind w:firstLine="420" w:firstLineChars="200"/>
      </w:pPr>
      <w:r>
        <w:rPr>
          <w:rFonts w:hint="eastAsia"/>
        </w:rPr>
        <w:t>先将肥料完全溶解于水，用纱（网）过滤。每次施肥前先用清水滴灌20min～30min，冲洗管道和湿润土壤，施肥结束后再灌溉20min～30min，将管道中的肥液全部施入土壤中。每次施肥时需要控制好肥液浓度，肥料稀释倍数控制在200倍～500倍之间。</w:t>
      </w:r>
    </w:p>
    <w:p>
      <w:pPr>
        <w:pStyle w:val="237"/>
        <w:numPr>
          <w:ilvl w:val="2"/>
          <w:numId w:val="32"/>
        </w:numPr>
        <w:spacing w:before="156" w:after="156"/>
      </w:pPr>
      <w:r>
        <w:rPr>
          <w:rFonts w:hint="eastAsia"/>
        </w:rPr>
        <w:t>自压重力施肥法</w:t>
      </w:r>
    </w:p>
    <w:p>
      <w:pPr>
        <w:pStyle w:val="230"/>
        <w:tabs>
          <w:tab w:val="center" w:pos="4201"/>
          <w:tab w:val="right" w:leader="dot" w:pos="9298"/>
        </w:tabs>
        <w:ind w:firstLine="420" w:firstLineChars="200"/>
      </w:pPr>
      <w:r>
        <w:rPr>
          <w:rFonts w:hint="eastAsia"/>
        </w:rPr>
        <w:t>坡地种植猕猴桃可采用自压重力施肥法，在果园上方修建蓄水池，蓄水池可利用高处的山泉水或将山脚水源泵至高处的蓄水池。蓄水池旁边高于液面处建立混肥池，混肥池底安装肥液流出的管道，管道出口处安装PVC球阀控制施肥速度。蓄水池和混肥池出口均要用120目尼龙纱网进行过滤，混肥池出水管与蓄水池出水管连接后，配压力补偿式滴灌管进行灌溉施肥。</w:t>
      </w:r>
    </w:p>
    <w:p>
      <w:pPr>
        <w:pStyle w:val="230"/>
        <w:tabs>
          <w:tab w:val="center" w:pos="4201"/>
          <w:tab w:val="right" w:leader="dot" w:pos="9298"/>
        </w:tabs>
        <w:ind w:firstLine="420" w:firstLineChars="200"/>
      </w:pPr>
      <w:r>
        <w:rPr>
          <w:rFonts w:hint="eastAsia"/>
        </w:rPr>
        <w:t>灌溉用水先存贮在蓄水池内，施肥时，将充分溶解的肥料液搅拌均匀倒入混肥池内，先打开蓄水池出水管的阀门，然后打开混肥池出水管的阀门，肥液即被主管道的水流稀释带入灌溉系统进行施肥。</w:t>
      </w:r>
    </w:p>
    <w:p>
      <w:pPr>
        <w:pStyle w:val="230"/>
        <w:tabs>
          <w:tab w:val="center" w:pos="4201"/>
          <w:tab w:val="right" w:leader="dot" w:pos="9298"/>
        </w:tabs>
        <w:ind w:firstLine="420" w:firstLineChars="200"/>
      </w:pPr>
      <w:r>
        <w:rPr>
          <w:rFonts w:hint="eastAsia"/>
        </w:rPr>
        <w:t>自压重力施肥法根据地形条件选择应用，施肥均匀性和效率较差，但其不需要额外加压设备，建设和运行成本较低。</w:t>
      </w:r>
    </w:p>
    <w:p>
      <w:pPr>
        <w:pStyle w:val="237"/>
        <w:numPr>
          <w:ilvl w:val="2"/>
          <w:numId w:val="32"/>
        </w:numPr>
        <w:spacing w:before="156" w:after="156"/>
      </w:pPr>
      <w:r>
        <w:rPr>
          <w:rFonts w:hint="eastAsia"/>
        </w:rPr>
        <w:t>压差式施肥罐法</w:t>
      </w:r>
    </w:p>
    <w:p>
      <w:pPr>
        <w:pStyle w:val="230"/>
        <w:tabs>
          <w:tab w:val="center" w:pos="4201"/>
          <w:tab w:val="right" w:leader="dot" w:pos="9298"/>
        </w:tabs>
        <w:ind w:firstLine="420" w:firstLineChars="200"/>
      </w:pPr>
      <w:r>
        <w:rPr>
          <w:rFonts w:hint="eastAsia"/>
        </w:rPr>
        <w:t>使用液体肥可以直接倒入施肥罐，如果使用固体肥料，则应先将肥料溶解并通过120目滤网后再注入施肥罐中。</w:t>
      </w:r>
    </w:p>
    <w:p>
      <w:pPr>
        <w:pStyle w:val="230"/>
        <w:tabs>
          <w:tab w:val="center" w:pos="4201"/>
          <w:tab w:val="right" w:leader="dot" w:pos="9298"/>
        </w:tabs>
        <w:ind w:firstLine="420" w:firstLineChars="200"/>
      </w:pPr>
      <w:r>
        <w:rPr>
          <w:rFonts w:hint="eastAsia"/>
        </w:rPr>
        <w:t>施肥罐与支管上的调压阀并联，施肥罐内的进水管要到达罐底。施肥时，将肥料液倒入施肥罐，拧紧罐盖。先检查施肥罐的进水阀和出水阀是否均关闭，而调压阀是否打开。随后打开施肥罐的进水阀和出水阀，然后慢慢地关闭调压阀，用调压阀调节压差以保持施肥速度正常。施肥结束后打开调压阀，关闭施肥罐的进水阀和出水阀。再施下一罐肥时，事先必须排掉罐内的积水。</w:t>
      </w:r>
    </w:p>
    <w:p>
      <w:pPr>
        <w:pStyle w:val="230"/>
        <w:tabs>
          <w:tab w:val="center" w:pos="4201"/>
          <w:tab w:val="right" w:leader="dot" w:pos="9298"/>
        </w:tabs>
        <w:ind w:firstLine="420" w:firstLineChars="200"/>
      </w:pPr>
      <w:r>
        <w:rPr>
          <w:rFonts w:hint="eastAsia"/>
        </w:rPr>
        <w:t>压差式施肥罐建设成本和维护成本较低，且在使用时不需要外加动力。但该设备在使用时易受水压变化影响，肥液浓度先大后小，只能实现肥料用量的总量控制。果园面积较大时溶解肥料次数较多，劳动强度大。</w:t>
      </w:r>
    </w:p>
    <w:p>
      <w:pPr>
        <w:pStyle w:val="237"/>
        <w:numPr>
          <w:ilvl w:val="2"/>
          <w:numId w:val="32"/>
        </w:numPr>
        <w:spacing w:before="156" w:after="156"/>
      </w:pPr>
      <w:r>
        <w:rPr>
          <w:rFonts w:hint="eastAsia"/>
        </w:rPr>
        <w:t>注肥泵法</w:t>
      </w:r>
    </w:p>
    <w:p>
      <w:pPr>
        <w:pStyle w:val="230"/>
        <w:tabs>
          <w:tab w:val="center" w:pos="4201"/>
          <w:tab w:val="right" w:leader="dot" w:pos="9298"/>
        </w:tabs>
        <w:ind w:firstLine="420" w:firstLineChars="200"/>
      </w:pPr>
      <w:r>
        <w:rPr>
          <w:rFonts w:hint="eastAsia"/>
        </w:rPr>
        <w:t>根据动力源，注肥泵可分为水力驱动和电力驱动两种形式。使用注肥泵时，先将肥料液倒入肥料罐中，打开注肥管道阀门，开启注肥泵，用注肥管道阀门调节肥液流量（水力驱动的比例式注肥泵自带稀释比例调节）。施肥结束后，用清水清洗注肥泵后关闭注肥泵和注肥管道阀门。</w:t>
      </w:r>
    </w:p>
    <w:p>
      <w:pPr>
        <w:pStyle w:val="230"/>
        <w:tabs>
          <w:tab w:val="center" w:pos="4201"/>
          <w:tab w:val="right" w:leader="dot" w:pos="9298"/>
        </w:tabs>
        <w:ind w:firstLine="420" w:firstLineChars="200"/>
        <w:rPr>
          <w:rFonts w:ascii="Times New Roman"/>
        </w:rPr>
      </w:pPr>
      <w:r>
        <w:rPr>
          <w:rFonts w:hint="eastAsia"/>
        </w:rPr>
        <w:t>注肥泵能均匀的向灌溉系统提供肥料，从而保证了灌溉肥液浓度的稳定性。</w:t>
      </w:r>
    </w:p>
    <w:p>
      <w:pPr>
        <w:pStyle w:val="237"/>
        <w:numPr>
          <w:ilvl w:val="2"/>
          <w:numId w:val="32"/>
        </w:numPr>
        <w:spacing w:before="156" w:after="156"/>
      </w:pPr>
      <w:r>
        <w:rPr>
          <w:rFonts w:hint="eastAsia"/>
        </w:rPr>
        <w:t>全自动施肥机法</w:t>
      </w:r>
    </w:p>
    <w:p>
      <w:pPr>
        <w:pStyle w:val="230"/>
        <w:tabs>
          <w:tab w:val="center" w:pos="4201"/>
          <w:tab w:val="right" w:leader="dot" w:pos="9298"/>
        </w:tabs>
        <w:ind w:firstLine="420" w:firstLineChars="200"/>
      </w:pPr>
      <w:r>
        <w:rPr>
          <w:rFonts w:hint="eastAsia"/>
        </w:rPr>
        <w:t>适宜规模化生产园区应用，建设成本和运行费用较高，能实现施肥和灌溉全程自动化控制。设计、安装、调试等工作由专业水肥一体化技术方案提供商（如耐特菲姆、上海华维）等专业化公司实施。</w:t>
      </w:r>
    </w:p>
    <w:p>
      <w:pPr>
        <w:pStyle w:val="233"/>
        <w:numPr>
          <w:ilvl w:val="0"/>
          <w:numId w:val="32"/>
        </w:numPr>
      </w:pPr>
      <w:bookmarkStart w:id="35" w:name="_Toc518044643"/>
      <w:r>
        <w:rPr>
          <w:rFonts w:hint="eastAsia"/>
        </w:rPr>
        <w:t>肥料管理</w:t>
      </w:r>
      <w:bookmarkEnd w:id="35"/>
    </w:p>
    <w:p>
      <w:pPr>
        <w:pStyle w:val="235"/>
        <w:numPr>
          <w:ilvl w:val="1"/>
          <w:numId w:val="32"/>
        </w:numPr>
      </w:pPr>
      <w:r>
        <w:rPr>
          <w:rFonts w:hint="eastAsia"/>
        </w:rPr>
        <w:t>肥料选择</w:t>
      </w:r>
    </w:p>
    <w:p>
      <w:pPr>
        <w:pStyle w:val="230"/>
        <w:tabs>
          <w:tab w:val="center" w:pos="4201"/>
          <w:tab w:val="right" w:leader="dot" w:pos="9298"/>
        </w:tabs>
        <w:ind w:firstLine="420" w:firstLineChars="200"/>
      </w:pPr>
      <w:r>
        <w:rPr>
          <w:rFonts w:hint="eastAsia"/>
        </w:rPr>
        <w:t>猕猴桃萌芽期适宜选择高氮型全水溶性肥料，猕猴桃膨果期适宜选择高钾型全水溶性肥料。水溶性肥料的氮磷钾配比可根据生产实际选择与推荐配方接近的肥料。肥料溶液的混合以不产生沉淀为原则。</w:t>
      </w:r>
    </w:p>
    <w:p>
      <w:pPr>
        <w:pStyle w:val="230"/>
        <w:tabs>
          <w:tab w:val="center" w:pos="4201"/>
          <w:tab w:val="right" w:leader="dot" w:pos="9298"/>
        </w:tabs>
        <w:ind w:firstLine="420" w:firstLineChars="200"/>
      </w:pPr>
      <w:r>
        <w:rPr>
          <w:rFonts w:hint="eastAsia"/>
        </w:rPr>
        <w:t>大量元素水溶性肥料选择应符合NY 1107（见附录A）的要求，根据猕猴桃不同生育期选择不同配方的全水溶性肥料。微量元素水溶性肥料选择应符合NY 1428（见附录B）的要求，可视猕猴桃长势选择适宜的微量元素水溶性肥料施用。</w:t>
      </w:r>
    </w:p>
    <w:p>
      <w:pPr>
        <w:pStyle w:val="230"/>
        <w:tabs>
          <w:tab w:val="center" w:pos="4201"/>
          <w:tab w:val="right" w:leader="dot" w:pos="9298"/>
        </w:tabs>
        <w:ind w:firstLine="420" w:firstLineChars="200"/>
      </w:pPr>
      <w:r>
        <w:rPr>
          <w:rFonts w:hint="eastAsia"/>
        </w:rPr>
        <w:t>选择的水溶性肥料均应符合NY 1110的要求（见附录C）。</w:t>
      </w:r>
    </w:p>
    <w:p>
      <w:pPr>
        <w:pStyle w:val="235"/>
        <w:numPr>
          <w:ilvl w:val="1"/>
          <w:numId w:val="32"/>
        </w:numPr>
      </w:pPr>
      <w:r>
        <w:rPr>
          <w:rFonts w:hint="eastAsia"/>
        </w:rPr>
        <w:t>肥料使用</w:t>
      </w:r>
    </w:p>
    <w:p>
      <w:pPr>
        <w:pStyle w:val="230"/>
        <w:tabs>
          <w:tab w:val="center" w:pos="4201"/>
          <w:tab w:val="right" w:leader="dot" w:pos="9298"/>
        </w:tabs>
        <w:ind w:firstLine="420" w:firstLineChars="200"/>
      </w:pPr>
      <w:r>
        <w:rPr>
          <w:rFonts w:hint="eastAsia"/>
        </w:rPr>
        <w:t>中等肥力条件下，目标产量2000kg以上，结果猕猴桃树的水肥一体化施肥管理办法如下。</w:t>
      </w:r>
    </w:p>
    <w:p>
      <w:pPr>
        <w:pStyle w:val="237"/>
        <w:numPr>
          <w:ilvl w:val="2"/>
          <w:numId w:val="32"/>
        </w:numPr>
        <w:spacing w:before="156" w:after="156"/>
      </w:pPr>
      <w:r>
        <w:rPr>
          <w:rFonts w:hint="eastAsia"/>
        </w:rPr>
        <w:t>基肥</w:t>
      </w:r>
    </w:p>
    <w:p>
      <w:pPr>
        <w:pStyle w:val="230"/>
        <w:tabs>
          <w:tab w:val="center" w:pos="4201"/>
          <w:tab w:val="right" w:leader="dot" w:pos="9298"/>
        </w:tabs>
        <w:ind w:firstLine="420" w:firstLineChars="200"/>
      </w:pPr>
      <w:r>
        <w:rPr>
          <w:rFonts w:hint="eastAsia"/>
        </w:rPr>
        <w:t>基肥施用应符合NY/T 496规定。秋季采摘果实后，在树冠投影外缘两侧各挖一条宽40cm～50cm，深20cm～25cm的沟，每亩施入充分腐熟的有机肥料3000kg～4000kg或商品生物有机肥400kg～600kg；条沟施入低氯型复合肥40kg～80kg（氮磷钾推荐配比：16-14-12，含铁、锌、锰、硼等微量元素），或利用水肥一体化施肥系统每亩施入平衡型含腐殖酸水溶肥料（腐殖酸含量≥30g/L）25kg；每亩施入15-25公斤含钙镁硼等中微量元素的复合肥（氧化钙≥18%，氧化镁≥4%，硼≥0.1%）。</w:t>
      </w:r>
    </w:p>
    <w:p>
      <w:pPr>
        <w:pStyle w:val="237"/>
        <w:numPr>
          <w:ilvl w:val="2"/>
          <w:numId w:val="32"/>
        </w:numPr>
        <w:spacing w:before="156" w:after="156"/>
      </w:pPr>
      <w:r>
        <w:rPr>
          <w:rFonts w:hint="eastAsia"/>
        </w:rPr>
        <w:t>追肥</w:t>
      </w:r>
    </w:p>
    <w:p>
      <w:pPr>
        <w:pStyle w:val="236"/>
        <w:numPr>
          <w:ilvl w:val="3"/>
          <w:numId w:val="32"/>
        </w:numPr>
        <w:spacing w:before="156" w:after="156"/>
      </w:pPr>
      <w:r>
        <w:rPr>
          <w:rFonts w:hint="eastAsia"/>
        </w:rPr>
        <w:t>催芽肥</w:t>
      </w:r>
    </w:p>
    <w:p>
      <w:pPr>
        <w:pStyle w:val="230"/>
        <w:tabs>
          <w:tab w:val="center" w:pos="4201"/>
          <w:tab w:val="right" w:leader="dot" w:pos="9298"/>
        </w:tabs>
        <w:ind w:firstLine="420" w:firstLineChars="200"/>
      </w:pPr>
      <w:r>
        <w:rPr>
          <w:rFonts w:hint="eastAsia"/>
        </w:rPr>
        <w:t>春季萌芽时施入，利用水肥一体化施肥系统每亩滴灌施入高氮型全水溶性复合肥（氮磷钾推荐配比：30-10-10）10kg左右，分两次施入。</w:t>
      </w:r>
    </w:p>
    <w:p>
      <w:pPr>
        <w:pStyle w:val="236"/>
        <w:numPr>
          <w:ilvl w:val="3"/>
          <w:numId w:val="32"/>
        </w:numPr>
        <w:spacing w:before="156" w:after="156"/>
      </w:pPr>
      <w:r>
        <w:rPr>
          <w:rFonts w:hint="eastAsia"/>
        </w:rPr>
        <w:t>花前肥</w:t>
      </w:r>
    </w:p>
    <w:p>
      <w:pPr>
        <w:pStyle w:val="230"/>
        <w:tabs>
          <w:tab w:val="center" w:pos="4201"/>
          <w:tab w:val="right" w:leader="dot" w:pos="9298"/>
        </w:tabs>
        <w:ind w:firstLine="420" w:firstLineChars="200"/>
      </w:pPr>
      <w:r>
        <w:rPr>
          <w:rFonts w:hint="eastAsia"/>
        </w:rPr>
        <w:t>开花前约一周时施入，利用水肥一体化施肥系统每亩滴灌施入高氮型全水溶性复合肥（氮磷钾推荐配比：30-10-10）5kg左右。另外，每亩滴灌施入中微量元素水溶性肥料（含钙镁硼等中微量元素）10kg 左右。</w:t>
      </w:r>
    </w:p>
    <w:p>
      <w:pPr>
        <w:pStyle w:val="236"/>
        <w:numPr>
          <w:ilvl w:val="3"/>
          <w:numId w:val="32"/>
        </w:numPr>
        <w:spacing w:before="156" w:after="156"/>
      </w:pPr>
      <w:r>
        <w:rPr>
          <w:rFonts w:hint="eastAsia"/>
        </w:rPr>
        <w:t>花后肥</w:t>
      </w:r>
    </w:p>
    <w:p>
      <w:pPr>
        <w:pStyle w:val="230"/>
        <w:tabs>
          <w:tab w:val="center" w:pos="4201"/>
          <w:tab w:val="right" w:leader="dot" w:pos="9298"/>
        </w:tabs>
        <w:ind w:firstLine="420" w:firstLineChars="200"/>
      </w:pPr>
      <w:r>
        <w:rPr>
          <w:rFonts w:hint="eastAsia"/>
        </w:rPr>
        <w:t>落花后施入，利用水肥一体化施肥系统每亩滴灌施入全水溶性复合肥（氮磷钾推荐配比：20-20-20）5kg左右。</w:t>
      </w:r>
    </w:p>
    <w:p>
      <w:pPr>
        <w:pStyle w:val="236"/>
        <w:numPr>
          <w:ilvl w:val="3"/>
          <w:numId w:val="32"/>
        </w:numPr>
        <w:spacing w:before="156" w:after="156"/>
      </w:pPr>
      <w:r>
        <w:rPr>
          <w:rFonts w:hint="eastAsia"/>
        </w:rPr>
        <w:t>膨果肥</w:t>
      </w:r>
    </w:p>
    <w:p>
      <w:pPr>
        <w:pStyle w:val="230"/>
        <w:tabs>
          <w:tab w:val="center" w:pos="4201"/>
          <w:tab w:val="right" w:leader="dot" w:pos="9298"/>
        </w:tabs>
        <w:ind w:firstLine="420" w:firstLineChars="200"/>
      </w:pPr>
      <w:r>
        <w:rPr>
          <w:rFonts w:hint="eastAsia"/>
        </w:rPr>
        <w:t>落花后1个月左右施入，利用水肥一体化施肥系统每亩滴灌施入全水溶性复合肥（氮磷钾推荐配比：20-20-20）10kg左右，分两次施入。</w:t>
      </w:r>
    </w:p>
    <w:p>
      <w:pPr>
        <w:pStyle w:val="236"/>
        <w:numPr>
          <w:ilvl w:val="3"/>
          <w:numId w:val="32"/>
        </w:numPr>
        <w:spacing w:before="156" w:after="156"/>
      </w:pPr>
      <w:r>
        <w:rPr>
          <w:rFonts w:hint="eastAsia"/>
        </w:rPr>
        <w:t xml:space="preserve">优果肥 </w:t>
      </w:r>
    </w:p>
    <w:p>
      <w:pPr>
        <w:pStyle w:val="230"/>
        <w:tabs>
          <w:tab w:val="center" w:pos="4201"/>
          <w:tab w:val="right" w:leader="dot" w:pos="9298"/>
        </w:tabs>
        <w:ind w:firstLine="420" w:firstLineChars="200"/>
      </w:pPr>
      <w:r>
        <w:rPr>
          <w:rFonts w:hint="eastAsia"/>
        </w:rPr>
        <w:t>果实采收前45天左右施入，利用水肥一体化施肥系统每亩滴灌施入高钾型全水溶性复合肥（氮磷钾推荐配比：10-5-35）15kg左右，分三次施入。</w:t>
      </w:r>
    </w:p>
    <w:p>
      <w:pPr>
        <w:pStyle w:val="236"/>
        <w:numPr>
          <w:ilvl w:val="3"/>
          <w:numId w:val="32"/>
        </w:numPr>
        <w:spacing w:before="156" w:after="156"/>
      </w:pPr>
      <w:r>
        <w:rPr>
          <w:rFonts w:hint="eastAsia"/>
        </w:rPr>
        <w:t xml:space="preserve">叶面肥 </w:t>
      </w:r>
    </w:p>
    <w:p>
      <w:pPr>
        <w:pStyle w:val="230"/>
        <w:tabs>
          <w:tab w:val="center" w:pos="4201"/>
          <w:tab w:val="right" w:leader="dot" w:pos="9298"/>
        </w:tabs>
        <w:ind w:firstLine="420" w:firstLineChars="200"/>
      </w:pPr>
      <w:r>
        <w:rPr>
          <w:rFonts w:hint="eastAsia"/>
        </w:rPr>
        <w:t>猕猴桃新梢生长期叶面喷施稀释成800倍-1000倍水溶液的含腐殖酸叶面肥，喷施2-3次，每次间隔5-7天；始花期到幼果期叶面喷施稀释成1200倍-2000倍水溶液的流体硼（硼≥150g/L），喷施2-3次，每次间隔10-15天；果实膨大期叶面喷施稀释成1200倍-2000倍水溶液的糖醇钙（钙≥180g/L），喷施2-3次，每次间隔10-15天。叶面喷肥要选择在阴天或晴天下午四点后进行。</w:t>
      </w:r>
    </w:p>
    <w:p>
      <w:pPr>
        <w:pStyle w:val="233"/>
        <w:numPr>
          <w:ilvl w:val="0"/>
          <w:numId w:val="32"/>
        </w:numPr>
      </w:pPr>
      <w:bookmarkStart w:id="36" w:name="_Toc518044644"/>
      <w:r>
        <w:rPr>
          <w:rFonts w:hint="eastAsia"/>
        </w:rPr>
        <w:t>系统维护</w:t>
      </w:r>
      <w:bookmarkEnd w:id="36"/>
    </w:p>
    <w:p>
      <w:pPr>
        <w:pStyle w:val="230"/>
        <w:tabs>
          <w:tab w:val="center" w:pos="4201"/>
          <w:tab w:val="right" w:leader="dot" w:pos="9298"/>
        </w:tabs>
        <w:ind w:firstLine="420" w:firstLineChars="200"/>
      </w:pPr>
      <w:r>
        <w:rPr>
          <w:rFonts w:hint="eastAsia"/>
        </w:rPr>
        <w:t>按照设备说明要求对水肥一体化系统进行定期维护。</w:t>
      </w:r>
    </w:p>
    <w:p>
      <w:pPr>
        <w:pStyle w:val="235"/>
        <w:numPr>
          <w:ilvl w:val="1"/>
          <w:numId w:val="32"/>
        </w:numPr>
      </w:pPr>
      <w:r>
        <w:rPr>
          <w:rFonts w:hint="eastAsia"/>
        </w:rPr>
        <w:t>使用前</w:t>
      </w:r>
    </w:p>
    <w:p>
      <w:pPr>
        <w:pStyle w:val="230"/>
        <w:tabs>
          <w:tab w:val="center" w:pos="4201"/>
          <w:tab w:val="right" w:leader="dot" w:pos="9298"/>
        </w:tabs>
        <w:ind w:firstLine="420" w:firstLineChars="200"/>
      </w:pPr>
      <w:r>
        <w:rPr>
          <w:rFonts w:hint="eastAsia"/>
        </w:rPr>
        <w:t>充分清洗过滤器的所有部件，紧固所有的螺丝。检查肥料罐或注肥泵的零部件及与系统的连接是否正确，清除罐体内的积存污物，以防其进入管道系统。检查所有的末端管，看是否有折损或堵头丢失情况，若有则及时修理和补充。检查所有的阀门及其连接微管，若有缺损应及时修补。关闭主支管道上的排水底阀。</w:t>
      </w:r>
    </w:p>
    <w:p>
      <w:pPr>
        <w:pStyle w:val="235"/>
        <w:numPr>
          <w:ilvl w:val="1"/>
          <w:numId w:val="32"/>
        </w:numPr>
      </w:pPr>
      <w:r>
        <w:rPr>
          <w:rFonts w:hint="eastAsia"/>
        </w:rPr>
        <w:t>使用后</w:t>
      </w:r>
    </w:p>
    <w:p>
      <w:pPr>
        <w:pStyle w:val="230"/>
        <w:tabs>
          <w:tab w:val="center" w:pos="4201"/>
          <w:tab w:val="right" w:leader="dot" w:pos="9298"/>
        </w:tabs>
        <w:ind w:firstLine="420" w:firstLineChars="200"/>
      </w:pPr>
      <w:r>
        <w:rPr>
          <w:rFonts w:hint="eastAsia"/>
        </w:rPr>
        <w:t>分别打开各支管和主管的末端堵头，开动水泵，使用高压逐个冲洗，力争将管道内的污物冲洗干净，然后把堵头装回。在管道高压清洗结束后，充分清洗过滤器后排净水。田间设备在冬季来临前，为防止严寒将管道冻坏，要把田间位于主支管道上的排水底阀打开，尽量将里面的水排净，阀门冬季不必关闭。将田间各阀门的手动开关置于开的位置。将田间各条滴灌管线拉直，勿使其扭折。若冬季回收，也应注意勿使其扭曲放置。</w:t>
      </w: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pStyle w:val="230"/>
        <w:tabs>
          <w:tab w:val="center" w:pos="4201"/>
          <w:tab w:val="right" w:leader="dot" w:pos="9298"/>
        </w:tabs>
      </w:pPr>
    </w:p>
    <w:p>
      <w:pPr>
        <w:spacing w:before="50" w:after="50"/>
        <w:jc w:val="center"/>
        <w:rPr>
          <w:rFonts w:ascii="黑体" w:hAnsi="宋体" w:eastAsia="黑体"/>
        </w:rPr>
      </w:pPr>
      <w:r>
        <w:rPr>
          <w:rFonts w:hint="eastAsia" w:ascii="黑体" w:hAnsi="宋体" w:eastAsia="黑体"/>
        </w:rPr>
        <w:t>附录A</w:t>
      </w:r>
    </w:p>
    <w:p>
      <w:pPr>
        <w:spacing w:before="50" w:after="50"/>
        <w:jc w:val="center"/>
        <w:rPr>
          <w:rFonts w:ascii="黑体" w:hAnsi="宋体" w:eastAsia="黑体"/>
        </w:rPr>
      </w:pPr>
      <w:r>
        <w:rPr>
          <w:rFonts w:hint="eastAsia" w:ascii="黑体" w:hAnsi="宋体" w:eastAsia="黑体"/>
        </w:rPr>
        <w:t>（规范性附录）</w:t>
      </w:r>
    </w:p>
    <w:p>
      <w:pPr>
        <w:spacing w:before="50" w:after="50"/>
        <w:jc w:val="center"/>
        <w:rPr>
          <w:rFonts w:ascii="黑体" w:eastAsia="黑体"/>
          <w:kern w:val="0"/>
        </w:rPr>
      </w:pPr>
      <w:r>
        <w:rPr>
          <w:rFonts w:hint="eastAsia" w:ascii="黑体" w:eastAsia="黑体"/>
          <w:kern w:val="0"/>
        </w:rPr>
        <w:t>大量元素水溶肥料产品技术指标</w:t>
      </w:r>
    </w:p>
    <w:p>
      <w:pPr>
        <w:widowControl/>
        <w:jc w:val="center"/>
        <w:rPr>
          <w:rFonts w:ascii="黑体" w:eastAsia="黑体"/>
          <w:kern w:val="0"/>
        </w:rPr>
      </w:pPr>
      <w:r>
        <w:rPr>
          <w:rFonts w:hint="eastAsia" w:ascii="黑体" w:eastAsia="黑体"/>
          <w:kern w:val="0"/>
        </w:rPr>
        <w:t>表A.1 大量元素水溶肥料（中量元素型）固体产品技术指标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项目</w:t>
            </w:r>
          </w:p>
        </w:tc>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nil"/>
            </w:tcBorders>
          </w:tcPr>
          <w:p>
            <w:pPr>
              <w:widowControl/>
              <w:spacing w:before="100" w:beforeAutospacing="1" w:after="100" w:afterAutospacing="1"/>
              <w:jc w:val="center"/>
              <w:rPr>
                <w:kern w:val="0"/>
              </w:rPr>
            </w:pPr>
            <w:r>
              <w:rPr>
                <w:rFonts w:hint="eastAsia"/>
                <w:kern w:val="0"/>
              </w:rPr>
              <w:t>大量元素含量，%</w:t>
            </w:r>
          </w:p>
        </w:tc>
        <w:tc>
          <w:tcPr>
            <w:tcW w:w="4261" w:type="dxa"/>
            <w:tcBorders>
              <w:bottom w:val="nil"/>
            </w:tcBorders>
          </w:tcPr>
          <w:p>
            <w:pPr>
              <w:widowControl/>
              <w:spacing w:before="100" w:beforeAutospacing="1" w:after="100" w:afterAutospacing="1"/>
              <w:jc w:val="center"/>
              <w:rPr>
                <w:kern w:val="0"/>
              </w:rPr>
            </w:pPr>
            <w:r>
              <w:rPr>
                <w:rFonts w:hint="eastAsia"/>
                <w:kern w:val="0"/>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中量元素含量，%</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水不溶物含量，%</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kern w:val="0"/>
              </w:rPr>
              <w:t>p</w:t>
            </w:r>
            <w:r>
              <w:rPr>
                <w:rFonts w:hint="eastAsia"/>
                <w:kern w:val="0"/>
              </w:rPr>
              <w:t>H(1:250倍稀释)</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3.0～9.0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spacing w:before="100" w:beforeAutospacing="1" w:after="100" w:afterAutospacing="1"/>
              <w:jc w:val="center"/>
              <w:rPr>
                <w:kern w:val="0"/>
              </w:rPr>
            </w:pPr>
            <w:r>
              <w:rPr>
                <w:rFonts w:hint="eastAsia"/>
                <w:kern w:val="0"/>
              </w:rPr>
              <w:t>水分（H</w:t>
            </w:r>
            <w:r>
              <w:rPr>
                <w:rFonts w:hint="eastAsia"/>
                <w:kern w:val="0"/>
                <w:vertAlign w:val="subscript"/>
              </w:rPr>
              <w:t>2</w:t>
            </w:r>
            <w:r>
              <w:rPr>
                <w:rFonts w:hint="eastAsia"/>
                <w:kern w:val="0"/>
              </w:rPr>
              <w:t>O），%</w:t>
            </w:r>
          </w:p>
        </w:tc>
        <w:tc>
          <w:tcPr>
            <w:tcW w:w="4261" w:type="dxa"/>
            <w:tcBorders>
              <w:top w:val="nil"/>
              <w:bottom w:val="single" w:color="000000" w:sz="4" w:space="0"/>
            </w:tcBorders>
          </w:tcPr>
          <w:p>
            <w:pPr>
              <w:widowControl/>
              <w:spacing w:before="100" w:beforeAutospacing="1" w:after="100" w:afterAutospacing="1"/>
              <w:jc w:val="center"/>
              <w:rPr>
                <w:kern w:val="0"/>
              </w:rPr>
            </w:pPr>
            <w:r>
              <w:rPr>
                <w:rFonts w:hint="eastAsia"/>
                <w:kern w:val="0"/>
              </w:rPr>
              <w:t>≤3.0</w:t>
            </w:r>
          </w:p>
        </w:tc>
      </w:tr>
    </w:tbl>
    <w:p>
      <w:pPr>
        <w:widowControl/>
        <w:jc w:val="center"/>
        <w:rPr>
          <w:rFonts w:ascii="黑体" w:eastAsia="黑体"/>
          <w:kern w:val="0"/>
        </w:rPr>
      </w:pPr>
      <w:r>
        <w:rPr>
          <w:rFonts w:hint="eastAsia" w:ascii="黑体" w:eastAsia="黑体"/>
          <w:kern w:val="0"/>
        </w:rPr>
        <w:t>表A.2 大量元素水溶肥料（中量元素型）液体产品技术指标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项目</w:t>
            </w:r>
          </w:p>
        </w:tc>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nil"/>
            </w:tcBorders>
          </w:tcPr>
          <w:p>
            <w:pPr>
              <w:widowControl/>
              <w:spacing w:before="100" w:beforeAutospacing="1" w:after="100" w:afterAutospacing="1"/>
              <w:jc w:val="center"/>
              <w:rPr>
                <w:kern w:val="0"/>
              </w:rPr>
            </w:pPr>
            <w:r>
              <w:rPr>
                <w:rFonts w:hint="eastAsia"/>
                <w:kern w:val="0"/>
              </w:rPr>
              <w:t>大量元素含量，</w:t>
            </w:r>
            <w:r>
              <w:rPr>
                <w:kern w:val="0"/>
              </w:rPr>
              <w:t>g/L</w:t>
            </w:r>
          </w:p>
        </w:tc>
        <w:tc>
          <w:tcPr>
            <w:tcW w:w="4261" w:type="dxa"/>
            <w:tcBorders>
              <w:bottom w:val="nil"/>
            </w:tcBorders>
          </w:tcPr>
          <w:p>
            <w:pPr>
              <w:widowControl/>
              <w:spacing w:before="100" w:beforeAutospacing="1" w:after="100" w:afterAutospacing="1"/>
              <w:jc w:val="center"/>
              <w:rPr>
                <w:kern w:val="0"/>
              </w:rPr>
            </w:pPr>
            <w:r>
              <w:rPr>
                <w:rFonts w:hint="eastAsia"/>
                <w:kern w:val="0"/>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中量元素含量，</w:t>
            </w:r>
            <w:r>
              <w:rPr>
                <w:kern w:val="0"/>
              </w:rPr>
              <w:t>g/L</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水不溶物含量，</w:t>
            </w:r>
            <w:r>
              <w:rPr>
                <w:kern w:val="0"/>
              </w:rPr>
              <w:t>g/L</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spacing w:before="100" w:beforeAutospacing="1" w:after="100" w:afterAutospacing="1"/>
              <w:jc w:val="center"/>
              <w:rPr>
                <w:kern w:val="0"/>
              </w:rPr>
            </w:pPr>
            <w:r>
              <w:rPr>
                <w:kern w:val="0"/>
              </w:rPr>
              <w:t>p</w:t>
            </w:r>
            <w:r>
              <w:rPr>
                <w:rFonts w:hint="eastAsia"/>
                <w:kern w:val="0"/>
              </w:rPr>
              <w:t>H(1:250倍稀释)</w:t>
            </w:r>
          </w:p>
        </w:tc>
        <w:tc>
          <w:tcPr>
            <w:tcW w:w="4261" w:type="dxa"/>
            <w:tcBorders>
              <w:top w:val="nil"/>
              <w:bottom w:val="single" w:color="000000" w:sz="4" w:space="0"/>
            </w:tcBorders>
          </w:tcPr>
          <w:p>
            <w:pPr>
              <w:widowControl/>
              <w:spacing w:before="100" w:beforeAutospacing="1" w:after="100" w:afterAutospacing="1"/>
              <w:jc w:val="center"/>
              <w:rPr>
                <w:kern w:val="0"/>
              </w:rPr>
            </w:pPr>
            <w:r>
              <w:rPr>
                <w:rFonts w:hint="eastAsia"/>
                <w:kern w:val="0"/>
              </w:rPr>
              <w:t>3.0～9.0</w:t>
            </w:r>
          </w:p>
        </w:tc>
      </w:tr>
    </w:tbl>
    <w:p>
      <w:pPr>
        <w:widowControl/>
        <w:jc w:val="center"/>
        <w:rPr>
          <w:rFonts w:ascii="黑体" w:eastAsia="黑体"/>
          <w:kern w:val="0"/>
        </w:rPr>
      </w:pPr>
      <w:r>
        <w:rPr>
          <w:rFonts w:hint="eastAsia" w:ascii="黑体" w:eastAsia="黑体"/>
          <w:kern w:val="0"/>
        </w:rPr>
        <w:t>表A.3 大量元素水溶肥料（微量元素型）固体产品技术指标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jc w:val="center"/>
              <w:rPr>
                <w:kern w:val="0"/>
              </w:rPr>
            </w:pPr>
            <w:r>
              <w:rPr>
                <w:rFonts w:hint="eastAsia"/>
                <w:kern w:val="0"/>
              </w:rPr>
              <w:t>项目</w:t>
            </w:r>
          </w:p>
        </w:tc>
        <w:tc>
          <w:tcPr>
            <w:tcW w:w="4261" w:type="dxa"/>
            <w:tcBorders>
              <w:bottom w:val="single" w:color="auto" w:sz="4" w:space="0"/>
            </w:tcBorders>
          </w:tcPr>
          <w:p>
            <w:pPr>
              <w:widowControl/>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nil"/>
            </w:tcBorders>
          </w:tcPr>
          <w:p>
            <w:pPr>
              <w:widowControl/>
              <w:jc w:val="center"/>
              <w:rPr>
                <w:kern w:val="0"/>
              </w:rPr>
            </w:pPr>
            <w:r>
              <w:rPr>
                <w:rFonts w:hint="eastAsia"/>
                <w:kern w:val="0"/>
              </w:rPr>
              <w:t>大量元素含量，%</w:t>
            </w:r>
          </w:p>
        </w:tc>
        <w:tc>
          <w:tcPr>
            <w:tcW w:w="4261" w:type="dxa"/>
            <w:tcBorders>
              <w:bottom w:val="nil"/>
            </w:tcBorders>
          </w:tcPr>
          <w:p>
            <w:pPr>
              <w:widowControl/>
              <w:jc w:val="center"/>
              <w:rPr>
                <w:kern w:val="0"/>
              </w:rPr>
            </w:pPr>
            <w:r>
              <w:rPr>
                <w:rFonts w:hint="eastAsia"/>
                <w:kern w:val="0"/>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微量元素含量，%</w:t>
            </w:r>
          </w:p>
        </w:tc>
        <w:tc>
          <w:tcPr>
            <w:tcW w:w="4261" w:type="dxa"/>
            <w:tcBorders>
              <w:top w:val="nil"/>
              <w:bottom w:val="nil"/>
            </w:tcBorders>
          </w:tcPr>
          <w:p>
            <w:pPr>
              <w:widowControl/>
              <w:jc w:val="center"/>
              <w:rPr>
                <w:kern w:val="0"/>
              </w:rPr>
            </w:pPr>
            <w:r>
              <w:rPr>
                <w:rFonts w:hint="eastAsia"/>
                <w:kern w:val="0"/>
              </w:rPr>
              <w:t>0.2～3.0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水不溶物含量，%</w:t>
            </w:r>
          </w:p>
        </w:tc>
        <w:tc>
          <w:tcPr>
            <w:tcW w:w="4261" w:type="dxa"/>
            <w:tcBorders>
              <w:top w:val="nil"/>
              <w:bottom w:val="nil"/>
            </w:tcBorders>
          </w:tcPr>
          <w:p>
            <w:pPr>
              <w:widowControl/>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kern w:val="0"/>
              </w:rPr>
              <w:t>p</w:t>
            </w:r>
            <w:r>
              <w:rPr>
                <w:rFonts w:hint="eastAsia"/>
                <w:kern w:val="0"/>
              </w:rPr>
              <w:t>H(1:250倍稀释)</w:t>
            </w:r>
          </w:p>
        </w:tc>
        <w:tc>
          <w:tcPr>
            <w:tcW w:w="4261" w:type="dxa"/>
            <w:tcBorders>
              <w:top w:val="nil"/>
              <w:bottom w:val="nil"/>
            </w:tcBorders>
          </w:tcPr>
          <w:p>
            <w:pPr>
              <w:widowControl/>
              <w:jc w:val="center"/>
              <w:rPr>
                <w:kern w:val="0"/>
              </w:rPr>
            </w:pPr>
            <w:r>
              <w:rPr>
                <w:rFonts w:hint="eastAsia"/>
                <w:kern w:val="0"/>
              </w:rPr>
              <w:t>3.0～9.0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jc w:val="center"/>
              <w:rPr>
                <w:kern w:val="0"/>
              </w:rPr>
            </w:pPr>
            <w:r>
              <w:rPr>
                <w:rFonts w:hint="eastAsia"/>
                <w:kern w:val="0"/>
              </w:rPr>
              <w:t>水分（H</w:t>
            </w:r>
            <w:r>
              <w:rPr>
                <w:rFonts w:hint="eastAsia"/>
                <w:kern w:val="0"/>
                <w:vertAlign w:val="subscript"/>
              </w:rPr>
              <w:t>2</w:t>
            </w:r>
            <w:r>
              <w:rPr>
                <w:rFonts w:hint="eastAsia"/>
                <w:kern w:val="0"/>
              </w:rPr>
              <w:t>O），%</w:t>
            </w:r>
          </w:p>
        </w:tc>
        <w:tc>
          <w:tcPr>
            <w:tcW w:w="4261" w:type="dxa"/>
            <w:tcBorders>
              <w:top w:val="nil"/>
              <w:bottom w:val="single" w:color="000000" w:sz="4" w:space="0"/>
            </w:tcBorders>
          </w:tcPr>
          <w:p>
            <w:pPr>
              <w:widowControl/>
              <w:jc w:val="center"/>
              <w:rPr>
                <w:kern w:val="0"/>
              </w:rPr>
            </w:pPr>
            <w:r>
              <w:rPr>
                <w:rFonts w:hint="eastAsia"/>
                <w:kern w:val="0"/>
              </w:rPr>
              <w:t>≤3.0</w:t>
            </w:r>
          </w:p>
        </w:tc>
      </w:tr>
    </w:tbl>
    <w:p>
      <w:pPr>
        <w:widowControl/>
        <w:jc w:val="center"/>
        <w:rPr>
          <w:rFonts w:ascii="黑体" w:eastAsia="黑体"/>
          <w:kern w:val="0"/>
        </w:rPr>
      </w:pPr>
      <w:r>
        <w:rPr>
          <w:rFonts w:hint="eastAsia" w:ascii="黑体" w:eastAsia="黑体"/>
          <w:kern w:val="0"/>
        </w:rPr>
        <w:t>表A.4 大量元素水溶肥料（微量元素型）液体产品技术指标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jc w:val="center"/>
              <w:rPr>
                <w:kern w:val="0"/>
              </w:rPr>
            </w:pPr>
            <w:r>
              <w:rPr>
                <w:rFonts w:hint="eastAsia"/>
                <w:kern w:val="0"/>
              </w:rPr>
              <w:t>项目</w:t>
            </w:r>
          </w:p>
        </w:tc>
        <w:tc>
          <w:tcPr>
            <w:tcW w:w="4261" w:type="dxa"/>
            <w:tcBorders>
              <w:bottom w:val="single" w:color="auto" w:sz="4" w:space="0"/>
            </w:tcBorders>
          </w:tcPr>
          <w:p>
            <w:pPr>
              <w:widowControl/>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nil"/>
            </w:tcBorders>
          </w:tcPr>
          <w:p>
            <w:pPr>
              <w:widowControl/>
              <w:jc w:val="center"/>
              <w:rPr>
                <w:kern w:val="0"/>
              </w:rPr>
            </w:pPr>
            <w:r>
              <w:rPr>
                <w:rFonts w:hint="eastAsia"/>
                <w:kern w:val="0"/>
              </w:rPr>
              <w:t>大量元素含量，</w:t>
            </w:r>
            <w:r>
              <w:rPr>
                <w:kern w:val="0"/>
              </w:rPr>
              <w:t>g/L</w:t>
            </w:r>
          </w:p>
        </w:tc>
        <w:tc>
          <w:tcPr>
            <w:tcW w:w="4261" w:type="dxa"/>
            <w:tcBorders>
              <w:bottom w:val="nil"/>
            </w:tcBorders>
          </w:tcPr>
          <w:p>
            <w:pPr>
              <w:widowControl/>
              <w:jc w:val="center"/>
              <w:rPr>
                <w:kern w:val="0"/>
              </w:rPr>
            </w:pPr>
            <w:r>
              <w:rPr>
                <w:rFonts w:hint="eastAsia"/>
                <w:kern w:val="0"/>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微量元素含量，</w:t>
            </w:r>
            <w:r>
              <w:rPr>
                <w:kern w:val="0"/>
              </w:rPr>
              <w:t>g/L</w:t>
            </w:r>
          </w:p>
        </w:tc>
        <w:tc>
          <w:tcPr>
            <w:tcW w:w="4261" w:type="dxa"/>
            <w:tcBorders>
              <w:top w:val="nil"/>
              <w:bottom w:val="nil"/>
            </w:tcBorders>
          </w:tcPr>
          <w:p>
            <w:pPr>
              <w:widowControl/>
              <w:jc w:val="center"/>
              <w:rPr>
                <w:kern w:val="0"/>
              </w:rPr>
            </w:pPr>
            <w:r>
              <w:rPr>
                <w:rFonts w:hint="eastAsia"/>
                <w:kern w:val="0"/>
              </w:rPr>
              <w:t>2～30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水不溶物含量，</w:t>
            </w:r>
            <w:r>
              <w:rPr>
                <w:kern w:val="0"/>
              </w:rPr>
              <w:t>g/L</w:t>
            </w:r>
          </w:p>
        </w:tc>
        <w:tc>
          <w:tcPr>
            <w:tcW w:w="4261" w:type="dxa"/>
            <w:tcBorders>
              <w:top w:val="nil"/>
              <w:bottom w:val="nil"/>
            </w:tcBorders>
          </w:tcPr>
          <w:p>
            <w:pPr>
              <w:widowControl/>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jc w:val="center"/>
              <w:rPr>
                <w:kern w:val="0"/>
              </w:rPr>
            </w:pPr>
            <w:r>
              <w:rPr>
                <w:kern w:val="0"/>
              </w:rPr>
              <w:t>p</w:t>
            </w:r>
            <w:r>
              <w:rPr>
                <w:rFonts w:hint="eastAsia"/>
                <w:kern w:val="0"/>
              </w:rPr>
              <w:t>H(1:250倍稀释)</w:t>
            </w:r>
          </w:p>
        </w:tc>
        <w:tc>
          <w:tcPr>
            <w:tcW w:w="4261" w:type="dxa"/>
            <w:tcBorders>
              <w:top w:val="nil"/>
              <w:bottom w:val="single" w:color="000000" w:sz="4" w:space="0"/>
            </w:tcBorders>
          </w:tcPr>
          <w:p>
            <w:pPr>
              <w:widowControl/>
              <w:jc w:val="center"/>
              <w:rPr>
                <w:kern w:val="0"/>
              </w:rPr>
            </w:pPr>
            <w:r>
              <w:rPr>
                <w:rFonts w:hint="eastAsia"/>
                <w:kern w:val="0"/>
              </w:rPr>
              <w:t>3.0～9.0</w:t>
            </w:r>
          </w:p>
        </w:tc>
      </w:tr>
    </w:tbl>
    <w:p>
      <w:pPr>
        <w:spacing w:before="50" w:after="50"/>
        <w:jc w:val="center"/>
        <w:rPr>
          <w:rFonts w:ascii="黑体" w:hAnsi="宋体" w:eastAsia="黑体"/>
        </w:rPr>
      </w:pPr>
    </w:p>
    <w:p>
      <w:pPr>
        <w:spacing w:before="50" w:after="50"/>
        <w:jc w:val="center"/>
        <w:rPr>
          <w:rFonts w:ascii="黑体" w:hAnsi="宋体" w:eastAsia="黑体"/>
        </w:rPr>
      </w:pPr>
    </w:p>
    <w:p>
      <w:pPr>
        <w:spacing w:before="50" w:after="50"/>
        <w:jc w:val="center"/>
        <w:rPr>
          <w:rFonts w:ascii="黑体" w:hAnsi="宋体" w:eastAsia="黑体"/>
        </w:rPr>
      </w:pPr>
      <w:r>
        <w:rPr>
          <w:rFonts w:hint="eastAsia" w:ascii="黑体" w:hAnsi="宋体" w:eastAsia="黑体"/>
        </w:rPr>
        <w:t>附录B</w:t>
      </w:r>
    </w:p>
    <w:p>
      <w:pPr>
        <w:spacing w:before="50" w:after="50"/>
        <w:jc w:val="center"/>
        <w:rPr>
          <w:rFonts w:ascii="黑体" w:hAnsi="宋体" w:eastAsia="黑体"/>
        </w:rPr>
      </w:pPr>
      <w:r>
        <w:rPr>
          <w:rFonts w:hint="eastAsia" w:ascii="黑体" w:hAnsi="宋体" w:eastAsia="黑体"/>
        </w:rPr>
        <w:t>（规范性附录）</w:t>
      </w:r>
    </w:p>
    <w:p>
      <w:pPr>
        <w:spacing w:before="50" w:after="50"/>
        <w:jc w:val="center"/>
        <w:rPr>
          <w:rFonts w:ascii="黑体" w:eastAsia="黑体"/>
          <w:kern w:val="0"/>
        </w:rPr>
      </w:pPr>
      <w:r>
        <w:rPr>
          <w:rFonts w:hint="eastAsia" w:ascii="黑体" w:eastAsia="黑体"/>
          <w:kern w:val="0"/>
        </w:rPr>
        <w:t>微量元素水溶肥料产品技术标准</w:t>
      </w:r>
    </w:p>
    <w:p>
      <w:pPr>
        <w:spacing w:before="50" w:after="50"/>
        <w:jc w:val="center"/>
        <w:rPr>
          <w:rFonts w:ascii="黑体" w:eastAsia="黑体"/>
          <w:kern w:val="0"/>
        </w:rPr>
      </w:pPr>
    </w:p>
    <w:p>
      <w:pPr>
        <w:widowControl/>
        <w:jc w:val="center"/>
        <w:rPr>
          <w:kern w:val="0"/>
        </w:rPr>
      </w:pPr>
      <w:r>
        <w:rPr>
          <w:rFonts w:hint="eastAsia" w:ascii="黑体" w:eastAsia="黑体"/>
          <w:kern w:val="0"/>
        </w:rPr>
        <w:t>表B.1 微量元素水溶肥料固体产品技术指标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jc w:val="center"/>
              <w:rPr>
                <w:kern w:val="0"/>
              </w:rPr>
            </w:pPr>
            <w:r>
              <w:rPr>
                <w:rFonts w:hint="eastAsia"/>
                <w:kern w:val="0"/>
              </w:rPr>
              <w:t>项目</w:t>
            </w:r>
          </w:p>
        </w:tc>
        <w:tc>
          <w:tcPr>
            <w:tcW w:w="4261" w:type="dxa"/>
            <w:tcBorders>
              <w:bottom w:val="single" w:color="auto" w:sz="4" w:space="0"/>
            </w:tcBorders>
          </w:tcPr>
          <w:p>
            <w:pPr>
              <w:widowControl/>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微量元素含量，%</w:t>
            </w:r>
          </w:p>
        </w:tc>
        <w:tc>
          <w:tcPr>
            <w:tcW w:w="4261" w:type="dxa"/>
            <w:tcBorders>
              <w:top w:val="nil"/>
              <w:bottom w:val="nil"/>
            </w:tcBorders>
          </w:tcPr>
          <w:p>
            <w:pPr>
              <w:widowControl/>
              <w:jc w:val="center"/>
              <w:rPr>
                <w:kern w:val="0"/>
              </w:rPr>
            </w:pPr>
            <w:r>
              <w:rPr>
                <w:rFonts w:hint="eastAsia"/>
                <w:kern w:val="0"/>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rFonts w:hint="eastAsia"/>
                <w:kern w:val="0"/>
              </w:rPr>
              <w:t>水不溶物含量，%</w:t>
            </w:r>
          </w:p>
        </w:tc>
        <w:tc>
          <w:tcPr>
            <w:tcW w:w="4261" w:type="dxa"/>
            <w:tcBorders>
              <w:top w:val="nil"/>
              <w:bottom w:val="nil"/>
            </w:tcBorders>
          </w:tcPr>
          <w:p>
            <w:pPr>
              <w:widowControl/>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jc w:val="center"/>
              <w:rPr>
                <w:kern w:val="0"/>
              </w:rPr>
            </w:pPr>
            <w:r>
              <w:rPr>
                <w:kern w:val="0"/>
              </w:rPr>
              <w:t>p</w:t>
            </w:r>
            <w:r>
              <w:rPr>
                <w:rFonts w:hint="eastAsia"/>
                <w:kern w:val="0"/>
              </w:rPr>
              <w:t>H(1:250倍稀释)</w:t>
            </w:r>
          </w:p>
        </w:tc>
        <w:tc>
          <w:tcPr>
            <w:tcW w:w="4261" w:type="dxa"/>
            <w:tcBorders>
              <w:top w:val="nil"/>
              <w:bottom w:val="nil"/>
            </w:tcBorders>
          </w:tcPr>
          <w:p>
            <w:pPr>
              <w:widowControl/>
              <w:jc w:val="center"/>
              <w:rPr>
                <w:kern w:val="0"/>
              </w:rPr>
            </w:pPr>
            <w:r>
              <w:rPr>
                <w:rFonts w:hint="eastAsia"/>
                <w:kern w:val="0"/>
              </w:rPr>
              <w:t>3.0～10.0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jc w:val="center"/>
              <w:rPr>
                <w:kern w:val="0"/>
              </w:rPr>
            </w:pPr>
            <w:r>
              <w:rPr>
                <w:rFonts w:hint="eastAsia"/>
                <w:kern w:val="0"/>
              </w:rPr>
              <w:t>水分（H</w:t>
            </w:r>
            <w:r>
              <w:rPr>
                <w:rFonts w:hint="eastAsia"/>
                <w:kern w:val="0"/>
                <w:vertAlign w:val="subscript"/>
              </w:rPr>
              <w:t>2</w:t>
            </w:r>
            <w:r>
              <w:rPr>
                <w:rFonts w:hint="eastAsia"/>
                <w:kern w:val="0"/>
              </w:rPr>
              <w:t>O），%</w:t>
            </w:r>
          </w:p>
        </w:tc>
        <w:tc>
          <w:tcPr>
            <w:tcW w:w="4261" w:type="dxa"/>
            <w:tcBorders>
              <w:top w:val="nil"/>
              <w:bottom w:val="single" w:color="000000" w:sz="4" w:space="0"/>
            </w:tcBorders>
          </w:tcPr>
          <w:p>
            <w:pPr>
              <w:widowControl/>
              <w:jc w:val="center"/>
              <w:rPr>
                <w:kern w:val="0"/>
              </w:rPr>
            </w:pPr>
            <w:r>
              <w:rPr>
                <w:rFonts w:hint="eastAsia"/>
                <w:kern w:val="0"/>
              </w:rPr>
              <w:t>≤6.0</w:t>
            </w:r>
          </w:p>
        </w:tc>
      </w:tr>
    </w:tbl>
    <w:p>
      <w:pPr>
        <w:widowControl/>
        <w:spacing w:before="100" w:beforeAutospacing="1" w:after="100" w:afterAutospacing="1"/>
        <w:jc w:val="center"/>
        <w:rPr>
          <w:kern w:val="0"/>
        </w:rPr>
      </w:pPr>
    </w:p>
    <w:p>
      <w:pPr>
        <w:widowControl/>
        <w:jc w:val="center"/>
        <w:rPr>
          <w:rFonts w:ascii="黑体" w:eastAsia="黑体"/>
          <w:kern w:val="0"/>
        </w:rPr>
      </w:pPr>
      <w:r>
        <w:rPr>
          <w:rFonts w:hint="eastAsia" w:ascii="黑体" w:eastAsia="黑体"/>
          <w:kern w:val="0"/>
        </w:rPr>
        <w:t>表B.2 微量元素水溶肥料液体产品技术指标</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项目</w:t>
            </w:r>
          </w:p>
        </w:tc>
        <w:tc>
          <w:tcPr>
            <w:tcW w:w="4261" w:type="dxa"/>
            <w:tcBorders>
              <w:bottom w:val="single" w:color="auto" w:sz="4" w:space="0"/>
            </w:tcBorders>
          </w:tcPr>
          <w:p>
            <w:pPr>
              <w:widowControl/>
              <w:spacing w:before="100" w:beforeAutospacing="1" w:after="100" w:afterAutospacing="1"/>
              <w:jc w:val="center"/>
              <w:rPr>
                <w:kern w:val="0"/>
              </w:rPr>
            </w:pPr>
            <w:r>
              <w:rPr>
                <w:rFonts w:hint="eastAsia"/>
                <w:kern w:val="0"/>
              </w:rPr>
              <w:t>指标</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微量元素含量，</w:t>
            </w:r>
            <w:r>
              <w:rPr>
                <w:kern w:val="0"/>
              </w:rPr>
              <w:t>g/L</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水不溶物含量，</w:t>
            </w:r>
            <w:r>
              <w:rPr>
                <w:kern w:val="0"/>
              </w:rPr>
              <w:t>g/L</w:t>
            </w:r>
          </w:p>
        </w:tc>
        <w:tc>
          <w:tcPr>
            <w:tcW w:w="4261" w:type="dxa"/>
            <w:tcBorders>
              <w:top w:val="nil"/>
              <w:bottom w:val="nil"/>
            </w:tcBorders>
          </w:tcPr>
          <w:p>
            <w:pPr>
              <w:widowControl/>
              <w:spacing w:before="100" w:beforeAutospacing="1" w:after="100" w:afterAutospacing="1"/>
              <w:jc w:val="center"/>
              <w:rPr>
                <w:kern w:val="0"/>
              </w:rP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single" w:color="000000" w:sz="4" w:space="0"/>
            </w:tcBorders>
          </w:tcPr>
          <w:p>
            <w:pPr>
              <w:widowControl/>
              <w:spacing w:before="100" w:beforeAutospacing="1" w:after="100" w:afterAutospacing="1"/>
              <w:jc w:val="center"/>
              <w:rPr>
                <w:kern w:val="0"/>
              </w:rPr>
            </w:pPr>
            <w:r>
              <w:rPr>
                <w:kern w:val="0"/>
              </w:rPr>
              <w:t>p</w:t>
            </w:r>
            <w:r>
              <w:rPr>
                <w:rFonts w:hint="eastAsia"/>
                <w:kern w:val="0"/>
              </w:rPr>
              <w:t>H(1:250倍稀释)</w:t>
            </w:r>
          </w:p>
        </w:tc>
        <w:tc>
          <w:tcPr>
            <w:tcW w:w="4261" w:type="dxa"/>
            <w:tcBorders>
              <w:top w:val="nil"/>
              <w:bottom w:val="single" w:color="000000" w:sz="4" w:space="0"/>
            </w:tcBorders>
          </w:tcPr>
          <w:p>
            <w:pPr>
              <w:widowControl/>
              <w:spacing w:before="100" w:beforeAutospacing="1" w:after="100" w:afterAutospacing="1"/>
              <w:jc w:val="center"/>
              <w:rPr>
                <w:kern w:val="0"/>
              </w:rPr>
            </w:pPr>
            <w:r>
              <w:rPr>
                <w:rFonts w:hint="eastAsia"/>
                <w:kern w:val="0"/>
              </w:rPr>
              <w:t>3.0～10.0</w:t>
            </w:r>
          </w:p>
        </w:tc>
      </w:tr>
    </w:tbl>
    <w:p>
      <w:pPr>
        <w:widowControl/>
        <w:spacing w:before="100" w:beforeAutospacing="1" w:after="100" w:afterAutospacing="1"/>
        <w:jc w:val="center"/>
        <w:rPr>
          <w:kern w:val="0"/>
        </w:rPr>
      </w:pPr>
    </w:p>
    <w:p>
      <w:pPr>
        <w:spacing w:before="50" w:after="50"/>
        <w:jc w:val="center"/>
        <w:rPr>
          <w:rFonts w:ascii="黑体" w:hAnsi="宋体" w:eastAsia="黑体"/>
        </w:rPr>
      </w:pPr>
      <w:r>
        <w:rPr>
          <w:kern w:val="0"/>
        </w:rPr>
        <w:br w:type="page"/>
      </w:r>
      <w:r>
        <w:rPr>
          <w:rFonts w:hint="eastAsia" w:ascii="黑体" w:hAnsi="宋体" w:eastAsia="黑体"/>
        </w:rPr>
        <w:t>附录C</w:t>
      </w:r>
    </w:p>
    <w:p>
      <w:pPr>
        <w:spacing w:before="50" w:after="50"/>
        <w:jc w:val="center"/>
        <w:rPr>
          <w:rFonts w:ascii="黑体" w:hAnsi="宋体" w:eastAsia="黑体"/>
        </w:rPr>
      </w:pPr>
      <w:r>
        <w:rPr>
          <w:rFonts w:hint="eastAsia" w:ascii="黑体" w:hAnsi="宋体" w:eastAsia="黑体"/>
        </w:rPr>
        <w:t>（规范性附录）</w:t>
      </w:r>
    </w:p>
    <w:p>
      <w:pPr>
        <w:spacing w:before="50" w:after="50"/>
        <w:jc w:val="center"/>
        <w:rPr>
          <w:rFonts w:ascii="黑体" w:eastAsia="黑体"/>
          <w:kern w:val="0"/>
        </w:rPr>
      </w:pPr>
      <w:r>
        <w:rPr>
          <w:rFonts w:hint="eastAsia" w:ascii="黑体" w:eastAsia="黑体"/>
          <w:kern w:val="0"/>
        </w:rPr>
        <w:t>水溶肥料汞、砷、镉、铅、铬元素限量要求</w:t>
      </w:r>
    </w:p>
    <w:p>
      <w:pPr>
        <w:widowControl/>
        <w:jc w:val="center"/>
        <w:rPr>
          <w:rFonts w:ascii="黑体" w:eastAsia="黑体"/>
          <w:kern w:val="0"/>
        </w:rPr>
      </w:pPr>
    </w:p>
    <w:p>
      <w:pPr>
        <w:widowControl/>
        <w:jc w:val="center"/>
        <w:rPr>
          <w:rFonts w:ascii="黑体" w:eastAsia="黑体"/>
          <w:kern w:val="0"/>
        </w:rPr>
      </w:pPr>
      <w:r>
        <w:rPr>
          <w:rFonts w:hint="eastAsia" w:ascii="黑体" w:eastAsia="黑体"/>
          <w:kern w:val="0"/>
        </w:rPr>
        <w:t>表C 水溶肥料汞、砷、镉、铅、铬元素限量要求</w:t>
      </w:r>
    </w:p>
    <w:tbl>
      <w:tblPr>
        <w:tblStyle w:val="2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single" w:color="auto" w:sz="4" w:space="0"/>
            </w:tcBorders>
          </w:tcPr>
          <w:p>
            <w:pPr>
              <w:widowControl/>
              <w:spacing w:before="100" w:beforeAutospacing="1" w:after="100" w:afterAutospacing="1"/>
              <w:jc w:val="center"/>
              <w:rPr>
                <w:kern w:val="0"/>
              </w:rPr>
            </w:pPr>
            <w:r>
              <w:rPr>
                <w:kern w:val="0"/>
              </w:rPr>
              <w:t>项目</w:t>
            </w:r>
          </w:p>
        </w:tc>
        <w:tc>
          <w:tcPr>
            <w:tcW w:w="4261" w:type="dxa"/>
            <w:tcBorders>
              <w:bottom w:val="single" w:color="auto" w:sz="4" w:space="0"/>
            </w:tcBorders>
          </w:tcPr>
          <w:p>
            <w:pPr>
              <w:widowControl/>
              <w:spacing w:before="100" w:beforeAutospacing="1" w:after="100" w:afterAutospacing="1"/>
              <w:jc w:val="center"/>
              <w:rPr>
                <w:kern w:val="0"/>
              </w:rPr>
            </w:pPr>
            <w:r>
              <w:rPr>
                <w:kern w:val="0"/>
              </w:rPr>
              <w:t>指标</w:t>
            </w:r>
            <w:r>
              <w:rPr>
                <w:rFonts w:hint="eastAsia"/>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bottom w:val="nil"/>
            </w:tcBorders>
          </w:tcPr>
          <w:p>
            <w:pPr>
              <w:widowControl/>
              <w:spacing w:before="100" w:beforeAutospacing="1" w:after="100" w:afterAutospacing="1"/>
              <w:jc w:val="center"/>
              <w:rPr>
                <w:kern w:val="0"/>
              </w:rPr>
            </w:pPr>
            <w:r>
              <w:rPr>
                <w:rFonts w:hint="eastAsia"/>
                <w:kern w:val="0"/>
              </w:rPr>
              <w:t>汞（Hg）（以元素计）</w:t>
            </w:r>
          </w:p>
        </w:tc>
        <w:tc>
          <w:tcPr>
            <w:tcW w:w="4261" w:type="dxa"/>
            <w:tcBorders>
              <w:bottom w:val="nil"/>
            </w:tcBorders>
          </w:tcPr>
          <w:p>
            <w:pPr>
              <w:widowControl/>
              <w:spacing w:before="100" w:beforeAutospacing="1" w:after="100" w:afterAutospacing="1"/>
              <w:jc w:val="center"/>
              <w:rPr>
                <w:kern w:val="0"/>
              </w:rPr>
            </w:pPr>
            <w:r>
              <w:rPr>
                <w:rFonts w:hint="eastAsia"/>
                <w:kern w:val="0"/>
              </w:rPr>
              <w:t>≤5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砷（As）（以元素计）</w:t>
            </w:r>
          </w:p>
        </w:tc>
        <w:tc>
          <w:tcPr>
            <w:tcW w:w="4261" w:type="dxa"/>
            <w:tcBorders>
              <w:top w:val="nil"/>
              <w:bottom w:val="nil"/>
            </w:tcBorders>
          </w:tcPr>
          <w:p>
            <w:pPr>
              <w:jc w:val="center"/>
            </w:pPr>
            <w:r>
              <w:rPr>
                <w:rFonts w:hint="eastAsia"/>
                <w:kern w:val="0"/>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镉（Cd）（以元素计）</w:t>
            </w:r>
          </w:p>
        </w:tc>
        <w:tc>
          <w:tcPr>
            <w:tcW w:w="4261" w:type="dxa"/>
            <w:tcBorders>
              <w:top w:val="nil"/>
              <w:bottom w:val="nil"/>
            </w:tcBorders>
          </w:tcPr>
          <w:p>
            <w:pPr>
              <w:jc w:val="center"/>
            </w:pPr>
            <w:r>
              <w:rPr>
                <w:rFonts w:hint="eastAsia"/>
                <w:kern w:val="0"/>
              </w:rPr>
              <w:t>≤10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bottom w:val="nil"/>
            </w:tcBorders>
          </w:tcPr>
          <w:p>
            <w:pPr>
              <w:widowControl/>
              <w:spacing w:before="100" w:beforeAutospacing="1" w:after="100" w:afterAutospacing="1"/>
              <w:jc w:val="center"/>
              <w:rPr>
                <w:kern w:val="0"/>
              </w:rPr>
            </w:pPr>
            <w:r>
              <w:rPr>
                <w:rFonts w:hint="eastAsia"/>
                <w:kern w:val="0"/>
              </w:rPr>
              <w:t>铅（Pb）（以元素计）</w:t>
            </w:r>
          </w:p>
        </w:tc>
        <w:tc>
          <w:tcPr>
            <w:tcW w:w="4261" w:type="dxa"/>
            <w:tcBorders>
              <w:top w:val="nil"/>
              <w:bottom w:val="nil"/>
            </w:tcBorders>
          </w:tcPr>
          <w:p>
            <w:pPr>
              <w:jc w:val="center"/>
            </w:pPr>
            <w:r>
              <w:rPr>
                <w:rFonts w:hint="eastAsia"/>
                <w:kern w:val="0"/>
              </w:rPr>
              <w:t>≤50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261" w:type="dxa"/>
            <w:tcBorders>
              <w:top w:val="nil"/>
            </w:tcBorders>
          </w:tcPr>
          <w:p>
            <w:pPr>
              <w:widowControl/>
              <w:spacing w:before="100" w:beforeAutospacing="1" w:after="100" w:afterAutospacing="1"/>
              <w:jc w:val="center"/>
              <w:rPr>
                <w:kern w:val="0"/>
              </w:rPr>
            </w:pPr>
            <w:r>
              <w:rPr>
                <w:rFonts w:hint="eastAsia"/>
                <w:kern w:val="0"/>
              </w:rPr>
              <w:t>铬（Cr）（以元素计）</w:t>
            </w:r>
          </w:p>
        </w:tc>
        <w:tc>
          <w:tcPr>
            <w:tcW w:w="4261" w:type="dxa"/>
            <w:tcBorders>
              <w:top w:val="nil"/>
            </w:tcBorders>
          </w:tcPr>
          <w:p>
            <w:pPr>
              <w:jc w:val="center"/>
            </w:pPr>
            <w:r>
              <w:rPr>
                <w:rFonts w:hint="eastAsia"/>
                <w:kern w:val="0"/>
              </w:rPr>
              <w:t>≤50</w:t>
            </w:r>
          </w:p>
        </w:tc>
      </w:tr>
    </w:tbl>
    <w:p>
      <w:pPr>
        <w:pStyle w:val="230"/>
        <w:tabs>
          <w:tab w:val="center" w:pos="4201"/>
          <w:tab w:val="right" w:leader="dot" w:pos="9298"/>
        </w:tabs>
        <w:rPr>
          <w:color w:val="000000"/>
        </w:rPr>
      </w:pPr>
    </w:p>
    <w:p>
      <w:pPr>
        <w:pStyle w:val="230"/>
        <w:tabs>
          <w:tab w:val="center" w:pos="4201"/>
          <w:tab w:val="right" w:leader="dot" w:pos="9298"/>
        </w:tabs>
      </w:pPr>
    </w:p>
    <w:bookmarkEnd w:id="31"/>
    <w:p>
      <w:pPr>
        <w:pStyle w:val="230"/>
        <w:tabs>
          <w:tab w:val="center" w:pos="4201"/>
          <w:tab w:val="right" w:leader="dot" w:pos="9298"/>
        </w:tabs>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61/T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pStyle w:val="235"/>
      <w:suff w:val="nothing"/>
      <w:lvlText w:val="%1.%2　"/>
      <w:lvlJc w:val="left"/>
      <w:pPr>
        <w:ind w:left="0" w:firstLine="0"/>
      </w:pPr>
    </w:lvl>
    <w:lvl w:ilvl="2" w:tentative="0">
      <w:start w:val="1"/>
      <w:numFmt w:val="decimal"/>
      <w:pStyle w:val="237"/>
      <w:suff w:val="nothing"/>
      <w:lvlText w:val="%1.%2.%3　"/>
      <w:lvlJc w:val="left"/>
      <w:pPr>
        <w:ind w:left="0" w:firstLine="0"/>
      </w:pPr>
    </w:lvl>
    <w:lvl w:ilvl="3" w:tentative="0">
      <w:start w:val="1"/>
      <w:numFmt w:val="decimal"/>
      <w:pStyle w:val="236"/>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pStyle w:val="231"/>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851"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WFmODZkMDE1OGU4NGM2NDY2ZTQ3ZmJiYzNlNWQifQ=="/>
  </w:docVars>
  <w:rsids>
    <w:rsidRoot w:val="00AB2254"/>
    <w:rsid w:val="0000040A"/>
    <w:rsid w:val="00000A94"/>
    <w:rsid w:val="00001972"/>
    <w:rsid w:val="00001D9A"/>
    <w:rsid w:val="000075EE"/>
    <w:rsid w:val="00007B3A"/>
    <w:rsid w:val="000107E0"/>
    <w:rsid w:val="00010CB7"/>
    <w:rsid w:val="00011FDE"/>
    <w:rsid w:val="00012FFD"/>
    <w:rsid w:val="00014162"/>
    <w:rsid w:val="00014340"/>
    <w:rsid w:val="00014C37"/>
    <w:rsid w:val="00016A9C"/>
    <w:rsid w:val="00022184"/>
    <w:rsid w:val="00022762"/>
    <w:rsid w:val="000238E0"/>
    <w:rsid w:val="000249DB"/>
    <w:rsid w:val="0002595E"/>
    <w:rsid w:val="00027A8B"/>
    <w:rsid w:val="000303C3"/>
    <w:rsid w:val="000327B8"/>
    <w:rsid w:val="000331D3"/>
    <w:rsid w:val="000344A9"/>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F80"/>
    <w:rsid w:val="00061033"/>
    <w:rsid w:val="000619E9"/>
    <w:rsid w:val="000622D4"/>
    <w:rsid w:val="0006357D"/>
    <w:rsid w:val="00067F1E"/>
    <w:rsid w:val="00071CC0"/>
    <w:rsid w:val="00073C8C"/>
    <w:rsid w:val="00077B64"/>
    <w:rsid w:val="00080A1C"/>
    <w:rsid w:val="00082317"/>
    <w:rsid w:val="00082842"/>
    <w:rsid w:val="000832AA"/>
    <w:rsid w:val="00083D2C"/>
    <w:rsid w:val="00085F0D"/>
    <w:rsid w:val="00086AA1"/>
    <w:rsid w:val="00087A77"/>
    <w:rsid w:val="00090CA6"/>
    <w:rsid w:val="00092B8A"/>
    <w:rsid w:val="00092FB0"/>
    <w:rsid w:val="000934C5"/>
    <w:rsid w:val="00093D25"/>
    <w:rsid w:val="00093DAB"/>
    <w:rsid w:val="00093FAD"/>
    <w:rsid w:val="00094D73"/>
    <w:rsid w:val="00096D63"/>
    <w:rsid w:val="000A0B60"/>
    <w:rsid w:val="000A0EB8"/>
    <w:rsid w:val="000A19FC"/>
    <w:rsid w:val="000A296B"/>
    <w:rsid w:val="000A2AE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55"/>
    <w:rsid w:val="000D329A"/>
    <w:rsid w:val="000D4B9C"/>
    <w:rsid w:val="000D4EB6"/>
    <w:rsid w:val="000D753B"/>
    <w:rsid w:val="000E4C9E"/>
    <w:rsid w:val="000E6FD7"/>
    <w:rsid w:val="000F06E1"/>
    <w:rsid w:val="000F0E3C"/>
    <w:rsid w:val="000F19D5"/>
    <w:rsid w:val="000F4AEA"/>
    <w:rsid w:val="000F633F"/>
    <w:rsid w:val="000F67E9"/>
    <w:rsid w:val="001028D6"/>
    <w:rsid w:val="00102E8D"/>
    <w:rsid w:val="00104926"/>
    <w:rsid w:val="00113B1E"/>
    <w:rsid w:val="0011711C"/>
    <w:rsid w:val="0012059C"/>
    <w:rsid w:val="00122F9C"/>
    <w:rsid w:val="00124E4F"/>
    <w:rsid w:val="001260B7"/>
    <w:rsid w:val="001265CB"/>
    <w:rsid w:val="001321C6"/>
    <w:rsid w:val="001325C4"/>
    <w:rsid w:val="00133010"/>
    <w:rsid w:val="001338EE"/>
    <w:rsid w:val="00133AAE"/>
    <w:rsid w:val="00135323"/>
    <w:rsid w:val="001356C4"/>
    <w:rsid w:val="00141114"/>
    <w:rsid w:val="00142969"/>
    <w:rsid w:val="0014384D"/>
    <w:rsid w:val="001446C2"/>
    <w:rsid w:val="001457E7"/>
    <w:rsid w:val="00145D9D"/>
    <w:rsid w:val="00146388"/>
    <w:rsid w:val="001529E5"/>
    <w:rsid w:val="00153C7E"/>
    <w:rsid w:val="00156B25"/>
    <w:rsid w:val="00156E1A"/>
    <w:rsid w:val="00157894"/>
    <w:rsid w:val="00157B55"/>
    <w:rsid w:val="0016083F"/>
    <w:rsid w:val="00164253"/>
    <w:rsid w:val="001642FA"/>
    <w:rsid w:val="001649EB"/>
    <w:rsid w:val="00164BAF"/>
    <w:rsid w:val="00164D3D"/>
    <w:rsid w:val="00164FA8"/>
    <w:rsid w:val="00165065"/>
    <w:rsid w:val="00165434"/>
    <w:rsid w:val="0016580B"/>
    <w:rsid w:val="00165F49"/>
    <w:rsid w:val="00166B88"/>
    <w:rsid w:val="0016770A"/>
    <w:rsid w:val="00170804"/>
    <w:rsid w:val="001708E9"/>
    <w:rsid w:val="0017340B"/>
    <w:rsid w:val="001739CD"/>
    <w:rsid w:val="00173FB1"/>
    <w:rsid w:val="00176DFD"/>
    <w:rsid w:val="001852C9"/>
    <w:rsid w:val="00185F8C"/>
    <w:rsid w:val="00190087"/>
    <w:rsid w:val="001913C4"/>
    <w:rsid w:val="0019348F"/>
    <w:rsid w:val="00193A07"/>
    <w:rsid w:val="00194413"/>
    <w:rsid w:val="00194C95"/>
    <w:rsid w:val="00195C34"/>
    <w:rsid w:val="00196EF5"/>
    <w:rsid w:val="001A048B"/>
    <w:rsid w:val="001A1A53"/>
    <w:rsid w:val="001A234A"/>
    <w:rsid w:val="001A4CF3"/>
    <w:rsid w:val="001B06E8"/>
    <w:rsid w:val="001B6145"/>
    <w:rsid w:val="001B71D0"/>
    <w:rsid w:val="001B71EE"/>
    <w:rsid w:val="001C04A8"/>
    <w:rsid w:val="001C2C03"/>
    <w:rsid w:val="001C42F7"/>
    <w:rsid w:val="001C49E5"/>
    <w:rsid w:val="001C680C"/>
    <w:rsid w:val="001C7FEA"/>
    <w:rsid w:val="001D0499"/>
    <w:rsid w:val="001D0AFE"/>
    <w:rsid w:val="001D0BBE"/>
    <w:rsid w:val="001D0ED4"/>
    <w:rsid w:val="001D212F"/>
    <w:rsid w:val="001D29D7"/>
    <w:rsid w:val="001D2DE7"/>
    <w:rsid w:val="001D411C"/>
    <w:rsid w:val="001E1B6A"/>
    <w:rsid w:val="001E2484"/>
    <w:rsid w:val="001E3CC4"/>
    <w:rsid w:val="001E472E"/>
    <w:rsid w:val="001E4882"/>
    <w:rsid w:val="001E73AB"/>
    <w:rsid w:val="001F092D"/>
    <w:rsid w:val="001F143A"/>
    <w:rsid w:val="001F1605"/>
    <w:rsid w:val="001F2508"/>
    <w:rsid w:val="001F4816"/>
    <w:rsid w:val="001F4EE9"/>
    <w:rsid w:val="001F69B4"/>
    <w:rsid w:val="001F77C7"/>
    <w:rsid w:val="00200183"/>
    <w:rsid w:val="00200333"/>
    <w:rsid w:val="0020107D"/>
    <w:rsid w:val="0020165B"/>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A10"/>
    <w:rsid w:val="00243540"/>
    <w:rsid w:val="00243B51"/>
    <w:rsid w:val="0024497B"/>
    <w:rsid w:val="0024515B"/>
    <w:rsid w:val="00246021"/>
    <w:rsid w:val="0024666E"/>
    <w:rsid w:val="00246DAF"/>
    <w:rsid w:val="00247F52"/>
    <w:rsid w:val="00250B25"/>
    <w:rsid w:val="00250BBE"/>
    <w:rsid w:val="002515C2"/>
    <w:rsid w:val="0025194F"/>
    <w:rsid w:val="0026148A"/>
    <w:rsid w:val="00262696"/>
    <w:rsid w:val="002633DC"/>
    <w:rsid w:val="00263D25"/>
    <w:rsid w:val="002643C3"/>
    <w:rsid w:val="00264A0C"/>
    <w:rsid w:val="00266EEB"/>
    <w:rsid w:val="00267EF4"/>
    <w:rsid w:val="00270CB8"/>
    <w:rsid w:val="002725EF"/>
    <w:rsid w:val="00272B08"/>
    <w:rsid w:val="00281BB8"/>
    <w:rsid w:val="00281E9E"/>
    <w:rsid w:val="00282405"/>
    <w:rsid w:val="00282B0D"/>
    <w:rsid w:val="00285170"/>
    <w:rsid w:val="00285361"/>
    <w:rsid w:val="002874E1"/>
    <w:rsid w:val="0028773F"/>
    <w:rsid w:val="00292D60"/>
    <w:rsid w:val="00293B30"/>
    <w:rsid w:val="00294D34"/>
    <w:rsid w:val="00294E3B"/>
    <w:rsid w:val="00296193"/>
    <w:rsid w:val="00296C66"/>
    <w:rsid w:val="00296EBE"/>
    <w:rsid w:val="002974E3"/>
    <w:rsid w:val="002A084B"/>
    <w:rsid w:val="002A1260"/>
    <w:rsid w:val="002A1589"/>
    <w:rsid w:val="002A1608"/>
    <w:rsid w:val="002A25DC"/>
    <w:rsid w:val="002A362C"/>
    <w:rsid w:val="002A3AAB"/>
    <w:rsid w:val="002A4CEA"/>
    <w:rsid w:val="002A5977"/>
    <w:rsid w:val="002A5A13"/>
    <w:rsid w:val="002A757F"/>
    <w:rsid w:val="002A7F44"/>
    <w:rsid w:val="002B0A1C"/>
    <w:rsid w:val="002B0C40"/>
    <w:rsid w:val="002B1966"/>
    <w:rsid w:val="002B2D09"/>
    <w:rsid w:val="002B4508"/>
    <w:rsid w:val="002B5779"/>
    <w:rsid w:val="002B7332"/>
    <w:rsid w:val="002B7F51"/>
    <w:rsid w:val="002C06A2"/>
    <w:rsid w:val="002C09E7"/>
    <w:rsid w:val="002C100A"/>
    <w:rsid w:val="002C1E06"/>
    <w:rsid w:val="002C1E1C"/>
    <w:rsid w:val="002C3F07"/>
    <w:rsid w:val="002C437B"/>
    <w:rsid w:val="002C5278"/>
    <w:rsid w:val="002C7EBB"/>
    <w:rsid w:val="002D06C1"/>
    <w:rsid w:val="002D42B5"/>
    <w:rsid w:val="002D4F1A"/>
    <w:rsid w:val="002D5CD7"/>
    <w:rsid w:val="002D64F3"/>
    <w:rsid w:val="002D6EC6"/>
    <w:rsid w:val="002D7496"/>
    <w:rsid w:val="002D79AC"/>
    <w:rsid w:val="002E039D"/>
    <w:rsid w:val="002E4D5A"/>
    <w:rsid w:val="002E5731"/>
    <w:rsid w:val="002E6326"/>
    <w:rsid w:val="002F30E0"/>
    <w:rsid w:val="002F35E4"/>
    <w:rsid w:val="002F3730"/>
    <w:rsid w:val="002F38E1"/>
    <w:rsid w:val="002F4DCD"/>
    <w:rsid w:val="002F7878"/>
    <w:rsid w:val="002F7AF6"/>
    <w:rsid w:val="00300E63"/>
    <w:rsid w:val="00302F5F"/>
    <w:rsid w:val="003032CD"/>
    <w:rsid w:val="0030441D"/>
    <w:rsid w:val="00304E18"/>
    <w:rsid w:val="00306063"/>
    <w:rsid w:val="00310047"/>
    <w:rsid w:val="00311EFD"/>
    <w:rsid w:val="00313B85"/>
    <w:rsid w:val="00317988"/>
    <w:rsid w:val="003221B4"/>
    <w:rsid w:val="0032258D"/>
    <w:rsid w:val="00322E62"/>
    <w:rsid w:val="00324047"/>
    <w:rsid w:val="00324D13"/>
    <w:rsid w:val="00324D2A"/>
    <w:rsid w:val="00324EDD"/>
    <w:rsid w:val="003316A4"/>
    <w:rsid w:val="003331E4"/>
    <w:rsid w:val="00336C64"/>
    <w:rsid w:val="00337162"/>
    <w:rsid w:val="00340279"/>
    <w:rsid w:val="0034194F"/>
    <w:rsid w:val="00344605"/>
    <w:rsid w:val="003474AA"/>
    <w:rsid w:val="003474AB"/>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85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1AD"/>
    <w:rsid w:val="003974EB"/>
    <w:rsid w:val="00397CC5"/>
    <w:rsid w:val="003A1582"/>
    <w:rsid w:val="003A4077"/>
    <w:rsid w:val="003A5CE6"/>
    <w:rsid w:val="003B09AD"/>
    <w:rsid w:val="003B1F18"/>
    <w:rsid w:val="003B5157"/>
    <w:rsid w:val="003B5BF0"/>
    <w:rsid w:val="003B60BF"/>
    <w:rsid w:val="003B6495"/>
    <w:rsid w:val="003B6BE3"/>
    <w:rsid w:val="003C010C"/>
    <w:rsid w:val="003C0A6C"/>
    <w:rsid w:val="003C14F8"/>
    <w:rsid w:val="003C5A43"/>
    <w:rsid w:val="003D0519"/>
    <w:rsid w:val="003D0FF6"/>
    <w:rsid w:val="003D262C"/>
    <w:rsid w:val="003D3DAD"/>
    <w:rsid w:val="003D455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D82"/>
    <w:rsid w:val="00404869"/>
    <w:rsid w:val="00405884"/>
    <w:rsid w:val="00407D39"/>
    <w:rsid w:val="00411574"/>
    <w:rsid w:val="00414074"/>
    <w:rsid w:val="0041477A"/>
    <w:rsid w:val="004167A3"/>
    <w:rsid w:val="0042123A"/>
    <w:rsid w:val="00421779"/>
    <w:rsid w:val="00432DAA"/>
    <w:rsid w:val="00434305"/>
    <w:rsid w:val="00435DF7"/>
    <w:rsid w:val="0044083F"/>
    <w:rsid w:val="00441AE7"/>
    <w:rsid w:val="00445574"/>
    <w:rsid w:val="004467FB"/>
    <w:rsid w:val="004523FC"/>
    <w:rsid w:val="00452D6B"/>
    <w:rsid w:val="0045325D"/>
    <w:rsid w:val="00454362"/>
    <w:rsid w:val="00454484"/>
    <w:rsid w:val="0045517B"/>
    <w:rsid w:val="00463B77"/>
    <w:rsid w:val="00463C7B"/>
    <w:rsid w:val="004644A6"/>
    <w:rsid w:val="004659BD"/>
    <w:rsid w:val="00470775"/>
    <w:rsid w:val="004746B1"/>
    <w:rsid w:val="0047583F"/>
    <w:rsid w:val="00475DE8"/>
    <w:rsid w:val="00481192"/>
    <w:rsid w:val="00481C44"/>
    <w:rsid w:val="00484936"/>
    <w:rsid w:val="00485C89"/>
    <w:rsid w:val="00486BE3"/>
    <w:rsid w:val="004905E4"/>
    <w:rsid w:val="00490A89"/>
    <w:rsid w:val="00490AB4"/>
    <w:rsid w:val="00492F02"/>
    <w:rsid w:val="0049354D"/>
    <w:rsid w:val="004939AE"/>
    <w:rsid w:val="00496EC1"/>
    <w:rsid w:val="004A12DF"/>
    <w:rsid w:val="004A17E6"/>
    <w:rsid w:val="004A1BA8"/>
    <w:rsid w:val="004A4B57"/>
    <w:rsid w:val="004A63FA"/>
    <w:rsid w:val="004B0272"/>
    <w:rsid w:val="004B2701"/>
    <w:rsid w:val="004B2E1B"/>
    <w:rsid w:val="004B3AA8"/>
    <w:rsid w:val="004B3E93"/>
    <w:rsid w:val="004B5F62"/>
    <w:rsid w:val="004C1F2B"/>
    <w:rsid w:val="004C1FBC"/>
    <w:rsid w:val="004C3F1D"/>
    <w:rsid w:val="004C458D"/>
    <w:rsid w:val="004C7556"/>
    <w:rsid w:val="004C7E8B"/>
    <w:rsid w:val="004C7E9D"/>
    <w:rsid w:val="004C7F67"/>
    <w:rsid w:val="004D076D"/>
    <w:rsid w:val="004D0EF1"/>
    <w:rsid w:val="004D1D11"/>
    <w:rsid w:val="004D2253"/>
    <w:rsid w:val="004D2470"/>
    <w:rsid w:val="004D4406"/>
    <w:rsid w:val="004D7C42"/>
    <w:rsid w:val="004E0465"/>
    <w:rsid w:val="004E127B"/>
    <w:rsid w:val="004E1C0A"/>
    <w:rsid w:val="004E2B06"/>
    <w:rsid w:val="004E30C5"/>
    <w:rsid w:val="004E4AA5"/>
    <w:rsid w:val="004E4AEE"/>
    <w:rsid w:val="004E59E3"/>
    <w:rsid w:val="004E67C0"/>
    <w:rsid w:val="004F391A"/>
    <w:rsid w:val="004F3CFB"/>
    <w:rsid w:val="004F43A9"/>
    <w:rsid w:val="004F6456"/>
    <w:rsid w:val="004F696E"/>
    <w:rsid w:val="004F6C71"/>
    <w:rsid w:val="00501139"/>
    <w:rsid w:val="0050363E"/>
    <w:rsid w:val="005039BC"/>
    <w:rsid w:val="005043BB"/>
    <w:rsid w:val="00504A3D"/>
    <w:rsid w:val="00505767"/>
    <w:rsid w:val="005057D1"/>
    <w:rsid w:val="005073F0"/>
    <w:rsid w:val="00510A7B"/>
    <w:rsid w:val="00512283"/>
    <w:rsid w:val="00512F6E"/>
    <w:rsid w:val="00513038"/>
    <w:rsid w:val="00514174"/>
    <w:rsid w:val="005141C6"/>
    <w:rsid w:val="00516088"/>
    <w:rsid w:val="00516B0B"/>
    <w:rsid w:val="00516C45"/>
    <w:rsid w:val="005220EC"/>
    <w:rsid w:val="00522C02"/>
    <w:rsid w:val="00523F95"/>
    <w:rsid w:val="00524D65"/>
    <w:rsid w:val="00525B16"/>
    <w:rsid w:val="005331E4"/>
    <w:rsid w:val="00533D04"/>
    <w:rsid w:val="00534804"/>
    <w:rsid w:val="00534BDF"/>
    <w:rsid w:val="005354EA"/>
    <w:rsid w:val="0053585F"/>
    <w:rsid w:val="00535EC4"/>
    <w:rsid w:val="00535ED9"/>
    <w:rsid w:val="0053692B"/>
    <w:rsid w:val="00541853"/>
    <w:rsid w:val="00543BDA"/>
    <w:rsid w:val="00544007"/>
    <w:rsid w:val="005441CC"/>
    <w:rsid w:val="005479DA"/>
    <w:rsid w:val="00547BCC"/>
    <w:rsid w:val="0055013B"/>
    <w:rsid w:val="00551F6F"/>
    <w:rsid w:val="00555044"/>
    <w:rsid w:val="00561475"/>
    <w:rsid w:val="00563335"/>
    <w:rsid w:val="0056487B"/>
    <w:rsid w:val="00564FB9"/>
    <w:rsid w:val="005719DC"/>
    <w:rsid w:val="00573D9E"/>
    <w:rsid w:val="00576D73"/>
    <w:rsid w:val="0057720B"/>
    <w:rsid w:val="005801E3"/>
    <w:rsid w:val="005805FE"/>
    <w:rsid w:val="00581802"/>
    <w:rsid w:val="005836A8"/>
    <w:rsid w:val="00583EB3"/>
    <w:rsid w:val="0058409C"/>
    <w:rsid w:val="00584262"/>
    <w:rsid w:val="00586630"/>
    <w:rsid w:val="00587ADD"/>
    <w:rsid w:val="00591E27"/>
    <w:rsid w:val="00596160"/>
    <w:rsid w:val="005966E2"/>
    <w:rsid w:val="00597007"/>
    <w:rsid w:val="005A0966"/>
    <w:rsid w:val="005A11B7"/>
    <w:rsid w:val="005A260B"/>
    <w:rsid w:val="005A4A1B"/>
    <w:rsid w:val="005A7050"/>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6E1A"/>
    <w:rsid w:val="005E7881"/>
    <w:rsid w:val="005E78E0"/>
    <w:rsid w:val="005F07AE"/>
    <w:rsid w:val="005F0D9C"/>
    <w:rsid w:val="005F284E"/>
    <w:rsid w:val="005F289B"/>
    <w:rsid w:val="005F4712"/>
    <w:rsid w:val="006012EA"/>
    <w:rsid w:val="006015CE"/>
    <w:rsid w:val="00604784"/>
    <w:rsid w:val="00606419"/>
    <w:rsid w:val="00607D29"/>
    <w:rsid w:val="00612952"/>
    <w:rsid w:val="00614521"/>
    <w:rsid w:val="00614CC1"/>
    <w:rsid w:val="00615669"/>
    <w:rsid w:val="00615A9D"/>
    <w:rsid w:val="00617387"/>
    <w:rsid w:val="006205D6"/>
    <w:rsid w:val="006252D8"/>
    <w:rsid w:val="006259BC"/>
    <w:rsid w:val="0062636B"/>
    <w:rsid w:val="00630961"/>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5EA9"/>
    <w:rsid w:val="00656D29"/>
    <w:rsid w:val="006640E5"/>
    <w:rsid w:val="006646F1"/>
    <w:rsid w:val="00664929"/>
    <w:rsid w:val="00664CEA"/>
    <w:rsid w:val="00664F62"/>
    <w:rsid w:val="006655E1"/>
    <w:rsid w:val="00666AD7"/>
    <w:rsid w:val="00672060"/>
    <w:rsid w:val="00672BFD"/>
    <w:rsid w:val="00676C81"/>
    <w:rsid w:val="006770F4"/>
    <w:rsid w:val="00677A84"/>
    <w:rsid w:val="0068026D"/>
    <w:rsid w:val="00680A27"/>
    <w:rsid w:val="006816A4"/>
    <w:rsid w:val="006819B8"/>
    <w:rsid w:val="006840A6"/>
    <w:rsid w:val="006850CD"/>
    <w:rsid w:val="00685AAB"/>
    <w:rsid w:val="00693295"/>
    <w:rsid w:val="00695D22"/>
    <w:rsid w:val="006A07AA"/>
    <w:rsid w:val="006A0BCA"/>
    <w:rsid w:val="006A25E5"/>
    <w:rsid w:val="006A2B46"/>
    <w:rsid w:val="006A336D"/>
    <w:rsid w:val="006A37B9"/>
    <w:rsid w:val="006B21C1"/>
    <w:rsid w:val="006B2672"/>
    <w:rsid w:val="006B54BF"/>
    <w:rsid w:val="006B5F44"/>
    <w:rsid w:val="006B5F90"/>
    <w:rsid w:val="006B62E4"/>
    <w:rsid w:val="006C1BBA"/>
    <w:rsid w:val="006C2079"/>
    <w:rsid w:val="006C3592"/>
    <w:rsid w:val="006C5A62"/>
    <w:rsid w:val="006C5D68"/>
    <w:rsid w:val="006C6976"/>
    <w:rsid w:val="006C6DD0"/>
    <w:rsid w:val="006D04EA"/>
    <w:rsid w:val="006D16C4"/>
    <w:rsid w:val="006D3E96"/>
    <w:rsid w:val="006D4515"/>
    <w:rsid w:val="006D4BB1"/>
    <w:rsid w:val="006D6593"/>
    <w:rsid w:val="006E23EA"/>
    <w:rsid w:val="006F03A8"/>
    <w:rsid w:val="006F1028"/>
    <w:rsid w:val="006F202F"/>
    <w:rsid w:val="006F2666"/>
    <w:rsid w:val="006F2ACA"/>
    <w:rsid w:val="006F2ADC"/>
    <w:rsid w:val="006F2AE8"/>
    <w:rsid w:val="006F2BFE"/>
    <w:rsid w:val="006F31E9"/>
    <w:rsid w:val="006F6284"/>
    <w:rsid w:val="006F69AC"/>
    <w:rsid w:val="007002C5"/>
    <w:rsid w:val="00704387"/>
    <w:rsid w:val="00707669"/>
    <w:rsid w:val="00711CBA"/>
    <w:rsid w:val="00711FB5"/>
    <w:rsid w:val="00712A01"/>
    <w:rsid w:val="00714F58"/>
    <w:rsid w:val="0072211E"/>
    <w:rsid w:val="00722FBF"/>
    <w:rsid w:val="00722FC2"/>
    <w:rsid w:val="00724879"/>
    <w:rsid w:val="00724E1B"/>
    <w:rsid w:val="00725949"/>
    <w:rsid w:val="007261B0"/>
    <w:rsid w:val="00727FA2"/>
    <w:rsid w:val="007322D9"/>
    <w:rsid w:val="00732BC0"/>
    <w:rsid w:val="0073720F"/>
    <w:rsid w:val="00737796"/>
    <w:rsid w:val="0074165C"/>
    <w:rsid w:val="00742C35"/>
    <w:rsid w:val="007432CA"/>
    <w:rsid w:val="007439EB"/>
    <w:rsid w:val="00743CB4"/>
    <w:rsid w:val="00743F0A"/>
    <w:rsid w:val="007444E8"/>
    <w:rsid w:val="00744F94"/>
    <w:rsid w:val="0074548E"/>
    <w:rsid w:val="00745773"/>
    <w:rsid w:val="00746800"/>
    <w:rsid w:val="007501A8"/>
    <w:rsid w:val="00750D61"/>
    <w:rsid w:val="00750EE1"/>
    <w:rsid w:val="00752B4D"/>
    <w:rsid w:val="00755402"/>
    <w:rsid w:val="00756B26"/>
    <w:rsid w:val="00756EDF"/>
    <w:rsid w:val="007600E3"/>
    <w:rsid w:val="007614B2"/>
    <w:rsid w:val="00765C43"/>
    <w:rsid w:val="00765EFB"/>
    <w:rsid w:val="007671CA"/>
    <w:rsid w:val="00767C61"/>
    <w:rsid w:val="0077008A"/>
    <w:rsid w:val="00773C1F"/>
    <w:rsid w:val="00774DA4"/>
    <w:rsid w:val="00776599"/>
    <w:rsid w:val="0078114B"/>
    <w:rsid w:val="00781DD2"/>
    <w:rsid w:val="00783BC8"/>
    <w:rsid w:val="00783ECF"/>
    <w:rsid w:val="0078413A"/>
    <w:rsid w:val="007959E8"/>
    <w:rsid w:val="00795E9C"/>
    <w:rsid w:val="007A0521"/>
    <w:rsid w:val="007A2E12"/>
    <w:rsid w:val="007A3475"/>
    <w:rsid w:val="007A41C8"/>
    <w:rsid w:val="007A54CE"/>
    <w:rsid w:val="007A6297"/>
    <w:rsid w:val="007A6FD9"/>
    <w:rsid w:val="007A7FFA"/>
    <w:rsid w:val="007B04EB"/>
    <w:rsid w:val="007B0D4F"/>
    <w:rsid w:val="007B5A3D"/>
    <w:rsid w:val="007B5B95"/>
    <w:rsid w:val="007B68EA"/>
    <w:rsid w:val="007B6F96"/>
    <w:rsid w:val="007B7453"/>
    <w:rsid w:val="007C1E8B"/>
    <w:rsid w:val="007C2D89"/>
    <w:rsid w:val="007C4593"/>
    <w:rsid w:val="007C5309"/>
    <w:rsid w:val="007C5B41"/>
    <w:rsid w:val="007C6069"/>
    <w:rsid w:val="007D06C4"/>
    <w:rsid w:val="007D1352"/>
    <w:rsid w:val="007D2508"/>
    <w:rsid w:val="007D346A"/>
    <w:rsid w:val="007D3850"/>
    <w:rsid w:val="007D6518"/>
    <w:rsid w:val="007D76BD"/>
    <w:rsid w:val="007E0BF1"/>
    <w:rsid w:val="007E289F"/>
    <w:rsid w:val="007F0ED8"/>
    <w:rsid w:val="007F0F63"/>
    <w:rsid w:val="007F5146"/>
    <w:rsid w:val="007F6461"/>
    <w:rsid w:val="007F75CE"/>
    <w:rsid w:val="008000AF"/>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F4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DE8"/>
    <w:rsid w:val="00856316"/>
    <w:rsid w:val="008603CE"/>
    <w:rsid w:val="00860D29"/>
    <w:rsid w:val="008620FC"/>
    <w:rsid w:val="008627A5"/>
    <w:rsid w:val="0086393C"/>
    <w:rsid w:val="00863E05"/>
    <w:rsid w:val="00865ACA"/>
    <w:rsid w:val="00865D28"/>
    <w:rsid w:val="00865F85"/>
    <w:rsid w:val="00867C10"/>
    <w:rsid w:val="00870439"/>
    <w:rsid w:val="00870DA1"/>
    <w:rsid w:val="00873C12"/>
    <w:rsid w:val="008757E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E17"/>
    <w:rsid w:val="008B0C9C"/>
    <w:rsid w:val="008B166D"/>
    <w:rsid w:val="008B17F4"/>
    <w:rsid w:val="008B2A68"/>
    <w:rsid w:val="008B3615"/>
    <w:rsid w:val="008B4AC4"/>
    <w:rsid w:val="008B50C8"/>
    <w:rsid w:val="008B5281"/>
    <w:rsid w:val="008B5B99"/>
    <w:rsid w:val="008B7E05"/>
    <w:rsid w:val="008C1797"/>
    <w:rsid w:val="008C219C"/>
    <w:rsid w:val="008C2615"/>
    <w:rsid w:val="008C475E"/>
    <w:rsid w:val="008C619A"/>
    <w:rsid w:val="008D0CE8"/>
    <w:rsid w:val="008D2D1D"/>
    <w:rsid w:val="008D3463"/>
    <w:rsid w:val="008D3F57"/>
    <w:rsid w:val="008D453D"/>
    <w:rsid w:val="008D53AD"/>
    <w:rsid w:val="008D562B"/>
    <w:rsid w:val="008D5733"/>
    <w:rsid w:val="008D622B"/>
    <w:rsid w:val="008D666C"/>
    <w:rsid w:val="008D7B54"/>
    <w:rsid w:val="008E0C9D"/>
    <w:rsid w:val="008E0D99"/>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81"/>
    <w:rsid w:val="009305B5"/>
    <w:rsid w:val="0093188F"/>
    <w:rsid w:val="0094109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0BF"/>
    <w:rsid w:val="009809BB"/>
    <w:rsid w:val="0098364B"/>
    <w:rsid w:val="00984149"/>
    <w:rsid w:val="00986346"/>
    <w:rsid w:val="00986DB6"/>
    <w:rsid w:val="009911AF"/>
    <w:rsid w:val="00991875"/>
    <w:rsid w:val="00991F92"/>
    <w:rsid w:val="00992985"/>
    <w:rsid w:val="00993889"/>
    <w:rsid w:val="0099551B"/>
    <w:rsid w:val="00996D1A"/>
    <w:rsid w:val="009976C2"/>
    <w:rsid w:val="00997BF1"/>
    <w:rsid w:val="009A089C"/>
    <w:rsid w:val="009A118E"/>
    <w:rsid w:val="009A21CD"/>
    <w:rsid w:val="009A278C"/>
    <w:rsid w:val="009A2BC2"/>
    <w:rsid w:val="009A42C1"/>
    <w:rsid w:val="009A5429"/>
    <w:rsid w:val="009A72AD"/>
    <w:rsid w:val="009B09E0"/>
    <w:rsid w:val="009B0BC5"/>
    <w:rsid w:val="009B1247"/>
    <w:rsid w:val="009B5A24"/>
    <w:rsid w:val="009B6029"/>
    <w:rsid w:val="009B6971"/>
    <w:rsid w:val="009C27F1"/>
    <w:rsid w:val="009C3152"/>
    <w:rsid w:val="009C4CFA"/>
    <w:rsid w:val="009C5070"/>
    <w:rsid w:val="009C5E66"/>
    <w:rsid w:val="009D112C"/>
    <w:rsid w:val="009D47FA"/>
    <w:rsid w:val="009D4C5B"/>
    <w:rsid w:val="009D50D2"/>
    <w:rsid w:val="009D6BCA"/>
    <w:rsid w:val="009E0F62"/>
    <w:rsid w:val="009E1D2E"/>
    <w:rsid w:val="009E4A58"/>
    <w:rsid w:val="009E5A2D"/>
    <w:rsid w:val="009E5AB2"/>
    <w:rsid w:val="009E6219"/>
    <w:rsid w:val="009E623C"/>
    <w:rsid w:val="009F03B3"/>
    <w:rsid w:val="009F44E9"/>
    <w:rsid w:val="009F62E2"/>
    <w:rsid w:val="00A00449"/>
    <w:rsid w:val="00A0096C"/>
    <w:rsid w:val="00A01757"/>
    <w:rsid w:val="00A028C0"/>
    <w:rsid w:val="00A02BAE"/>
    <w:rsid w:val="00A06A6B"/>
    <w:rsid w:val="00A07E47"/>
    <w:rsid w:val="00A12085"/>
    <w:rsid w:val="00A129D0"/>
    <w:rsid w:val="00A12C33"/>
    <w:rsid w:val="00A138BA"/>
    <w:rsid w:val="00A14C8E"/>
    <w:rsid w:val="00A153D9"/>
    <w:rsid w:val="00A15F09"/>
    <w:rsid w:val="00A169B6"/>
    <w:rsid w:val="00A2271D"/>
    <w:rsid w:val="00A22E35"/>
    <w:rsid w:val="00A237D5"/>
    <w:rsid w:val="00A30EFC"/>
    <w:rsid w:val="00A31984"/>
    <w:rsid w:val="00A32D73"/>
    <w:rsid w:val="00A3367B"/>
    <w:rsid w:val="00A3597D"/>
    <w:rsid w:val="00A36B41"/>
    <w:rsid w:val="00A36DD1"/>
    <w:rsid w:val="00A4006C"/>
    <w:rsid w:val="00A40091"/>
    <w:rsid w:val="00A4030F"/>
    <w:rsid w:val="00A4188D"/>
    <w:rsid w:val="00A41C79"/>
    <w:rsid w:val="00A41CB5"/>
    <w:rsid w:val="00A42CDF"/>
    <w:rsid w:val="00A4452E"/>
    <w:rsid w:val="00A4472C"/>
    <w:rsid w:val="00A44E69"/>
    <w:rsid w:val="00A461F0"/>
    <w:rsid w:val="00A4661E"/>
    <w:rsid w:val="00A50601"/>
    <w:rsid w:val="00A5474A"/>
    <w:rsid w:val="00A55BD6"/>
    <w:rsid w:val="00A55D50"/>
    <w:rsid w:val="00A57142"/>
    <w:rsid w:val="00A648CD"/>
    <w:rsid w:val="00A6537A"/>
    <w:rsid w:val="00A67866"/>
    <w:rsid w:val="00A70B07"/>
    <w:rsid w:val="00A723F8"/>
    <w:rsid w:val="00A77CCB"/>
    <w:rsid w:val="00A83D8D"/>
    <w:rsid w:val="00A8446B"/>
    <w:rsid w:val="00A8473F"/>
    <w:rsid w:val="00A862A9"/>
    <w:rsid w:val="00A862D6"/>
    <w:rsid w:val="00A8715E"/>
    <w:rsid w:val="00A9295B"/>
    <w:rsid w:val="00A92BC3"/>
    <w:rsid w:val="00A93B09"/>
    <w:rsid w:val="00A94247"/>
    <w:rsid w:val="00A952D7"/>
    <w:rsid w:val="00A9586B"/>
    <w:rsid w:val="00A963F7"/>
    <w:rsid w:val="00A96AD8"/>
    <w:rsid w:val="00AA052C"/>
    <w:rsid w:val="00AA1ABC"/>
    <w:rsid w:val="00AA1E45"/>
    <w:rsid w:val="00AA4286"/>
    <w:rsid w:val="00AA456B"/>
    <w:rsid w:val="00AA50F4"/>
    <w:rsid w:val="00AA57F5"/>
    <w:rsid w:val="00AA672E"/>
    <w:rsid w:val="00AA6EC9"/>
    <w:rsid w:val="00AB2254"/>
    <w:rsid w:val="00AB41D5"/>
    <w:rsid w:val="00AB6309"/>
    <w:rsid w:val="00AB6C5F"/>
    <w:rsid w:val="00AB7129"/>
    <w:rsid w:val="00AC27A6"/>
    <w:rsid w:val="00AC30F7"/>
    <w:rsid w:val="00AC3A5A"/>
    <w:rsid w:val="00AC3CC8"/>
    <w:rsid w:val="00AC4D95"/>
    <w:rsid w:val="00AC5034"/>
    <w:rsid w:val="00AC5DF4"/>
    <w:rsid w:val="00AC7DA6"/>
    <w:rsid w:val="00AD0AEF"/>
    <w:rsid w:val="00AD0DA9"/>
    <w:rsid w:val="00AD11B7"/>
    <w:rsid w:val="00AD1A94"/>
    <w:rsid w:val="00AD1C05"/>
    <w:rsid w:val="00AD4126"/>
    <w:rsid w:val="00AD421C"/>
    <w:rsid w:val="00AD44FA"/>
    <w:rsid w:val="00AE070A"/>
    <w:rsid w:val="00AE101C"/>
    <w:rsid w:val="00AE37E5"/>
    <w:rsid w:val="00AE41D0"/>
    <w:rsid w:val="00AE5EB4"/>
    <w:rsid w:val="00AF0C18"/>
    <w:rsid w:val="00AF47C5"/>
    <w:rsid w:val="00AF5398"/>
    <w:rsid w:val="00B049AF"/>
    <w:rsid w:val="00B07242"/>
    <w:rsid w:val="00B10534"/>
    <w:rsid w:val="00B113DB"/>
    <w:rsid w:val="00B11D8A"/>
    <w:rsid w:val="00B12981"/>
    <w:rsid w:val="00B133FA"/>
    <w:rsid w:val="00B144DE"/>
    <w:rsid w:val="00B147DD"/>
    <w:rsid w:val="00B156FD"/>
    <w:rsid w:val="00B16478"/>
    <w:rsid w:val="00B200BA"/>
    <w:rsid w:val="00B20672"/>
    <w:rsid w:val="00B21F61"/>
    <w:rsid w:val="00B2283B"/>
    <w:rsid w:val="00B25C2F"/>
    <w:rsid w:val="00B261F1"/>
    <w:rsid w:val="00B265BC"/>
    <w:rsid w:val="00B31FB1"/>
    <w:rsid w:val="00B33952"/>
    <w:rsid w:val="00B33C5E"/>
    <w:rsid w:val="00B342F4"/>
    <w:rsid w:val="00B34369"/>
    <w:rsid w:val="00B34DC2"/>
    <w:rsid w:val="00B378E5"/>
    <w:rsid w:val="00B41E7D"/>
    <w:rsid w:val="00B4346D"/>
    <w:rsid w:val="00B440F4"/>
    <w:rsid w:val="00B447A5"/>
    <w:rsid w:val="00B4654C"/>
    <w:rsid w:val="00B47293"/>
    <w:rsid w:val="00B50137"/>
    <w:rsid w:val="00B50E50"/>
    <w:rsid w:val="00B52120"/>
    <w:rsid w:val="00B54ABC"/>
    <w:rsid w:val="00B54DDE"/>
    <w:rsid w:val="00B56FBE"/>
    <w:rsid w:val="00B60ACF"/>
    <w:rsid w:val="00B60EB2"/>
    <w:rsid w:val="00B62B58"/>
    <w:rsid w:val="00B65149"/>
    <w:rsid w:val="00B66567"/>
    <w:rsid w:val="00B66F52"/>
    <w:rsid w:val="00B66FE5"/>
    <w:rsid w:val="00B72880"/>
    <w:rsid w:val="00B74831"/>
    <w:rsid w:val="00B758BF"/>
    <w:rsid w:val="00B77EC8"/>
    <w:rsid w:val="00B827A6"/>
    <w:rsid w:val="00B831CE"/>
    <w:rsid w:val="00B86677"/>
    <w:rsid w:val="00B87131"/>
    <w:rsid w:val="00B939B1"/>
    <w:rsid w:val="00B9636E"/>
    <w:rsid w:val="00B96D40"/>
    <w:rsid w:val="00B97386"/>
    <w:rsid w:val="00BA263B"/>
    <w:rsid w:val="00BA42B2"/>
    <w:rsid w:val="00BA58D4"/>
    <w:rsid w:val="00BA5B9E"/>
    <w:rsid w:val="00BA7C9A"/>
    <w:rsid w:val="00BB5F8F"/>
    <w:rsid w:val="00BB657A"/>
    <w:rsid w:val="00BB68C0"/>
    <w:rsid w:val="00BB76E3"/>
    <w:rsid w:val="00BC0F84"/>
    <w:rsid w:val="00BC1A4E"/>
    <w:rsid w:val="00BC5DC7"/>
    <w:rsid w:val="00BC6B8B"/>
    <w:rsid w:val="00BC73D8"/>
    <w:rsid w:val="00BD0E4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79B"/>
    <w:rsid w:val="00C062C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4C3"/>
    <w:rsid w:val="00C43A1B"/>
    <w:rsid w:val="00C44BF5"/>
    <w:rsid w:val="00C521D6"/>
    <w:rsid w:val="00C55232"/>
    <w:rsid w:val="00C553A4"/>
    <w:rsid w:val="00C55A06"/>
    <w:rsid w:val="00C55D03"/>
    <w:rsid w:val="00C601BC"/>
    <w:rsid w:val="00C61964"/>
    <w:rsid w:val="00C6329F"/>
    <w:rsid w:val="00C63340"/>
    <w:rsid w:val="00C63562"/>
    <w:rsid w:val="00C643F9"/>
    <w:rsid w:val="00C64E95"/>
    <w:rsid w:val="00C65845"/>
    <w:rsid w:val="00C65D18"/>
    <w:rsid w:val="00C71372"/>
    <w:rsid w:val="00C72410"/>
    <w:rsid w:val="00C7287F"/>
    <w:rsid w:val="00C72BA9"/>
    <w:rsid w:val="00C75EF0"/>
    <w:rsid w:val="00C80CB8"/>
    <w:rsid w:val="00C819F8"/>
    <w:rsid w:val="00C8248C"/>
    <w:rsid w:val="00C84E33"/>
    <w:rsid w:val="00C86D6F"/>
    <w:rsid w:val="00C8787B"/>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78"/>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B57"/>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5EE8"/>
    <w:rsid w:val="00D2661A"/>
    <w:rsid w:val="00D27582"/>
    <w:rsid w:val="00D27EC4"/>
    <w:rsid w:val="00D31060"/>
    <w:rsid w:val="00D32719"/>
    <w:rsid w:val="00D33333"/>
    <w:rsid w:val="00D33457"/>
    <w:rsid w:val="00D3415A"/>
    <w:rsid w:val="00D352A2"/>
    <w:rsid w:val="00D35A0C"/>
    <w:rsid w:val="00D40918"/>
    <w:rsid w:val="00D4162B"/>
    <w:rsid w:val="00D44C49"/>
    <w:rsid w:val="00D4514F"/>
    <w:rsid w:val="00D451E2"/>
    <w:rsid w:val="00D45E89"/>
    <w:rsid w:val="00D45E8D"/>
    <w:rsid w:val="00D466AE"/>
    <w:rsid w:val="00D4734F"/>
    <w:rsid w:val="00D509F2"/>
    <w:rsid w:val="00D51BF3"/>
    <w:rsid w:val="00D603B4"/>
    <w:rsid w:val="00D65494"/>
    <w:rsid w:val="00D66846"/>
    <w:rsid w:val="00D675FB"/>
    <w:rsid w:val="00D71F25"/>
    <w:rsid w:val="00D72A9C"/>
    <w:rsid w:val="00D77031"/>
    <w:rsid w:val="00D84941"/>
    <w:rsid w:val="00D84F20"/>
    <w:rsid w:val="00D84FA1"/>
    <w:rsid w:val="00D851F0"/>
    <w:rsid w:val="00D86DB7"/>
    <w:rsid w:val="00D926D0"/>
    <w:rsid w:val="00D93030"/>
    <w:rsid w:val="00D93297"/>
    <w:rsid w:val="00D950E1"/>
    <w:rsid w:val="00D952A6"/>
    <w:rsid w:val="00D97F99"/>
    <w:rsid w:val="00DA1E08"/>
    <w:rsid w:val="00DA24F8"/>
    <w:rsid w:val="00DA28E8"/>
    <w:rsid w:val="00DA38D3"/>
    <w:rsid w:val="00DA3932"/>
    <w:rsid w:val="00DA3AFC"/>
    <w:rsid w:val="00DA64F8"/>
    <w:rsid w:val="00DA65AF"/>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F45"/>
    <w:rsid w:val="00DE6E81"/>
    <w:rsid w:val="00DE703F"/>
    <w:rsid w:val="00DE7595"/>
    <w:rsid w:val="00DF1961"/>
    <w:rsid w:val="00DF44DE"/>
    <w:rsid w:val="00DF5F11"/>
    <w:rsid w:val="00E01138"/>
    <w:rsid w:val="00E02DFB"/>
    <w:rsid w:val="00E030F9"/>
    <w:rsid w:val="00E0311A"/>
    <w:rsid w:val="00E03138"/>
    <w:rsid w:val="00E0485F"/>
    <w:rsid w:val="00E059A0"/>
    <w:rsid w:val="00E06404"/>
    <w:rsid w:val="00E11A85"/>
    <w:rsid w:val="00E12495"/>
    <w:rsid w:val="00E14DCB"/>
    <w:rsid w:val="00E15CCD"/>
    <w:rsid w:val="00E202EF"/>
    <w:rsid w:val="00E210B5"/>
    <w:rsid w:val="00E23D99"/>
    <w:rsid w:val="00E24FC8"/>
    <w:rsid w:val="00E2552F"/>
    <w:rsid w:val="00E3137A"/>
    <w:rsid w:val="00E32CCF"/>
    <w:rsid w:val="00E349D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89"/>
    <w:rsid w:val="00E60C63"/>
    <w:rsid w:val="00E62FF9"/>
    <w:rsid w:val="00E635D6"/>
    <w:rsid w:val="00E639BC"/>
    <w:rsid w:val="00E664CC"/>
    <w:rsid w:val="00E70388"/>
    <w:rsid w:val="00E70F92"/>
    <w:rsid w:val="00E71ECF"/>
    <w:rsid w:val="00E74C54"/>
    <w:rsid w:val="00E77A03"/>
    <w:rsid w:val="00E822E8"/>
    <w:rsid w:val="00E82554"/>
    <w:rsid w:val="00E82606"/>
    <w:rsid w:val="00E846C8"/>
    <w:rsid w:val="00E84957"/>
    <w:rsid w:val="00E84A55"/>
    <w:rsid w:val="00E85BFF"/>
    <w:rsid w:val="00E90391"/>
    <w:rsid w:val="00E906C2"/>
    <w:rsid w:val="00E924DD"/>
    <w:rsid w:val="00E9311F"/>
    <w:rsid w:val="00E934D1"/>
    <w:rsid w:val="00E94AF0"/>
    <w:rsid w:val="00E95D13"/>
    <w:rsid w:val="00E95DD3"/>
    <w:rsid w:val="00E969D5"/>
    <w:rsid w:val="00EA42DB"/>
    <w:rsid w:val="00EA58D1"/>
    <w:rsid w:val="00EA61BC"/>
    <w:rsid w:val="00EA681A"/>
    <w:rsid w:val="00EA735B"/>
    <w:rsid w:val="00EB17DE"/>
    <w:rsid w:val="00EB1E69"/>
    <w:rsid w:val="00EB2086"/>
    <w:rsid w:val="00EB2DC8"/>
    <w:rsid w:val="00EB5EDF"/>
    <w:rsid w:val="00EB60FE"/>
    <w:rsid w:val="00EB74DB"/>
    <w:rsid w:val="00EC376C"/>
    <w:rsid w:val="00EC40A6"/>
    <w:rsid w:val="00EC44AF"/>
    <w:rsid w:val="00EC5359"/>
    <w:rsid w:val="00EC562A"/>
    <w:rsid w:val="00ED067A"/>
    <w:rsid w:val="00ED2B50"/>
    <w:rsid w:val="00ED523A"/>
    <w:rsid w:val="00EE0350"/>
    <w:rsid w:val="00EE0719"/>
    <w:rsid w:val="00EE0E80"/>
    <w:rsid w:val="00EE54A6"/>
    <w:rsid w:val="00EE613F"/>
    <w:rsid w:val="00EE7295"/>
    <w:rsid w:val="00EE771D"/>
    <w:rsid w:val="00EE7869"/>
    <w:rsid w:val="00EF054A"/>
    <w:rsid w:val="00EF3235"/>
    <w:rsid w:val="00EF7E72"/>
    <w:rsid w:val="00F013FE"/>
    <w:rsid w:val="00F02770"/>
    <w:rsid w:val="00F053D8"/>
    <w:rsid w:val="00F06D37"/>
    <w:rsid w:val="00F07B9D"/>
    <w:rsid w:val="00F11586"/>
    <w:rsid w:val="00F1183B"/>
    <w:rsid w:val="00F11C9F"/>
    <w:rsid w:val="00F12263"/>
    <w:rsid w:val="00F1409D"/>
    <w:rsid w:val="00F14214"/>
    <w:rsid w:val="00F157A9"/>
    <w:rsid w:val="00F15FB0"/>
    <w:rsid w:val="00F233AA"/>
    <w:rsid w:val="00F25BB6"/>
    <w:rsid w:val="00F26B7E"/>
    <w:rsid w:val="00F27A3B"/>
    <w:rsid w:val="00F33817"/>
    <w:rsid w:val="00F359D0"/>
    <w:rsid w:val="00F420D5"/>
    <w:rsid w:val="00F43DF5"/>
    <w:rsid w:val="00F451EA"/>
    <w:rsid w:val="00F45447"/>
    <w:rsid w:val="00F456C6"/>
    <w:rsid w:val="00F4577B"/>
    <w:rsid w:val="00F46496"/>
    <w:rsid w:val="00F46F55"/>
    <w:rsid w:val="00F474D0"/>
    <w:rsid w:val="00F50179"/>
    <w:rsid w:val="00F515EE"/>
    <w:rsid w:val="00F51FFD"/>
    <w:rsid w:val="00F56511"/>
    <w:rsid w:val="00F6194E"/>
    <w:rsid w:val="00F623AC"/>
    <w:rsid w:val="00F6412A"/>
    <w:rsid w:val="00F65893"/>
    <w:rsid w:val="00F66A4A"/>
    <w:rsid w:val="00F71E22"/>
    <w:rsid w:val="00F72142"/>
    <w:rsid w:val="00F72AE7"/>
    <w:rsid w:val="00F81141"/>
    <w:rsid w:val="00F823D5"/>
    <w:rsid w:val="00F833BA"/>
    <w:rsid w:val="00F84FD0"/>
    <w:rsid w:val="00F859A8"/>
    <w:rsid w:val="00F86D87"/>
    <w:rsid w:val="00F904ED"/>
    <w:rsid w:val="00F9108B"/>
    <w:rsid w:val="00F91349"/>
    <w:rsid w:val="00F93A8A"/>
    <w:rsid w:val="00F95248"/>
    <w:rsid w:val="00F956A9"/>
    <w:rsid w:val="00F963ED"/>
    <w:rsid w:val="00F966CF"/>
    <w:rsid w:val="00F96CAE"/>
    <w:rsid w:val="00F97C99"/>
    <w:rsid w:val="00FA4DAC"/>
    <w:rsid w:val="00FA662D"/>
    <w:rsid w:val="00FA73B1"/>
    <w:rsid w:val="00FA76F8"/>
    <w:rsid w:val="00FB0CB9"/>
    <w:rsid w:val="00FB231D"/>
    <w:rsid w:val="00FB45F1"/>
    <w:rsid w:val="00FB4A72"/>
    <w:rsid w:val="00FB54E8"/>
    <w:rsid w:val="00FB7054"/>
    <w:rsid w:val="00FC1534"/>
    <w:rsid w:val="00FC17B7"/>
    <w:rsid w:val="00FC2CB7"/>
    <w:rsid w:val="00FC4090"/>
    <w:rsid w:val="00FC55B4"/>
    <w:rsid w:val="00FD00E6"/>
    <w:rsid w:val="00FD09A1"/>
    <w:rsid w:val="00FD16EF"/>
    <w:rsid w:val="00FD2A7C"/>
    <w:rsid w:val="00FD59EB"/>
    <w:rsid w:val="00FD7299"/>
    <w:rsid w:val="00FE1FBE"/>
    <w:rsid w:val="00FE3901"/>
    <w:rsid w:val="00FE39D3"/>
    <w:rsid w:val="00FE4BCE"/>
    <w:rsid w:val="00FE54AE"/>
    <w:rsid w:val="00FE576A"/>
    <w:rsid w:val="00FE7E79"/>
    <w:rsid w:val="00FF3E7D"/>
    <w:rsid w:val="00FF5B99"/>
    <w:rsid w:val="00FF60DE"/>
    <w:rsid w:val="00FF730C"/>
    <w:rsid w:val="00FF73F4"/>
    <w:rsid w:val="00FF7CE4"/>
    <w:rsid w:val="00FF7E39"/>
    <w:rsid w:val="3597029B"/>
    <w:rsid w:val="50834D4F"/>
    <w:rsid w:val="7F29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link w:val="234"/>
    <w:qFormat/>
    <w:uiPriority w:val="0"/>
    <w:pPr>
      <w:widowControl/>
      <w:autoSpaceDE w:val="0"/>
      <w:autoSpaceDN w:val="0"/>
      <w:adjustRightInd/>
      <w:spacing w:line="240" w:lineRule="auto"/>
      <w:ind w:firstLine="200"/>
    </w:pPr>
    <w:rPr>
      <w:rFonts w:ascii="宋体" w:hAnsi="宋体" w:cs="宋体"/>
      <w:kern w:val="0"/>
    </w:rPr>
  </w:style>
  <w:style w:type="paragraph" w:customStyle="1" w:styleId="231">
    <w:name w:val="附录数字编号列项（二级）"/>
    <w:qFormat/>
    <w:uiPriority w:val="0"/>
    <w:pPr>
      <w:numPr>
        <w:ilvl w:val="1"/>
        <w:numId w:val="12"/>
      </w:numPr>
      <w:tabs>
        <w:tab w:val="left" w:pos="840"/>
      </w:tabs>
    </w:pPr>
    <w:rPr>
      <w:rFonts w:ascii="宋体" w:hAnsi="Times New Roman" w:eastAsia="宋体" w:cs="Times New Roman"/>
      <w:sz w:val="21"/>
      <w:lang w:val="en-US" w:eastAsia="zh-CN" w:bidi="ar-SA"/>
    </w:rPr>
  </w:style>
  <w:style w:type="paragraph" w:customStyle="1" w:styleId="232">
    <w:name w:val="目次、标准名称标题"/>
    <w:basedOn w:val="1"/>
    <w:next w:val="230"/>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33">
    <w:name w:val="章标题"/>
    <w:next w:val="23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34">
    <w:name w:val="段 Char"/>
    <w:link w:val="230"/>
    <w:qFormat/>
    <w:uiPriority w:val="0"/>
    <w:rPr>
      <w:rFonts w:ascii="宋体" w:hAnsi="宋体" w:cs="宋体"/>
      <w:sz w:val="21"/>
      <w:szCs w:val="21"/>
    </w:rPr>
  </w:style>
  <w:style w:type="paragraph" w:customStyle="1" w:styleId="235">
    <w:name w:val="一级条标题"/>
    <w:next w:val="230"/>
    <w:qFormat/>
    <w:uiPriority w:val="0"/>
    <w:pPr>
      <w:numPr>
        <w:ilvl w:val="1"/>
        <w:numId w:val="7"/>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三级条标题"/>
    <w:basedOn w:val="237"/>
    <w:next w:val="230"/>
    <w:qFormat/>
    <w:uiPriority w:val="0"/>
    <w:pPr>
      <w:numPr>
        <w:ilvl w:val="3"/>
      </w:numPr>
      <w:outlineLvl w:val="4"/>
    </w:pPr>
  </w:style>
  <w:style w:type="paragraph" w:customStyle="1" w:styleId="237">
    <w:name w:val="二级条标题"/>
    <w:basedOn w:val="235"/>
    <w:next w:val="230"/>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F63FCE286F4435B6ECA25255EBB3E7"/>
        <w:style w:val=""/>
        <w:category>
          <w:name w:val="常规"/>
          <w:gallery w:val="placeholder"/>
        </w:category>
        <w:types>
          <w:type w:val="bbPlcHdr"/>
        </w:types>
        <w:behaviors>
          <w:behavior w:val="content"/>
        </w:behaviors>
        <w:description w:val=""/>
        <w:guid w:val="{A38BCABA-BCA8-4ECD-9BFE-0FC157B816BB}"/>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35AEE"/>
    <w:rsid w:val="00163E9B"/>
    <w:rsid w:val="00235AEE"/>
    <w:rsid w:val="00294504"/>
    <w:rsid w:val="002A2DCD"/>
    <w:rsid w:val="00371DB0"/>
    <w:rsid w:val="005167D0"/>
    <w:rsid w:val="005621F5"/>
    <w:rsid w:val="005979E5"/>
    <w:rsid w:val="005B2766"/>
    <w:rsid w:val="005B7ECB"/>
    <w:rsid w:val="005C4709"/>
    <w:rsid w:val="006854E4"/>
    <w:rsid w:val="006F31ED"/>
    <w:rsid w:val="007C7F97"/>
    <w:rsid w:val="007F2B73"/>
    <w:rsid w:val="009A3694"/>
    <w:rsid w:val="00A83318"/>
    <w:rsid w:val="00A84F84"/>
    <w:rsid w:val="00C32FA9"/>
    <w:rsid w:val="00C81545"/>
    <w:rsid w:val="00E33AFF"/>
    <w:rsid w:val="00E85AA2"/>
    <w:rsid w:val="00EE4943"/>
    <w:rsid w:val="00FB5A9A"/>
    <w:rsid w:val="00FF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F63FCE286F4435B6ECA25255EBB3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ABE395109FF46439D0D5538CA4E5C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4CBB7B6B054D4890C8C1693E940B1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B3C20-C178-45F8-8E7F-EB1D339F59E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4335</Words>
  <Characters>4858</Characters>
  <Lines>43</Lines>
  <Paragraphs>12</Paragraphs>
  <TotalTime>1</TotalTime>
  <ScaleCrop>false</ScaleCrop>
  <LinksUpToDate>false</LinksUpToDate>
  <CharactersWithSpaces>4923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2022-10-14T02:18:00Z</dcterms:created>
  <dc:creator>Administrator</dc:creator>
  <dc:description>&lt;config cover="true" show_menu="true" version="1.0.0" doctype="SDKXY"&gt;_x000d_
&lt;/config&gt;</dc:description>
  <cp:lastModifiedBy>Administrator</cp:lastModifiedBy>
  <cp:lastPrinted>2021-12-16T02:28:00Z</cp:lastPrinted>
  <dcterms:modified xsi:type="dcterms:W3CDTF">2023-06-20T04:39:09Z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C237043247CA4ED487333E5626388CA1</vt:lpwstr>
  </property>
</Properties>
</file>