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第2部分 业务规范》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6"/>
        <w:keepLines/>
        <w:widowControl w:val="0"/>
        <w:numPr>
          <w:ilvl w:val="0"/>
          <w:numId w:val="4"/>
        </w:numPr>
        <w:rPr>
          <w:bCs/>
          <w:kern w:val="44"/>
          <w:szCs w:val="44"/>
        </w:rPr>
      </w:pPr>
      <w:r>
        <w:rPr>
          <w:rFonts w:hint="eastAsia"/>
          <w:bCs/>
          <w:kern w:val="44"/>
          <w:szCs w:val="44"/>
        </w:rPr>
        <w:t>工作简况</w:t>
      </w:r>
    </w:p>
    <w:p>
      <w:pPr>
        <w:pStyle w:val="25"/>
        <w:numPr>
          <w:ilvl w:val="1"/>
          <w:numId w:val="4"/>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年标准计划（SDBXM200-2021），项目归口管理为陕西省交通运输厅。</w:t>
      </w:r>
    </w:p>
    <w:p>
      <w:pPr>
        <w:pStyle w:val="25"/>
        <w:numPr>
          <w:ilvl w:val="1"/>
          <w:numId w:val="4"/>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5"/>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5"/>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5"/>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bookmarkStart w:id="312" w:name="_GoBack"/>
      <w:r>
        <w:rPr>
          <w:rFonts w:hint="eastAsia" w:ascii="仿宋_GB2312" w:eastAsia="仿宋_GB2312"/>
          <w:sz w:val="28"/>
          <w:szCs w:val="28"/>
          <w:lang w:val="en-US" w:eastAsia="zh-CN"/>
        </w:rPr>
        <w:t>风</w:t>
      </w:r>
      <w:bookmarkEnd w:id="312"/>
      <w:r>
        <w:rPr>
          <w:rFonts w:hint="eastAsia" w:ascii="仿宋_GB2312" w:eastAsia="仿宋_GB2312"/>
          <w:sz w:val="28"/>
          <w:szCs w:val="28"/>
        </w:rPr>
        <w:t>、严军、郑佳、吴敏、马明、王晓军、李美贵、罗慧。</w:t>
      </w:r>
    </w:p>
    <w:p>
      <w:pPr>
        <w:pStyle w:val="26"/>
      </w:pPr>
      <w:bookmarkStart w:id="0" w:name="_Toc139293900"/>
      <w:r>
        <w:t>标准</w:t>
      </w:r>
      <w:r>
        <w:rPr>
          <w:rFonts w:hint="eastAsia"/>
        </w:rPr>
        <w:t>编制原则和</w:t>
      </w:r>
      <w:r>
        <w:t>主要内容</w:t>
      </w:r>
      <w:bookmarkEnd w:id="0"/>
    </w:p>
    <w:p>
      <w:pPr>
        <w:pStyle w:val="25"/>
      </w:pPr>
      <w:r>
        <w:rPr>
          <w:rFonts w:hint="eastAsia"/>
        </w:rPr>
        <w:t>编制原则</w:t>
      </w:r>
    </w:p>
    <w:p>
      <w:pPr>
        <w:pStyle w:val="27"/>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7"/>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7"/>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5"/>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pPr>
      <w:r>
        <w:rPr>
          <w:rFonts w:hint="eastAsia" w:ascii="仿宋_GB2312" w:eastAsia="仿宋_GB2312"/>
          <w:sz w:val="28"/>
          <w:szCs w:val="28"/>
        </w:rPr>
        <w:t>本文件将2010版《城市轨道交通自动售检票系统第1部分总则》地方标准中4、自动售检票系统结构5、自动售检票系统功能两章节内容细化完善，增加了二维码乘车业务运营管理、人脸识别乘车业务运营管理、电子支付业务运营管理、轨道交通乘车APP管理、MLC/LC运营管理、票务规则、乘车凭证管理等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本文件规定了自动售检票系统架构、系统运营、票务规则、清分对账规则和系统各组成部分的功能。适用于指导自动售检票系统的架构搭建、各类规则的制定等。本标准主要内容包括以下13个方面：</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w:t>
      </w:r>
      <w:bookmarkStart w:id="1" w:name="_Toc122447336"/>
      <w:r>
        <w:rPr>
          <w:rFonts w:hint="eastAsia" w:ascii="仿宋_GB2312" w:eastAsia="仿宋_GB2312"/>
          <w:sz w:val="28"/>
          <w:szCs w:val="28"/>
        </w:rPr>
        <w:t>范围</w:t>
      </w:r>
      <w:bookmarkEnd w:id="1"/>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、系统架构：规定了自动售检票系统的五层、四层、三层架构及自动售检票系统功能等内容。</w:t>
      </w:r>
    </w:p>
    <w:p>
      <w:pPr>
        <w:snapToGrid w:val="0"/>
        <w:spacing w:line="360" w:lineRule="auto"/>
        <w:ind w:firstLine="560" w:firstLineChars="200"/>
        <w:rPr>
          <w:rFonts w:ascii="仿宋_GB2312" w:eastAsia="仿宋_GB2312"/>
          <w:sz w:val="28"/>
          <w:szCs w:val="28"/>
        </w:rPr>
      </w:pPr>
      <w:bookmarkStart w:id="2" w:name="_Toc122447340"/>
      <w:r>
        <w:rPr>
          <w:rFonts w:ascii="仿宋_GB2312" w:eastAsia="仿宋_GB2312"/>
          <w:sz w:val="28"/>
          <w:szCs w:val="28"/>
        </w:rPr>
        <w:t>3</w:t>
      </w:r>
      <w:r>
        <w:rPr>
          <w:rFonts w:hint="eastAsia" w:ascii="仿宋_GB2312" w:eastAsia="仿宋_GB2312"/>
          <w:sz w:val="28"/>
          <w:szCs w:val="28"/>
        </w:rPr>
        <w:t>、ACC运营管理</w:t>
      </w:r>
      <w:bookmarkEnd w:id="2"/>
      <w:r>
        <w:rPr>
          <w:rFonts w:hint="eastAsia" w:ascii="仿宋_GB2312" w:eastAsia="仿宋_GB2312"/>
          <w:sz w:val="28"/>
          <w:szCs w:val="28"/>
        </w:rPr>
        <w:t>：规定了清分管理、参数管理、实体车票管理、密钥管理、设备管理、客流统计、报表管理等内容。</w:t>
      </w:r>
    </w:p>
    <w:p>
      <w:pPr>
        <w:snapToGrid w:val="0"/>
        <w:spacing w:line="360" w:lineRule="auto"/>
        <w:ind w:firstLine="560" w:firstLineChars="200"/>
        <w:rPr>
          <w:rFonts w:ascii="仿宋_GB2312" w:eastAsia="仿宋_GB2312"/>
          <w:sz w:val="28"/>
          <w:szCs w:val="28"/>
        </w:rPr>
      </w:pPr>
      <w:bookmarkStart w:id="3" w:name="_Toc22565"/>
      <w:bookmarkStart w:id="4" w:name="_Toc68015174"/>
      <w:bookmarkStart w:id="5" w:name="_Toc122447348"/>
      <w:bookmarkStart w:id="6" w:name="_Toc16163"/>
      <w:bookmarkStart w:id="7" w:name="_Toc5348"/>
      <w:r>
        <w:rPr>
          <w:rFonts w:ascii="仿宋_GB2312" w:eastAsia="仿宋_GB2312"/>
          <w:sz w:val="28"/>
          <w:szCs w:val="28"/>
        </w:rPr>
        <w:t>4</w:t>
      </w:r>
      <w:r>
        <w:rPr>
          <w:rFonts w:hint="eastAsia" w:ascii="仿宋_GB2312" w:eastAsia="仿宋_GB2312"/>
          <w:sz w:val="28"/>
          <w:szCs w:val="28"/>
        </w:rPr>
        <w:t>、二维码乘车业务运营管理</w:t>
      </w:r>
      <w:bookmarkEnd w:id="3"/>
      <w:bookmarkEnd w:id="4"/>
      <w:bookmarkEnd w:id="5"/>
      <w:bookmarkEnd w:id="6"/>
      <w:bookmarkEnd w:id="7"/>
      <w:r>
        <w:rPr>
          <w:rFonts w:hint="eastAsia" w:ascii="仿宋_GB2312" w:eastAsia="仿宋_GB2312"/>
          <w:sz w:val="28"/>
          <w:szCs w:val="28"/>
        </w:rPr>
        <w:t>：规定了</w:t>
      </w:r>
      <w:bookmarkStart w:id="8" w:name="_Toc4143"/>
      <w:bookmarkStart w:id="9" w:name="_Toc18051"/>
      <w:bookmarkStart w:id="10" w:name="_Toc61528668"/>
      <w:bookmarkStart w:id="11" w:name="_Toc14599"/>
      <w:bookmarkStart w:id="12" w:name="_Toc122447349"/>
      <w:bookmarkStart w:id="13" w:name="_Toc68015175"/>
      <w:r>
        <w:rPr>
          <w:rFonts w:hint="eastAsia" w:ascii="仿宋_GB2312" w:eastAsia="仿宋_GB2312"/>
          <w:sz w:val="28"/>
          <w:szCs w:val="28"/>
        </w:rPr>
        <w:t>二维码发码平台</w:t>
      </w:r>
      <w:bookmarkEnd w:id="8"/>
      <w:bookmarkEnd w:id="9"/>
      <w:bookmarkEnd w:id="10"/>
      <w:bookmarkEnd w:id="11"/>
      <w:bookmarkEnd w:id="12"/>
      <w:bookmarkEnd w:id="13"/>
      <w:bookmarkStart w:id="14" w:name="_Toc68015176"/>
      <w:bookmarkStart w:id="15" w:name="_Toc27309"/>
      <w:bookmarkStart w:id="16" w:name="_Toc67321509"/>
      <w:bookmarkStart w:id="17" w:name="_Toc4427"/>
      <w:bookmarkStart w:id="18" w:name="_Toc61528670"/>
      <w:bookmarkStart w:id="19" w:name="_Toc2908"/>
      <w:bookmarkStart w:id="20" w:name="_Toc122447350"/>
      <w:r>
        <w:rPr>
          <w:rFonts w:hint="eastAsia" w:ascii="仿宋_GB2312" w:eastAsia="仿宋_GB2312"/>
          <w:sz w:val="28"/>
          <w:szCs w:val="28"/>
        </w:rPr>
        <w:t>、二维码密钥管理</w:t>
      </w:r>
      <w:bookmarkEnd w:id="14"/>
      <w:bookmarkEnd w:id="15"/>
      <w:bookmarkEnd w:id="16"/>
      <w:bookmarkEnd w:id="17"/>
      <w:bookmarkEnd w:id="18"/>
      <w:bookmarkEnd w:id="19"/>
      <w:bookmarkEnd w:id="20"/>
      <w:bookmarkStart w:id="21" w:name="_Toc68015177"/>
      <w:bookmarkStart w:id="22" w:name="_Toc122447351"/>
      <w:bookmarkStart w:id="23" w:name="_Toc29228"/>
      <w:bookmarkStart w:id="24" w:name="_Toc25937"/>
      <w:bookmarkStart w:id="25" w:name="_Toc18514"/>
      <w:r>
        <w:rPr>
          <w:rFonts w:hint="eastAsia" w:ascii="仿宋_GB2312" w:eastAsia="仿宋_GB2312"/>
          <w:sz w:val="28"/>
          <w:szCs w:val="28"/>
        </w:rPr>
        <w:t>、二维码参数管理</w:t>
      </w:r>
      <w:bookmarkEnd w:id="21"/>
      <w:bookmarkEnd w:id="22"/>
      <w:bookmarkEnd w:id="23"/>
      <w:bookmarkEnd w:id="24"/>
      <w:bookmarkEnd w:id="25"/>
      <w:bookmarkStart w:id="26" w:name="_Toc68015178"/>
      <w:bookmarkStart w:id="27" w:name="_Toc61528675"/>
      <w:bookmarkStart w:id="28" w:name="_Toc25856"/>
      <w:bookmarkStart w:id="29" w:name="_Toc122447352"/>
      <w:bookmarkStart w:id="30" w:name="_Toc24893"/>
      <w:bookmarkStart w:id="31" w:name="_Toc8211"/>
      <w:r>
        <w:rPr>
          <w:rFonts w:hint="eastAsia" w:ascii="仿宋_GB2312" w:eastAsia="仿宋_GB2312"/>
          <w:sz w:val="28"/>
          <w:szCs w:val="28"/>
        </w:rPr>
        <w:t>、二维码报表管理</w:t>
      </w:r>
      <w:bookmarkEnd w:id="26"/>
      <w:bookmarkEnd w:id="27"/>
      <w:bookmarkEnd w:id="28"/>
      <w:bookmarkEnd w:id="29"/>
      <w:bookmarkEnd w:id="30"/>
      <w:bookmarkEnd w:id="31"/>
      <w:bookmarkStart w:id="32" w:name="_Toc68015179"/>
      <w:bookmarkStart w:id="33" w:name="_Toc19293"/>
      <w:bookmarkStart w:id="34" w:name="_Toc1526"/>
      <w:bookmarkStart w:id="35" w:name="_Toc122447353"/>
      <w:bookmarkStart w:id="36" w:name="_Toc61528679"/>
      <w:bookmarkStart w:id="37" w:name="_Toc4117"/>
      <w:r>
        <w:rPr>
          <w:rFonts w:hint="eastAsia" w:ascii="仿宋_GB2312" w:eastAsia="仿宋_GB2312"/>
          <w:sz w:val="28"/>
          <w:szCs w:val="28"/>
        </w:rPr>
        <w:t>、二维码受理终端</w:t>
      </w:r>
      <w:bookmarkEnd w:id="32"/>
      <w:bookmarkEnd w:id="33"/>
      <w:bookmarkEnd w:id="34"/>
      <w:bookmarkEnd w:id="35"/>
      <w:bookmarkEnd w:id="36"/>
      <w:bookmarkEnd w:id="37"/>
      <w:bookmarkStart w:id="38" w:name="_Toc122447354"/>
      <w:bookmarkStart w:id="39" w:name="_Toc19307"/>
      <w:bookmarkStart w:id="40" w:name="_Toc20229"/>
      <w:bookmarkStart w:id="41" w:name="_Toc68015180"/>
      <w:bookmarkStart w:id="42" w:name="_Toc10506"/>
      <w:r>
        <w:rPr>
          <w:rFonts w:hint="eastAsia" w:ascii="仿宋_GB2312" w:eastAsia="仿宋_GB2312"/>
          <w:sz w:val="28"/>
          <w:szCs w:val="28"/>
        </w:rPr>
        <w:t>、二维码支付管理</w:t>
      </w:r>
      <w:bookmarkEnd w:id="38"/>
      <w:bookmarkEnd w:id="39"/>
      <w:bookmarkEnd w:id="40"/>
      <w:bookmarkEnd w:id="41"/>
      <w:bookmarkEnd w:id="42"/>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43" w:name="_Toc68015181"/>
      <w:bookmarkStart w:id="44" w:name="_Toc122447355"/>
      <w:bookmarkStart w:id="45" w:name="_Toc18987"/>
      <w:bookmarkStart w:id="46" w:name="_Toc10985"/>
      <w:bookmarkStart w:id="47" w:name="_Toc11548"/>
      <w:r>
        <w:rPr>
          <w:rFonts w:ascii="仿宋_GB2312" w:eastAsia="仿宋_GB2312"/>
          <w:sz w:val="28"/>
          <w:szCs w:val="28"/>
        </w:rPr>
        <w:t>5</w:t>
      </w:r>
      <w:r>
        <w:rPr>
          <w:rFonts w:hint="eastAsia" w:ascii="仿宋_GB2312" w:eastAsia="仿宋_GB2312"/>
          <w:sz w:val="28"/>
          <w:szCs w:val="28"/>
        </w:rPr>
        <w:t>、人脸识别乘车业务运营管理</w:t>
      </w:r>
      <w:bookmarkEnd w:id="43"/>
      <w:bookmarkEnd w:id="44"/>
      <w:bookmarkEnd w:id="45"/>
      <w:bookmarkEnd w:id="46"/>
      <w:bookmarkEnd w:id="47"/>
      <w:r>
        <w:rPr>
          <w:rFonts w:hint="eastAsia" w:ascii="仿宋_GB2312" w:eastAsia="仿宋_GB2312"/>
          <w:sz w:val="28"/>
          <w:szCs w:val="28"/>
        </w:rPr>
        <w:t>：规定了</w:t>
      </w:r>
      <w:bookmarkStart w:id="48" w:name="_Toc122447356"/>
      <w:bookmarkStart w:id="49" w:name="_Toc7019"/>
      <w:bookmarkStart w:id="50" w:name="_Toc21332"/>
      <w:bookmarkStart w:id="51" w:name="_Toc7127"/>
      <w:bookmarkStart w:id="52" w:name="_Toc68015182"/>
      <w:r>
        <w:rPr>
          <w:rFonts w:hint="eastAsia" w:ascii="仿宋_GB2312" w:eastAsia="仿宋_GB2312"/>
          <w:sz w:val="28"/>
          <w:szCs w:val="28"/>
        </w:rPr>
        <w:t>人脸库管理</w:t>
      </w:r>
      <w:bookmarkEnd w:id="48"/>
      <w:bookmarkEnd w:id="49"/>
      <w:bookmarkEnd w:id="50"/>
      <w:bookmarkEnd w:id="51"/>
      <w:bookmarkEnd w:id="52"/>
      <w:bookmarkStart w:id="53" w:name="_Toc122447357"/>
      <w:r>
        <w:rPr>
          <w:rFonts w:hint="eastAsia" w:ascii="仿宋_GB2312" w:eastAsia="仿宋_GB2312"/>
          <w:sz w:val="28"/>
          <w:szCs w:val="28"/>
        </w:rPr>
        <w:t>、人脸识别乘车业务管理</w:t>
      </w:r>
      <w:bookmarkEnd w:id="53"/>
      <w:r>
        <w:rPr>
          <w:rFonts w:hint="eastAsia" w:ascii="仿宋_GB2312" w:eastAsia="仿宋_GB2312"/>
          <w:sz w:val="28"/>
          <w:szCs w:val="28"/>
        </w:rPr>
        <w:t>、人脸密钥管理、人脸参数管理、人脸报表管理、</w:t>
      </w:r>
      <w:bookmarkStart w:id="54" w:name="_Toc68015187"/>
      <w:bookmarkStart w:id="55" w:name="_Toc2713"/>
      <w:bookmarkStart w:id="56" w:name="_Toc61448205"/>
      <w:bookmarkStart w:id="57" w:name="_Toc122447361"/>
      <w:bookmarkStart w:id="58" w:name="_Toc842"/>
      <w:bookmarkStart w:id="59" w:name="_Toc10546"/>
      <w:r>
        <w:rPr>
          <w:rFonts w:hint="eastAsia" w:ascii="仿宋_GB2312" w:eastAsia="仿宋_GB2312"/>
          <w:sz w:val="28"/>
          <w:szCs w:val="28"/>
        </w:rPr>
        <w:t>人脸终端设备（PAD）管理</w:t>
      </w:r>
      <w:bookmarkEnd w:id="54"/>
      <w:bookmarkEnd w:id="55"/>
      <w:bookmarkEnd w:id="56"/>
      <w:bookmarkEnd w:id="57"/>
      <w:bookmarkEnd w:id="58"/>
      <w:bookmarkEnd w:id="59"/>
      <w:bookmarkStart w:id="60" w:name="_Toc122447362"/>
      <w:bookmarkStart w:id="61" w:name="_Toc31914"/>
      <w:bookmarkStart w:id="62" w:name="_Toc17100"/>
      <w:bookmarkStart w:id="63" w:name="_Toc68015188"/>
      <w:bookmarkStart w:id="64" w:name="_Toc8109"/>
      <w:r>
        <w:rPr>
          <w:rFonts w:hint="eastAsia" w:ascii="仿宋_GB2312" w:eastAsia="仿宋_GB2312"/>
          <w:sz w:val="28"/>
          <w:szCs w:val="28"/>
        </w:rPr>
        <w:t>、人脸采集计费管理</w:t>
      </w:r>
      <w:bookmarkEnd w:id="60"/>
      <w:bookmarkEnd w:id="61"/>
      <w:bookmarkEnd w:id="62"/>
      <w:bookmarkEnd w:id="63"/>
      <w:bookmarkEnd w:id="64"/>
      <w:bookmarkStart w:id="65" w:name="_Toc26961"/>
      <w:bookmarkStart w:id="66" w:name="_Toc122447363"/>
      <w:bookmarkStart w:id="67" w:name="_Toc68015189"/>
      <w:bookmarkStart w:id="68" w:name="_Toc14322"/>
      <w:bookmarkStart w:id="69" w:name="_Toc12881"/>
      <w:r>
        <w:rPr>
          <w:rFonts w:hint="eastAsia" w:ascii="仿宋_GB2312" w:eastAsia="仿宋_GB2312"/>
          <w:sz w:val="28"/>
          <w:szCs w:val="28"/>
        </w:rPr>
        <w:t>、人脸支付管理</w:t>
      </w:r>
      <w:bookmarkEnd w:id="65"/>
      <w:bookmarkEnd w:id="66"/>
      <w:bookmarkEnd w:id="67"/>
      <w:bookmarkEnd w:id="68"/>
      <w:bookmarkEnd w:id="69"/>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70" w:name="_Toc19222"/>
      <w:bookmarkStart w:id="71" w:name="_Toc122447364"/>
      <w:bookmarkStart w:id="72" w:name="_Toc11253"/>
      <w:bookmarkStart w:id="73" w:name="_Toc68015190"/>
      <w:bookmarkStart w:id="74" w:name="_Toc13238"/>
      <w:bookmarkStart w:id="75" w:name="_Toc67388280"/>
      <w:r>
        <w:rPr>
          <w:rFonts w:ascii="仿宋_GB2312" w:eastAsia="仿宋_GB2312"/>
          <w:sz w:val="28"/>
          <w:szCs w:val="28"/>
        </w:rPr>
        <w:t>6</w:t>
      </w:r>
      <w:r>
        <w:rPr>
          <w:rFonts w:hint="eastAsia" w:ascii="仿宋_GB2312" w:eastAsia="仿宋_GB2312"/>
          <w:sz w:val="28"/>
          <w:szCs w:val="28"/>
        </w:rPr>
        <w:t>、电子支付业务运营管理</w:t>
      </w:r>
      <w:bookmarkEnd w:id="70"/>
      <w:bookmarkEnd w:id="71"/>
      <w:bookmarkEnd w:id="72"/>
      <w:bookmarkEnd w:id="73"/>
      <w:bookmarkEnd w:id="74"/>
      <w:bookmarkEnd w:id="75"/>
      <w:r>
        <w:rPr>
          <w:rFonts w:hint="eastAsia" w:ascii="仿宋_GB2312" w:eastAsia="仿宋_GB2312"/>
          <w:sz w:val="28"/>
          <w:szCs w:val="28"/>
        </w:rPr>
        <w:t>：规定了电子支付业务运营管理功能内容。</w:t>
      </w:r>
    </w:p>
    <w:p>
      <w:pPr>
        <w:snapToGrid w:val="0"/>
        <w:spacing w:line="360" w:lineRule="auto"/>
        <w:ind w:firstLine="560" w:firstLineChars="200"/>
        <w:rPr>
          <w:rFonts w:ascii="仿宋_GB2312" w:eastAsia="仿宋_GB2312"/>
          <w:sz w:val="28"/>
          <w:szCs w:val="28"/>
        </w:rPr>
      </w:pPr>
      <w:bookmarkStart w:id="76" w:name="_Toc61528689"/>
      <w:bookmarkStart w:id="77" w:name="_Toc4966"/>
      <w:bookmarkStart w:id="78" w:name="_Toc29898"/>
      <w:bookmarkStart w:id="79" w:name="_Toc68015191"/>
      <w:bookmarkStart w:id="80" w:name="_Toc122447365"/>
      <w:bookmarkStart w:id="81" w:name="_Toc20632"/>
      <w:r>
        <w:rPr>
          <w:rFonts w:ascii="仿宋_GB2312" w:eastAsia="仿宋_GB2312"/>
          <w:sz w:val="28"/>
          <w:szCs w:val="28"/>
        </w:rPr>
        <w:t>7</w:t>
      </w:r>
      <w:r>
        <w:rPr>
          <w:rFonts w:hint="eastAsia" w:ascii="仿宋_GB2312" w:eastAsia="仿宋_GB2312"/>
          <w:sz w:val="28"/>
          <w:szCs w:val="28"/>
        </w:rPr>
        <w:t>、轨道交通乘车APP</w:t>
      </w:r>
      <w:bookmarkEnd w:id="76"/>
      <w:r>
        <w:rPr>
          <w:rFonts w:hint="eastAsia" w:ascii="仿宋_GB2312" w:eastAsia="仿宋_GB2312"/>
          <w:sz w:val="28"/>
          <w:szCs w:val="28"/>
        </w:rPr>
        <w:t>管理</w:t>
      </w:r>
      <w:bookmarkEnd w:id="77"/>
      <w:bookmarkEnd w:id="78"/>
      <w:bookmarkEnd w:id="79"/>
      <w:bookmarkEnd w:id="80"/>
      <w:bookmarkEnd w:id="81"/>
      <w:r>
        <w:rPr>
          <w:rFonts w:hint="eastAsia" w:ascii="仿宋_GB2312" w:eastAsia="仿宋_GB2312"/>
          <w:sz w:val="28"/>
          <w:szCs w:val="28"/>
        </w:rPr>
        <w:t>：规定了轨道交通乘车APP管理功能内容。</w:t>
      </w:r>
    </w:p>
    <w:p>
      <w:pPr>
        <w:snapToGrid w:val="0"/>
        <w:spacing w:line="360" w:lineRule="auto"/>
        <w:ind w:firstLine="560" w:firstLineChars="200"/>
        <w:rPr>
          <w:rFonts w:ascii="仿宋_GB2312" w:eastAsia="仿宋_GB2312"/>
          <w:sz w:val="28"/>
          <w:szCs w:val="28"/>
        </w:rPr>
      </w:pPr>
      <w:bookmarkStart w:id="82" w:name="_Toc122447370"/>
      <w:bookmarkStart w:id="83" w:name="_Toc9751"/>
      <w:bookmarkStart w:id="84" w:name="_Toc301786047"/>
      <w:bookmarkStart w:id="85" w:name="_Toc12591"/>
      <w:bookmarkStart w:id="86" w:name="_Toc301785885"/>
      <w:bookmarkStart w:id="87" w:name="_Toc68015196"/>
      <w:bookmarkStart w:id="88" w:name="_Toc32094"/>
      <w:r>
        <w:rPr>
          <w:rFonts w:ascii="仿宋_GB2312" w:eastAsia="仿宋_GB2312"/>
          <w:sz w:val="28"/>
          <w:szCs w:val="28"/>
        </w:rPr>
        <w:t>8</w:t>
      </w:r>
      <w:r>
        <w:rPr>
          <w:rFonts w:hint="eastAsia" w:ascii="仿宋_GB2312" w:eastAsia="仿宋_GB2312"/>
          <w:sz w:val="28"/>
          <w:szCs w:val="28"/>
        </w:rPr>
        <w:t>、MLC/LC运营管理</w:t>
      </w:r>
      <w:bookmarkEnd w:id="82"/>
      <w:bookmarkEnd w:id="83"/>
      <w:bookmarkEnd w:id="84"/>
      <w:bookmarkEnd w:id="85"/>
      <w:bookmarkEnd w:id="86"/>
      <w:bookmarkEnd w:id="87"/>
      <w:bookmarkEnd w:id="88"/>
      <w:r>
        <w:rPr>
          <w:rFonts w:hint="eastAsia" w:ascii="仿宋_GB2312" w:eastAsia="仿宋_GB2312"/>
          <w:sz w:val="28"/>
          <w:szCs w:val="28"/>
        </w:rPr>
        <w:t>：规定了</w:t>
      </w:r>
      <w:bookmarkStart w:id="89" w:name="_Toc19338"/>
      <w:bookmarkStart w:id="90" w:name="_Toc68015197"/>
      <w:bookmarkStart w:id="91" w:name="_Toc13798"/>
      <w:bookmarkStart w:id="92" w:name="_Toc122447371"/>
      <w:bookmarkStart w:id="93" w:name="_Toc19167"/>
      <w:r>
        <w:rPr>
          <w:rFonts w:hint="eastAsia" w:ascii="仿宋_GB2312" w:eastAsia="仿宋_GB2312"/>
          <w:sz w:val="28"/>
          <w:szCs w:val="28"/>
        </w:rPr>
        <w:t>运营时刻表管理</w:t>
      </w:r>
      <w:bookmarkEnd w:id="89"/>
      <w:bookmarkEnd w:id="90"/>
      <w:bookmarkEnd w:id="91"/>
      <w:bookmarkEnd w:id="92"/>
      <w:bookmarkEnd w:id="93"/>
      <w:r>
        <w:rPr>
          <w:rFonts w:hint="eastAsia" w:ascii="仿宋_GB2312" w:eastAsia="仿宋_GB2312"/>
          <w:sz w:val="28"/>
          <w:szCs w:val="28"/>
        </w:rPr>
        <w:t>、</w:t>
      </w:r>
      <w:bookmarkStart w:id="94" w:name="_Toc122447372"/>
      <w:r>
        <w:rPr>
          <w:rFonts w:hint="eastAsia" w:ascii="仿宋_GB2312" w:eastAsia="仿宋_GB2312"/>
          <w:sz w:val="28"/>
          <w:szCs w:val="28"/>
        </w:rPr>
        <w:t>参数管理</w:t>
      </w:r>
      <w:bookmarkEnd w:id="94"/>
      <w:bookmarkStart w:id="95" w:name="_Toc25146"/>
      <w:bookmarkStart w:id="96" w:name="_Toc26860"/>
      <w:bookmarkStart w:id="97" w:name="_Toc68015199"/>
      <w:bookmarkStart w:id="98" w:name="_Toc21775"/>
      <w:bookmarkStart w:id="99" w:name="_Toc122447373"/>
      <w:r>
        <w:rPr>
          <w:rFonts w:hint="eastAsia" w:ascii="仿宋_GB2312" w:eastAsia="仿宋_GB2312"/>
          <w:sz w:val="28"/>
          <w:szCs w:val="28"/>
        </w:rPr>
        <w:t>、设备管理</w:t>
      </w:r>
      <w:bookmarkEnd w:id="95"/>
      <w:bookmarkEnd w:id="96"/>
      <w:bookmarkEnd w:id="97"/>
      <w:bookmarkEnd w:id="98"/>
      <w:bookmarkEnd w:id="99"/>
      <w:bookmarkStart w:id="100" w:name="_Toc122447374"/>
      <w:r>
        <w:rPr>
          <w:rFonts w:hint="eastAsia" w:ascii="仿宋_GB2312" w:eastAsia="仿宋_GB2312"/>
          <w:sz w:val="28"/>
          <w:szCs w:val="28"/>
        </w:rPr>
        <w:t>、客流管理</w:t>
      </w:r>
      <w:bookmarkEnd w:id="100"/>
      <w:bookmarkStart w:id="101" w:name="_Toc12121"/>
      <w:bookmarkStart w:id="102" w:name="_Toc19806"/>
      <w:bookmarkStart w:id="103" w:name="_Toc31948"/>
      <w:bookmarkStart w:id="104" w:name="_Toc122447375"/>
      <w:bookmarkStart w:id="105" w:name="_Toc68015200"/>
      <w:r>
        <w:rPr>
          <w:rFonts w:hint="eastAsia" w:ascii="仿宋_GB2312" w:eastAsia="仿宋_GB2312"/>
          <w:sz w:val="28"/>
          <w:szCs w:val="28"/>
        </w:rPr>
        <w:t>、模式管理</w:t>
      </w:r>
      <w:bookmarkEnd w:id="101"/>
      <w:bookmarkEnd w:id="102"/>
      <w:bookmarkEnd w:id="103"/>
      <w:bookmarkEnd w:id="104"/>
      <w:bookmarkEnd w:id="105"/>
      <w:bookmarkStart w:id="106" w:name="_Toc3179"/>
      <w:bookmarkStart w:id="107" w:name="_Toc122447376"/>
      <w:bookmarkStart w:id="108" w:name="_Toc16255"/>
      <w:bookmarkStart w:id="109" w:name="_Toc68015201"/>
      <w:bookmarkStart w:id="110" w:name="_Toc28819"/>
      <w:r>
        <w:rPr>
          <w:rFonts w:hint="eastAsia" w:ascii="仿宋_GB2312" w:eastAsia="仿宋_GB2312"/>
          <w:sz w:val="28"/>
          <w:szCs w:val="28"/>
        </w:rPr>
        <w:t>、时钟管理</w:t>
      </w:r>
      <w:bookmarkEnd w:id="106"/>
      <w:bookmarkEnd w:id="107"/>
      <w:bookmarkEnd w:id="108"/>
      <w:bookmarkEnd w:id="109"/>
      <w:bookmarkEnd w:id="110"/>
      <w:bookmarkStart w:id="111" w:name="_Toc7189"/>
      <w:bookmarkStart w:id="112" w:name="_Toc68015202"/>
      <w:bookmarkStart w:id="113" w:name="_Toc18787"/>
      <w:bookmarkStart w:id="114" w:name="_Toc14007"/>
      <w:bookmarkStart w:id="115" w:name="_Toc122447377"/>
      <w:r>
        <w:rPr>
          <w:rFonts w:hint="eastAsia" w:ascii="仿宋_GB2312" w:eastAsia="仿宋_GB2312"/>
          <w:sz w:val="28"/>
          <w:szCs w:val="28"/>
        </w:rPr>
        <w:t>、报表管理</w:t>
      </w:r>
      <w:bookmarkEnd w:id="111"/>
      <w:bookmarkEnd w:id="112"/>
      <w:bookmarkEnd w:id="113"/>
      <w:bookmarkEnd w:id="114"/>
      <w:bookmarkEnd w:id="115"/>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16" w:name="_Toc68015203"/>
      <w:bookmarkStart w:id="117" w:name="_Toc122447378"/>
      <w:bookmarkStart w:id="118" w:name="_Toc30354"/>
      <w:bookmarkStart w:id="119" w:name="_Toc354911534"/>
      <w:bookmarkStart w:id="120" w:name="_Toc301785886"/>
      <w:bookmarkStart w:id="121" w:name="_Toc23521"/>
      <w:bookmarkStart w:id="122" w:name="_Toc12501"/>
      <w:bookmarkStart w:id="123" w:name="_Toc301786048"/>
      <w:r>
        <w:rPr>
          <w:rFonts w:ascii="仿宋_GB2312" w:eastAsia="仿宋_GB2312"/>
          <w:sz w:val="28"/>
          <w:szCs w:val="28"/>
        </w:rPr>
        <w:t>9</w:t>
      </w:r>
      <w:r>
        <w:rPr>
          <w:rFonts w:hint="eastAsia" w:ascii="仿宋_GB2312" w:eastAsia="仿宋_GB2312"/>
          <w:sz w:val="28"/>
          <w:szCs w:val="28"/>
        </w:rPr>
        <w:t>、SC运营管理</w:t>
      </w:r>
      <w:bookmarkEnd w:id="116"/>
      <w:bookmarkEnd w:id="117"/>
      <w:bookmarkEnd w:id="118"/>
      <w:bookmarkEnd w:id="119"/>
      <w:bookmarkEnd w:id="120"/>
      <w:bookmarkEnd w:id="121"/>
      <w:bookmarkEnd w:id="122"/>
      <w:bookmarkEnd w:id="123"/>
      <w:r>
        <w:rPr>
          <w:rFonts w:hint="eastAsia" w:ascii="仿宋_GB2312" w:eastAsia="仿宋_GB2312"/>
          <w:sz w:val="28"/>
          <w:szCs w:val="28"/>
        </w:rPr>
        <w:t>：规定了</w:t>
      </w:r>
      <w:bookmarkStart w:id="124" w:name="_Toc2573"/>
      <w:bookmarkStart w:id="125" w:name="_Toc2916"/>
      <w:bookmarkStart w:id="126" w:name="_Toc26065"/>
      <w:bookmarkStart w:id="127" w:name="_Toc122447379"/>
      <w:bookmarkStart w:id="128" w:name="_Toc68015204"/>
      <w:r>
        <w:rPr>
          <w:rFonts w:hint="eastAsia" w:ascii="仿宋_GB2312" w:eastAsia="仿宋_GB2312"/>
          <w:sz w:val="28"/>
          <w:szCs w:val="28"/>
        </w:rPr>
        <w:t>参数管理</w:t>
      </w:r>
      <w:bookmarkEnd w:id="124"/>
      <w:bookmarkEnd w:id="125"/>
      <w:bookmarkEnd w:id="126"/>
      <w:bookmarkEnd w:id="127"/>
      <w:bookmarkEnd w:id="128"/>
      <w:bookmarkStart w:id="129" w:name="_Toc27386"/>
      <w:bookmarkStart w:id="130" w:name="_Toc24605"/>
      <w:bookmarkStart w:id="131" w:name="_Toc122447380"/>
      <w:bookmarkStart w:id="132" w:name="_Toc16637"/>
      <w:bookmarkStart w:id="133" w:name="_Toc68015205"/>
      <w:r>
        <w:rPr>
          <w:rFonts w:hint="eastAsia" w:ascii="仿宋_GB2312" w:eastAsia="仿宋_GB2312"/>
          <w:sz w:val="28"/>
          <w:szCs w:val="28"/>
        </w:rPr>
        <w:t>、设备管理</w:t>
      </w:r>
      <w:bookmarkEnd w:id="129"/>
      <w:bookmarkEnd w:id="130"/>
      <w:bookmarkEnd w:id="131"/>
      <w:bookmarkEnd w:id="132"/>
      <w:bookmarkEnd w:id="133"/>
      <w:bookmarkStart w:id="134" w:name="_Toc122447381"/>
      <w:r>
        <w:rPr>
          <w:rFonts w:hint="eastAsia" w:ascii="仿宋_GB2312" w:eastAsia="仿宋_GB2312"/>
          <w:sz w:val="28"/>
          <w:szCs w:val="28"/>
        </w:rPr>
        <w:t>、客流管理</w:t>
      </w:r>
      <w:bookmarkEnd w:id="134"/>
      <w:bookmarkStart w:id="135" w:name="_Toc68015206"/>
      <w:bookmarkStart w:id="136" w:name="_Toc20346"/>
      <w:bookmarkStart w:id="137" w:name="_Toc122447382"/>
      <w:bookmarkStart w:id="138" w:name="_Toc10358"/>
      <w:bookmarkStart w:id="139" w:name="_Toc13769"/>
      <w:r>
        <w:rPr>
          <w:rFonts w:hint="eastAsia" w:ascii="仿宋_GB2312" w:eastAsia="仿宋_GB2312"/>
          <w:sz w:val="28"/>
          <w:szCs w:val="28"/>
        </w:rPr>
        <w:t>、模式管理</w:t>
      </w:r>
      <w:bookmarkEnd w:id="135"/>
      <w:bookmarkEnd w:id="136"/>
      <w:bookmarkEnd w:id="137"/>
      <w:bookmarkEnd w:id="138"/>
      <w:bookmarkEnd w:id="139"/>
      <w:bookmarkStart w:id="140" w:name="_Toc10407"/>
      <w:bookmarkStart w:id="141" w:name="_Toc122447383"/>
      <w:bookmarkStart w:id="142" w:name="_Toc27630"/>
      <w:bookmarkStart w:id="143" w:name="_Toc15593"/>
      <w:bookmarkStart w:id="144" w:name="_Toc68015207"/>
      <w:r>
        <w:rPr>
          <w:rFonts w:hint="eastAsia" w:ascii="仿宋_GB2312" w:eastAsia="仿宋_GB2312"/>
          <w:sz w:val="28"/>
          <w:szCs w:val="28"/>
        </w:rPr>
        <w:t>、时钟管理</w:t>
      </w:r>
      <w:bookmarkEnd w:id="140"/>
      <w:bookmarkEnd w:id="141"/>
      <w:bookmarkEnd w:id="142"/>
      <w:bookmarkEnd w:id="143"/>
      <w:bookmarkEnd w:id="144"/>
      <w:bookmarkStart w:id="145" w:name="_Toc15312"/>
      <w:bookmarkStart w:id="146" w:name="_Toc68015208"/>
      <w:bookmarkStart w:id="147" w:name="_Toc19852"/>
      <w:bookmarkStart w:id="148" w:name="_Toc122447384"/>
      <w:bookmarkStart w:id="149" w:name="_Toc29569"/>
      <w:r>
        <w:rPr>
          <w:rFonts w:hint="eastAsia" w:ascii="仿宋_GB2312" w:eastAsia="仿宋_GB2312"/>
          <w:sz w:val="28"/>
          <w:szCs w:val="28"/>
        </w:rPr>
        <w:t>、报表管理</w:t>
      </w:r>
      <w:bookmarkEnd w:id="145"/>
      <w:bookmarkEnd w:id="146"/>
      <w:bookmarkEnd w:id="147"/>
      <w:bookmarkEnd w:id="148"/>
      <w:bookmarkEnd w:id="149"/>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50" w:name="_Toc27457"/>
      <w:bookmarkStart w:id="151" w:name="_Toc68015209"/>
      <w:bookmarkStart w:id="152" w:name="_Toc122447385"/>
      <w:bookmarkStart w:id="153" w:name="_Toc9589"/>
      <w:bookmarkStart w:id="154" w:name="_Toc301786053"/>
      <w:bookmarkStart w:id="155" w:name="_Toc301785891"/>
      <w:bookmarkStart w:id="156" w:name="_Toc21391"/>
      <w:bookmarkStart w:id="157" w:name="_Toc251916140"/>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、票务规则</w:t>
      </w:r>
      <w:bookmarkEnd w:id="150"/>
      <w:bookmarkEnd w:id="151"/>
      <w:bookmarkEnd w:id="152"/>
      <w:bookmarkEnd w:id="153"/>
      <w:bookmarkEnd w:id="154"/>
      <w:bookmarkEnd w:id="155"/>
      <w:bookmarkEnd w:id="156"/>
      <w:bookmarkEnd w:id="157"/>
      <w:r>
        <w:rPr>
          <w:rFonts w:hint="eastAsia" w:ascii="仿宋_GB2312" w:eastAsia="仿宋_GB2312"/>
          <w:sz w:val="28"/>
          <w:szCs w:val="28"/>
        </w:rPr>
        <w:t>：规定了</w:t>
      </w:r>
      <w:bookmarkStart w:id="158" w:name="_Toc223407315"/>
      <w:bookmarkStart w:id="159" w:name="_Toc301785899"/>
      <w:bookmarkStart w:id="160" w:name="_Toc221613052"/>
      <w:bookmarkStart w:id="161" w:name="_Toc301786061"/>
      <w:bookmarkStart w:id="162" w:name="_Toc122447386"/>
      <w:r>
        <w:rPr>
          <w:rFonts w:hint="eastAsia" w:ascii="仿宋_GB2312" w:eastAsia="仿宋_GB2312"/>
          <w:sz w:val="28"/>
          <w:szCs w:val="28"/>
        </w:rPr>
        <w:t>票务通用</w:t>
      </w:r>
      <w:bookmarkEnd w:id="158"/>
      <w:bookmarkEnd w:id="159"/>
      <w:bookmarkEnd w:id="160"/>
      <w:bookmarkEnd w:id="161"/>
      <w:r>
        <w:rPr>
          <w:rFonts w:hint="eastAsia" w:ascii="仿宋_GB2312" w:eastAsia="仿宋_GB2312"/>
          <w:sz w:val="28"/>
          <w:szCs w:val="28"/>
        </w:rPr>
        <w:t>规则</w:t>
      </w:r>
      <w:bookmarkEnd w:id="162"/>
      <w:r>
        <w:rPr>
          <w:rFonts w:hint="eastAsia" w:ascii="仿宋_GB2312" w:eastAsia="仿宋_GB2312"/>
          <w:sz w:val="28"/>
          <w:szCs w:val="28"/>
        </w:rPr>
        <w:t>及</w:t>
      </w:r>
      <w:bookmarkStart w:id="163" w:name="_Toc354911511"/>
      <w:bookmarkStart w:id="164" w:name="_Toc301786065"/>
      <w:bookmarkStart w:id="165" w:name="_Toc221613056"/>
      <w:bookmarkStart w:id="166" w:name="_Toc223407319"/>
      <w:bookmarkStart w:id="167" w:name="_Toc301785903"/>
      <w:bookmarkStart w:id="168" w:name="_Toc122447387"/>
      <w:r>
        <w:rPr>
          <w:rFonts w:hint="eastAsia" w:ascii="仿宋_GB2312" w:eastAsia="仿宋_GB2312"/>
          <w:sz w:val="28"/>
          <w:szCs w:val="28"/>
        </w:rPr>
        <w:t>特殊情况下的票务处理规则</w:t>
      </w:r>
      <w:bookmarkEnd w:id="163"/>
      <w:bookmarkEnd w:id="164"/>
      <w:bookmarkEnd w:id="165"/>
      <w:bookmarkEnd w:id="166"/>
      <w:bookmarkEnd w:id="167"/>
      <w:bookmarkEnd w:id="168"/>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69" w:name="_Toc3004"/>
      <w:bookmarkStart w:id="170" w:name="_Toc122447388"/>
      <w:bookmarkStart w:id="171" w:name="_Toc68015212"/>
      <w:bookmarkStart w:id="172" w:name="_Toc3938"/>
      <w:bookmarkStart w:id="173" w:name="_Toc18841"/>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、系统模式管理</w:t>
      </w:r>
      <w:bookmarkEnd w:id="169"/>
      <w:bookmarkEnd w:id="170"/>
      <w:bookmarkEnd w:id="171"/>
      <w:bookmarkEnd w:id="172"/>
      <w:bookmarkEnd w:id="173"/>
      <w:r>
        <w:rPr>
          <w:rFonts w:hint="eastAsia" w:ascii="仿宋_GB2312" w:eastAsia="仿宋_GB2312"/>
          <w:sz w:val="28"/>
          <w:szCs w:val="28"/>
        </w:rPr>
        <w:t>：规定了</w:t>
      </w:r>
      <w:bookmarkStart w:id="174" w:name="_Toc122447389"/>
      <w:bookmarkStart w:id="175" w:name="_Toc428093019"/>
      <w:bookmarkStart w:id="176" w:name="_Toc24697"/>
      <w:bookmarkStart w:id="177" w:name="_Toc23177"/>
      <w:bookmarkStart w:id="178" w:name="_Toc68015216"/>
      <w:bookmarkStart w:id="179" w:name="_Toc14069"/>
      <w:r>
        <w:rPr>
          <w:rFonts w:hint="eastAsia" w:ascii="仿宋_GB2312" w:eastAsia="仿宋_GB2312"/>
          <w:sz w:val="28"/>
          <w:szCs w:val="28"/>
        </w:rPr>
        <w:t>模式的设定和解除</w:t>
      </w:r>
      <w:bookmarkEnd w:id="174"/>
      <w:bookmarkEnd w:id="175"/>
      <w:bookmarkEnd w:id="176"/>
      <w:bookmarkEnd w:id="177"/>
      <w:bookmarkEnd w:id="178"/>
      <w:bookmarkEnd w:id="179"/>
      <w:r>
        <w:rPr>
          <w:rFonts w:hint="eastAsia" w:ascii="仿宋_GB2312" w:eastAsia="仿宋_GB2312"/>
          <w:sz w:val="28"/>
          <w:szCs w:val="28"/>
        </w:rPr>
        <w:t>、</w:t>
      </w:r>
      <w:bookmarkStart w:id="180" w:name="_Toc2546"/>
      <w:bookmarkStart w:id="181" w:name="_Toc428093025"/>
      <w:bookmarkStart w:id="182" w:name="_Toc68015217"/>
      <w:bookmarkStart w:id="183" w:name="_Toc31602"/>
      <w:bookmarkStart w:id="184" w:name="_Toc4372"/>
      <w:bookmarkStart w:id="185" w:name="_Toc122447390"/>
      <w:r>
        <w:rPr>
          <w:rFonts w:hint="eastAsia" w:ascii="仿宋_GB2312" w:eastAsia="仿宋_GB2312"/>
          <w:sz w:val="28"/>
          <w:szCs w:val="28"/>
        </w:rPr>
        <w:t>模式转换</w:t>
      </w:r>
      <w:bookmarkEnd w:id="180"/>
      <w:bookmarkEnd w:id="181"/>
      <w:bookmarkEnd w:id="182"/>
      <w:bookmarkEnd w:id="183"/>
      <w:bookmarkEnd w:id="184"/>
      <w:bookmarkEnd w:id="185"/>
      <w:bookmarkStart w:id="186" w:name="_Toc122447391"/>
      <w:r>
        <w:rPr>
          <w:rFonts w:hint="eastAsia" w:ascii="仿宋_GB2312" w:eastAsia="仿宋_GB2312"/>
          <w:sz w:val="28"/>
          <w:szCs w:val="28"/>
        </w:rPr>
        <w:t>关系、模式通知</w:t>
      </w:r>
      <w:bookmarkEnd w:id="186"/>
      <w:bookmarkStart w:id="187" w:name="_Toc122447392"/>
      <w:r>
        <w:rPr>
          <w:rFonts w:hint="eastAsia" w:ascii="仿宋_GB2312" w:eastAsia="仿宋_GB2312"/>
          <w:sz w:val="28"/>
          <w:szCs w:val="28"/>
        </w:rPr>
        <w:t>、模式履历查询</w:t>
      </w:r>
      <w:bookmarkEnd w:id="187"/>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88" w:name="_Toc122447393"/>
      <w:bookmarkStart w:id="189" w:name="_Toc21397"/>
      <w:bookmarkStart w:id="190" w:name="_Toc28991"/>
      <w:bookmarkStart w:id="191" w:name="_Toc68015219"/>
      <w:bookmarkStart w:id="192" w:name="_Toc16880"/>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、乘车凭证管理</w:t>
      </w:r>
      <w:bookmarkEnd w:id="188"/>
      <w:bookmarkEnd w:id="189"/>
      <w:bookmarkEnd w:id="190"/>
      <w:bookmarkEnd w:id="191"/>
      <w:bookmarkEnd w:id="192"/>
      <w:r>
        <w:rPr>
          <w:rFonts w:hint="eastAsia" w:ascii="仿宋_GB2312" w:eastAsia="仿宋_GB2312"/>
          <w:sz w:val="28"/>
          <w:szCs w:val="28"/>
        </w:rPr>
        <w:t>：规定了</w:t>
      </w:r>
      <w:bookmarkStart w:id="193" w:name="_Toc354911474"/>
      <w:bookmarkStart w:id="194" w:name="_Toc68015223"/>
      <w:bookmarkStart w:id="195" w:name="_Toc9148"/>
      <w:bookmarkStart w:id="196" w:name="_Toc260834782"/>
      <w:bookmarkStart w:id="197" w:name="_Toc122447394"/>
      <w:bookmarkStart w:id="198" w:name="_Toc32390"/>
      <w:bookmarkStart w:id="199" w:name="_Toc289600573"/>
      <w:bookmarkStart w:id="200" w:name="_Toc10519"/>
      <w:r>
        <w:rPr>
          <w:rFonts w:hint="eastAsia" w:ascii="仿宋_GB2312" w:eastAsia="仿宋_GB2312"/>
          <w:sz w:val="28"/>
          <w:szCs w:val="28"/>
        </w:rPr>
        <w:t>车票初始化</w:t>
      </w:r>
      <w:bookmarkEnd w:id="193"/>
      <w:bookmarkEnd w:id="194"/>
      <w:bookmarkEnd w:id="195"/>
      <w:bookmarkEnd w:id="196"/>
      <w:bookmarkEnd w:id="197"/>
      <w:bookmarkEnd w:id="198"/>
      <w:bookmarkEnd w:id="199"/>
      <w:bookmarkEnd w:id="200"/>
      <w:bookmarkStart w:id="201" w:name="_Toc289600574"/>
      <w:bookmarkStart w:id="202" w:name="_Toc68015224"/>
      <w:bookmarkStart w:id="203" w:name="_Toc122447395"/>
      <w:bookmarkStart w:id="204" w:name="_Toc354911475"/>
      <w:bookmarkStart w:id="205" w:name="_Toc6288"/>
      <w:bookmarkStart w:id="206" w:name="_Toc23298"/>
      <w:bookmarkStart w:id="207" w:name="_Toc16652"/>
      <w:bookmarkStart w:id="208" w:name="_Toc260834783"/>
      <w:r>
        <w:rPr>
          <w:rFonts w:hint="eastAsia" w:ascii="仿宋_GB2312" w:eastAsia="仿宋_GB2312"/>
          <w:sz w:val="28"/>
          <w:szCs w:val="28"/>
        </w:rPr>
        <w:t>、车票预赋值</w:t>
      </w:r>
      <w:bookmarkEnd w:id="201"/>
      <w:bookmarkEnd w:id="202"/>
      <w:bookmarkEnd w:id="203"/>
      <w:bookmarkEnd w:id="204"/>
      <w:bookmarkEnd w:id="205"/>
      <w:bookmarkEnd w:id="206"/>
      <w:bookmarkEnd w:id="207"/>
      <w:bookmarkEnd w:id="208"/>
      <w:bookmarkStart w:id="209" w:name="_Toc289600575"/>
      <w:bookmarkStart w:id="210" w:name="_Toc354911476"/>
      <w:bookmarkStart w:id="211" w:name="_Toc122447396"/>
      <w:bookmarkStart w:id="212" w:name="_Toc260834784"/>
      <w:bookmarkStart w:id="213" w:name="_Toc2265"/>
      <w:bookmarkStart w:id="214" w:name="_Toc68015225"/>
      <w:bookmarkStart w:id="215" w:name="_Toc1576"/>
      <w:bookmarkStart w:id="216" w:name="_Toc15623"/>
      <w:r>
        <w:rPr>
          <w:rFonts w:hint="eastAsia" w:ascii="仿宋_GB2312" w:eastAsia="仿宋_GB2312"/>
          <w:sz w:val="28"/>
          <w:szCs w:val="28"/>
        </w:rPr>
        <w:t>、车票</w:t>
      </w:r>
      <w:bookmarkEnd w:id="209"/>
      <w:bookmarkEnd w:id="210"/>
      <w:bookmarkEnd w:id="211"/>
      <w:bookmarkEnd w:id="212"/>
      <w:bookmarkEnd w:id="213"/>
      <w:bookmarkEnd w:id="214"/>
      <w:bookmarkEnd w:id="215"/>
      <w:bookmarkEnd w:id="216"/>
      <w:bookmarkStart w:id="217" w:name="_Toc68015226"/>
      <w:bookmarkStart w:id="218" w:name="_Toc122447397"/>
      <w:bookmarkStart w:id="219" w:name="_Toc26625"/>
      <w:bookmarkStart w:id="220" w:name="_Toc31352"/>
      <w:bookmarkStart w:id="221" w:name="_Toc289600576"/>
      <w:bookmarkStart w:id="222" w:name="_Toc25853"/>
      <w:bookmarkStart w:id="223" w:name="_Toc260834785"/>
      <w:r>
        <w:rPr>
          <w:rFonts w:hint="eastAsia" w:ascii="仿宋_GB2312" w:eastAsia="仿宋_GB2312"/>
          <w:sz w:val="28"/>
          <w:szCs w:val="28"/>
        </w:rPr>
        <w:t>注销、车票重编码</w:t>
      </w:r>
      <w:bookmarkEnd w:id="217"/>
      <w:bookmarkEnd w:id="218"/>
      <w:bookmarkEnd w:id="219"/>
      <w:bookmarkEnd w:id="220"/>
      <w:bookmarkEnd w:id="221"/>
      <w:bookmarkEnd w:id="222"/>
      <w:bookmarkEnd w:id="223"/>
      <w:bookmarkStart w:id="224" w:name="_Toc260834786"/>
      <w:bookmarkStart w:id="225" w:name="_Toc68015227"/>
      <w:bookmarkStart w:id="226" w:name="_Toc127275709"/>
      <w:bookmarkStart w:id="227" w:name="_Toc238442093"/>
      <w:bookmarkStart w:id="228" w:name="_Toc238280794"/>
      <w:bookmarkStart w:id="229" w:name="_Toc13871"/>
      <w:bookmarkStart w:id="230" w:name="_Toc239320079"/>
      <w:bookmarkStart w:id="231" w:name="_Toc4732"/>
      <w:bookmarkStart w:id="232" w:name="_Toc289600577"/>
      <w:bookmarkStart w:id="233" w:name="_Toc4816241"/>
      <w:bookmarkStart w:id="234" w:name="_Toc122447398"/>
      <w:bookmarkStart w:id="235" w:name="_Toc21902"/>
      <w:bookmarkStart w:id="236" w:name="_Toc238117549"/>
      <w:bookmarkStart w:id="237" w:name="_Toc156989147"/>
      <w:r>
        <w:rPr>
          <w:rFonts w:hint="eastAsia" w:ascii="仿宋_GB2312" w:eastAsia="仿宋_GB2312"/>
          <w:sz w:val="28"/>
          <w:szCs w:val="28"/>
        </w:rPr>
        <w:t>、车票有效性检查</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Start w:id="238" w:name="_Toc260834787"/>
      <w:bookmarkStart w:id="239" w:name="_Toc22433"/>
      <w:bookmarkStart w:id="240" w:name="_Toc289600578"/>
      <w:bookmarkStart w:id="241" w:name="_Toc10638"/>
      <w:bookmarkStart w:id="242" w:name="_Toc21359"/>
      <w:bookmarkStart w:id="243" w:name="_Toc122447399"/>
      <w:bookmarkStart w:id="244" w:name="_Toc68015228"/>
      <w:r>
        <w:rPr>
          <w:rFonts w:hint="eastAsia" w:ascii="仿宋_GB2312" w:eastAsia="仿宋_GB2312"/>
          <w:sz w:val="28"/>
          <w:szCs w:val="28"/>
        </w:rPr>
        <w:t>、车票分拣</w:t>
      </w:r>
      <w:bookmarkEnd w:id="238"/>
      <w:bookmarkEnd w:id="239"/>
      <w:bookmarkEnd w:id="240"/>
      <w:bookmarkEnd w:id="241"/>
      <w:bookmarkEnd w:id="242"/>
      <w:bookmarkEnd w:id="243"/>
      <w:bookmarkEnd w:id="244"/>
      <w:bookmarkStart w:id="245" w:name="_Toc68015229"/>
      <w:bookmarkStart w:id="246" w:name="_Toc289600579"/>
      <w:bookmarkStart w:id="247" w:name="_Toc5786"/>
      <w:bookmarkStart w:id="248" w:name="_Toc8843"/>
      <w:bookmarkStart w:id="249" w:name="_Toc18129"/>
      <w:bookmarkStart w:id="250" w:name="_Toc122447400"/>
      <w:bookmarkStart w:id="251" w:name="_Toc260834788"/>
      <w:r>
        <w:rPr>
          <w:rFonts w:hint="eastAsia" w:ascii="仿宋_GB2312" w:eastAsia="仿宋_GB2312"/>
          <w:sz w:val="28"/>
          <w:szCs w:val="28"/>
        </w:rPr>
        <w:t>、车票调配及库存</w:t>
      </w:r>
      <w:bookmarkEnd w:id="245"/>
      <w:bookmarkEnd w:id="246"/>
      <w:bookmarkEnd w:id="247"/>
      <w:bookmarkEnd w:id="248"/>
      <w:bookmarkEnd w:id="249"/>
      <w:bookmarkEnd w:id="250"/>
      <w:bookmarkEnd w:id="251"/>
      <w:bookmarkStart w:id="252" w:name="_Toc31360"/>
      <w:bookmarkStart w:id="253" w:name="_Toc5709"/>
      <w:bookmarkStart w:id="254" w:name="_Toc17888"/>
      <w:bookmarkStart w:id="255" w:name="_Toc289600582"/>
      <w:bookmarkStart w:id="256" w:name="_Toc260834791"/>
      <w:bookmarkStart w:id="257" w:name="_Toc122447401"/>
      <w:bookmarkStart w:id="258" w:name="_Toc68015230"/>
      <w:r>
        <w:rPr>
          <w:rFonts w:hint="eastAsia" w:ascii="仿宋_GB2312" w:eastAsia="仿宋_GB2312"/>
          <w:sz w:val="28"/>
          <w:szCs w:val="28"/>
        </w:rPr>
        <w:t>、车票个性化处理</w:t>
      </w:r>
      <w:bookmarkEnd w:id="252"/>
      <w:bookmarkEnd w:id="253"/>
      <w:bookmarkEnd w:id="254"/>
      <w:bookmarkEnd w:id="255"/>
      <w:bookmarkEnd w:id="256"/>
      <w:bookmarkEnd w:id="257"/>
      <w:bookmarkEnd w:id="258"/>
      <w:bookmarkStart w:id="259" w:name="_Toc122447402"/>
      <w:bookmarkStart w:id="260" w:name="_Toc6368"/>
      <w:bookmarkStart w:id="261" w:name="_Toc289600583"/>
      <w:bookmarkStart w:id="262" w:name="_Toc27965"/>
      <w:bookmarkStart w:id="263" w:name="_Toc68015231"/>
      <w:bookmarkStart w:id="264" w:name="_Toc260834792"/>
      <w:bookmarkStart w:id="265" w:name="_Toc13621"/>
      <w:r>
        <w:rPr>
          <w:rFonts w:hint="eastAsia" w:ascii="仿宋_GB2312" w:eastAsia="仿宋_GB2312"/>
          <w:sz w:val="28"/>
          <w:szCs w:val="28"/>
        </w:rPr>
        <w:t>、车票挂失</w:t>
      </w:r>
      <w:bookmarkEnd w:id="259"/>
      <w:bookmarkEnd w:id="260"/>
      <w:bookmarkEnd w:id="261"/>
      <w:bookmarkEnd w:id="262"/>
      <w:bookmarkEnd w:id="263"/>
      <w:bookmarkEnd w:id="264"/>
      <w:bookmarkEnd w:id="265"/>
      <w:bookmarkStart w:id="266" w:name="_Toc260834793"/>
      <w:bookmarkStart w:id="267" w:name="_Toc289600584"/>
      <w:bookmarkStart w:id="268" w:name="_Toc14151"/>
      <w:bookmarkStart w:id="269" w:name="_Toc68015232"/>
      <w:bookmarkStart w:id="270" w:name="_Toc20045"/>
      <w:bookmarkStart w:id="271" w:name="_Toc13375"/>
      <w:bookmarkStart w:id="272" w:name="_Toc122447403"/>
      <w:r>
        <w:rPr>
          <w:rFonts w:hint="eastAsia" w:ascii="仿宋_GB2312" w:eastAsia="仿宋_GB2312"/>
          <w:sz w:val="28"/>
          <w:szCs w:val="28"/>
        </w:rPr>
        <w:t>、车票退票</w:t>
      </w:r>
      <w:bookmarkEnd w:id="266"/>
      <w:bookmarkEnd w:id="267"/>
      <w:bookmarkEnd w:id="268"/>
      <w:bookmarkEnd w:id="269"/>
      <w:bookmarkEnd w:id="270"/>
      <w:bookmarkEnd w:id="271"/>
      <w:bookmarkEnd w:id="272"/>
      <w:bookmarkStart w:id="273" w:name="_Toc22089"/>
      <w:bookmarkStart w:id="274" w:name="_Toc68015233"/>
      <w:bookmarkStart w:id="275" w:name="_Toc27828"/>
      <w:bookmarkStart w:id="276" w:name="_Toc122447404"/>
      <w:bookmarkStart w:id="277" w:name="_Toc410"/>
      <w:r>
        <w:rPr>
          <w:rFonts w:hint="eastAsia" w:ascii="仿宋_GB2312" w:eastAsia="仿宋_GB2312"/>
          <w:sz w:val="28"/>
          <w:szCs w:val="28"/>
        </w:rPr>
        <w:t>、车票退款</w:t>
      </w:r>
      <w:bookmarkEnd w:id="273"/>
      <w:bookmarkEnd w:id="274"/>
      <w:bookmarkEnd w:id="275"/>
      <w:bookmarkEnd w:id="276"/>
      <w:bookmarkEnd w:id="277"/>
      <w:bookmarkStart w:id="278" w:name="_Toc327310346"/>
      <w:bookmarkEnd w:id="278"/>
      <w:bookmarkStart w:id="279" w:name="_Toc4202"/>
      <w:bookmarkStart w:id="280" w:name="_Toc260834794"/>
      <w:bookmarkStart w:id="281" w:name="_Toc122447405"/>
      <w:bookmarkStart w:id="282" w:name="_Toc289600585"/>
      <w:bookmarkStart w:id="283" w:name="_Toc15208"/>
      <w:bookmarkStart w:id="284" w:name="_Toc68015234"/>
      <w:bookmarkStart w:id="285" w:name="_Toc25329"/>
      <w:r>
        <w:rPr>
          <w:rFonts w:hint="eastAsia" w:ascii="仿宋_GB2312" w:eastAsia="仿宋_GB2312"/>
          <w:sz w:val="28"/>
          <w:szCs w:val="28"/>
        </w:rPr>
        <w:t>、车票跟踪</w:t>
      </w:r>
      <w:bookmarkEnd w:id="279"/>
      <w:bookmarkEnd w:id="280"/>
      <w:bookmarkEnd w:id="281"/>
      <w:bookmarkEnd w:id="282"/>
      <w:bookmarkEnd w:id="283"/>
      <w:bookmarkEnd w:id="284"/>
      <w:bookmarkEnd w:id="285"/>
      <w:bookmarkStart w:id="286" w:name="_Toc260834795"/>
      <w:bookmarkStart w:id="287" w:name="_Toc29508"/>
      <w:bookmarkStart w:id="288" w:name="_Toc8284"/>
      <w:bookmarkStart w:id="289" w:name="_Toc9537"/>
      <w:bookmarkStart w:id="290" w:name="_Toc122447406"/>
      <w:bookmarkStart w:id="291" w:name="_Toc289600586"/>
      <w:bookmarkStart w:id="292" w:name="_Toc68015235"/>
      <w:r>
        <w:rPr>
          <w:rFonts w:hint="eastAsia" w:ascii="仿宋_GB2312" w:eastAsia="仿宋_GB2312"/>
          <w:sz w:val="28"/>
          <w:szCs w:val="28"/>
        </w:rPr>
        <w:t>、车票黑名单</w:t>
      </w:r>
      <w:bookmarkEnd w:id="286"/>
      <w:bookmarkEnd w:id="287"/>
      <w:bookmarkEnd w:id="288"/>
      <w:bookmarkEnd w:id="289"/>
      <w:bookmarkEnd w:id="290"/>
      <w:bookmarkEnd w:id="291"/>
      <w:bookmarkEnd w:id="292"/>
      <w:bookmarkStart w:id="293" w:name="_Toc122447407"/>
      <w:r>
        <w:rPr>
          <w:rFonts w:hint="eastAsia" w:ascii="仿宋_GB2312" w:eastAsia="仿宋_GB2312"/>
          <w:sz w:val="28"/>
          <w:szCs w:val="28"/>
        </w:rPr>
        <w:t>、二维码电子票管理</w:t>
      </w:r>
      <w:bookmarkEnd w:id="293"/>
      <w:bookmarkStart w:id="294" w:name="_Toc18141"/>
      <w:bookmarkStart w:id="295" w:name="_Toc6069"/>
      <w:bookmarkStart w:id="296" w:name="_Toc21601"/>
      <w:bookmarkStart w:id="297" w:name="_Toc122447408"/>
      <w:bookmarkStart w:id="298" w:name="_Toc68015242"/>
      <w:r>
        <w:rPr>
          <w:rFonts w:hint="eastAsia" w:ascii="仿宋_GB2312" w:eastAsia="仿宋_GB2312"/>
          <w:sz w:val="28"/>
          <w:szCs w:val="28"/>
        </w:rPr>
        <w:t>、人脸识别电子票管理</w:t>
      </w:r>
      <w:bookmarkEnd w:id="294"/>
      <w:bookmarkEnd w:id="295"/>
      <w:bookmarkEnd w:id="296"/>
      <w:bookmarkEnd w:id="297"/>
      <w:bookmarkEnd w:id="298"/>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299" w:name="_Toc27620"/>
      <w:bookmarkStart w:id="300" w:name="_Toc7936"/>
      <w:bookmarkStart w:id="301" w:name="_Toc68015243"/>
      <w:bookmarkStart w:id="302" w:name="_Toc122447409"/>
      <w:bookmarkStart w:id="303" w:name="_Toc29556"/>
      <w:r>
        <w:rPr>
          <w:rFonts w:ascii="仿宋_GB2312" w:eastAsia="仿宋_GB2312"/>
          <w:sz w:val="28"/>
          <w:szCs w:val="28"/>
        </w:rPr>
        <w:t>13</w:t>
      </w:r>
      <w:r>
        <w:rPr>
          <w:rFonts w:hint="eastAsia" w:ascii="仿宋_GB2312" w:eastAsia="仿宋_GB2312"/>
          <w:sz w:val="28"/>
          <w:szCs w:val="28"/>
        </w:rPr>
        <w:t>、票务收入管理</w:t>
      </w:r>
      <w:bookmarkEnd w:id="299"/>
      <w:bookmarkEnd w:id="300"/>
      <w:bookmarkEnd w:id="301"/>
      <w:bookmarkEnd w:id="302"/>
      <w:bookmarkEnd w:id="303"/>
      <w:r>
        <w:rPr>
          <w:rFonts w:hint="eastAsia" w:ascii="仿宋_GB2312" w:eastAsia="仿宋_GB2312"/>
          <w:sz w:val="28"/>
          <w:szCs w:val="28"/>
        </w:rPr>
        <w:t>：规定了票务收入的组成、票务收入的核对结算、票务收入的清分流程等内容。</w:t>
      </w:r>
    </w:p>
    <w:p>
      <w:pPr>
        <w:pStyle w:val="26"/>
      </w:pPr>
      <w:bookmarkStart w:id="304" w:name="_Toc139293901"/>
      <w:r>
        <w:rPr>
          <w:rFonts w:hint="eastAsia"/>
        </w:rPr>
        <w:t>实证研究</w:t>
      </w:r>
      <w:bookmarkEnd w:id="304"/>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6"/>
      </w:pPr>
      <w:bookmarkStart w:id="305" w:name="_Toc139293902"/>
      <w:bookmarkStart w:id="306" w:name="_Toc347430526"/>
      <w:r>
        <w:rPr>
          <w:rFonts w:hint="eastAsia"/>
        </w:rPr>
        <w:t>知识产权说明</w:t>
      </w:r>
      <w:bookmarkEnd w:id="305"/>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6"/>
      </w:pPr>
      <w:bookmarkStart w:id="307" w:name="_Toc139293903"/>
      <w:r>
        <w:rPr>
          <w:rFonts w:hint="eastAsia"/>
        </w:rPr>
        <w:t>采标情况</w:t>
      </w:r>
      <w:bookmarkEnd w:id="307"/>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在《城市轨道交通自动售检票系统第2部分业务规范》标准的编制中，重点参考了GB/T20907-2007《城市轨道交通自动售检票系统运营技术规范》 第5部分：车票，第6部分车站终端设备、第7部分车站计算机系统、第8部分线路中央计算机系统、第9部分清分系统中，涉及设备功能内容，对城市轨道交通自动售检票系统技术标准的对应内容等进行规定。</w:t>
      </w:r>
    </w:p>
    <w:p>
      <w:pPr>
        <w:pStyle w:val="26"/>
      </w:pPr>
      <w:bookmarkStart w:id="308" w:name="_Toc139293904"/>
      <w:bookmarkStart w:id="309" w:name="_Toc460829091"/>
      <w:r>
        <w:t>重大分歧意见的处理经过和依据</w:t>
      </w:r>
      <w:bookmarkEnd w:id="308"/>
      <w:bookmarkEnd w:id="309"/>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6"/>
      </w:pPr>
      <w:bookmarkStart w:id="310" w:name="_Toc139293905"/>
      <w:bookmarkStart w:id="311" w:name="_Toc460829095"/>
      <w:r>
        <w:t>其它应予说明的事项</w:t>
      </w:r>
      <w:bookmarkEnd w:id="310"/>
      <w:bookmarkEnd w:id="311"/>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306"/>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lowerLetter"/>
      <w:pStyle w:val="3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470F98"/>
    <w:multiLevelType w:val="multilevel"/>
    <w:tmpl w:val="2E470F98"/>
    <w:lvl w:ilvl="0" w:tentative="0">
      <w:start w:val="1"/>
      <w:numFmt w:val="decimal"/>
      <w:pStyle w:val="26"/>
      <w:lvlText w:val="%1."/>
      <w:lvlJc w:val="left"/>
      <w:pPr>
        <w:ind w:left="431" w:hanging="431"/>
      </w:pPr>
      <w:rPr>
        <w:rFonts w:hint="eastAsia"/>
      </w:rPr>
    </w:lvl>
    <w:lvl w:ilvl="1" w:tentative="0">
      <w:start w:val="1"/>
      <w:numFmt w:val="decimal"/>
      <w:pStyle w:val="25"/>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7"/>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2">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D1080"/>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46FEF"/>
    <w:rsid w:val="00455AC1"/>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265FB"/>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8388D"/>
    <w:rsid w:val="00994F7A"/>
    <w:rsid w:val="009A162E"/>
    <w:rsid w:val="009A7D42"/>
    <w:rsid w:val="009B186D"/>
    <w:rsid w:val="009B73CE"/>
    <w:rsid w:val="009B75BC"/>
    <w:rsid w:val="009B7794"/>
    <w:rsid w:val="009D2E5A"/>
    <w:rsid w:val="009D3D6D"/>
    <w:rsid w:val="009D6B88"/>
    <w:rsid w:val="009E41A8"/>
    <w:rsid w:val="009F15AD"/>
    <w:rsid w:val="009F3BE6"/>
    <w:rsid w:val="00A16F59"/>
    <w:rsid w:val="00A21970"/>
    <w:rsid w:val="00A24A4E"/>
    <w:rsid w:val="00A33230"/>
    <w:rsid w:val="00A53A9A"/>
    <w:rsid w:val="00A74731"/>
    <w:rsid w:val="00A866C8"/>
    <w:rsid w:val="00A87E13"/>
    <w:rsid w:val="00A90253"/>
    <w:rsid w:val="00A93C4E"/>
    <w:rsid w:val="00A97B80"/>
    <w:rsid w:val="00AA0693"/>
    <w:rsid w:val="00AA11A0"/>
    <w:rsid w:val="00AC5E35"/>
    <w:rsid w:val="00AC6E30"/>
    <w:rsid w:val="00AD4EE7"/>
    <w:rsid w:val="00AE015F"/>
    <w:rsid w:val="00AE42D0"/>
    <w:rsid w:val="00B01310"/>
    <w:rsid w:val="00B027BF"/>
    <w:rsid w:val="00B032F7"/>
    <w:rsid w:val="00B0600A"/>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6460D"/>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D0E56"/>
    <w:rsid w:val="00FD52C0"/>
    <w:rsid w:val="00FD7CB4"/>
    <w:rsid w:val="00FF330E"/>
    <w:rsid w:val="04D92BB6"/>
    <w:rsid w:val="06E601D7"/>
    <w:rsid w:val="08314CF2"/>
    <w:rsid w:val="0B1E3309"/>
    <w:rsid w:val="0B63226E"/>
    <w:rsid w:val="0F3C1792"/>
    <w:rsid w:val="13F22D4B"/>
    <w:rsid w:val="155B6F0B"/>
    <w:rsid w:val="17410382"/>
    <w:rsid w:val="17C552F5"/>
    <w:rsid w:val="1B5D42DD"/>
    <w:rsid w:val="1BB7148B"/>
    <w:rsid w:val="1CF52FA8"/>
    <w:rsid w:val="1F4F4DEA"/>
    <w:rsid w:val="22721D38"/>
    <w:rsid w:val="227445BD"/>
    <w:rsid w:val="2DD4535F"/>
    <w:rsid w:val="2F236894"/>
    <w:rsid w:val="2F68074A"/>
    <w:rsid w:val="2FB64B76"/>
    <w:rsid w:val="35F5085E"/>
    <w:rsid w:val="38C56C0D"/>
    <w:rsid w:val="397A3554"/>
    <w:rsid w:val="3ACD3B57"/>
    <w:rsid w:val="3B6F0C4C"/>
    <w:rsid w:val="3EDC6D82"/>
    <w:rsid w:val="40B646D5"/>
    <w:rsid w:val="424C7A58"/>
    <w:rsid w:val="433D100F"/>
    <w:rsid w:val="450A08F4"/>
    <w:rsid w:val="47013507"/>
    <w:rsid w:val="4C4579F1"/>
    <w:rsid w:val="53D02297"/>
    <w:rsid w:val="54C94F38"/>
    <w:rsid w:val="597E2795"/>
    <w:rsid w:val="5A5D57C3"/>
    <w:rsid w:val="5B836865"/>
    <w:rsid w:val="5C8E0F41"/>
    <w:rsid w:val="5D54174E"/>
    <w:rsid w:val="64526CF8"/>
    <w:rsid w:val="676D1913"/>
    <w:rsid w:val="6AC83870"/>
    <w:rsid w:val="6C663340"/>
    <w:rsid w:val="6DD8201C"/>
    <w:rsid w:val="72BD5C84"/>
    <w:rsid w:val="73107D9B"/>
    <w:rsid w:val="733E6DC5"/>
    <w:rsid w:val="74DD43BC"/>
    <w:rsid w:val="75C4732A"/>
    <w:rsid w:val="7B0D52CF"/>
    <w:rsid w:val="7BA61F89"/>
    <w:rsid w:val="7E886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5"/>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6"/>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7"/>
    <w:qFormat/>
    <w:uiPriority w:val="99"/>
    <w:pPr>
      <w:keepNext/>
      <w:keepLines/>
      <w:spacing w:before="40" w:after="40" w:line="377"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4"/>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1"/>
    <w:qFormat/>
    <w:uiPriority w:val="0"/>
    <w:pPr>
      <w:spacing w:before="120"/>
      <w:ind w:firstLine="200" w:firstLineChars="200"/>
    </w:pPr>
  </w:style>
  <w:style w:type="character" w:customStyle="1" w:styleId="14">
    <w:name w:val="标题 1 字符"/>
    <w:link w:val="4"/>
    <w:qFormat/>
    <w:locked/>
    <w:uiPriority w:val="99"/>
    <w:rPr>
      <w:rFonts w:ascii="Arial" w:hAnsi="Arial" w:eastAsia="黑体"/>
      <w:b/>
      <w:sz w:val="32"/>
      <w:szCs w:val="32"/>
    </w:rPr>
  </w:style>
  <w:style w:type="character" w:customStyle="1" w:styleId="15">
    <w:name w:val="标题 2 字符"/>
    <w:link w:val="5"/>
    <w:qFormat/>
    <w:locked/>
    <w:uiPriority w:val="99"/>
    <w:rPr>
      <w:rFonts w:ascii="Arial" w:hAnsi="Arial" w:eastAsia="黑体"/>
      <w:sz w:val="24"/>
      <w:szCs w:val="24"/>
    </w:rPr>
  </w:style>
  <w:style w:type="character" w:customStyle="1" w:styleId="16">
    <w:name w:val="标题 3 字符"/>
    <w:link w:val="6"/>
    <w:qFormat/>
    <w:locked/>
    <w:uiPriority w:val="99"/>
    <w:rPr>
      <w:rFonts w:ascii="Times New Roman" w:hAnsi="Times New Roman" w:eastAsia="黑体"/>
      <w:bCs/>
      <w:kern w:val="2"/>
      <w:sz w:val="24"/>
      <w:szCs w:val="32"/>
    </w:rPr>
  </w:style>
  <w:style w:type="character" w:customStyle="1" w:styleId="17">
    <w:name w:val="标题 4 字符"/>
    <w:link w:val="7"/>
    <w:qFormat/>
    <w:locked/>
    <w:uiPriority w:val="99"/>
    <w:rPr>
      <w:rFonts w:ascii="Cambria" w:hAnsi="Cambria" w:eastAsia="宋体" w:cs="Times New Roman"/>
      <w:b/>
      <w:bCs/>
      <w:sz w:val="28"/>
      <w:szCs w:val="28"/>
    </w:rPr>
  </w:style>
  <w:style w:type="paragraph" w:customStyle="1" w:styleId="18">
    <w:name w:val="样式3"/>
    <w:basedOn w:val="6"/>
    <w:qFormat/>
    <w:uiPriority w:val="99"/>
    <w:rPr>
      <w:rFonts w:eastAsia="宋体"/>
      <w:b/>
      <w:sz w:val="28"/>
    </w:rPr>
  </w:style>
  <w:style w:type="paragraph" w:styleId="19">
    <w:name w:val="List Paragraph"/>
    <w:basedOn w:val="1"/>
    <w:qFormat/>
    <w:uiPriority w:val="34"/>
    <w:pPr>
      <w:ind w:firstLine="420" w:firstLineChars="200"/>
    </w:pPr>
    <w:rPr>
      <w:rFonts w:ascii="Times New Roman" w:hAnsi="Times New Roman"/>
      <w:szCs w:val="20"/>
    </w:rPr>
  </w:style>
  <w:style w:type="paragraph" w:customStyle="1" w:styleId="2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1">
    <w:name w:val="QB表内文字"/>
    <w:basedOn w:val="1"/>
    <w:qFormat/>
    <w:uiPriority w:val="99"/>
    <w:pPr>
      <w:autoSpaceDE w:val="0"/>
      <w:autoSpaceDN w:val="0"/>
    </w:pPr>
    <w:rPr>
      <w:rFonts w:ascii="宋体" w:hAnsi="Times New Roman"/>
      <w:kern w:val="0"/>
      <w:szCs w:val="20"/>
    </w:rPr>
  </w:style>
  <w:style w:type="character" w:customStyle="1" w:styleId="22">
    <w:name w:val="页眉 字符"/>
    <w:link w:val="10"/>
    <w:qFormat/>
    <w:locked/>
    <w:uiPriority w:val="99"/>
    <w:rPr>
      <w:rFonts w:cs="Times New Roman"/>
      <w:sz w:val="18"/>
      <w:szCs w:val="18"/>
    </w:rPr>
  </w:style>
  <w:style w:type="character" w:customStyle="1" w:styleId="23">
    <w:name w:val="页脚 字符"/>
    <w:link w:val="9"/>
    <w:qFormat/>
    <w:locked/>
    <w:uiPriority w:val="99"/>
    <w:rPr>
      <w:rFonts w:cs="Times New Roman"/>
      <w:sz w:val="18"/>
      <w:szCs w:val="18"/>
    </w:rPr>
  </w:style>
  <w:style w:type="character" w:customStyle="1" w:styleId="24">
    <w:name w:val="批注框文本 字符"/>
    <w:link w:val="8"/>
    <w:semiHidden/>
    <w:qFormat/>
    <w:locked/>
    <w:uiPriority w:val="99"/>
    <w:rPr>
      <w:rFonts w:cs="Times New Roman"/>
      <w:sz w:val="18"/>
      <w:szCs w:val="18"/>
    </w:rPr>
  </w:style>
  <w:style w:type="paragraph" w:customStyle="1" w:styleId="25">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6">
    <w:name w:val="z标题1"/>
    <w:basedOn w:val="4"/>
    <w:next w:val="25"/>
    <w:qFormat/>
    <w:uiPriority w:val="0"/>
    <w:pPr>
      <w:numPr>
        <w:numId w:val="2"/>
      </w:numPr>
      <w:spacing w:line="360" w:lineRule="auto"/>
    </w:pPr>
    <w:rPr>
      <w:rFonts w:ascii="宋体" w:hAnsi="宋体" w:eastAsia="宋体"/>
    </w:rPr>
  </w:style>
  <w:style w:type="paragraph" w:customStyle="1" w:styleId="27">
    <w:name w:val="z标题3"/>
    <w:basedOn w:val="6"/>
    <w:qFormat/>
    <w:uiPriority w:val="0"/>
    <w:pPr>
      <w:numPr>
        <w:numId w:val="2"/>
      </w:numPr>
      <w:tabs>
        <w:tab w:val="clear" w:pos="432"/>
      </w:tabs>
      <w:spacing w:before="120" w:after="120" w:line="240" w:lineRule="auto"/>
    </w:pPr>
    <w:rPr>
      <w:rFonts w:eastAsia="宋体"/>
      <w:sz w:val="28"/>
      <w:szCs w:val="28"/>
    </w:rPr>
  </w:style>
  <w:style w:type="paragraph" w:customStyle="1" w:styleId="28">
    <w:name w:val="列出段落2"/>
    <w:basedOn w:val="1"/>
    <w:qFormat/>
    <w:uiPriority w:val="34"/>
    <w:pPr>
      <w:ind w:firstLine="420" w:firstLineChars="200"/>
    </w:pPr>
  </w:style>
  <w:style w:type="paragraph" w:customStyle="1" w:styleId="29">
    <w:name w:val="LY正文-首行缩进"/>
    <w:qFormat/>
    <w:uiPriority w:val="0"/>
    <w:pPr>
      <w:ind w:firstLine="200" w:firstLineChars="200"/>
    </w:pPr>
    <w:rPr>
      <w:rFonts w:ascii="Times New Roman" w:hAnsi="Times New Roman" w:eastAsia="宋体" w:cs="Times New Roman"/>
      <w:kern w:val="2"/>
      <w:sz w:val="21"/>
      <w:szCs w:val="24"/>
      <w:lang w:val="en-US" w:eastAsia="zh-CN" w:bidi="ar-SA"/>
    </w:rPr>
  </w:style>
  <w:style w:type="paragraph" w:customStyle="1" w:styleId="30">
    <w:name w:val="字母标题"/>
    <w:basedOn w:val="31"/>
    <w:qFormat/>
    <w:uiPriority w:val="0"/>
    <w:pPr>
      <w:numPr>
        <w:numId w:val="0"/>
      </w:numPr>
    </w:pPr>
    <w:rPr>
      <w:color w:val="000000"/>
    </w:rPr>
  </w:style>
  <w:style w:type="paragraph" w:customStyle="1" w:styleId="31">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2">
    <w:name w:val="列出段落3"/>
    <w:basedOn w:val="1"/>
    <w:qFormat/>
    <w:uiPriority w:val="34"/>
    <w:pPr>
      <w:ind w:firstLine="420" w:firstLineChars="200"/>
    </w:pPr>
  </w:style>
  <w:style w:type="paragraph" w:customStyle="1" w:styleId="33">
    <w:name w:val="列出段落5"/>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3207</Words>
  <Characters>3314</Characters>
  <Lines>24</Lines>
  <Paragraphs>6</Paragraphs>
  <TotalTime>4</TotalTime>
  <ScaleCrop>false</ScaleCrop>
  <LinksUpToDate>false</LinksUpToDate>
  <CharactersWithSpaces>3320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2018-06-16T16:11:00Z</dcterms:created>
  <dc:creator>李莉</dc:creator>
  <cp:lastModifiedBy>あい toma</cp:lastModifiedBy>
  <cp:lastPrinted>2023-07-17T11:02:00Z</cp:lastPrinted>
  <dcterms:modified xsi:type="dcterms:W3CDTF">2023-07-24T02:01:30Z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