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陕西省地方标准</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《城市轨道交通自动售检票系统</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第7部分 密钥技术规范》</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（征求意见稿)</w:t>
      </w:r>
    </w:p>
    <w:p>
      <w:pPr>
        <w:widowControl/>
        <w:spacing w:before="240" w:line="480" w:lineRule="auto"/>
        <w:jc w:val="center"/>
        <w:rPr>
          <w:rFonts w:ascii="黑体" w:hAnsi="Times New Roman" w:eastAsia="黑体" w:cs="黑体"/>
          <w:kern w:val="0"/>
          <w:sz w:val="44"/>
          <w:szCs w:val="44"/>
        </w:rPr>
      </w:pPr>
    </w:p>
    <w:p>
      <w:pPr>
        <w:widowControl/>
        <w:jc w:val="left"/>
      </w:pPr>
    </w:p>
    <w:p>
      <w:pPr>
        <w:widowControl/>
        <w:jc w:val="left"/>
      </w:pPr>
    </w:p>
    <w:p>
      <w:pPr>
        <w:widowControl/>
        <w:jc w:val="left"/>
      </w:pPr>
    </w:p>
    <w:p>
      <w:pPr>
        <w:widowControl/>
        <w:jc w:val="center"/>
        <w:rPr>
          <w:rFonts w:ascii="黑体" w:eastAsia="黑体" w:hAnsiTheme="minorHAnsi" w:cstheme="minorBidi"/>
          <w:sz w:val="72"/>
          <w:szCs w:val="72"/>
        </w:rPr>
      </w:pPr>
      <w:r>
        <w:rPr>
          <w:rFonts w:hint="eastAsia" w:ascii="黑体" w:eastAsia="黑体" w:hAnsiTheme="minorHAnsi" w:cstheme="minorBidi"/>
          <w:sz w:val="72"/>
          <w:szCs w:val="72"/>
        </w:rPr>
        <w:t>编制说明</w:t>
      </w:r>
    </w:p>
    <w:p>
      <w:pPr>
        <w:pStyle w:val="2"/>
        <w:ind w:left="0" w:leftChars="0" w:firstLine="0" w:firstLineChars="0"/>
        <w:rPr>
          <w:rFonts w:ascii="黑体" w:eastAsia="黑体" w:hAnsiTheme="minorHAnsi" w:cstheme="minorBidi"/>
          <w:sz w:val="72"/>
          <w:szCs w:val="72"/>
        </w:rPr>
      </w:pPr>
    </w:p>
    <w:p>
      <w:pPr>
        <w:widowControl/>
        <w:jc w:val="left"/>
      </w:pPr>
    </w:p>
    <w:p>
      <w:pPr>
        <w:widowControl/>
        <w:jc w:val="left"/>
      </w:pPr>
    </w:p>
    <w:p>
      <w:pPr>
        <w:widowControl/>
        <w:jc w:val="center"/>
        <w:rPr>
          <w:b/>
          <w:sz w:val="36"/>
          <w:szCs w:val="36"/>
        </w:rPr>
      </w:pPr>
      <w:r>
        <w:rPr>
          <w:rFonts w:hint="eastAsia"/>
          <w:b/>
          <w:sz w:val="36"/>
          <w:szCs w:val="36"/>
        </w:rPr>
        <w:t>西安市轨道交通集团有限公司</w:t>
      </w:r>
    </w:p>
    <w:p>
      <w:pPr>
        <w:widowControl/>
        <w:jc w:val="center"/>
        <w:rPr>
          <w:b/>
          <w:sz w:val="36"/>
          <w:szCs w:val="36"/>
        </w:rPr>
      </w:pPr>
      <w:r>
        <w:rPr>
          <w:rFonts w:hint="eastAsia"/>
          <w:b/>
          <w:sz w:val="36"/>
          <w:szCs w:val="36"/>
        </w:rPr>
        <w:t>方正国际软件（北京）有限公司</w:t>
      </w:r>
    </w:p>
    <w:p>
      <w:pPr>
        <w:widowControl/>
        <w:jc w:val="center"/>
      </w:pPr>
      <w:r>
        <w:rPr>
          <w:rFonts w:hint="eastAsia"/>
          <w:b/>
          <w:sz w:val="36"/>
          <w:szCs w:val="36"/>
        </w:rPr>
        <w:t>武汉小码联城科技有限公司</w:t>
      </w:r>
    </w:p>
    <w:p>
      <w:pPr>
        <w:widowControl/>
        <w:jc w:val="center"/>
        <w:rPr>
          <w:b/>
          <w:sz w:val="36"/>
          <w:szCs w:val="36"/>
        </w:rPr>
      </w:pPr>
      <w:r>
        <w:rPr>
          <w:rFonts w:hint="eastAsia"/>
          <w:b/>
          <w:sz w:val="36"/>
          <w:szCs w:val="36"/>
        </w:rPr>
        <w:t>成都智元汇信息技术股份有限公司</w:t>
      </w:r>
    </w:p>
    <w:p>
      <w:pPr>
        <w:widowControl/>
        <w:jc w:val="center"/>
        <w:rPr>
          <w:b/>
          <w:sz w:val="36"/>
          <w:szCs w:val="36"/>
        </w:rPr>
      </w:pPr>
      <w:r>
        <w:rPr>
          <w:rFonts w:hint="eastAsia"/>
          <w:b/>
          <w:sz w:val="36"/>
          <w:szCs w:val="36"/>
        </w:rPr>
        <w:t>上海华虹计通智能系统股份有限公司</w:t>
      </w:r>
    </w:p>
    <w:p>
      <w:pPr>
        <w:widowControl/>
        <w:jc w:val="center"/>
        <w:rPr>
          <w:b/>
          <w:sz w:val="36"/>
          <w:szCs w:val="36"/>
        </w:rPr>
      </w:pPr>
      <w:r>
        <w:rPr>
          <w:rFonts w:hint="eastAsia"/>
          <w:b/>
          <w:sz w:val="36"/>
          <w:szCs w:val="36"/>
        </w:rPr>
        <w:t>中国软件与技术服务股份有限公司</w:t>
      </w:r>
    </w:p>
    <w:p>
      <w:pPr>
        <w:widowControl/>
        <w:jc w:val="center"/>
        <w:rPr>
          <w:b/>
          <w:sz w:val="36"/>
          <w:szCs w:val="36"/>
        </w:rPr>
      </w:pPr>
      <w:r>
        <w:rPr>
          <w:rFonts w:hint="eastAsia"/>
          <w:b/>
          <w:sz w:val="36"/>
          <w:szCs w:val="36"/>
        </w:rPr>
        <w:t>广州地铁设计研究院股份有限公司</w:t>
      </w:r>
    </w:p>
    <w:p>
      <w:pPr>
        <w:pStyle w:val="2"/>
        <w:ind w:left="0" w:leftChars="0" w:firstLine="0" w:firstLineChars="0"/>
      </w:pPr>
    </w:p>
    <w:p>
      <w:pPr>
        <w:widowControl/>
        <w:jc w:val="center"/>
        <w:rPr>
          <w:b/>
          <w:sz w:val="36"/>
          <w:szCs w:val="36"/>
        </w:rPr>
      </w:pPr>
      <w:r>
        <w:rPr>
          <w:rFonts w:hint="eastAsia"/>
          <w:b/>
          <w:sz w:val="36"/>
          <w:szCs w:val="36"/>
        </w:rPr>
        <w:t>202</w:t>
      </w:r>
      <w:r>
        <w:rPr>
          <w:b/>
          <w:sz w:val="36"/>
          <w:szCs w:val="36"/>
        </w:rPr>
        <w:t>3</w:t>
      </w:r>
      <w:r>
        <w:rPr>
          <w:rFonts w:hint="eastAsia"/>
          <w:b/>
          <w:sz w:val="36"/>
          <w:szCs w:val="36"/>
        </w:rPr>
        <w:t>年</w:t>
      </w:r>
      <w:r>
        <w:rPr>
          <w:b/>
          <w:sz w:val="36"/>
          <w:szCs w:val="36"/>
        </w:rPr>
        <w:t>7</w:t>
      </w:r>
      <w:r>
        <w:rPr>
          <w:rFonts w:hint="eastAsia"/>
          <w:b/>
          <w:sz w:val="36"/>
          <w:szCs w:val="36"/>
        </w:rPr>
        <w:t>月</w:t>
      </w:r>
    </w:p>
    <w:p>
      <w:pPr>
        <w:pStyle w:val="25"/>
        <w:keepLines/>
        <w:widowControl w:val="0"/>
        <w:numPr>
          <w:ilvl w:val="0"/>
          <w:numId w:val="3"/>
        </w:numPr>
        <w:rPr>
          <w:bCs/>
          <w:kern w:val="44"/>
          <w:szCs w:val="44"/>
        </w:rPr>
      </w:pPr>
      <w:r>
        <w:rPr>
          <w:rFonts w:hint="eastAsia"/>
          <w:bCs/>
          <w:kern w:val="44"/>
          <w:szCs w:val="44"/>
        </w:rPr>
        <w:t>工作简况</w:t>
      </w:r>
    </w:p>
    <w:p>
      <w:pPr>
        <w:pStyle w:val="24"/>
        <w:numPr>
          <w:ilvl w:val="1"/>
          <w:numId w:val="3"/>
        </w:numPr>
      </w:pPr>
      <w:r>
        <w:rPr>
          <w:rFonts w:hint="eastAsia"/>
        </w:rPr>
        <w:t>任务来源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本标准计划为陕西省市场监督局</w:t>
      </w:r>
      <w:r>
        <w:rPr>
          <w:rFonts w:ascii="仿宋_GB2312" w:eastAsia="仿宋_GB2312"/>
          <w:sz w:val="28"/>
          <w:szCs w:val="28"/>
        </w:rPr>
        <w:t>2021</w:t>
      </w:r>
      <w:r>
        <w:rPr>
          <w:rFonts w:hint="eastAsia" w:ascii="仿宋_GB2312" w:eastAsia="仿宋_GB2312"/>
          <w:sz w:val="28"/>
          <w:szCs w:val="28"/>
        </w:rPr>
        <w:t>年标准计划（SDBXM205-2021），项目归口管理为陕西省交通运输厅。</w:t>
      </w:r>
    </w:p>
    <w:p>
      <w:pPr>
        <w:pStyle w:val="24"/>
        <w:numPr>
          <w:ilvl w:val="1"/>
          <w:numId w:val="3"/>
        </w:numPr>
      </w:pPr>
      <w:r>
        <w:rPr>
          <w:rFonts w:hint="eastAsia"/>
        </w:rPr>
        <w:t>目的意义</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1.完善现行标准内容，提升现行标准指导作用。2010年，西安地铁二号线开通前，西安市轨道交通集团公司组织编制了城市轨道交通</w:t>
      </w:r>
      <w:r>
        <w:rPr>
          <w:rFonts w:hint="eastAsia" w:ascii="仿宋_GB2312" w:eastAsia="仿宋_GB2312"/>
          <w:sz w:val="28"/>
          <w:szCs w:val="28"/>
        </w:rPr>
        <w:t>自动售检票系统</w:t>
      </w:r>
      <w:r>
        <w:rPr>
          <w:rFonts w:hint="eastAsia" w:ascii="仿宋_GB2312" w:eastAsia="仿宋_GB2312" w:hAnsiTheme="minorHAnsi" w:cstheme="minorBidi"/>
          <w:sz w:val="28"/>
          <w:szCs w:val="28"/>
        </w:rPr>
        <w:t>专业技术标准，并发布为陕西省地方标准（DB 61/ T 506.1~4-2010号），随着轨道交通自动售检票系统的发展，现行标准的一些规定已不适用于指导轨道交通自动售检票系统相关工作，因此有必要予以修改完善，以提升现行标准的指导作用。</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2.符合行业发展需求，提高轨道交通自动售检票系统管理水平。随着轨道交通二维码扫码过闸、人脸识别过闸、小额电子支付等新兴互联网业务的应用及智慧车站、智能交通等在轨道交通的逐步渗透，自动售检票系统技术标准亟待补充完善新兴互联网业务相关内容，以适应行业发展需求，提高轨道交通自动售检票系统管理水平。</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3.适应大规模轨道交通建设，推动轨道交通自动售检票系统标准化建设。目前陕西省内多制式轨道交通蓬勃发展，考虑不同运营主体线路接入清分系统与互联网业务后台系统的可能性，各运营主体遵循相同的技术标准、接口标准与业务标准，不仅可以实现一张网、多制式的互联互通，更能利于乘客便捷出行，为民生福祉的高质量发展贡献力量。</w:t>
      </w:r>
    </w:p>
    <w:p>
      <w:pPr>
        <w:pStyle w:val="24"/>
      </w:pPr>
      <w:r>
        <w:rPr>
          <w:rFonts w:hint="eastAsia"/>
        </w:rPr>
        <w:t>主导单位</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本项目主导单位西安市轨道交通集团有限公司，参与单位包括：方正国际软件（北京）有限公司、成都智元汇信息技术股份有限公司、武汉小码联城科技有限公司、上海华虹计通智能系统股份有限公司、中国软件与技术服务股份有限公司、广州地铁设计研究院股份有限公司。</w:t>
      </w:r>
    </w:p>
    <w:p>
      <w:pPr>
        <w:pStyle w:val="24"/>
      </w:pPr>
      <w:r>
        <w:rPr>
          <w:rFonts w:hint="eastAsia"/>
        </w:rPr>
        <w:t>主要工作过程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（1）前期准备阶段</w:t>
      </w:r>
    </w:p>
    <w:p>
      <w:pPr>
        <w:snapToGrid w:val="0"/>
        <w:spacing w:line="360" w:lineRule="auto"/>
        <w:ind w:firstLine="560" w:firstLineChars="200"/>
        <w:rPr>
          <w:rFonts w:ascii="仿宋_GB2312" w:eastAsia="仿宋_GB2312"/>
          <w:sz w:val="28"/>
          <w:szCs w:val="28"/>
        </w:rPr>
      </w:pPr>
      <w:r>
        <w:rPr>
          <w:rFonts w:hint="eastAsia" w:ascii="仿宋_GB2312" w:eastAsia="仿宋_GB2312" w:hAnsiTheme="minorHAnsi" w:cstheme="minorBidi"/>
          <w:sz w:val="28"/>
          <w:szCs w:val="28"/>
        </w:rPr>
        <w:t>西安市轨道交通集团有限公司</w:t>
      </w:r>
      <w:r>
        <w:rPr>
          <w:rFonts w:hint="eastAsia" w:ascii="仿宋_GB2312" w:eastAsia="仿宋_GB2312"/>
          <w:sz w:val="28"/>
          <w:szCs w:val="28"/>
        </w:rPr>
        <w:t>积极跟进城市轨道交通自动售检票系统设备管理及相关技术标准的工作，项目立项计划下达后，公司高度重视，及时组织相关人员成立标准起草工作组，经过与多个厂家、地铁同行沟通，就技术标准的编制方法、贯标工作推进方式等一系列热点问题，邀请其他外部单位专家开展专题研讨会进行论证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（2）研究大纲评审阶段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项目立项以后,起草组对城市轨道交通自动售检票系统建设工作中接口标准化、技术一体化等进行了进一步的总结和提炼，形成了标准草案和研究大纲。</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2021年</w:t>
      </w:r>
      <w:r>
        <w:rPr>
          <w:rFonts w:hint="eastAsia" w:ascii="仿宋_GB2312" w:eastAsia="仿宋_GB2312"/>
          <w:sz w:val="28"/>
          <w:szCs w:val="28"/>
        </w:rPr>
        <w:t>1</w:t>
      </w:r>
      <w:r>
        <w:rPr>
          <w:rFonts w:ascii="仿宋_GB2312" w:eastAsia="仿宋_GB2312"/>
          <w:sz w:val="28"/>
          <w:szCs w:val="28"/>
        </w:rPr>
        <w:t>月，</w:t>
      </w:r>
      <w:r>
        <w:rPr>
          <w:rFonts w:hint="eastAsia" w:ascii="仿宋_GB2312" w:eastAsia="仿宋_GB2312"/>
          <w:sz w:val="28"/>
          <w:szCs w:val="28"/>
        </w:rPr>
        <w:t>省交通运输标准化技术委员会集中对标准研究大纲开展评审工作，评审会对项目草案内容给出了非常好的建议，对城市轨道交通自动售检票系统技术标准的目录和标准内容进行了确认。</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（3）标准修订阶段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2021年2月至2023年2月，标准起草组根据标准大纲开展了标准编制工作，</w:t>
      </w:r>
      <w:r>
        <w:rPr>
          <w:rFonts w:ascii="仿宋_GB2312" w:eastAsia="仿宋_GB2312"/>
          <w:sz w:val="28"/>
          <w:szCs w:val="28"/>
        </w:rPr>
        <w:t>期间召开专题审核讨论会四次</w:t>
      </w:r>
      <w:r>
        <w:rPr>
          <w:rFonts w:hint="eastAsia" w:ascii="仿宋_GB2312" w:eastAsia="仿宋_GB2312"/>
          <w:sz w:val="28"/>
          <w:szCs w:val="28"/>
        </w:rPr>
        <w:t>，</w:t>
      </w:r>
      <w:r>
        <w:rPr>
          <w:rFonts w:ascii="仿宋_GB2312" w:eastAsia="仿宋_GB2312"/>
          <w:sz w:val="28"/>
          <w:szCs w:val="28"/>
        </w:rPr>
        <w:t>标准内容交流讨论会二十余次</w:t>
      </w:r>
      <w:r>
        <w:rPr>
          <w:rFonts w:hint="eastAsia" w:ascii="仿宋_GB2312" w:eastAsia="仿宋_GB2312"/>
          <w:sz w:val="28"/>
          <w:szCs w:val="28"/>
        </w:rPr>
        <w:t>，共完成全面性修订六次</w:t>
      </w:r>
      <w:r>
        <w:rPr>
          <w:rFonts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（4）征求意见稿阶段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2023年2月至7月，组织开展西安市轨道交通集团内部标准征求意见及专家评审工作，标准起草组开展讨论，重点对专家提出的问题进行了深入考虑和修改，形成了征求意见稿。</w:t>
      </w:r>
    </w:p>
    <w:p>
      <w:pPr>
        <w:pStyle w:val="24"/>
      </w:pPr>
      <w:r>
        <w:rPr>
          <w:rFonts w:hint="eastAsia"/>
        </w:rPr>
        <w:t>标准起草工作组成员及任务分工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主要起草人有：康佐、董红杰、侯久望、卢剑鸿、赵跟党、王治根、李乐、单华军、陈建萍、温寒冰、张国庆、陈楚、丁杰、何平、杨珂、许双伟、唐达颖、姚霞、杜瑞军、张星龙、苏卫华、赵颖、吴延丰、侯淑倩、展宗思、李白、钟锐楠、连刚、章涛、代建</w:t>
      </w:r>
      <w:r>
        <w:rPr>
          <w:rFonts w:hint="eastAsia" w:ascii="仿宋_GB2312" w:eastAsia="仿宋_GB2312"/>
          <w:sz w:val="28"/>
          <w:szCs w:val="28"/>
          <w:lang w:val="en-US" w:eastAsia="zh-CN"/>
        </w:rPr>
        <w:t>风</w:t>
      </w:r>
      <w:bookmarkStart w:id="60" w:name="_GoBack"/>
      <w:bookmarkEnd w:id="60"/>
      <w:r>
        <w:rPr>
          <w:rFonts w:hint="eastAsia" w:ascii="仿宋_GB2312" w:eastAsia="仿宋_GB2312"/>
          <w:sz w:val="28"/>
          <w:szCs w:val="28"/>
        </w:rPr>
        <w:t>、严军、郑佳、吴敏、马明、王晓军、李美贵、罗慧。</w:t>
      </w:r>
    </w:p>
    <w:p>
      <w:pPr>
        <w:pStyle w:val="25"/>
      </w:pPr>
      <w:bookmarkStart w:id="0" w:name="_Toc139293900"/>
      <w:r>
        <w:t>标准</w:t>
      </w:r>
      <w:r>
        <w:rPr>
          <w:rFonts w:hint="eastAsia"/>
        </w:rPr>
        <w:t>编制原则和</w:t>
      </w:r>
      <w:r>
        <w:t>主要内容</w:t>
      </w:r>
      <w:bookmarkEnd w:id="0"/>
    </w:p>
    <w:p>
      <w:pPr>
        <w:pStyle w:val="24"/>
      </w:pPr>
      <w:r>
        <w:rPr>
          <w:rFonts w:hint="eastAsia"/>
        </w:rPr>
        <w:t>编制原则</w:t>
      </w:r>
    </w:p>
    <w:p>
      <w:pPr>
        <w:pStyle w:val="26"/>
      </w:pPr>
      <w:r>
        <w:rPr>
          <w:rFonts w:hint="eastAsia"/>
        </w:rPr>
        <w:t>已有标准优先原则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本规范的制订遵守国家有关的法律法规开展，规范的编写按照GB/T 1.1—2020《标准化工作导则第1部分：标准化文件的结构和起草规则》的规定起草。与其他相关标准没有冲突。</w:t>
      </w:r>
    </w:p>
    <w:p>
      <w:pPr>
        <w:pStyle w:val="26"/>
      </w:pPr>
      <w:r>
        <w:rPr>
          <w:rFonts w:hint="eastAsia" w:ascii="仿宋_GB2312" w:eastAsia="仿宋_GB2312"/>
        </w:rPr>
        <w:t>可操作性原则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可操作性性原则是标准规范研究中最重要的基本原则，规范充分考虑操作的便利性、可行性进行编制，重点参考了城市轨道交通自动售检票系统的现状和实际工作需要，使得规范发布后，具有实际落地的可能并在实际应用中发挥一定的效益。</w:t>
      </w:r>
    </w:p>
    <w:p>
      <w:pPr>
        <w:pStyle w:val="26"/>
        <w:rPr>
          <w:rFonts w:ascii="仿宋_GB2312" w:eastAsia="仿宋_GB2312"/>
        </w:rPr>
      </w:pPr>
      <w:r>
        <w:rPr>
          <w:rFonts w:hint="eastAsia" w:ascii="仿宋_GB2312" w:eastAsia="仿宋_GB2312"/>
        </w:rPr>
        <w:t>公平开放性原则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规范的编制并没有局限于具体的方法、条件，基于公平开放的原则编制，使得标准的执行能够公开、透明。</w:t>
      </w:r>
    </w:p>
    <w:p>
      <w:pPr>
        <w:pStyle w:val="24"/>
      </w:pPr>
      <w:r>
        <w:rPr>
          <w:rFonts w:hint="eastAsia"/>
        </w:rPr>
        <w:t>主要内容的确定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满足城市轨道交通自动售检票系统发展需要，规范各系统接口及业务处理流程，统一设备维护管理界面，为乘客提供规范统一的服务，为运营提供合理方便的功能，提高系统的整体适应能力。依据国家现行有关标准规定，结合城市轨道交通线网实际情况，制定本文件。</w:t>
      </w:r>
    </w:p>
    <w:p>
      <w:pPr>
        <w:snapToGrid w:val="0"/>
        <w:spacing w:line="360" w:lineRule="auto"/>
        <w:ind w:firstLine="560" w:firstLineChars="200"/>
      </w:pPr>
      <w:r>
        <w:rPr>
          <w:rFonts w:hint="eastAsia" w:ascii="仿宋_GB2312" w:eastAsia="仿宋_GB2312"/>
          <w:sz w:val="28"/>
          <w:szCs w:val="28"/>
        </w:rPr>
        <w:t>本文件为2010版《城市轨道交通自动售检票系统》地方标准的新增内容。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规定了传统票卡类、二维码扫码过闸乘车、人脸识别乘车等系统的密钥系统结构、密钥类型、密钥管理、密钥运行环境、系统性能要求等内容。适用于指导传统票卡类、二维码扫码过闸乘车、人脸识别乘车等系统相关密钥系统的建设、维护、管理等。本标准主要内容包括以下4个方面：</w:t>
      </w:r>
    </w:p>
    <w:p>
      <w:pPr>
        <w:snapToGrid w:val="0"/>
        <w:spacing w:line="360" w:lineRule="auto"/>
        <w:ind w:firstLine="560" w:firstLineChars="200"/>
        <w:rPr>
          <w:rFonts w:ascii="仿宋_GB2312" w:eastAsia="仿宋_GB2312"/>
          <w:sz w:val="28"/>
          <w:szCs w:val="28"/>
        </w:rPr>
      </w:pPr>
      <w:bookmarkStart w:id="1" w:name="_Toc105403713"/>
      <w:bookmarkStart w:id="2" w:name="_Toc676357844"/>
      <w:bookmarkStart w:id="3" w:name="_Toc4172"/>
      <w:bookmarkStart w:id="4" w:name="_Toc112296840"/>
      <w:r>
        <w:rPr>
          <w:rFonts w:hint="eastAsia" w:ascii="仿宋_GB2312" w:eastAsia="仿宋_GB2312"/>
          <w:sz w:val="28"/>
          <w:szCs w:val="28"/>
        </w:rPr>
        <w:t>1、范围</w:t>
      </w:r>
      <w:bookmarkEnd w:id="1"/>
      <w:bookmarkEnd w:id="2"/>
      <w:bookmarkEnd w:id="3"/>
      <w:bookmarkEnd w:id="4"/>
      <w:r>
        <w:rPr>
          <w:rFonts w:hint="eastAsia" w:ascii="仿宋_GB2312" w:eastAsia="仿宋_GB2312"/>
          <w:sz w:val="28"/>
          <w:szCs w:val="28"/>
        </w:rPr>
        <w:t>：规定了本文件的适用范围。</w:t>
      </w:r>
    </w:p>
    <w:p>
      <w:pPr>
        <w:snapToGrid w:val="0"/>
        <w:spacing w:line="360" w:lineRule="auto"/>
        <w:ind w:firstLine="560" w:firstLineChars="200"/>
        <w:rPr>
          <w:rFonts w:ascii="仿宋_GB2312" w:eastAsia="仿宋_GB2312"/>
          <w:sz w:val="28"/>
          <w:szCs w:val="28"/>
        </w:rPr>
      </w:pPr>
      <w:bookmarkStart w:id="5" w:name="_Toc4500"/>
      <w:bookmarkStart w:id="6" w:name="_Toc249874411"/>
      <w:bookmarkStart w:id="7" w:name="_Toc105403714"/>
      <w:bookmarkStart w:id="8" w:name="_Toc1610355995"/>
      <w:bookmarkStart w:id="9" w:name="_Toc982988788"/>
      <w:bookmarkStart w:id="10" w:name="_Toc1310"/>
      <w:r>
        <w:rPr>
          <w:rFonts w:hint="eastAsia" w:ascii="仿宋_GB2312" w:eastAsia="仿宋_GB2312"/>
          <w:sz w:val="28"/>
          <w:szCs w:val="28"/>
        </w:rPr>
        <w:t>2、自动售检票系统密钥管理系统</w:t>
      </w:r>
      <w:bookmarkEnd w:id="5"/>
      <w:bookmarkEnd w:id="6"/>
      <w:bookmarkEnd w:id="7"/>
      <w:bookmarkEnd w:id="8"/>
      <w:bookmarkEnd w:id="9"/>
      <w:bookmarkEnd w:id="10"/>
      <w:r>
        <w:rPr>
          <w:rFonts w:hint="eastAsia" w:ascii="仿宋_GB2312" w:eastAsia="仿宋_GB2312"/>
          <w:sz w:val="28"/>
          <w:szCs w:val="28"/>
        </w:rPr>
        <w:t>：规定了</w:t>
      </w:r>
      <w:bookmarkStart w:id="11" w:name="_Toc11360"/>
      <w:bookmarkStart w:id="12" w:name="_Toc105403715"/>
      <w:r>
        <w:rPr>
          <w:rFonts w:hint="eastAsia" w:ascii="仿宋_GB2312" w:eastAsia="仿宋_GB2312"/>
          <w:sz w:val="28"/>
          <w:szCs w:val="28"/>
        </w:rPr>
        <w:t>系统架构</w:t>
      </w:r>
      <w:bookmarkEnd w:id="11"/>
      <w:bookmarkEnd w:id="12"/>
      <w:r>
        <w:rPr>
          <w:rFonts w:hint="eastAsia" w:ascii="仿宋_GB2312" w:eastAsia="仿宋_GB2312"/>
          <w:sz w:val="28"/>
          <w:szCs w:val="28"/>
        </w:rPr>
        <w:t>、</w:t>
      </w:r>
      <w:bookmarkStart w:id="13" w:name="_Toc17475"/>
      <w:r>
        <w:rPr>
          <w:rFonts w:hint="eastAsia" w:ascii="仿宋_GB2312" w:eastAsia="仿宋_GB2312"/>
          <w:sz w:val="28"/>
          <w:szCs w:val="28"/>
          <w:lang w:val="zh-CN"/>
        </w:rPr>
        <w:t>密钥类型</w:t>
      </w:r>
      <w:bookmarkEnd w:id="13"/>
      <w:r>
        <w:rPr>
          <w:rFonts w:hint="eastAsia" w:ascii="仿宋_GB2312" w:eastAsia="仿宋_GB2312"/>
          <w:sz w:val="28"/>
          <w:szCs w:val="28"/>
          <w:lang w:val="zh-CN"/>
        </w:rPr>
        <w:t>、</w:t>
      </w:r>
      <w:bookmarkStart w:id="14" w:name="_Toc722059786"/>
      <w:bookmarkStart w:id="15" w:name="_Toc14136"/>
      <w:bookmarkStart w:id="16" w:name="_Toc18156"/>
      <w:bookmarkStart w:id="17" w:name="_Toc1878659753"/>
      <w:bookmarkStart w:id="18" w:name="_Toc249874402"/>
      <w:r>
        <w:rPr>
          <w:rFonts w:hint="eastAsia" w:ascii="仿宋_GB2312" w:eastAsia="仿宋_GB2312"/>
          <w:sz w:val="28"/>
          <w:szCs w:val="28"/>
          <w:lang w:val="zh-CN"/>
        </w:rPr>
        <w:t>密钥管理</w:t>
      </w:r>
      <w:bookmarkEnd w:id="14"/>
      <w:bookmarkEnd w:id="15"/>
      <w:bookmarkEnd w:id="16"/>
      <w:bookmarkEnd w:id="17"/>
      <w:bookmarkEnd w:id="18"/>
      <w:r>
        <w:rPr>
          <w:rFonts w:hint="eastAsia" w:ascii="仿宋_GB2312" w:eastAsia="仿宋_GB2312"/>
          <w:sz w:val="28"/>
          <w:szCs w:val="28"/>
          <w:lang w:val="zh-CN"/>
        </w:rPr>
        <w:t>、</w:t>
      </w:r>
      <w:bookmarkStart w:id="19" w:name="_Toc5167"/>
      <w:r>
        <w:rPr>
          <w:rFonts w:hint="eastAsia" w:ascii="仿宋_GB2312" w:eastAsia="仿宋_GB2312"/>
          <w:sz w:val="28"/>
          <w:szCs w:val="28"/>
        </w:rPr>
        <w:t>运行环境</w:t>
      </w:r>
      <w:bookmarkEnd w:id="19"/>
      <w:r>
        <w:rPr>
          <w:rFonts w:hint="eastAsia" w:ascii="仿宋_GB2312" w:eastAsia="仿宋_GB2312"/>
          <w:sz w:val="28"/>
          <w:szCs w:val="28"/>
        </w:rPr>
        <w:t>、</w:t>
      </w:r>
      <w:bookmarkStart w:id="20" w:name="_Toc249874420"/>
      <w:bookmarkStart w:id="21" w:name="_Toc164495297"/>
      <w:bookmarkStart w:id="22" w:name="_Toc2653"/>
      <w:bookmarkStart w:id="23" w:name="_Toc105403721"/>
      <w:bookmarkStart w:id="24" w:name="_Toc1516757586"/>
      <w:bookmarkStart w:id="25" w:name="_Toc196121305"/>
      <w:bookmarkStart w:id="26" w:name="_Toc1939836230"/>
      <w:bookmarkStart w:id="27" w:name="_Toc27316"/>
      <w:r>
        <w:rPr>
          <w:rFonts w:hint="eastAsia" w:ascii="仿宋_GB2312" w:eastAsia="仿宋_GB2312"/>
          <w:sz w:val="28"/>
          <w:szCs w:val="28"/>
        </w:rPr>
        <w:t>性能</w:t>
      </w:r>
      <w:bookmarkEnd w:id="20"/>
      <w:bookmarkEnd w:id="21"/>
      <w:bookmarkEnd w:id="22"/>
      <w:bookmarkEnd w:id="23"/>
      <w:bookmarkEnd w:id="24"/>
      <w:bookmarkEnd w:id="25"/>
      <w:bookmarkEnd w:id="26"/>
      <w:r>
        <w:rPr>
          <w:rFonts w:hint="eastAsia" w:ascii="仿宋_GB2312" w:eastAsia="仿宋_GB2312"/>
          <w:sz w:val="28"/>
          <w:szCs w:val="28"/>
        </w:rPr>
        <w:t>要求</w:t>
      </w:r>
      <w:bookmarkEnd w:id="27"/>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28" w:name="_Toc15571"/>
      <w:bookmarkStart w:id="29" w:name="_Toc12821"/>
      <w:bookmarkStart w:id="30" w:name="_Toc134119210"/>
      <w:bookmarkStart w:id="31" w:name="_Toc105403722"/>
      <w:bookmarkStart w:id="32" w:name="_Toc1464565211"/>
      <w:r>
        <w:rPr>
          <w:rFonts w:hint="eastAsia" w:ascii="仿宋_GB2312" w:eastAsia="仿宋_GB2312"/>
          <w:sz w:val="28"/>
          <w:szCs w:val="28"/>
        </w:rPr>
        <w:t>3、二维码乘车系统密钥管理系统</w:t>
      </w:r>
      <w:bookmarkEnd w:id="28"/>
      <w:bookmarkEnd w:id="29"/>
      <w:bookmarkEnd w:id="30"/>
      <w:bookmarkEnd w:id="31"/>
      <w:bookmarkEnd w:id="32"/>
      <w:r>
        <w:rPr>
          <w:rFonts w:hint="eastAsia" w:ascii="仿宋_GB2312" w:eastAsia="仿宋_GB2312"/>
          <w:sz w:val="28"/>
          <w:szCs w:val="28"/>
        </w:rPr>
        <w:t>：规定了</w:t>
      </w:r>
      <w:bookmarkStart w:id="33" w:name="_Toc105403723"/>
      <w:bookmarkStart w:id="34" w:name="_Toc417462842"/>
      <w:bookmarkStart w:id="35" w:name="_Toc407"/>
      <w:bookmarkStart w:id="36" w:name="_Toc1027354822"/>
      <w:r>
        <w:rPr>
          <w:rFonts w:hint="eastAsia" w:ascii="仿宋_GB2312" w:eastAsia="仿宋_GB2312"/>
          <w:sz w:val="28"/>
          <w:szCs w:val="28"/>
        </w:rPr>
        <w:t>系统架构</w:t>
      </w:r>
      <w:bookmarkEnd w:id="33"/>
      <w:bookmarkEnd w:id="34"/>
      <w:bookmarkEnd w:id="35"/>
      <w:bookmarkEnd w:id="36"/>
      <w:r>
        <w:rPr>
          <w:rFonts w:hint="eastAsia" w:ascii="仿宋_GB2312" w:eastAsia="仿宋_GB2312"/>
          <w:sz w:val="28"/>
          <w:szCs w:val="28"/>
        </w:rPr>
        <w:t>、</w:t>
      </w:r>
      <w:bookmarkStart w:id="37" w:name="_Toc2134720756"/>
      <w:bookmarkStart w:id="38" w:name="_Toc533646155"/>
      <w:bookmarkStart w:id="39" w:name="_Toc105403726"/>
      <w:bookmarkStart w:id="40" w:name="_Toc20182"/>
      <w:r>
        <w:rPr>
          <w:rFonts w:hint="eastAsia" w:ascii="仿宋_GB2312" w:eastAsia="仿宋_GB2312"/>
          <w:sz w:val="28"/>
          <w:szCs w:val="28"/>
        </w:rPr>
        <w:t>接口设计</w:t>
      </w:r>
      <w:bookmarkEnd w:id="37"/>
      <w:bookmarkEnd w:id="38"/>
      <w:bookmarkEnd w:id="39"/>
      <w:bookmarkEnd w:id="40"/>
      <w:r>
        <w:rPr>
          <w:rFonts w:hint="eastAsia" w:ascii="仿宋_GB2312" w:eastAsia="仿宋_GB2312"/>
          <w:sz w:val="28"/>
          <w:szCs w:val="28"/>
        </w:rPr>
        <w:t>、</w:t>
      </w:r>
      <w:bookmarkStart w:id="41" w:name="_Toc3477"/>
      <w:bookmarkStart w:id="42" w:name="_Toc28088"/>
      <w:bookmarkStart w:id="43" w:name="_Toc665370079"/>
      <w:bookmarkStart w:id="44" w:name="_Toc105403727"/>
      <w:bookmarkStart w:id="45" w:name="_Toc1783969497"/>
      <w:r>
        <w:rPr>
          <w:rFonts w:hint="eastAsia" w:ascii="仿宋_GB2312" w:eastAsia="仿宋_GB2312"/>
          <w:sz w:val="28"/>
          <w:szCs w:val="28"/>
          <w:lang w:val="zh-CN"/>
        </w:rPr>
        <w:t>密钥类型</w:t>
      </w:r>
      <w:bookmarkEnd w:id="41"/>
      <w:bookmarkEnd w:id="42"/>
      <w:bookmarkEnd w:id="43"/>
      <w:bookmarkEnd w:id="44"/>
      <w:bookmarkEnd w:id="45"/>
      <w:r>
        <w:rPr>
          <w:rFonts w:hint="eastAsia" w:ascii="仿宋_GB2312" w:eastAsia="仿宋_GB2312"/>
          <w:sz w:val="28"/>
          <w:szCs w:val="28"/>
          <w:lang w:val="zh-CN"/>
        </w:rPr>
        <w:t>、</w:t>
      </w:r>
      <w:bookmarkStart w:id="46" w:name="_Toc3939"/>
      <w:r>
        <w:rPr>
          <w:rFonts w:hint="eastAsia" w:ascii="仿宋_GB2312" w:eastAsia="仿宋_GB2312"/>
          <w:sz w:val="28"/>
          <w:szCs w:val="28"/>
        </w:rPr>
        <w:t>密钥管理</w:t>
      </w:r>
      <w:bookmarkEnd w:id="46"/>
      <w:r>
        <w:rPr>
          <w:rFonts w:hint="eastAsia" w:ascii="仿宋_GB2312" w:eastAsia="仿宋_GB2312"/>
          <w:sz w:val="28"/>
          <w:szCs w:val="28"/>
        </w:rPr>
        <w:t>、</w:t>
      </w:r>
      <w:bookmarkStart w:id="47" w:name="_Toc14552"/>
      <w:bookmarkStart w:id="48" w:name="_Toc1941650480"/>
      <w:bookmarkStart w:id="49" w:name="_Toc1133039992"/>
      <w:r>
        <w:rPr>
          <w:rFonts w:hint="eastAsia" w:ascii="仿宋_GB2312" w:eastAsia="仿宋_GB2312"/>
          <w:sz w:val="28"/>
          <w:szCs w:val="28"/>
        </w:rPr>
        <w:t>密钥工作流程</w:t>
      </w:r>
      <w:bookmarkEnd w:id="47"/>
      <w:bookmarkEnd w:id="48"/>
      <w:bookmarkEnd w:id="49"/>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50" w:name="_Toc13515"/>
      <w:bookmarkStart w:id="51" w:name="_Toc105403728"/>
      <w:r>
        <w:rPr>
          <w:rFonts w:hint="eastAsia" w:ascii="仿宋_GB2312" w:eastAsia="仿宋_GB2312"/>
          <w:sz w:val="28"/>
          <w:szCs w:val="28"/>
        </w:rPr>
        <w:t>4、人脸识别乘车系统密钥管理系统</w:t>
      </w:r>
      <w:bookmarkEnd w:id="50"/>
      <w:bookmarkEnd w:id="51"/>
      <w:r>
        <w:rPr>
          <w:rFonts w:hint="eastAsia" w:ascii="仿宋_GB2312" w:eastAsia="仿宋_GB2312"/>
          <w:sz w:val="28"/>
          <w:szCs w:val="28"/>
        </w:rPr>
        <w:t>：规定了系统架构、接口设计、</w:t>
      </w:r>
      <w:r>
        <w:rPr>
          <w:rFonts w:hint="eastAsia" w:ascii="仿宋_GB2312" w:eastAsia="仿宋_GB2312"/>
          <w:sz w:val="28"/>
          <w:szCs w:val="28"/>
          <w:lang w:val="zh-CN"/>
        </w:rPr>
        <w:t>密钥类型、</w:t>
      </w:r>
      <w:r>
        <w:rPr>
          <w:rFonts w:hint="eastAsia" w:ascii="仿宋_GB2312" w:eastAsia="仿宋_GB2312"/>
          <w:sz w:val="28"/>
          <w:szCs w:val="28"/>
        </w:rPr>
        <w:t>密钥管理、密钥工作流程等内容。</w:t>
      </w:r>
    </w:p>
    <w:p>
      <w:pPr>
        <w:pStyle w:val="25"/>
      </w:pPr>
      <w:bookmarkStart w:id="52" w:name="_Toc139293901"/>
      <w:r>
        <w:rPr>
          <w:rFonts w:hint="eastAsia"/>
        </w:rPr>
        <w:t>实证研究</w:t>
      </w:r>
      <w:bookmarkEnd w:id="52"/>
    </w:p>
    <w:p>
      <w:pPr>
        <w:snapToGrid w:val="0"/>
        <w:spacing w:line="360" w:lineRule="auto"/>
        <w:ind w:firstLine="560" w:firstLineChars="200"/>
        <w:rPr>
          <w:rFonts w:ascii="仿宋_GB2312" w:eastAsia="仿宋_GB2312"/>
          <w:sz w:val="28"/>
          <w:szCs w:val="28"/>
        </w:rPr>
      </w:pPr>
      <w:bookmarkStart w:id="53" w:name="_Toc139293902"/>
      <w:bookmarkStart w:id="54" w:name="_Toc347430526"/>
      <w:r>
        <w:rPr>
          <w:rFonts w:hint="eastAsia" w:ascii="仿宋_GB2312" w:eastAsia="仿宋_GB2312"/>
          <w:sz w:val="28"/>
          <w:szCs w:val="28"/>
        </w:rPr>
        <w:t>主导单位西安市轨道交通集团有限公司于2018年1月~2020年1月完成了西安地铁多元化平台、人脸识别平台、电子支付平台的建设，这些项目建设中总结了地铁互联网业务即二维码扫码过闸乘车、人脸识别乘车、电子支付等对应的业务规则、技术规范、系统接口标准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主导单位西安市轨道交通集团有限公司进行实地调研研究工作，对于地铁自动售检票系统的运营规则、系统功能、技术指标等内容进行梳理，与标准对应内容进行确认。确保标准内容的可行性。</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展成都地铁调查研究工作，了解其他城市地铁自动售检票系统标准运营情况、实践经验、存在问题及解决办法等技术问题，丰富了西安地铁对于自动售检票系统管理及技术标准贯标工作的认识和经验，进一步修订完善标准的条款。</w:t>
      </w:r>
    </w:p>
    <w:p>
      <w:pPr>
        <w:pStyle w:val="25"/>
      </w:pPr>
      <w:r>
        <w:rPr>
          <w:rFonts w:hint="eastAsia"/>
        </w:rPr>
        <w:t>知识产权说明</w:t>
      </w:r>
      <w:bookmarkEnd w:id="53"/>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标准中的主要内容不涉及知识产权。</w:t>
      </w:r>
    </w:p>
    <w:p>
      <w:pPr>
        <w:pStyle w:val="25"/>
      </w:pPr>
      <w:bookmarkStart w:id="55" w:name="_Toc139293903"/>
      <w:r>
        <w:rPr>
          <w:rFonts w:hint="eastAsia"/>
        </w:rPr>
        <w:t>采标情况</w:t>
      </w:r>
      <w:bookmarkEnd w:id="55"/>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在《城市轨道交通自动售检票系统 第7部分 密钥技术规范》标准的编制中。重点参考了中国密码行业标准GM/T 0003 《SM2椭圈曲线公钥密码算法》第二部分数字签名算法、第三部分密钥交换协议、第四部分公钥加密算法、第五部分参数定义中涉及密钥规范的内容，对城市轨道交通自动售检票系统技术标准的对应内容等进行规定。</w:t>
      </w:r>
    </w:p>
    <w:p>
      <w:pPr>
        <w:pStyle w:val="25"/>
      </w:pPr>
      <w:bookmarkStart w:id="56" w:name="_Toc460829091"/>
      <w:bookmarkStart w:id="57" w:name="_Toc139293904"/>
      <w:r>
        <w:t>重大分歧意见的处理经过和依据</w:t>
      </w:r>
      <w:bookmarkEnd w:id="56"/>
      <w:bookmarkEnd w:id="57"/>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25"/>
      </w:pPr>
      <w:bookmarkStart w:id="58" w:name="_Toc139293905"/>
      <w:bookmarkStart w:id="59" w:name="_Toc460829095"/>
      <w:r>
        <w:t>其它应予说明的事项</w:t>
      </w:r>
      <w:bookmarkEnd w:id="58"/>
      <w:bookmarkEnd w:id="59"/>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bookmarkEnd w:id="54"/>
    </w:p>
    <w:p>
      <w:pPr>
        <w:ind w:firstLine="640" w:firstLineChars="200"/>
        <w:rPr>
          <w:rFonts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70F98"/>
    <w:multiLevelType w:val="multilevel"/>
    <w:tmpl w:val="2E470F98"/>
    <w:lvl w:ilvl="0" w:tentative="0">
      <w:start w:val="1"/>
      <w:numFmt w:val="decimal"/>
      <w:pStyle w:val="25"/>
      <w:lvlText w:val="%1."/>
      <w:lvlJc w:val="left"/>
      <w:pPr>
        <w:ind w:left="431" w:hanging="431"/>
      </w:pPr>
      <w:rPr>
        <w:rFonts w:hint="eastAsia"/>
      </w:rPr>
    </w:lvl>
    <w:lvl w:ilvl="1" w:tentative="0">
      <w:start w:val="1"/>
      <w:numFmt w:val="decimal"/>
      <w:pStyle w:val="24"/>
      <w:lvlText w:val="%1.%2"/>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26"/>
      <w:lvlText w:val="%1.%2.%3"/>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431" w:hanging="431"/>
      </w:pPr>
      <w:rPr>
        <w:rFonts w:hint="eastAsia" w:cs="Times New Roman"/>
      </w:rPr>
    </w:lvl>
    <w:lvl w:ilvl="4" w:tentative="0">
      <w:start w:val="1"/>
      <w:numFmt w:val="decimal"/>
      <w:lvlText w:val="%1.%2.%3.%4.%5"/>
      <w:lvlJc w:val="left"/>
      <w:pPr>
        <w:ind w:left="431" w:hanging="431"/>
      </w:pPr>
      <w:rPr>
        <w:rFonts w:hint="eastAsia" w:cs="Times New Roman"/>
      </w:rPr>
    </w:lvl>
    <w:lvl w:ilvl="5" w:tentative="0">
      <w:start w:val="1"/>
      <w:numFmt w:val="decimal"/>
      <w:lvlText w:val="%1.%2.%3.%4.%5.%6"/>
      <w:lvlJc w:val="left"/>
      <w:pPr>
        <w:ind w:left="431" w:hanging="431"/>
      </w:pPr>
      <w:rPr>
        <w:rFonts w:hint="eastAsia" w:cs="Times New Roman"/>
      </w:rPr>
    </w:lvl>
    <w:lvl w:ilvl="6" w:tentative="0">
      <w:start w:val="1"/>
      <w:numFmt w:val="decimal"/>
      <w:lvlText w:val="%1.%2.%3.%4.%5.%6.%7"/>
      <w:lvlJc w:val="left"/>
      <w:pPr>
        <w:ind w:left="431" w:hanging="431"/>
      </w:pPr>
      <w:rPr>
        <w:rFonts w:hint="eastAsia" w:cs="Times New Roman"/>
      </w:rPr>
    </w:lvl>
    <w:lvl w:ilvl="7" w:tentative="0">
      <w:start w:val="1"/>
      <w:numFmt w:val="decimal"/>
      <w:lvlText w:val="%1.%2.%3.%4.%5.%6.%7.%8"/>
      <w:lvlJc w:val="left"/>
      <w:pPr>
        <w:ind w:left="431" w:hanging="431"/>
      </w:pPr>
      <w:rPr>
        <w:rFonts w:hint="eastAsia" w:cs="Times New Roman"/>
      </w:rPr>
    </w:lvl>
    <w:lvl w:ilvl="8" w:tentative="0">
      <w:start w:val="1"/>
      <w:numFmt w:val="decimal"/>
      <w:lvlText w:val="%1.%2.%3.%4.%5.%6.%7.%8.%9"/>
      <w:lvlJc w:val="left"/>
      <w:pPr>
        <w:ind w:left="431" w:hanging="431"/>
      </w:pPr>
      <w:rPr>
        <w:rFonts w:hint="eastAsia" w:cs="Times New Roman"/>
      </w:rPr>
    </w:lvl>
  </w:abstractNum>
  <w:abstractNum w:abstractNumId="1">
    <w:nsid w:val="63546429"/>
    <w:multiLevelType w:val="multilevel"/>
    <w:tmpl w:val="63546429"/>
    <w:lvl w:ilvl="0" w:tentative="0">
      <w:start w:val="1"/>
      <w:numFmt w:val="decimal"/>
      <w:pStyle w:val="4"/>
      <w:lvlText w:val="%1"/>
      <w:lvlJc w:val="left"/>
      <w:pPr>
        <w:tabs>
          <w:tab w:val="left" w:pos="432"/>
        </w:tabs>
        <w:ind w:left="432" w:hanging="432"/>
      </w:pPr>
      <w:rPr>
        <w:rFonts w:hint="eastAsia" w:cs="Times New Roman"/>
      </w:rPr>
    </w:lvl>
    <w:lvl w:ilvl="1" w:tentative="0">
      <w:start w:val="1"/>
      <w:numFmt w:val="decimal"/>
      <w:pStyle w:val="5"/>
      <w:lvlText w:val="%1.%2"/>
      <w:lvlJc w:val="left"/>
      <w:pPr>
        <w:tabs>
          <w:tab w:val="left" w:pos="576"/>
        </w:tabs>
        <w:ind w:left="576" w:hanging="576"/>
      </w:pPr>
      <w:rPr>
        <w:rFonts w:hint="eastAsia" w:cs="Times New Roman"/>
      </w:rPr>
    </w:lvl>
    <w:lvl w:ilvl="2" w:tentative="0">
      <w:start w:val="1"/>
      <w:numFmt w:val="decimal"/>
      <w:pStyle w:val="6"/>
      <w:lvlText w:val="%1.%2.%3"/>
      <w:lvlJc w:val="left"/>
      <w:pPr>
        <w:tabs>
          <w:tab w:val="left" w:pos="720"/>
        </w:tabs>
        <w:ind w:left="720" w:hanging="720"/>
      </w:pPr>
      <w:rPr>
        <w:rFonts w:hint="default" w:ascii="Arial" w:hAnsi="Arial" w:cs="Arial"/>
      </w:rPr>
    </w:lvl>
    <w:lvl w:ilvl="3" w:tentative="0">
      <w:start w:val="1"/>
      <w:numFmt w:val="decimal"/>
      <w:lvlText w:val="%4."/>
      <w:lvlJc w:val="left"/>
      <w:pPr>
        <w:tabs>
          <w:tab w:val="left" w:pos="567"/>
        </w:tabs>
        <w:ind w:left="936" w:hanging="680"/>
      </w:pPr>
      <w:rPr>
        <w:rFonts w:hint="eastAsia" w:cs="Times New Roman"/>
      </w:rPr>
    </w:lvl>
    <w:lvl w:ilvl="4" w:tentative="0">
      <w:start w:val="1"/>
      <w:numFmt w:val="decimal"/>
      <w:lvlText w:val="%5）"/>
      <w:lvlJc w:val="left"/>
      <w:pPr>
        <w:tabs>
          <w:tab w:val="left" w:pos="567"/>
        </w:tabs>
        <w:ind w:left="936" w:hanging="680"/>
      </w:pPr>
      <w:rPr>
        <w:rFonts w:hint="eastAsia" w:cs="Times New Roman"/>
      </w:rPr>
    </w:lvl>
    <w:lvl w:ilvl="5" w:tentative="0">
      <w:start w:val="1"/>
      <w:numFmt w:val="lowerLetter"/>
      <w:lvlText w:val="%6）"/>
      <w:lvlJc w:val="left"/>
      <w:pPr>
        <w:tabs>
          <w:tab w:val="left" w:pos="567"/>
        </w:tabs>
        <w:ind w:left="936" w:hanging="680"/>
      </w:pPr>
      <w:rPr>
        <w:rFonts w:hint="eastAsia" w:cs="Times New Roman"/>
      </w:rPr>
    </w:lvl>
    <w:lvl w:ilvl="6" w:tentative="0">
      <w:start w:val="1"/>
      <w:numFmt w:val="lowerRoman"/>
      <w:lvlText w:val="%7"/>
      <w:lvlJc w:val="left"/>
      <w:pPr>
        <w:tabs>
          <w:tab w:val="left" w:pos="567"/>
        </w:tabs>
        <w:ind w:left="936" w:hanging="680"/>
      </w:pPr>
      <w:rPr>
        <w:rFonts w:hint="default"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zdmZDQ4NjRmMWYwZmVmYTNkNmY0Zjg5MWE4MzMifQ=="/>
  </w:docVars>
  <w:rsids>
    <w:rsidRoot w:val="00EE66B2"/>
    <w:rsid w:val="0000272D"/>
    <w:rsid w:val="000041D2"/>
    <w:rsid w:val="00007C5F"/>
    <w:rsid w:val="00011530"/>
    <w:rsid w:val="000225A4"/>
    <w:rsid w:val="00027388"/>
    <w:rsid w:val="00053DBD"/>
    <w:rsid w:val="00071BA5"/>
    <w:rsid w:val="00073443"/>
    <w:rsid w:val="0007597D"/>
    <w:rsid w:val="000808D5"/>
    <w:rsid w:val="00093978"/>
    <w:rsid w:val="00096AEC"/>
    <w:rsid w:val="000A0426"/>
    <w:rsid w:val="000A04C2"/>
    <w:rsid w:val="000D304D"/>
    <w:rsid w:val="000F5831"/>
    <w:rsid w:val="000F7492"/>
    <w:rsid w:val="00117E6E"/>
    <w:rsid w:val="001343F1"/>
    <w:rsid w:val="0015480E"/>
    <w:rsid w:val="00163F2A"/>
    <w:rsid w:val="00167C13"/>
    <w:rsid w:val="00186EDE"/>
    <w:rsid w:val="00190E8E"/>
    <w:rsid w:val="001945AB"/>
    <w:rsid w:val="00194DA1"/>
    <w:rsid w:val="001C13E8"/>
    <w:rsid w:val="001C5C48"/>
    <w:rsid w:val="001D592B"/>
    <w:rsid w:val="001E773D"/>
    <w:rsid w:val="001F4237"/>
    <w:rsid w:val="00217193"/>
    <w:rsid w:val="00217EC5"/>
    <w:rsid w:val="00224453"/>
    <w:rsid w:val="00227F9A"/>
    <w:rsid w:val="00244F5C"/>
    <w:rsid w:val="00270917"/>
    <w:rsid w:val="00271010"/>
    <w:rsid w:val="002A4B88"/>
    <w:rsid w:val="002B0489"/>
    <w:rsid w:val="002B23A3"/>
    <w:rsid w:val="002E1391"/>
    <w:rsid w:val="00303994"/>
    <w:rsid w:val="003055C4"/>
    <w:rsid w:val="003055EF"/>
    <w:rsid w:val="00314924"/>
    <w:rsid w:val="00333EA6"/>
    <w:rsid w:val="003350D4"/>
    <w:rsid w:val="003424DC"/>
    <w:rsid w:val="00352A19"/>
    <w:rsid w:val="00352AB9"/>
    <w:rsid w:val="00366EA8"/>
    <w:rsid w:val="003709EB"/>
    <w:rsid w:val="003719DB"/>
    <w:rsid w:val="003879A4"/>
    <w:rsid w:val="00397C47"/>
    <w:rsid w:val="003B2C97"/>
    <w:rsid w:val="003C6DE2"/>
    <w:rsid w:val="003C6E2F"/>
    <w:rsid w:val="003D78FB"/>
    <w:rsid w:val="003F2BAD"/>
    <w:rsid w:val="003F5ECE"/>
    <w:rsid w:val="00421FE8"/>
    <w:rsid w:val="00422B3C"/>
    <w:rsid w:val="00423CBF"/>
    <w:rsid w:val="00426C8A"/>
    <w:rsid w:val="00432D7D"/>
    <w:rsid w:val="00434DFB"/>
    <w:rsid w:val="004427EF"/>
    <w:rsid w:val="004912AD"/>
    <w:rsid w:val="00496CC8"/>
    <w:rsid w:val="004B1332"/>
    <w:rsid w:val="004B1905"/>
    <w:rsid w:val="004B377A"/>
    <w:rsid w:val="004B64D8"/>
    <w:rsid w:val="004C663A"/>
    <w:rsid w:val="004D6EEA"/>
    <w:rsid w:val="0050341D"/>
    <w:rsid w:val="005117AF"/>
    <w:rsid w:val="0053079F"/>
    <w:rsid w:val="00561763"/>
    <w:rsid w:val="00562F10"/>
    <w:rsid w:val="00571C35"/>
    <w:rsid w:val="00576366"/>
    <w:rsid w:val="005839A2"/>
    <w:rsid w:val="005A6BA9"/>
    <w:rsid w:val="005B0455"/>
    <w:rsid w:val="005B168A"/>
    <w:rsid w:val="005B1C8E"/>
    <w:rsid w:val="005C64A3"/>
    <w:rsid w:val="005D3D3F"/>
    <w:rsid w:val="005D77F0"/>
    <w:rsid w:val="005E0EBA"/>
    <w:rsid w:val="005F15F4"/>
    <w:rsid w:val="005F7E31"/>
    <w:rsid w:val="006023DC"/>
    <w:rsid w:val="00604150"/>
    <w:rsid w:val="00604BF4"/>
    <w:rsid w:val="00610EFC"/>
    <w:rsid w:val="006115AE"/>
    <w:rsid w:val="00616564"/>
    <w:rsid w:val="00632ED5"/>
    <w:rsid w:val="00641B08"/>
    <w:rsid w:val="006525F4"/>
    <w:rsid w:val="0067771D"/>
    <w:rsid w:val="00682AD8"/>
    <w:rsid w:val="00690D1A"/>
    <w:rsid w:val="00695964"/>
    <w:rsid w:val="00696195"/>
    <w:rsid w:val="006C0B9D"/>
    <w:rsid w:val="006D572D"/>
    <w:rsid w:val="006D6704"/>
    <w:rsid w:val="006F6E32"/>
    <w:rsid w:val="007132C7"/>
    <w:rsid w:val="00720BC6"/>
    <w:rsid w:val="00721B14"/>
    <w:rsid w:val="007226DC"/>
    <w:rsid w:val="00724878"/>
    <w:rsid w:val="00726F2C"/>
    <w:rsid w:val="007310D1"/>
    <w:rsid w:val="00736263"/>
    <w:rsid w:val="007413F1"/>
    <w:rsid w:val="00741673"/>
    <w:rsid w:val="00741C34"/>
    <w:rsid w:val="007431BE"/>
    <w:rsid w:val="00744799"/>
    <w:rsid w:val="00754BB1"/>
    <w:rsid w:val="00767B4D"/>
    <w:rsid w:val="0078625B"/>
    <w:rsid w:val="007972A1"/>
    <w:rsid w:val="007B1746"/>
    <w:rsid w:val="007C120F"/>
    <w:rsid w:val="007C136C"/>
    <w:rsid w:val="007C2F3B"/>
    <w:rsid w:val="007E3360"/>
    <w:rsid w:val="007F5177"/>
    <w:rsid w:val="00800728"/>
    <w:rsid w:val="0080087C"/>
    <w:rsid w:val="00806E9C"/>
    <w:rsid w:val="00812574"/>
    <w:rsid w:val="008160DD"/>
    <w:rsid w:val="00832904"/>
    <w:rsid w:val="00851145"/>
    <w:rsid w:val="00854B72"/>
    <w:rsid w:val="00866215"/>
    <w:rsid w:val="0086797E"/>
    <w:rsid w:val="00882197"/>
    <w:rsid w:val="00894172"/>
    <w:rsid w:val="00895D41"/>
    <w:rsid w:val="008963AA"/>
    <w:rsid w:val="008B317D"/>
    <w:rsid w:val="008C240A"/>
    <w:rsid w:val="008F4458"/>
    <w:rsid w:val="008F5636"/>
    <w:rsid w:val="00901B81"/>
    <w:rsid w:val="00904947"/>
    <w:rsid w:val="00915744"/>
    <w:rsid w:val="00916701"/>
    <w:rsid w:val="00935F06"/>
    <w:rsid w:val="009804CF"/>
    <w:rsid w:val="0098295E"/>
    <w:rsid w:val="00994F7A"/>
    <w:rsid w:val="009A162E"/>
    <w:rsid w:val="009A7D42"/>
    <w:rsid w:val="009B186D"/>
    <w:rsid w:val="009B73CE"/>
    <w:rsid w:val="009B75BC"/>
    <w:rsid w:val="009B7794"/>
    <w:rsid w:val="009C2762"/>
    <w:rsid w:val="009D2E5A"/>
    <w:rsid w:val="009D3D6D"/>
    <w:rsid w:val="009D6B88"/>
    <w:rsid w:val="009E41A8"/>
    <w:rsid w:val="009F15AD"/>
    <w:rsid w:val="009F3BE6"/>
    <w:rsid w:val="00A16F59"/>
    <w:rsid w:val="00A21970"/>
    <w:rsid w:val="00A24A4E"/>
    <w:rsid w:val="00A33230"/>
    <w:rsid w:val="00A53A9A"/>
    <w:rsid w:val="00A74731"/>
    <w:rsid w:val="00A866C8"/>
    <w:rsid w:val="00A90253"/>
    <w:rsid w:val="00A93C4E"/>
    <w:rsid w:val="00A97B80"/>
    <w:rsid w:val="00AA0693"/>
    <w:rsid w:val="00AA11A0"/>
    <w:rsid w:val="00AC5E35"/>
    <w:rsid w:val="00AC6E30"/>
    <w:rsid w:val="00AD4EE7"/>
    <w:rsid w:val="00AE015F"/>
    <w:rsid w:val="00AE42D0"/>
    <w:rsid w:val="00B01310"/>
    <w:rsid w:val="00B027BF"/>
    <w:rsid w:val="00B032F7"/>
    <w:rsid w:val="00B103DC"/>
    <w:rsid w:val="00B14ECD"/>
    <w:rsid w:val="00B305F0"/>
    <w:rsid w:val="00B30CD4"/>
    <w:rsid w:val="00B322FD"/>
    <w:rsid w:val="00B37DCE"/>
    <w:rsid w:val="00B4201D"/>
    <w:rsid w:val="00B54C0E"/>
    <w:rsid w:val="00B565B8"/>
    <w:rsid w:val="00B73C10"/>
    <w:rsid w:val="00BA0063"/>
    <w:rsid w:val="00BA4642"/>
    <w:rsid w:val="00BA6376"/>
    <w:rsid w:val="00BC4CBA"/>
    <w:rsid w:val="00BE0D39"/>
    <w:rsid w:val="00BE4902"/>
    <w:rsid w:val="00BE4FA2"/>
    <w:rsid w:val="00BF1A5E"/>
    <w:rsid w:val="00C15E74"/>
    <w:rsid w:val="00C33453"/>
    <w:rsid w:val="00C360C6"/>
    <w:rsid w:val="00C4235B"/>
    <w:rsid w:val="00C438CD"/>
    <w:rsid w:val="00C44272"/>
    <w:rsid w:val="00C47812"/>
    <w:rsid w:val="00C56009"/>
    <w:rsid w:val="00C81605"/>
    <w:rsid w:val="00C82859"/>
    <w:rsid w:val="00C84C93"/>
    <w:rsid w:val="00C924AB"/>
    <w:rsid w:val="00C97B37"/>
    <w:rsid w:val="00CA4EE6"/>
    <w:rsid w:val="00CA6C9B"/>
    <w:rsid w:val="00CC1D11"/>
    <w:rsid w:val="00CC4692"/>
    <w:rsid w:val="00CC6656"/>
    <w:rsid w:val="00CD18FA"/>
    <w:rsid w:val="00D10BE8"/>
    <w:rsid w:val="00D14427"/>
    <w:rsid w:val="00D15401"/>
    <w:rsid w:val="00D271B2"/>
    <w:rsid w:val="00D271B3"/>
    <w:rsid w:val="00D37335"/>
    <w:rsid w:val="00D373F7"/>
    <w:rsid w:val="00D621E5"/>
    <w:rsid w:val="00D757AA"/>
    <w:rsid w:val="00D8448F"/>
    <w:rsid w:val="00D9169A"/>
    <w:rsid w:val="00DB1C26"/>
    <w:rsid w:val="00DB42D7"/>
    <w:rsid w:val="00DD47ED"/>
    <w:rsid w:val="00DE0F9E"/>
    <w:rsid w:val="00DE14C6"/>
    <w:rsid w:val="00E02AEA"/>
    <w:rsid w:val="00E22A9E"/>
    <w:rsid w:val="00E26F87"/>
    <w:rsid w:val="00E339C1"/>
    <w:rsid w:val="00E36317"/>
    <w:rsid w:val="00E5696C"/>
    <w:rsid w:val="00E73CCD"/>
    <w:rsid w:val="00E77E04"/>
    <w:rsid w:val="00E864A7"/>
    <w:rsid w:val="00E873AD"/>
    <w:rsid w:val="00E972D7"/>
    <w:rsid w:val="00EA545B"/>
    <w:rsid w:val="00EB291C"/>
    <w:rsid w:val="00EC4B65"/>
    <w:rsid w:val="00EC659B"/>
    <w:rsid w:val="00EE66B2"/>
    <w:rsid w:val="00EE74B6"/>
    <w:rsid w:val="00EF117A"/>
    <w:rsid w:val="00EF17FD"/>
    <w:rsid w:val="00EF5AA5"/>
    <w:rsid w:val="00F106D4"/>
    <w:rsid w:val="00F142CB"/>
    <w:rsid w:val="00F20339"/>
    <w:rsid w:val="00F42FAC"/>
    <w:rsid w:val="00F469E2"/>
    <w:rsid w:val="00F46ED4"/>
    <w:rsid w:val="00F51FBA"/>
    <w:rsid w:val="00F57DA4"/>
    <w:rsid w:val="00F834D2"/>
    <w:rsid w:val="00F83754"/>
    <w:rsid w:val="00F83B30"/>
    <w:rsid w:val="00F93D6F"/>
    <w:rsid w:val="00FA543E"/>
    <w:rsid w:val="00FA67D2"/>
    <w:rsid w:val="00FB06C4"/>
    <w:rsid w:val="00FC3EA5"/>
    <w:rsid w:val="00FC4C7C"/>
    <w:rsid w:val="00FD0E56"/>
    <w:rsid w:val="00FD52C0"/>
    <w:rsid w:val="00FD7CB4"/>
    <w:rsid w:val="00FF330E"/>
    <w:rsid w:val="01192C1F"/>
    <w:rsid w:val="06361B7E"/>
    <w:rsid w:val="071E2D3E"/>
    <w:rsid w:val="08314CF2"/>
    <w:rsid w:val="0B63226E"/>
    <w:rsid w:val="0F3C1792"/>
    <w:rsid w:val="13F22D4B"/>
    <w:rsid w:val="14CC68C6"/>
    <w:rsid w:val="16F45869"/>
    <w:rsid w:val="17C552F5"/>
    <w:rsid w:val="1B5D42DD"/>
    <w:rsid w:val="1C1F5136"/>
    <w:rsid w:val="21AD0421"/>
    <w:rsid w:val="21F26E49"/>
    <w:rsid w:val="238E4FA2"/>
    <w:rsid w:val="2DE7466A"/>
    <w:rsid w:val="2FC35A82"/>
    <w:rsid w:val="33CF6FEA"/>
    <w:rsid w:val="34142A7E"/>
    <w:rsid w:val="35E202B9"/>
    <w:rsid w:val="35F5085E"/>
    <w:rsid w:val="38C56C0D"/>
    <w:rsid w:val="398128A0"/>
    <w:rsid w:val="3B0F4170"/>
    <w:rsid w:val="3B6F0C4C"/>
    <w:rsid w:val="3EDC6D82"/>
    <w:rsid w:val="44CF7E6A"/>
    <w:rsid w:val="450A08F4"/>
    <w:rsid w:val="47013507"/>
    <w:rsid w:val="47AE63EB"/>
    <w:rsid w:val="4A474558"/>
    <w:rsid w:val="4B66711D"/>
    <w:rsid w:val="517843C5"/>
    <w:rsid w:val="51E24C0A"/>
    <w:rsid w:val="54C94F38"/>
    <w:rsid w:val="564F728A"/>
    <w:rsid w:val="58825B29"/>
    <w:rsid w:val="621C5961"/>
    <w:rsid w:val="69AB714E"/>
    <w:rsid w:val="73107D9B"/>
    <w:rsid w:val="7B0D52CF"/>
    <w:rsid w:val="7C4D1E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99"/>
    <w:pPr>
      <w:keepNext/>
      <w:widowControl/>
      <w:numPr>
        <w:ilvl w:val="0"/>
        <w:numId w:val="1"/>
      </w:numPr>
      <w:spacing w:before="240" w:after="240"/>
      <w:outlineLvl w:val="0"/>
    </w:pPr>
    <w:rPr>
      <w:rFonts w:ascii="Arial" w:hAnsi="Arial" w:eastAsia="黑体"/>
      <w:b/>
      <w:kern w:val="0"/>
      <w:sz w:val="32"/>
      <w:szCs w:val="32"/>
    </w:rPr>
  </w:style>
  <w:style w:type="paragraph" w:styleId="5">
    <w:name w:val="heading 2"/>
    <w:basedOn w:val="1"/>
    <w:next w:val="1"/>
    <w:link w:val="14"/>
    <w:qFormat/>
    <w:uiPriority w:val="99"/>
    <w:pPr>
      <w:keepNext/>
      <w:widowControl/>
      <w:numPr>
        <w:ilvl w:val="1"/>
        <w:numId w:val="1"/>
      </w:numPr>
      <w:tabs>
        <w:tab w:val="left" w:pos="432"/>
      </w:tabs>
      <w:spacing w:before="240" w:after="240"/>
      <w:outlineLvl w:val="1"/>
    </w:pPr>
    <w:rPr>
      <w:rFonts w:ascii="Arial" w:hAnsi="Arial" w:eastAsia="黑体"/>
      <w:kern w:val="0"/>
      <w:sz w:val="24"/>
      <w:szCs w:val="24"/>
    </w:rPr>
  </w:style>
  <w:style w:type="paragraph" w:styleId="6">
    <w:name w:val="heading 3"/>
    <w:basedOn w:val="1"/>
    <w:next w:val="1"/>
    <w:link w:val="15"/>
    <w:qFormat/>
    <w:uiPriority w:val="99"/>
    <w:pPr>
      <w:keepNext/>
      <w:keepLines/>
      <w:numPr>
        <w:ilvl w:val="2"/>
        <w:numId w:val="1"/>
      </w:numPr>
      <w:tabs>
        <w:tab w:val="left" w:pos="432"/>
      </w:tabs>
      <w:spacing w:before="260" w:after="260" w:line="416" w:lineRule="auto"/>
      <w:outlineLvl w:val="2"/>
    </w:pPr>
    <w:rPr>
      <w:rFonts w:ascii="Times New Roman" w:hAnsi="Times New Roman" w:eastAsia="黑体"/>
      <w:bCs/>
      <w:sz w:val="24"/>
      <w:szCs w:val="32"/>
    </w:rPr>
  </w:style>
  <w:style w:type="paragraph" w:styleId="7">
    <w:name w:val="heading 4"/>
    <w:basedOn w:val="1"/>
    <w:next w:val="1"/>
    <w:link w:val="16"/>
    <w:qFormat/>
    <w:uiPriority w:val="99"/>
    <w:pPr>
      <w:keepNext/>
      <w:keepLines/>
      <w:spacing w:before="40" w:after="40" w:line="377" w:lineRule="auto"/>
      <w:outlineLvl w:val="3"/>
    </w:pPr>
    <w:rPr>
      <w:rFonts w:ascii="Cambria" w:hAnsi="Cambria"/>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8">
    <w:name w:val="Balloon Text"/>
    <w:basedOn w:val="1"/>
    <w:link w:val="23"/>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字符"/>
    <w:link w:val="4"/>
    <w:qFormat/>
    <w:locked/>
    <w:uiPriority w:val="99"/>
    <w:rPr>
      <w:rFonts w:ascii="Arial" w:hAnsi="Arial" w:eastAsia="黑体"/>
      <w:b/>
      <w:sz w:val="32"/>
      <w:szCs w:val="32"/>
    </w:rPr>
  </w:style>
  <w:style w:type="character" w:customStyle="1" w:styleId="14">
    <w:name w:val="标题 2 字符"/>
    <w:link w:val="5"/>
    <w:qFormat/>
    <w:locked/>
    <w:uiPriority w:val="99"/>
    <w:rPr>
      <w:rFonts w:ascii="Arial" w:hAnsi="Arial" w:eastAsia="黑体"/>
      <w:sz w:val="24"/>
      <w:szCs w:val="24"/>
    </w:rPr>
  </w:style>
  <w:style w:type="character" w:customStyle="1" w:styleId="15">
    <w:name w:val="标题 3 字符"/>
    <w:link w:val="6"/>
    <w:qFormat/>
    <w:locked/>
    <w:uiPriority w:val="99"/>
    <w:rPr>
      <w:rFonts w:ascii="Times New Roman" w:hAnsi="Times New Roman" w:eastAsia="黑体"/>
      <w:bCs/>
      <w:kern w:val="2"/>
      <w:sz w:val="24"/>
      <w:szCs w:val="32"/>
    </w:rPr>
  </w:style>
  <w:style w:type="character" w:customStyle="1" w:styleId="16">
    <w:name w:val="标题 4 字符"/>
    <w:link w:val="7"/>
    <w:qFormat/>
    <w:locked/>
    <w:uiPriority w:val="99"/>
    <w:rPr>
      <w:rFonts w:ascii="Cambria" w:hAnsi="Cambria" w:eastAsia="宋体" w:cs="Times New Roman"/>
      <w:b/>
      <w:bCs/>
      <w:sz w:val="28"/>
      <w:szCs w:val="28"/>
    </w:rPr>
  </w:style>
  <w:style w:type="paragraph" w:customStyle="1" w:styleId="17">
    <w:name w:val="样式3"/>
    <w:basedOn w:val="6"/>
    <w:qFormat/>
    <w:uiPriority w:val="99"/>
    <w:rPr>
      <w:rFonts w:eastAsia="宋体"/>
      <w:b/>
      <w:sz w:val="28"/>
    </w:rPr>
  </w:style>
  <w:style w:type="paragraph" w:styleId="18">
    <w:name w:val="List Paragraph"/>
    <w:basedOn w:val="1"/>
    <w:qFormat/>
    <w:uiPriority w:val="34"/>
    <w:pPr>
      <w:ind w:firstLine="420" w:firstLineChars="200"/>
    </w:pPr>
    <w:rPr>
      <w:rFonts w:ascii="Times New Roman" w:hAnsi="Times New Roman"/>
      <w:szCs w:val="20"/>
    </w:rPr>
  </w:style>
  <w:style w:type="paragraph" w:customStyle="1" w:styleId="19">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
    <w:name w:val="QB表内文字"/>
    <w:basedOn w:val="1"/>
    <w:qFormat/>
    <w:uiPriority w:val="99"/>
    <w:pPr>
      <w:autoSpaceDE w:val="0"/>
      <w:autoSpaceDN w:val="0"/>
    </w:pPr>
    <w:rPr>
      <w:rFonts w:ascii="宋体" w:hAnsi="Times New Roman"/>
      <w:kern w:val="0"/>
      <w:szCs w:val="20"/>
    </w:rPr>
  </w:style>
  <w:style w:type="character" w:customStyle="1" w:styleId="21">
    <w:name w:val="页眉 字符"/>
    <w:link w:val="10"/>
    <w:qFormat/>
    <w:locked/>
    <w:uiPriority w:val="99"/>
    <w:rPr>
      <w:rFonts w:cs="Times New Roman"/>
      <w:sz w:val="18"/>
      <w:szCs w:val="18"/>
    </w:rPr>
  </w:style>
  <w:style w:type="character" w:customStyle="1" w:styleId="22">
    <w:name w:val="页脚 字符"/>
    <w:link w:val="9"/>
    <w:qFormat/>
    <w:locked/>
    <w:uiPriority w:val="99"/>
    <w:rPr>
      <w:rFonts w:cs="Times New Roman"/>
      <w:sz w:val="18"/>
      <w:szCs w:val="18"/>
    </w:rPr>
  </w:style>
  <w:style w:type="character" w:customStyle="1" w:styleId="23">
    <w:name w:val="批注框文本 字符"/>
    <w:link w:val="8"/>
    <w:semiHidden/>
    <w:qFormat/>
    <w:locked/>
    <w:uiPriority w:val="99"/>
    <w:rPr>
      <w:rFonts w:cs="Times New Roman"/>
      <w:sz w:val="18"/>
      <w:szCs w:val="18"/>
    </w:rPr>
  </w:style>
  <w:style w:type="paragraph" w:customStyle="1" w:styleId="24">
    <w:name w:val="z标题2"/>
    <w:basedOn w:val="1"/>
    <w:qFormat/>
    <w:uiPriority w:val="0"/>
    <w:pPr>
      <w:keepNext/>
      <w:keepLines/>
      <w:numPr>
        <w:ilvl w:val="1"/>
        <w:numId w:val="2"/>
      </w:numPr>
      <w:spacing w:before="120" w:after="120" w:line="360" w:lineRule="auto"/>
      <w:outlineLvl w:val="1"/>
    </w:pPr>
    <w:rPr>
      <w:rFonts w:ascii="仿宋_GB2312" w:hAnsi="Times New Roman" w:eastAsia="仿宋_GB2312"/>
      <w:b/>
      <w:bCs/>
      <w:kern w:val="44"/>
      <w:sz w:val="28"/>
      <w:szCs w:val="28"/>
    </w:rPr>
  </w:style>
  <w:style w:type="paragraph" w:customStyle="1" w:styleId="25">
    <w:name w:val="z标题1"/>
    <w:basedOn w:val="4"/>
    <w:next w:val="24"/>
    <w:qFormat/>
    <w:uiPriority w:val="0"/>
    <w:pPr>
      <w:numPr>
        <w:numId w:val="2"/>
      </w:numPr>
      <w:spacing w:line="360" w:lineRule="auto"/>
    </w:pPr>
    <w:rPr>
      <w:rFonts w:ascii="宋体" w:hAnsi="宋体" w:eastAsia="宋体"/>
    </w:rPr>
  </w:style>
  <w:style w:type="paragraph" w:customStyle="1" w:styleId="26">
    <w:name w:val="z标题3"/>
    <w:basedOn w:val="6"/>
    <w:qFormat/>
    <w:uiPriority w:val="0"/>
    <w:pPr>
      <w:numPr>
        <w:numId w:val="2"/>
      </w:numPr>
      <w:tabs>
        <w:tab w:val="clear" w:pos="432"/>
      </w:tabs>
      <w:spacing w:before="120" w:after="120" w:line="240" w:lineRule="auto"/>
    </w:pPr>
    <w:rPr>
      <w:rFonts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2650</Words>
  <Characters>2726</Characters>
  <Lines>19</Lines>
  <Paragraphs>5</Paragraphs>
  <TotalTime>0</TotalTime>
  <ScaleCrop>false</ScaleCrop>
  <LinksUpToDate>false</LinksUpToDate>
  <CharactersWithSpaces>2735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2018-06-16T08:11:00Z</dcterms:created>
  <dc:creator>李莉</dc:creator>
  <cp:lastModifiedBy>あい toma</cp:lastModifiedBy>
  <dcterms:modified xsi:type="dcterms:W3CDTF">2023-07-24T02:02:25Z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3094E23BC7684E7DA66E96CE86FF170D_13</vt:lpwstr>
  </property>
</Properties>
</file>