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第6部分 读写器技术规范》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pPr>
    </w:p>
    <w:p>
      <w:pPr>
        <w:widowControl/>
        <w:jc w:val="left"/>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年标准计划（SDBXM204-2021），项目归口管理为陕西省交通运输厅。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bookmarkStart w:id="114" w:name="_GoBack"/>
      <w:bookmarkEnd w:id="114"/>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pPr>
      <w:r>
        <w:rPr>
          <w:rFonts w:hint="eastAsia" w:ascii="仿宋_GB2312" w:eastAsia="仿宋_GB2312"/>
          <w:sz w:val="28"/>
          <w:szCs w:val="28"/>
        </w:rPr>
        <w:t>本文件为2010版《城市轨道交通自动售检票系统》地方标准的新增内容。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本文件规定了自动售检票系统读写器的种类、通用技术条件、硬件接口规格、读写器API要求、串口协议、动态库接口定义等内容。 适用于指导自动售检票系统读写器的选择、适配性设置等相关内容，以便于读写器管理，有助于实现新老线路读写器互换。本标准主要内容包括以下9个方面：</w:t>
      </w:r>
    </w:p>
    <w:p>
      <w:pPr>
        <w:snapToGrid w:val="0"/>
        <w:spacing w:line="360" w:lineRule="auto"/>
        <w:ind w:firstLine="560" w:firstLineChars="200"/>
        <w:rPr>
          <w:rFonts w:ascii="仿宋_GB2312" w:eastAsia="仿宋_GB2312"/>
          <w:sz w:val="28"/>
          <w:szCs w:val="28"/>
        </w:rPr>
      </w:pPr>
      <w:bookmarkStart w:id="1" w:name="_Toc10766"/>
      <w:bookmarkStart w:id="2" w:name="_Toc122447899"/>
      <w:r>
        <w:rPr>
          <w:rFonts w:hint="eastAsia" w:ascii="仿宋_GB2312" w:eastAsia="仿宋_GB2312"/>
          <w:sz w:val="28"/>
          <w:szCs w:val="28"/>
        </w:rPr>
        <w:t>1、范围</w:t>
      </w:r>
      <w:bookmarkEnd w:id="1"/>
      <w:bookmarkEnd w:id="2"/>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3" w:name="_Toc122447900"/>
      <w:bookmarkStart w:id="4" w:name="_Toc476161231"/>
      <w:bookmarkStart w:id="5" w:name="_Toc243813168"/>
      <w:bookmarkStart w:id="6" w:name="_Toc76811894"/>
      <w:bookmarkStart w:id="7" w:name="_Toc76805926"/>
      <w:r>
        <w:rPr>
          <w:rFonts w:hint="eastAsia" w:ascii="仿宋_GB2312" w:eastAsia="仿宋_GB2312"/>
          <w:sz w:val="28"/>
          <w:szCs w:val="28"/>
        </w:rPr>
        <w:t>2、规范性引用文件</w:t>
      </w:r>
      <w:bookmarkEnd w:id="3"/>
      <w:bookmarkEnd w:id="4"/>
      <w:bookmarkEnd w:id="5"/>
      <w:bookmarkEnd w:id="6"/>
      <w:bookmarkEnd w:id="7"/>
      <w:r>
        <w:rPr>
          <w:rFonts w:hint="eastAsia" w:ascii="仿宋_GB2312" w:eastAsia="仿宋_GB2312"/>
          <w:sz w:val="28"/>
          <w:szCs w:val="28"/>
        </w:rPr>
        <w:t>：规定了本文件参考的标准。</w:t>
      </w:r>
    </w:p>
    <w:p>
      <w:pPr>
        <w:snapToGrid w:val="0"/>
        <w:spacing w:line="360" w:lineRule="auto"/>
        <w:ind w:firstLine="560" w:firstLineChars="200"/>
        <w:rPr>
          <w:rFonts w:ascii="仿宋_GB2312" w:eastAsia="仿宋_GB2312"/>
          <w:sz w:val="28"/>
          <w:szCs w:val="28"/>
        </w:rPr>
      </w:pPr>
      <w:bookmarkStart w:id="8" w:name="_Toc122447901"/>
      <w:bookmarkStart w:id="9" w:name="_Toc476161232"/>
      <w:bookmarkStart w:id="10" w:name="_Toc76811895"/>
      <w:bookmarkStart w:id="11" w:name="_Toc243813169"/>
      <w:bookmarkStart w:id="12" w:name="_Toc76805927"/>
      <w:r>
        <w:rPr>
          <w:rFonts w:hint="eastAsia" w:ascii="仿宋_GB2312" w:eastAsia="仿宋_GB2312"/>
          <w:sz w:val="28"/>
          <w:szCs w:val="28"/>
        </w:rPr>
        <w:t>3、术语和定义</w:t>
      </w:r>
      <w:bookmarkEnd w:id="8"/>
      <w:bookmarkEnd w:id="9"/>
      <w:bookmarkEnd w:id="10"/>
      <w:bookmarkEnd w:id="11"/>
      <w:bookmarkEnd w:id="12"/>
      <w:r>
        <w:rPr>
          <w:rFonts w:hint="eastAsia" w:ascii="仿宋_GB2312" w:eastAsia="仿宋_GB2312"/>
          <w:sz w:val="28"/>
          <w:szCs w:val="28"/>
        </w:rPr>
        <w:t>：规定了本文件涉及的术语及定义内容。</w:t>
      </w:r>
    </w:p>
    <w:p>
      <w:pPr>
        <w:snapToGrid w:val="0"/>
        <w:spacing w:line="360" w:lineRule="auto"/>
        <w:ind w:firstLine="560" w:firstLineChars="200"/>
        <w:rPr>
          <w:rFonts w:ascii="仿宋_GB2312" w:eastAsia="仿宋_GB2312"/>
          <w:sz w:val="28"/>
          <w:szCs w:val="28"/>
        </w:rPr>
      </w:pPr>
      <w:bookmarkStart w:id="13" w:name="_Toc122447909"/>
      <w:r>
        <w:rPr>
          <w:rFonts w:hint="eastAsia" w:ascii="仿宋_GB2312" w:eastAsia="仿宋_GB2312"/>
          <w:sz w:val="28"/>
          <w:szCs w:val="28"/>
        </w:rPr>
        <w:t>4、读写器种类</w:t>
      </w:r>
      <w:bookmarkEnd w:id="13"/>
      <w:bookmarkStart w:id="14" w:name="_Toc122447910"/>
      <w:bookmarkStart w:id="15" w:name="_Toc7809"/>
      <w:r>
        <w:rPr>
          <w:rFonts w:hint="eastAsia" w:ascii="仿宋_GB2312" w:eastAsia="仿宋_GB2312"/>
          <w:sz w:val="28"/>
          <w:szCs w:val="28"/>
        </w:rPr>
        <w:t>：规定了读写器的种类等内容。</w:t>
      </w:r>
    </w:p>
    <w:p>
      <w:pPr>
        <w:snapToGrid w:val="0"/>
        <w:spacing w:line="360" w:lineRule="auto"/>
        <w:ind w:firstLine="560" w:firstLineChars="200"/>
        <w:rPr>
          <w:rFonts w:ascii="黑体" w:eastAsia="仿宋_GB2312"/>
        </w:rPr>
      </w:pPr>
      <w:r>
        <w:rPr>
          <w:rFonts w:hint="eastAsia" w:ascii="仿宋_GB2312" w:eastAsia="仿宋_GB2312"/>
          <w:sz w:val="28"/>
          <w:szCs w:val="28"/>
        </w:rPr>
        <w:t>5、读写器通用技术要求</w:t>
      </w:r>
      <w:bookmarkEnd w:id="14"/>
      <w:bookmarkEnd w:id="15"/>
      <w:r>
        <w:rPr>
          <w:rFonts w:hint="eastAsia" w:ascii="仿宋_GB2312" w:eastAsia="仿宋_GB2312"/>
          <w:sz w:val="28"/>
          <w:szCs w:val="28"/>
        </w:rPr>
        <w:t>：规定了读写器的</w:t>
      </w:r>
      <w:bookmarkStart w:id="16" w:name="_Toc10759"/>
      <w:bookmarkStart w:id="17" w:name="_Toc1791187661"/>
      <w:bookmarkStart w:id="18" w:name="_Toc122447911"/>
      <w:r>
        <w:rPr>
          <w:rFonts w:hint="eastAsia" w:ascii="仿宋_GB2312" w:eastAsia="仿宋_GB2312"/>
          <w:sz w:val="28"/>
          <w:szCs w:val="28"/>
        </w:rPr>
        <w:t>工作条件</w:t>
      </w:r>
      <w:bookmarkEnd w:id="16"/>
      <w:bookmarkEnd w:id="17"/>
      <w:bookmarkEnd w:id="18"/>
      <w:r>
        <w:rPr>
          <w:rFonts w:hint="eastAsia" w:ascii="仿宋_GB2312" w:eastAsia="仿宋_GB2312"/>
          <w:sz w:val="28"/>
          <w:szCs w:val="28"/>
        </w:rPr>
        <w:t>、</w:t>
      </w:r>
      <w:bookmarkStart w:id="19" w:name="_Toc17667"/>
      <w:bookmarkStart w:id="20" w:name="_Toc1065254781"/>
      <w:bookmarkStart w:id="21" w:name="_Toc122447912"/>
      <w:bookmarkStart w:id="22" w:name="_Toc243813172"/>
      <w:r>
        <w:rPr>
          <w:rFonts w:hint="eastAsia" w:ascii="仿宋_GB2312" w:eastAsia="仿宋_GB2312"/>
          <w:sz w:val="28"/>
          <w:szCs w:val="28"/>
        </w:rPr>
        <w:t>结构及生产工艺要求</w:t>
      </w:r>
      <w:bookmarkEnd w:id="19"/>
      <w:bookmarkEnd w:id="20"/>
      <w:bookmarkEnd w:id="21"/>
      <w:bookmarkEnd w:id="22"/>
      <w:r>
        <w:rPr>
          <w:rFonts w:hint="eastAsia" w:ascii="仿宋_GB2312" w:eastAsia="仿宋_GB2312"/>
          <w:sz w:val="28"/>
          <w:szCs w:val="28"/>
        </w:rPr>
        <w:t>、</w:t>
      </w:r>
      <w:bookmarkStart w:id="23" w:name="_Toc4819"/>
      <w:bookmarkStart w:id="24" w:name="_Toc243813173"/>
      <w:bookmarkStart w:id="25" w:name="_Toc122447913"/>
      <w:bookmarkStart w:id="26" w:name="_Toc636059123"/>
      <w:r>
        <w:rPr>
          <w:rFonts w:hint="eastAsia" w:ascii="仿宋_GB2312" w:eastAsia="仿宋_GB2312"/>
          <w:sz w:val="28"/>
          <w:szCs w:val="28"/>
        </w:rPr>
        <w:t>性能要求</w:t>
      </w:r>
      <w:bookmarkEnd w:id="23"/>
      <w:bookmarkEnd w:id="24"/>
      <w:bookmarkEnd w:id="25"/>
      <w:bookmarkEnd w:id="26"/>
      <w:r>
        <w:rPr>
          <w:rFonts w:hint="eastAsia" w:ascii="仿宋_GB2312" w:eastAsia="仿宋_GB2312"/>
          <w:sz w:val="28"/>
          <w:szCs w:val="28"/>
        </w:rPr>
        <w:t>、</w:t>
      </w:r>
      <w:bookmarkStart w:id="27" w:name="_Toc1739"/>
      <w:bookmarkStart w:id="28" w:name="_Toc122447914"/>
      <w:bookmarkStart w:id="29" w:name="_Toc267036084"/>
      <w:r>
        <w:rPr>
          <w:rFonts w:hint="eastAsia" w:ascii="仿宋_GB2312" w:eastAsia="仿宋_GB2312"/>
          <w:sz w:val="28"/>
          <w:szCs w:val="28"/>
        </w:rPr>
        <w:t>接口要求</w:t>
      </w:r>
      <w:bookmarkEnd w:id="27"/>
      <w:bookmarkEnd w:id="28"/>
      <w:bookmarkEnd w:id="29"/>
      <w:r>
        <w:rPr>
          <w:rFonts w:hint="eastAsia" w:ascii="仿宋_GB2312" w:eastAsia="仿宋_GB2312"/>
          <w:sz w:val="28"/>
          <w:szCs w:val="28"/>
        </w:rPr>
        <w:t>、</w:t>
      </w:r>
      <w:bookmarkStart w:id="30" w:name="_Toc122447915"/>
      <w:bookmarkStart w:id="31" w:name="_Toc1198907127"/>
      <w:bookmarkStart w:id="32" w:name="_Toc9626"/>
      <w:r>
        <w:rPr>
          <w:rFonts w:hint="eastAsia" w:ascii="仿宋_GB2312" w:eastAsia="仿宋_GB2312"/>
          <w:sz w:val="28"/>
          <w:szCs w:val="28"/>
        </w:rPr>
        <w:t>应用功能要求</w:t>
      </w:r>
      <w:bookmarkEnd w:id="30"/>
      <w:bookmarkEnd w:id="31"/>
      <w:bookmarkEnd w:id="32"/>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33" w:name="_Toc24629"/>
      <w:bookmarkStart w:id="34" w:name="_Toc122447916"/>
      <w:r>
        <w:rPr>
          <w:rFonts w:hint="eastAsia" w:ascii="仿宋_GB2312" w:eastAsia="仿宋_GB2312"/>
          <w:sz w:val="28"/>
          <w:szCs w:val="28"/>
        </w:rPr>
        <w:t>6、读写器硬件接口规格</w:t>
      </w:r>
      <w:bookmarkEnd w:id="33"/>
      <w:bookmarkEnd w:id="34"/>
      <w:r>
        <w:rPr>
          <w:rFonts w:hint="eastAsia" w:ascii="仿宋_GB2312" w:eastAsia="仿宋_GB2312"/>
          <w:sz w:val="28"/>
          <w:szCs w:val="28"/>
        </w:rPr>
        <w:t>：规定了</w:t>
      </w:r>
      <w:bookmarkStart w:id="35" w:name="_Toc122447917"/>
      <w:bookmarkStart w:id="36" w:name="_Toc248696080"/>
      <w:bookmarkStart w:id="37" w:name="_Toc1615033580"/>
      <w:bookmarkStart w:id="38" w:name="_Toc5565"/>
      <w:r>
        <w:rPr>
          <w:rFonts w:hint="eastAsia" w:ascii="仿宋_GB2312" w:eastAsia="仿宋_GB2312"/>
          <w:sz w:val="28"/>
          <w:szCs w:val="28"/>
        </w:rPr>
        <w:t>读写器接口规格</w:t>
      </w:r>
      <w:bookmarkEnd w:id="35"/>
      <w:bookmarkEnd w:id="36"/>
      <w:bookmarkEnd w:id="37"/>
      <w:bookmarkEnd w:id="38"/>
      <w:r>
        <w:rPr>
          <w:rFonts w:hint="eastAsia" w:ascii="仿宋_GB2312" w:eastAsia="仿宋_GB2312"/>
          <w:sz w:val="28"/>
          <w:szCs w:val="28"/>
        </w:rPr>
        <w:t>、</w:t>
      </w:r>
      <w:bookmarkStart w:id="39" w:name="_Toc1598770634"/>
      <w:bookmarkStart w:id="40" w:name="_Toc122447918"/>
      <w:bookmarkStart w:id="41" w:name="_Toc246326349"/>
      <w:bookmarkStart w:id="42" w:name="_Toc224547861"/>
      <w:bookmarkStart w:id="43" w:name="_Toc1483"/>
      <w:bookmarkStart w:id="44" w:name="_Toc248696086"/>
      <w:r>
        <w:rPr>
          <w:rFonts w:hint="eastAsia" w:ascii="仿宋_GB2312" w:eastAsia="仿宋_GB2312"/>
          <w:sz w:val="28"/>
          <w:szCs w:val="28"/>
        </w:rPr>
        <w:t>应用接口</w:t>
      </w:r>
      <w:bookmarkEnd w:id="39"/>
      <w:bookmarkEnd w:id="40"/>
      <w:bookmarkEnd w:id="41"/>
      <w:bookmarkEnd w:id="42"/>
      <w:bookmarkEnd w:id="43"/>
      <w:bookmarkEnd w:id="44"/>
      <w:r>
        <w:rPr>
          <w:rFonts w:hint="eastAsia" w:ascii="仿宋_GB2312" w:eastAsia="仿宋_GB2312"/>
          <w:sz w:val="28"/>
          <w:szCs w:val="28"/>
        </w:rPr>
        <w:t>要求等内容。</w:t>
      </w:r>
    </w:p>
    <w:p>
      <w:pPr>
        <w:snapToGrid w:val="0"/>
        <w:spacing w:line="360" w:lineRule="auto"/>
        <w:ind w:firstLine="560" w:firstLineChars="200"/>
        <w:rPr>
          <w:rFonts w:ascii="仿宋_GB2312" w:eastAsia="仿宋_GB2312"/>
          <w:sz w:val="28"/>
          <w:szCs w:val="28"/>
        </w:rPr>
      </w:pPr>
      <w:bookmarkStart w:id="45" w:name="_Toc122447919"/>
      <w:bookmarkStart w:id="46" w:name="_Toc412"/>
      <w:r>
        <w:rPr>
          <w:rFonts w:hint="eastAsia" w:ascii="仿宋_GB2312" w:eastAsia="仿宋_GB2312"/>
          <w:sz w:val="28"/>
          <w:szCs w:val="28"/>
        </w:rPr>
        <w:t>7、读写器API要求</w:t>
      </w:r>
      <w:bookmarkEnd w:id="45"/>
      <w:bookmarkEnd w:id="46"/>
      <w:r>
        <w:rPr>
          <w:rFonts w:hint="eastAsia" w:ascii="仿宋_GB2312" w:eastAsia="仿宋_GB2312"/>
          <w:sz w:val="28"/>
          <w:szCs w:val="28"/>
        </w:rPr>
        <w:t>：规定了</w:t>
      </w:r>
      <w:bookmarkStart w:id="47" w:name="_Toc1431356213"/>
      <w:bookmarkStart w:id="48" w:name="_Toc28774"/>
      <w:bookmarkStart w:id="49" w:name="_Toc469998485"/>
      <w:bookmarkStart w:id="50" w:name="_Toc122447920"/>
      <w:bookmarkStart w:id="51" w:name="_Toc470189262"/>
      <w:r>
        <w:rPr>
          <w:rFonts w:hint="eastAsia" w:ascii="仿宋_GB2312" w:eastAsia="仿宋_GB2312"/>
          <w:sz w:val="28"/>
          <w:szCs w:val="28"/>
        </w:rPr>
        <w:t>读写器操作系统的要求</w:t>
      </w:r>
      <w:bookmarkEnd w:id="47"/>
      <w:bookmarkEnd w:id="48"/>
      <w:bookmarkEnd w:id="49"/>
      <w:bookmarkEnd w:id="50"/>
      <w:bookmarkEnd w:id="51"/>
      <w:r>
        <w:rPr>
          <w:rFonts w:hint="eastAsia" w:ascii="仿宋_GB2312" w:eastAsia="仿宋_GB2312"/>
          <w:sz w:val="28"/>
          <w:szCs w:val="28"/>
        </w:rPr>
        <w:t>、</w:t>
      </w:r>
      <w:bookmarkStart w:id="52" w:name="_Toc469998486"/>
      <w:bookmarkStart w:id="53" w:name="_Toc692058197"/>
      <w:bookmarkStart w:id="54" w:name="_Toc122447921"/>
      <w:bookmarkStart w:id="55" w:name="_Toc27330"/>
      <w:bookmarkStart w:id="56" w:name="_Toc470189263"/>
      <w:r>
        <w:rPr>
          <w:rFonts w:hint="eastAsia" w:ascii="仿宋_GB2312" w:eastAsia="仿宋_GB2312"/>
          <w:sz w:val="28"/>
          <w:szCs w:val="28"/>
        </w:rPr>
        <w:t>底层驱动要求</w:t>
      </w:r>
      <w:bookmarkEnd w:id="52"/>
      <w:bookmarkEnd w:id="53"/>
      <w:bookmarkEnd w:id="54"/>
      <w:bookmarkEnd w:id="55"/>
      <w:bookmarkEnd w:id="56"/>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57" w:name="_Toc1487747249"/>
      <w:bookmarkStart w:id="58" w:name="_Toc122447922"/>
      <w:bookmarkStart w:id="59" w:name="_Toc7985"/>
      <w:r>
        <w:rPr>
          <w:rFonts w:hint="eastAsia" w:ascii="仿宋_GB2312" w:eastAsia="仿宋_GB2312"/>
          <w:sz w:val="28"/>
          <w:szCs w:val="28"/>
        </w:rPr>
        <w:t>8、读写器串口通讯协议</w:t>
      </w:r>
      <w:bookmarkEnd w:id="57"/>
      <w:bookmarkEnd w:id="58"/>
      <w:bookmarkEnd w:id="59"/>
      <w:r>
        <w:rPr>
          <w:rFonts w:hint="eastAsia" w:ascii="仿宋_GB2312" w:eastAsia="仿宋_GB2312"/>
          <w:sz w:val="28"/>
          <w:szCs w:val="28"/>
        </w:rPr>
        <w:t>：规定了</w:t>
      </w:r>
      <w:bookmarkStart w:id="60" w:name="_Toc28752"/>
      <w:bookmarkStart w:id="61" w:name="_Toc122447923"/>
      <w:bookmarkStart w:id="62" w:name="_Toc1415911922"/>
      <w:r>
        <w:rPr>
          <w:rFonts w:hint="eastAsia" w:ascii="仿宋_GB2312" w:eastAsia="仿宋_GB2312"/>
          <w:sz w:val="28"/>
          <w:szCs w:val="28"/>
        </w:rPr>
        <w:t>通信协议</w:t>
      </w:r>
      <w:bookmarkEnd w:id="60"/>
      <w:bookmarkEnd w:id="61"/>
      <w:bookmarkEnd w:id="62"/>
      <w:r>
        <w:rPr>
          <w:rFonts w:hint="eastAsia" w:ascii="仿宋_GB2312" w:eastAsia="仿宋_GB2312"/>
          <w:sz w:val="28"/>
          <w:szCs w:val="28"/>
        </w:rPr>
        <w:t>、</w:t>
      </w:r>
      <w:bookmarkStart w:id="63" w:name="_Toc26335"/>
      <w:bookmarkStart w:id="64" w:name="_Toc965380647"/>
      <w:bookmarkStart w:id="65" w:name="_Toc347151813"/>
      <w:bookmarkStart w:id="66" w:name="_Toc470253077"/>
      <w:bookmarkStart w:id="67" w:name="_Toc122447924"/>
      <w:r>
        <w:rPr>
          <w:rFonts w:hint="eastAsia" w:ascii="仿宋_GB2312" w:eastAsia="仿宋_GB2312"/>
          <w:sz w:val="28"/>
          <w:szCs w:val="28"/>
        </w:rPr>
        <w:t>物理层</w:t>
      </w:r>
      <w:bookmarkEnd w:id="63"/>
      <w:bookmarkEnd w:id="64"/>
      <w:bookmarkEnd w:id="65"/>
      <w:bookmarkEnd w:id="66"/>
      <w:bookmarkEnd w:id="67"/>
      <w:r>
        <w:rPr>
          <w:rFonts w:hint="eastAsia" w:ascii="仿宋_GB2312" w:eastAsia="仿宋_GB2312"/>
          <w:sz w:val="28"/>
          <w:szCs w:val="28"/>
        </w:rPr>
        <w:t>、</w:t>
      </w:r>
      <w:bookmarkStart w:id="68" w:name="_Toc470253078"/>
      <w:bookmarkStart w:id="69" w:name="_Toc913581044"/>
      <w:bookmarkStart w:id="70" w:name="_Toc347151814"/>
      <w:bookmarkStart w:id="71" w:name="_Toc122447925"/>
      <w:r>
        <w:rPr>
          <w:rFonts w:hint="eastAsia" w:ascii="仿宋_GB2312" w:eastAsia="仿宋_GB2312"/>
          <w:sz w:val="28"/>
          <w:szCs w:val="28"/>
        </w:rPr>
        <w:t>数据链路层</w:t>
      </w:r>
      <w:bookmarkEnd w:id="68"/>
      <w:bookmarkEnd w:id="69"/>
      <w:bookmarkEnd w:id="70"/>
      <w:bookmarkEnd w:id="71"/>
      <w:r>
        <w:rPr>
          <w:rFonts w:hint="eastAsia" w:ascii="仿宋_GB2312" w:eastAsia="仿宋_GB2312"/>
          <w:sz w:val="28"/>
          <w:szCs w:val="28"/>
        </w:rPr>
        <w:t>、</w:t>
      </w:r>
      <w:bookmarkStart w:id="72" w:name="_Toc1279491293"/>
      <w:bookmarkStart w:id="73" w:name="_Toc347151819"/>
      <w:bookmarkStart w:id="74" w:name="_Toc470253085"/>
      <w:bookmarkStart w:id="75" w:name="_Toc122447926"/>
      <w:r>
        <w:rPr>
          <w:rFonts w:hint="eastAsia" w:ascii="仿宋_GB2312" w:eastAsia="仿宋_GB2312"/>
          <w:sz w:val="28"/>
          <w:szCs w:val="28"/>
        </w:rPr>
        <w:t>应用层</w:t>
      </w:r>
      <w:bookmarkEnd w:id="72"/>
      <w:bookmarkEnd w:id="73"/>
      <w:bookmarkEnd w:id="74"/>
      <w:bookmarkEnd w:id="75"/>
      <w:r>
        <w:rPr>
          <w:rFonts w:hint="eastAsia" w:ascii="仿宋_GB2312" w:eastAsia="仿宋_GB2312"/>
          <w:sz w:val="28"/>
          <w:szCs w:val="28"/>
        </w:rPr>
        <w:t>、</w:t>
      </w:r>
      <w:bookmarkStart w:id="76" w:name="_Toc347151820"/>
      <w:bookmarkStart w:id="77" w:name="_Toc122447927"/>
      <w:bookmarkStart w:id="78" w:name="_Toc1656404040"/>
      <w:bookmarkStart w:id="79" w:name="_Toc470253086"/>
      <w:r>
        <w:rPr>
          <w:rFonts w:hint="eastAsia" w:ascii="仿宋_GB2312" w:eastAsia="仿宋_GB2312"/>
          <w:sz w:val="28"/>
          <w:szCs w:val="28"/>
        </w:rPr>
        <w:t>TPU工作状态</w:t>
      </w:r>
      <w:bookmarkEnd w:id="76"/>
      <w:bookmarkEnd w:id="77"/>
      <w:bookmarkEnd w:id="78"/>
      <w:bookmarkEnd w:id="79"/>
      <w:r>
        <w:rPr>
          <w:rFonts w:hint="eastAsia" w:ascii="仿宋_GB2312" w:eastAsia="仿宋_GB2312"/>
          <w:sz w:val="28"/>
          <w:szCs w:val="28"/>
        </w:rPr>
        <w:t>、</w:t>
      </w:r>
      <w:bookmarkStart w:id="80" w:name="_Toc347151823"/>
      <w:bookmarkStart w:id="81" w:name="_Toc122447928"/>
      <w:bookmarkStart w:id="82" w:name="_Toc470253089"/>
      <w:bookmarkStart w:id="83" w:name="_Toc26075"/>
      <w:bookmarkStart w:id="84" w:name="_Toc707283844"/>
      <w:r>
        <w:rPr>
          <w:rFonts w:hint="eastAsia" w:ascii="仿宋_GB2312" w:eastAsia="仿宋_GB2312"/>
          <w:sz w:val="28"/>
          <w:szCs w:val="28"/>
        </w:rPr>
        <w:t>通信时序</w:t>
      </w:r>
      <w:bookmarkEnd w:id="80"/>
      <w:bookmarkEnd w:id="81"/>
      <w:bookmarkEnd w:id="82"/>
      <w:bookmarkEnd w:id="83"/>
      <w:bookmarkEnd w:id="84"/>
      <w:r>
        <w:rPr>
          <w:rFonts w:hint="eastAsia" w:ascii="仿宋_GB2312" w:eastAsia="仿宋_GB2312"/>
          <w:sz w:val="28"/>
          <w:szCs w:val="28"/>
        </w:rPr>
        <w:t>、</w:t>
      </w:r>
      <w:bookmarkStart w:id="85" w:name="_Toc347151831"/>
      <w:bookmarkStart w:id="86" w:name="_Toc122447929"/>
      <w:bookmarkStart w:id="87" w:name="_Toc470253097"/>
      <w:bookmarkStart w:id="88" w:name="_Toc8096"/>
      <w:bookmarkStart w:id="89" w:name="_Toc312736104"/>
      <w:r>
        <w:rPr>
          <w:rFonts w:hint="eastAsia" w:ascii="仿宋_GB2312" w:eastAsia="仿宋_GB2312"/>
          <w:sz w:val="28"/>
          <w:szCs w:val="28"/>
        </w:rPr>
        <w:t>协议数据正文详细格式</w:t>
      </w:r>
      <w:bookmarkEnd w:id="85"/>
      <w:bookmarkEnd w:id="86"/>
      <w:bookmarkEnd w:id="87"/>
      <w:bookmarkEnd w:id="88"/>
      <w:bookmarkEnd w:id="89"/>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90" w:name="_Toc4970"/>
      <w:bookmarkStart w:id="91" w:name="_Toc29206"/>
      <w:bookmarkStart w:id="92" w:name="_Toc248696079"/>
      <w:bookmarkStart w:id="93" w:name="_Toc224547857"/>
      <w:bookmarkStart w:id="94" w:name="_Toc246326343"/>
      <w:bookmarkStart w:id="95" w:name="_Toc1628948448"/>
      <w:r>
        <w:rPr>
          <w:rFonts w:hint="eastAsia" w:ascii="仿宋_GB2312" w:eastAsia="仿宋_GB2312"/>
          <w:sz w:val="28"/>
          <w:szCs w:val="28"/>
        </w:rPr>
        <w:t>9、设备动态库接口定义</w:t>
      </w:r>
      <w:bookmarkEnd w:id="90"/>
      <w:bookmarkEnd w:id="91"/>
      <w:r>
        <w:rPr>
          <w:rFonts w:hint="eastAsia" w:ascii="仿宋_GB2312" w:eastAsia="仿宋_GB2312"/>
          <w:sz w:val="28"/>
          <w:szCs w:val="28"/>
        </w:rPr>
        <w:t>：规定了</w:t>
      </w:r>
      <w:bookmarkStart w:id="96" w:name="_Toc5602"/>
      <w:bookmarkStart w:id="97" w:name="_Toc20367"/>
      <w:r>
        <w:rPr>
          <w:rFonts w:hint="eastAsia" w:ascii="仿宋_GB2312" w:eastAsia="仿宋_GB2312"/>
          <w:sz w:val="28"/>
          <w:szCs w:val="28"/>
        </w:rPr>
        <w:t>打开读写器、关闭读写器</w:t>
      </w:r>
      <w:bookmarkEnd w:id="96"/>
      <w:bookmarkEnd w:id="97"/>
      <w:r>
        <w:rPr>
          <w:rFonts w:hint="eastAsia" w:ascii="仿宋_GB2312" w:eastAsia="仿宋_GB2312"/>
          <w:sz w:val="28"/>
          <w:szCs w:val="28"/>
        </w:rPr>
        <w:t>、</w:t>
      </w:r>
      <w:bookmarkStart w:id="98" w:name="_Toc4500"/>
      <w:bookmarkStart w:id="99" w:name="_Toc7594"/>
      <w:r>
        <w:rPr>
          <w:rFonts w:hint="eastAsia" w:ascii="仿宋_GB2312" w:eastAsia="仿宋_GB2312"/>
          <w:sz w:val="28"/>
          <w:szCs w:val="28"/>
        </w:rPr>
        <w:t>初始化TPU</w:t>
      </w:r>
      <w:bookmarkEnd w:id="98"/>
      <w:bookmarkEnd w:id="99"/>
      <w:r>
        <w:rPr>
          <w:rFonts w:hint="eastAsia" w:ascii="仿宋_GB2312" w:eastAsia="仿宋_GB2312"/>
          <w:sz w:val="28"/>
          <w:szCs w:val="28"/>
        </w:rPr>
        <w:t>、</w:t>
      </w:r>
      <w:bookmarkStart w:id="100" w:name="_Toc19523"/>
      <w:bookmarkStart w:id="101" w:name="_Toc8847"/>
      <w:r>
        <w:rPr>
          <w:rFonts w:hint="eastAsia" w:ascii="仿宋_GB2312" w:eastAsia="仿宋_GB2312"/>
          <w:sz w:val="28"/>
          <w:szCs w:val="28"/>
        </w:rPr>
        <w:t>复位TPU</w:t>
      </w:r>
      <w:bookmarkEnd w:id="100"/>
      <w:bookmarkEnd w:id="101"/>
      <w:r>
        <w:rPr>
          <w:rFonts w:hint="eastAsia" w:ascii="仿宋_GB2312" w:eastAsia="仿宋_GB2312"/>
          <w:sz w:val="28"/>
          <w:szCs w:val="28"/>
        </w:rPr>
        <w:t>、</w:t>
      </w:r>
      <w:bookmarkStart w:id="102" w:name="_Toc19917"/>
      <w:bookmarkStart w:id="103" w:name="_Toc31138"/>
      <w:r>
        <w:rPr>
          <w:rFonts w:hint="eastAsia" w:ascii="仿宋_GB2312" w:eastAsia="仿宋_GB2312"/>
          <w:sz w:val="28"/>
          <w:szCs w:val="28"/>
        </w:rPr>
        <w:t>停止TPU业务</w:t>
      </w:r>
      <w:bookmarkEnd w:id="102"/>
      <w:bookmarkEnd w:id="103"/>
      <w:r>
        <w:rPr>
          <w:rFonts w:hint="eastAsia" w:ascii="仿宋_GB2312" w:eastAsia="仿宋_GB2312"/>
          <w:sz w:val="28"/>
          <w:szCs w:val="28"/>
        </w:rPr>
        <w:t>、</w:t>
      </w:r>
      <w:bookmarkStart w:id="104" w:name="_Toc18070"/>
      <w:bookmarkStart w:id="105" w:name="_Toc6546"/>
      <w:r>
        <w:rPr>
          <w:rFonts w:hint="eastAsia" w:ascii="仿宋_GB2312" w:eastAsia="仿宋_GB2312"/>
          <w:sz w:val="28"/>
          <w:szCs w:val="28"/>
        </w:rPr>
        <w:t>中止TPU业务</w:t>
      </w:r>
      <w:bookmarkEnd w:id="104"/>
      <w:bookmarkEnd w:id="105"/>
      <w:r>
        <w:rPr>
          <w:rFonts w:hint="eastAsia" w:ascii="仿宋_GB2312" w:eastAsia="仿宋_GB2312"/>
          <w:sz w:val="28"/>
          <w:szCs w:val="28"/>
        </w:rPr>
        <w:t>等内容。</w:t>
      </w:r>
      <w:bookmarkEnd w:id="92"/>
      <w:bookmarkEnd w:id="93"/>
      <w:bookmarkEnd w:id="94"/>
      <w:bookmarkEnd w:id="95"/>
    </w:p>
    <w:p>
      <w:pPr>
        <w:pStyle w:val="25"/>
      </w:pPr>
      <w:bookmarkStart w:id="106" w:name="_Toc139293901"/>
      <w:r>
        <w:rPr>
          <w:rFonts w:hint="eastAsia"/>
        </w:rPr>
        <w:t>实证研究</w:t>
      </w:r>
      <w:bookmarkEnd w:id="106"/>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bookmarkStart w:id="107" w:name="_Toc139293902"/>
      <w:bookmarkStart w:id="108" w:name="_Toc347430526"/>
      <w:r>
        <w:rPr>
          <w:rFonts w:hint="eastAsia"/>
        </w:rPr>
        <w:t>知识产权说明</w:t>
      </w:r>
      <w:bookmarkEnd w:id="107"/>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109" w:name="_Toc139293903"/>
      <w:r>
        <w:rPr>
          <w:rFonts w:hint="eastAsia"/>
        </w:rPr>
        <w:t>采标情况</w:t>
      </w:r>
      <w:bookmarkEnd w:id="109"/>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在《城市轨道交通自动售检票系统第6部分读写器技术规范》标准的编制中，重点参考了国际标准ISO/IEC14443 TYPEA中非接触IC卡相关内容，国际标准ISO/IEC7816中标准读写器安全认证、TYPEA/B卡SAM安全认证等内容，对城市轨道交通自动售检票系统技术标准的对应内容等进行规定。</w:t>
      </w:r>
    </w:p>
    <w:p>
      <w:pPr>
        <w:pStyle w:val="25"/>
      </w:pPr>
      <w:bookmarkStart w:id="110" w:name="_Toc460829091"/>
      <w:bookmarkStart w:id="111" w:name="_Toc139293904"/>
      <w:r>
        <w:t>重大分歧意见的处理经过和依据</w:t>
      </w:r>
      <w:bookmarkEnd w:id="110"/>
      <w:bookmarkEnd w:id="111"/>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112" w:name="_Toc139293905"/>
      <w:bookmarkStart w:id="113" w:name="_Toc460829095"/>
      <w:r>
        <w:t>其它应予说明的事项</w:t>
      </w:r>
      <w:bookmarkEnd w:id="112"/>
      <w:bookmarkEnd w:id="113"/>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108"/>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4D741C"/>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EE9"/>
    <w:rsid w:val="00994F7A"/>
    <w:rsid w:val="009A162E"/>
    <w:rsid w:val="009A7D42"/>
    <w:rsid w:val="009B186D"/>
    <w:rsid w:val="009B73CE"/>
    <w:rsid w:val="009B75BC"/>
    <w:rsid w:val="009B7794"/>
    <w:rsid w:val="009C7247"/>
    <w:rsid w:val="009D2E5A"/>
    <w:rsid w:val="009D3D6D"/>
    <w:rsid w:val="009D6B88"/>
    <w:rsid w:val="009E41A8"/>
    <w:rsid w:val="009F15AD"/>
    <w:rsid w:val="009F3BE6"/>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D0E56"/>
    <w:rsid w:val="00FD52C0"/>
    <w:rsid w:val="00FD7CB4"/>
    <w:rsid w:val="00FF330E"/>
    <w:rsid w:val="08314CF2"/>
    <w:rsid w:val="0B63226E"/>
    <w:rsid w:val="0F3C1792"/>
    <w:rsid w:val="13F22D4B"/>
    <w:rsid w:val="17C552F5"/>
    <w:rsid w:val="19EF056A"/>
    <w:rsid w:val="1A9C2D54"/>
    <w:rsid w:val="1B5D42DD"/>
    <w:rsid w:val="1BEC69FE"/>
    <w:rsid w:val="22372AAE"/>
    <w:rsid w:val="23FD3983"/>
    <w:rsid w:val="267A740D"/>
    <w:rsid w:val="2A3C6EB3"/>
    <w:rsid w:val="2DE7466A"/>
    <w:rsid w:val="358F7E1B"/>
    <w:rsid w:val="35F5085E"/>
    <w:rsid w:val="36E462B0"/>
    <w:rsid w:val="38C56C0D"/>
    <w:rsid w:val="3AD25D36"/>
    <w:rsid w:val="3B6F0C4C"/>
    <w:rsid w:val="3CA62EB1"/>
    <w:rsid w:val="3EDC6D82"/>
    <w:rsid w:val="3FA05CDE"/>
    <w:rsid w:val="450A08F4"/>
    <w:rsid w:val="47013507"/>
    <w:rsid w:val="47AE63EB"/>
    <w:rsid w:val="4B66711D"/>
    <w:rsid w:val="4E456F6D"/>
    <w:rsid w:val="54C94F38"/>
    <w:rsid w:val="5A2570B4"/>
    <w:rsid w:val="5E2C6C63"/>
    <w:rsid w:val="635D78BF"/>
    <w:rsid w:val="684D2A25"/>
    <w:rsid w:val="69AB714E"/>
    <w:rsid w:val="73107D9B"/>
    <w:rsid w:val="75D55AD0"/>
    <w:rsid w:val="7B0D52CF"/>
    <w:rsid w:val="7C3727CE"/>
    <w:rsid w:val="7F0569E9"/>
    <w:rsid w:val="7FC526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2771</Words>
  <Characters>2887</Characters>
  <Lines>21</Lines>
  <Paragraphs>5</Paragraphs>
  <TotalTime>0</TotalTime>
  <ScaleCrop>false</ScaleCrop>
  <LinksUpToDate>false</LinksUpToDate>
  <CharactersWithSpaces>2894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