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4E4" w:rsidRDefault="002374E4">
      <w:pPr>
        <w:spacing w:beforeLines="100" w:before="312" w:line="380" w:lineRule="exact"/>
        <w:jc w:val="center"/>
        <w:rPr>
          <w:rFonts w:eastAsia="黑体"/>
          <w:sz w:val="36"/>
          <w:szCs w:val="36"/>
        </w:rPr>
      </w:pPr>
    </w:p>
    <w:p w:rsidR="002374E4" w:rsidRDefault="00000000">
      <w:pPr>
        <w:spacing w:beforeLines="100" w:before="312" w:line="520" w:lineRule="exact"/>
        <w:jc w:val="center"/>
        <w:rPr>
          <w:rFonts w:eastAsia="黑体"/>
          <w:sz w:val="48"/>
          <w:szCs w:val="48"/>
        </w:rPr>
      </w:pPr>
      <w:r>
        <w:rPr>
          <w:rFonts w:eastAsia="黑体" w:hint="eastAsia"/>
          <w:sz w:val="48"/>
          <w:szCs w:val="48"/>
        </w:rPr>
        <w:t>陕</w:t>
      </w:r>
      <w:r>
        <w:rPr>
          <w:rFonts w:eastAsia="黑体" w:hint="eastAsia"/>
          <w:sz w:val="48"/>
          <w:szCs w:val="48"/>
        </w:rPr>
        <w:t xml:space="preserve"> </w:t>
      </w:r>
      <w:r>
        <w:rPr>
          <w:rFonts w:eastAsia="黑体" w:hint="eastAsia"/>
          <w:sz w:val="48"/>
          <w:szCs w:val="48"/>
        </w:rPr>
        <w:t>西</w:t>
      </w:r>
      <w:r>
        <w:rPr>
          <w:rFonts w:eastAsia="黑体" w:hint="eastAsia"/>
          <w:sz w:val="48"/>
          <w:szCs w:val="48"/>
        </w:rPr>
        <w:t xml:space="preserve"> </w:t>
      </w:r>
      <w:r>
        <w:rPr>
          <w:rFonts w:eastAsia="黑体" w:hint="eastAsia"/>
          <w:sz w:val="48"/>
          <w:szCs w:val="48"/>
        </w:rPr>
        <w:t>省</w:t>
      </w:r>
      <w:r>
        <w:rPr>
          <w:rFonts w:eastAsia="黑体" w:hint="eastAsia"/>
          <w:sz w:val="48"/>
          <w:szCs w:val="48"/>
        </w:rPr>
        <w:t xml:space="preserve"> </w:t>
      </w:r>
      <w:r>
        <w:rPr>
          <w:rFonts w:eastAsia="黑体" w:hint="eastAsia"/>
          <w:sz w:val="48"/>
          <w:szCs w:val="48"/>
        </w:rPr>
        <w:t>地</w:t>
      </w:r>
      <w:r>
        <w:rPr>
          <w:rFonts w:eastAsia="黑体" w:hint="eastAsia"/>
          <w:sz w:val="48"/>
          <w:szCs w:val="48"/>
        </w:rPr>
        <w:t xml:space="preserve"> </w:t>
      </w:r>
      <w:r>
        <w:rPr>
          <w:rFonts w:eastAsia="黑体" w:hint="eastAsia"/>
          <w:sz w:val="48"/>
          <w:szCs w:val="48"/>
        </w:rPr>
        <w:t>方</w:t>
      </w:r>
      <w:r>
        <w:rPr>
          <w:rFonts w:eastAsia="黑体" w:hint="eastAsia"/>
          <w:sz w:val="48"/>
          <w:szCs w:val="48"/>
        </w:rPr>
        <w:t xml:space="preserve"> </w:t>
      </w:r>
      <w:r>
        <w:rPr>
          <w:rFonts w:eastAsia="黑体" w:hint="eastAsia"/>
          <w:sz w:val="48"/>
          <w:szCs w:val="48"/>
        </w:rPr>
        <w:t>标</w:t>
      </w:r>
      <w:r>
        <w:rPr>
          <w:rFonts w:eastAsia="黑体" w:hint="eastAsia"/>
          <w:sz w:val="48"/>
          <w:szCs w:val="48"/>
        </w:rPr>
        <w:t xml:space="preserve"> </w:t>
      </w:r>
      <w:r>
        <w:rPr>
          <w:rFonts w:eastAsia="黑体" w:hint="eastAsia"/>
          <w:sz w:val="48"/>
          <w:szCs w:val="48"/>
        </w:rPr>
        <w:t>准</w:t>
      </w:r>
    </w:p>
    <w:p w:rsidR="00F07625" w:rsidRDefault="00000000">
      <w:pPr>
        <w:spacing w:beforeLines="100" w:before="312" w:line="520" w:lineRule="exact"/>
        <w:jc w:val="center"/>
        <w:rPr>
          <w:rFonts w:eastAsia="黑体"/>
          <w:b/>
          <w:sz w:val="52"/>
          <w:szCs w:val="52"/>
        </w:rPr>
      </w:pPr>
      <w:r>
        <w:rPr>
          <w:rFonts w:eastAsia="黑体" w:hint="eastAsia"/>
          <w:b/>
          <w:sz w:val="52"/>
          <w:szCs w:val="52"/>
        </w:rPr>
        <w:t>《</w:t>
      </w:r>
      <w:r w:rsidR="00886C8E" w:rsidRPr="00886C8E">
        <w:rPr>
          <w:rFonts w:eastAsia="黑体" w:hint="eastAsia"/>
          <w:b/>
          <w:sz w:val="52"/>
          <w:szCs w:val="52"/>
        </w:rPr>
        <w:t>文冠果丰产栽培技术规程</w:t>
      </w:r>
      <w:r>
        <w:rPr>
          <w:rFonts w:eastAsia="黑体" w:hint="eastAsia"/>
          <w:b/>
          <w:sz w:val="52"/>
          <w:szCs w:val="52"/>
        </w:rPr>
        <w:t>》</w:t>
      </w:r>
    </w:p>
    <w:p w:rsidR="002374E4" w:rsidRDefault="00F07625">
      <w:pPr>
        <w:spacing w:beforeLines="100" w:before="312" w:line="520" w:lineRule="exact"/>
        <w:jc w:val="center"/>
        <w:rPr>
          <w:rFonts w:eastAsia="黑体"/>
          <w:b/>
          <w:sz w:val="52"/>
          <w:szCs w:val="52"/>
        </w:rPr>
      </w:pPr>
      <w:r>
        <w:rPr>
          <w:rFonts w:eastAsia="黑体" w:hint="eastAsia"/>
          <w:b/>
          <w:sz w:val="52"/>
          <w:szCs w:val="52"/>
        </w:rPr>
        <w:t>（征求意见稿）</w:t>
      </w:r>
    </w:p>
    <w:p w:rsidR="002374E4" w:rsidRDefault="00000000">
      <w:pPr>
        <w:spacing w:beforeLines="100" w:before="312" w:line="520" w:lineRule="exact"/>
        <w:jc w:val="center"/>
        <w:rPr>
          <w:rFonts w:eastAsia="黑体"/>
          <w:sz w:val="40"/>
          <w:szCs w:val="36"/>
        </w:rPr>
      </w:pPr>
      <w:r>
        <w:rPr>
          <w:rFonts w:eastAsia="黑体" w:hint="eastAsia"/>
          <w:sz w:val="40"/>
          <w:szCs w:val="36"/>
        </w:rPr>
        <w:t>编</w:t>
      </w:r>
      <w:r>
        <w:rPr>
          <w:rFonts w:eastAsia="黑体" w:hint="eastAsia"/>
          <w:sz w:val="40"/>
          <w:szCs w:val="36"/>
        </w:rPr>
        <w:t xml:space="preserve"> </w:t>
      </w:r>
      <w:r>
        <w:rPr>
          <w:rFonts w:eastAsia="黑体" w:hint="eastAsia"/>
          <w:sz w:val="40"/>
          <w:szCs w:val="36"/>
        </w:rPr>
        <w:t>制</w:t>
      </w:r>
      <w:r>
        <w:rPr>
          <w:rFonts w:eastAsia="黑体" w:hint="eastAsia"/>
          <w:sz w:val="40"/>
          <w:szCs w:val="36"/>
        </w:rPr>
        <w:t xml:space="preserve"> </w:t>
      </w:r>
      <w:r>
        <w:rPr>
          <w:rFonts w:eastAsia="黑体" w:hint="eastAsia"/>
          <w:sz w:val="40"/>
          <w:szCs w:val="36"/>
        </w:rPr>
        <w:t>说</w:t>
      </w:r>
      <w:r>
        <w:rPr>
          <w:rFonts w:eastAsia="黑体" w:hint="eastAsia"/>
          <w:sz w:val="40"/>
          <w:szCs w:val="36"/>
        </w:rPr>
        <w:t xml:space="preserve"> </w:t>
      </w:r>
      <w:r>
        <w:rPr>
          <w:rFonts w:eastAsia="黑体" w:hint="eastAsia"/>
          <w:sz w:val="40"/>
          <w:szCs w:val="36"/>
        </w:rPr>
        <w:t>明</w:t>
      </w:r>
    </w:p>
    <w:p w:rsidR="002374E4" w:rsidRDefault="002374E4">
      <w:pPr>
        <w:spacing w:line="52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2374E4">
      <w:pPr>
        <w:spacing w:line="380" w:lineRule="exact"/>
        <w:rPr>
          <w:sz w:val="24"/>
        </w:rPr>
      </w:pPr>
    </w:p>
    <w:p w:rsidR="002374E4" w:rsidRDefault="00000000">
      <w:pPr>
        <w:spacing w:beforeLines="100" w:before="312" w:line="520" w:lineRule="exact"/>
        <w:jc w:val="center"/>
        <w:rPr>
          <w:rFonts w:eastAsia="黑体"/>
          <w:sz w:val="40"/>
          <w:szCs w:val="36"/>
        </w:rPr>
      </w:pPr>
      <w:r>
        <w:rPr>
          <w:rFonts w:eastAsia="黑体" w:hint="eastAsia"/>
          <w:sz w:val="40"/>
          <w:szCs w:val="36"/>
        </w:rPr>
        <w:t>规程起草组</w:t>
      </w:r>
    </w:p>
    <w:p w:rsidR="002374E4" w:rsidRDefault="00000000">
      <w:pPr>
        <w:spacing w:beforeLines="100" w:before="312" w:line="520" w:lineRule="exact"/>
        <w:jc w:val="center"/>
        <w:rPr>
          <w:rFonts w:eastAsia="黑体"/>
          <w:sz w:val="40"/>
          <w:szCs w:val="36"/>
        </w:rPr>
        <w:sectPr w:rsidR="002374E4">
          <w:pgSz w:w="11906" w:h="16838"/>
          <w:pgMar w:top="1440" w:right="1800" w:bottom="1440" w:left="1800" w:header="851" w:footer="992" w:gutter="0"/>
          <w:pgNumType w:start="1"/>
          <w:cols w:space="425"/>
          <w:docGrid w:type="lines" w:linePitch="312"/>
        </w:sectPr>
      </w:pPr>
      <w:r>
        <w:rPr>
          <w:rFonts w:eastAsia="黑体" w:hint="eastAsia"/>
          <w:sz w:val="40"/>
          <w:szCs w:val="36"/>
        </w:rPr>
        <w:t>202</w:t>
      </w:r>
      <w:r w:rsidR="00886C8E">
        <w:rPr>
          <w:rFonts w:eastAsia="黑体"/>
          <w:sz w:val="40"/>
          <w:szCs w:val="36"/>
        </w:rPr>
        <w:t>3</w:t>
      </w:r>
      <w:r>
        <w:rPr>
          <w:rFonts w:eastAsia="黑体" w:hint="eastAsia"/>
          <w:sz w:val="40"/>
          <w:szCs w:val="36"/>
        </w:rPr>
        <w:t>年</w:t>
      </w:r>
      <w:r w:rsidR="00DC519F">
        <w:rPr>
          <w:rFonts w:eastAsia="黑体"/>
          <w:sz w:val="40"/>
          <w:szCs w:val="36"/>
        </w:rPr>
        <w:t>3</w:t>
      </w:r>
      <w:r>
        <w:rPr>
          <w:rFonts w:eastAsia="黑体" w:hint="eastAsia"/>
          <w:sz w:val="40"/>
          <w:szCs w:val="36"/>
        </w:rPr>
        <w:t>月</w:t>
      </w:r>
    </w:p>
    <w:p w:rsidR="002374E4"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hint="eastAsia"/>
          <w:b/>
          <w:sz w:val="28"/>
          <w:szCs w:val="28"/>
        </w:rPr>
        <w:lastRenderedPageBreak/>
        <w:t>一、工作简况</w:t>
      </w:r>
    </w:p>
    <w:p w:rsidR="002374E4" w:rsidRDefault="006F6D06">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（一）任务来源及承担单位</w:t>
      </w:r>
    </w:p>
    <w:p w:rsidR="002374E4" w:rsidRPr="008D7EA2" w:rsidRDefault="00000000" w:rsidP="008D7EA2">
      <w:pPr>
        <w:widowControl/>
        <w:spacing w:line="360" w:lineRule="auto"/>
        <w:ind w:firstLine="420"/>
        <w:rPr>
          <w:rFonts w:ascii="宋体" w:eastAsia="宋体" w:hAnsi="宋体" w:cs="宋体"/>
          <w:sz w:val="24"/>
          <w:szCs w:val="24"/>
        </w:rPr>
      </w:pPr>
      <w:r>
        <w:rPr>
          <w:rFonts w:ascii="宋体" w:eastAsia="宋体" w:hAnsi="宋体" w:cs="宋体" w:hint="eastAsia"/>
          <w:sz w:val="24"/>
          <w:szCs w:val="24"/>
        </w:rPr>
        <w:t>根据《陕西省市场监督管理局关于下达20</w:t>
      </w:r>
      <w:r w:rsidR="00886C8E">
        <w:rPr>
          <w:rFonts w:ascii="宋体" w:eastAsia="宋体" w:hAnsi="宋体" w:cs="宋体"/>
          <w:sz w:val="24"/>
          <w:szCs w:val="24"/>
        </w:rPr>
        <w:t>22</w:t>
      </w:r>
      <w:r>
        <w:rPr>
          <w:rFonts w:ascii="宋体" w:eastAsia="宋体" w:hAnsi="宋体" w:cs="宋体" w:hint="eastAsia"/>
          <w:sz w:val="24"/>
          <w:szCs w:val="24"/>
        </w:rPr>
        <w:t>年地方标准计划的通知》（</w:t>
      </w:r>
      <w:proofErr w:type="gramStart"/>
      <w:r>
        <w:rPr>
          <w:rFonts w:ascii="宋体" w:eastAsia="宋体" w:hAnsi="宋体" w:cs="宋体" w:hint="eastAsia"/>
          <w:sz w:val="24"/>
          <w:szCs w:val="24"/>
        </w:rPr>
        <w:t>陕市监</w:t>
      </w:r>
      <w:proofErr w:type="gramEnd"/>
      <w:r w:rsidR="00886C8E">
        <w:rPr>
          <w:rFonts w:ascii="宋体" w:eastAsia="宋体" w:hAnsi="宋体" w:cs="宋体" w:hint="eastAsia"/>
          <w:sz w:val="24"/>
          <w:szCs w:val="24"/>
        </w:rPr>
        <w:t>函</w:t>
      </w:r>
      <w:r>
        <w:rPr>
          <w:rFonts w:ascii="宋体" w:eastAsia="宋体" w:hAnsi="宋体" w:cs="宋体" w:hint="eastAsia"/>
          <w:sz w:val="24"/>
          <w:szCs w:val="24"/>
        </w:rPr>
        <w:t>〔20</w:t>
      </w:r>
      <w:r w:rsidR="00886C8E">
        <w:rPr>
          <w:rFonts w:ascii="宋体" w:eastAsia="宋体" w:hAnsi="宋体" w:cs="宋体"/>
          <w:sz w:val="24"/>
          <w:szCs w:val="24"/>
        </w:rPr>
        <w:t>22</w:t>
      </w:r>
      <w:r>
        <w:rPr>
          <w:rFonts w:ascii="宋体" w:eastAsia="宋体" w:hAnsi="宋体" w:cs="宋体" w:hint="eastAsia"/>
          <w:sz w:val="24"/>
          <w:szCs w:val="24"/>
        </w:rPr>
        <w:t>〕</w:t>
      </w:r>
      <w:r w:rsidR="00886C8E">
        <w:rPr>
          <w:rFonts w:ascii="宋体" w:eastAsia="宋体" w:hAnsi="宋体" w:cs="宋体" w:hint="eastAsia"/>
          <w:sz w:val="24"/>
          <w:szCs w:val="24"/>
        </w:rPr>
        <w:t>3</w:t>
      </w:r>
      <w:r w:rsidR="00886C8E">
        <w:rPr>
          <w:rFonts w:ascii="宋体" w:eastAsia="宋体" w:hAnsi="宋体" w:cs="宋体"/>
          <w:sz w:val="24"/>
          <w:szCs w:val="24"/>
        </w:rPr>
        <w:t>80</w:t>
      </w:r>
      <w:r>
        <w:rPr>
          <w:rFonts w:ascii="宋体" w:eastAsia="宋体" w:hAnsi="宋体" w:cs="宋体" w:hint="eastAsia"/>
          <w:sz w:val="24"/>
          <w:szCs w:val="24"/>
        </w:rPr>
        <w:t>号），批准《</w:t>
      </w:r>
      <w:r w:rsidR="00DF2BE0" w:rsidRPr="00DF2BE0">
        <w:rPr>
          <w:rFonts w:ascii="宋体" w:eastAsia="宋体" w:hAnsi="宋体" w:cs="宋体" w:hint="eastAsia"/>
          <w:sz w:val="24"/>
          <w:szCs w:val="24"/>
        </w:rPr>
        <w:t>文冠果丰产栽培技术规程</w:t>
      </w:r>
      <w:r>
        <w:rPr>
          <w:rFonts w:ascii="宋体" w:eastAsia="宋体" w:hAnsi="宋体" w:cs="宋体" w:hint="eastAsia"/>
          <w:sz w:val="24"/>
          <w:szCs w:val="24"/>
        </w:rPr>
        <w:t>》地方标准的</w:t>
      </w:r>
      <w:r w:rsidR="00DF2BE0">
        <w:rPr>
          <w:rFonts w:ascii="宋体" w:eastAsia="宋体" w:hAnsi="宋体" w:cs="宋体" w:hint="eastAsia"/>
          <w:sz w:val="24"/>
          <w:szCs w:val="24"/>
        </w:rPr>
        <w:t>制定</w:t>
      </w:r>
      <w:r>
        <w:rPr>
          <w:rFonts w:ascii="宋体" w:eastAsia="宋体" w:hAnsi="宋体" w:cs="宋体" w:hint="eastAsia"/>
          <w:sz w:val="24"/>
          <w:szCs w:val="24"/>
        </w:rPr>
        <w:t>计划（项目编号：</w:t>
      </w:r>
      <w:r w:rsidR="00DF2BE0" w:rsidRPr="00DF2BE0">
        <w:rPr>
          <w:rFonts w:ascii="宋体" w:eastAsia="宋体" w:hAnsi="宋体" w:cs="宋体"/>
          <w:sz w:val="24"/>
          <w:szCs w:val="24"/>
        </w:rPr>
        <w:t>SDBXM256-2022</w:t>
      </w:r>
      <w:r>
        <w:rPr>
          <w:rFonts w:ascii="宋体" w:eastAsia="宋体" w:hAnsi="宋体" w:cs="宋体" w:hint="eastAsia"/>
          <w:sz w:val="24"/>
          <w:szCs w:val="24"/>
        </w:rPr>
        <w:t>）。规程</w:t>
      </w:r>
      <w:r w:rsidR="00DF2BE0">
        <w:rPr>
          <w:rFonts w:ascii="宋体" w:eastAsia="宋体" w:hAnsi="宋体" w:cs="宋体" w:hint="eastAsia"/>
          <w:sz w:val="24"/>
          <w:szCs w:val="24"/>
        </w:rPr>
        <w:t>制定</w:t>
      </w:r>
      <w:r>
        <w:rPr>
          <w:rFonts w:ascii="宋体" w:eastAsia="宋体" w:hAnsi="宋体" w:cs="宋体" w:hint="eastAsia"/>
          <w:sz w:val="24"/>
          <w:szCs w:val="24"/>
        </w:rPr>
        <w:t>工作由陕西省林业局提出，</w:t>
      </w:r>
      <w:r w:rsidR="00DF2BE0">
        <w:rPr>
          <w:rFonts w:ascii="宋体" w:eastAsia="宋体" w:hAnsi="宋体" w:cs="宋体" w:hint="eastAsia"/>
          <w:sz w:val="24"/>
          <w:szCs w:val="24"/>
        </w:rPr>
        <w:t>陕西</w:t>
      </w:r>
      <w:r>
        <w:rPr>
          <w:rFonts w:ascii="宋体" w:eastAsia="宋体" w:hAnsi="宋体" w:cs="宋体" w:hint="eastAsia"/>
          <w:sz w:val="24"/>
          <w:szCs w:val="24"/>
        </w:rPr>
        <w:t>省</w:t>
      </w:r>
      <w:r w:rsidR="00DF2BE0">
        <w:rPr>
          <w:rFonts w:ascii="宋体" w:eastAsia="宋体" w:hAnsi="宋体" w:cs="宋体" w:hint="eastAsia"/>
          <w:sz w:val="24"/>
          <w:szCs w:val="24"/>
        </w:rPr>
        <w:t>林业科学院</w:t>
      </w:r>
      <w:r>
        <w:rPr>
          <w:rFonts w:ascii="宋体" w:eastAsia="宋体" w:hAnsi="宋体" w:cs="宋体" w:hint="eastAsia"/>
          <w:sz w:val="24"/>
          <w:szCs w:val="24"/>
        </w:rPr>
        <w:t>承担具体修订任务。</w:t>
      </w:r>
    </w:p>
    <w:p w:rsidR="00DF2BE0" w:rsidRDefault="00000000" w:rsidP="008D7EA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主要起草单位：</w:t>
      </w:r>
      <w:r w:rsidR="00DF2BE0">
        <w:rPr>
          <w:rFonts w:ascii="宋体" w:eastAsia="宋体" w:hAnsi="宋体" w:cs="宋体" w:hint="eastAsia"/>
          <w:sz w:val="24"/>
          <w:szCs w:val="24"/>
        </w:rPr>
        <w:t>陕西省林业科学院</w:t>
      </w:r>
    </w:p>
    <w:p w:rsidR="002374E4" w:rsidRPr="00DF2BE0" w:rsidRDefault="006F6D06" w:rsidP="00DF2BE0">
      <w:pPr>
        <w:spacing w:line="360" w:lineRule="auto"/>
        <w:rPr>
          <w:rFonts w:ascii="宋体" w:eastAsia="宋体" w:hAnsi="宋体" w:cs="宋体"/>
          <w:sz w:val="24"/>
          <w:szCs w:val="24"/>
        </w:rPr>
      </w:pPr>
      <w:r>
        <w:rPr>
          <w:rFonts w:ascii="Times New Roman" w:eastAsia="宋体" w:hAnsi="Times New Roman" w:cs="Times New Roman" w:hint="eastAsia"/>
          <w:b/>
          <w:sz w:val="24"/>
          <w:szCs w:val="24"/>
        </w:rPr>
        <w:t>（二）必要性和意义</w:t>
      </w:r>
    </w:p>
    <w:p w:rsidR="00F07625" w:rsidRPr="00F07625" w:rsidRDefault="00F07625" w:rsidP="00F07625">
      <w:pPr>
        <w:spacing w:line="360" w:lineRule="auto"/>
        <w:ind w:firstLineChars="200" w:firstLine="480"/>
        <w:rPr>
          <w:rFonts w:ascii="宋体" w:eastAsia="宋体" w:hAnsi="宋体" w:cs="宋体"/>
          <w:sz w:val="24"/>
          <w:szCs w:val="24"/>
        </w:rPr>
      </w:pPr>
      <w:r w:rsidRPr="00F07625">
        <w:rPr>
          <w:rFonts w:ascii="宋体" w:eastAsia="宋体" w:hAnsi="宋体" w:cs="宋体" w:hint="eastAsia"/>
          <w:sz w:val="24"/>
          <w:szCs w:val="24"/>
        </w:rPr>
        <w:t>文冠果（</w:t>
      </w:r>
      <w:proofErr w:type="spellStart"/>
      <w:r w:rsidRPr="00B90F69">
        <w:rPr>
          <w:rFonts w:ascii="宋体" w:eastAsia="宋体" w:hAnsi="宋体" w:cs="宋体" w:hint="eastAsia"/>
          <w:i/>
          <w:iCs/>
          <w:sz w:val="24"/>
          <w:szCs w:val="24"/>
        </w:rPr>
        <w:t>Xanthoceras</w:t>
      </w:r>
      <w:proofErr w:type="spellEnd"/>
      <w:r w:rsidRPr="00B90F69">
        <w:rPr>
          <w:rFonts w:ascii="宋体" w:eastAsia="宋体" w:hAnsi="宋体" w:cs="宋体" w:hint="eastAsia"/>
          <w:i/>
          <w:iCs/>
          <w:sz w:val="24"/>
          <w:szCs w:val="24"/>
        </w:rPr>
        <w:t xml:space="preserve"> </w:t>
      </w:r>
      <w:proofErr w:type="spellStart"/>
      <w:r w:rsidRPr="00B90F69">
        <w:rPr>
          <w:rFonts w:ascii="宋体" w:eastAsia="宋体" w:hAnsi="宋体" w:cs="宋体" w:hint="eastAsia"/>
          <w:i/>
          <w:iCs/>
          <w:sz w:val="24"/>
          <w:szCs w:val="24"/>
        </w:rPr>
        <w:t>sorbifolia</w:t>
      </w:r>
      <w:proofErr w:type="spellEnd"/>
      <w:r w:rsidRPr="00F07625">
        <w:rPr>
          <w:rFonts w:ascii="宋体" w:eastAsia="宋体" w:hAnsi="宋体" w:cs="宋体" w:hint="eastAsia"/>
          <w:sz w:val="24"/>
          <w:szCs w:val="24"/>
        </w:rPr>
        <w:t xml:space="preserve"> Bunge）是无患子科、文冠果属落叶灌木或小乔木，耐干旱、贫瘠、抗风沙，广泛分布于我国北部和东北部，是重要的生态经济型树种。国务院办公厅《关于加快木本油料产业发展的意见》（国办发〔2014〕68号）中明确要优化木本油料产业发展布局，加强木本油料生产基地建设，推进木本油料产业化经营，大力增加健康优质食用植物油供给，切实维护国家粮油安全。作为我国特有的食用油料树种，文冠果的大面积种植，既符合“不与粮争地、不与人争粮”的国家政策要求；对助力巩固脱贫成果同乡村振兴有效衔接，构建乡村产业新发展格局，全面推进乡村振兴具有重要现实意义。 </w:t>
      </w:r>
    </w:p>
    <w:p w:rsidR="00F07625" w:rsidRDefault="00F07625" w:rsidP="00F07625">
      <w:pPr>
        <w:spacing w:line="360" w:lineRule="auto"/>
        <w:ind w:firstLineChars="200" w:firstLine="480"/>
        <w:rPr>
          <w:rFonts w:ascii="宋体" w:eastAsia="宋体" w:hAnsi="宋体" w:cs="宋体"/>
          <w:sz w:val="24"/>
          <w:szCs w:val="24"/>
        </w:rPr>
      </w:pPr>
      <w:r w:rsidRPr="00F07625">
        <w:rPr>
          <w:rFonts w:ascii="宋体" w:eastAsia="宋体" w:hAnsi="宋体" w:cs="宋体" w:hint="eastAsia"/>
          <w:sz w:val="24"/>
          <w:szCs w:val="24"/>
        </w:rPr>
        <w:t>目前，榆林毛乌素沙区主要有红枣、山杏、长柄扁桃等经济林树种，且这些树种经济效益普遍不高。文冠果作为高级木本油料树种，具有级高的经济价值，近些年，已在黄土区有大量的种植，但毛乌素沙地目前还没有开展文冠果大面积示范推广，仅有研究性的栽培试验。本项目的实施有利于丰富榆林沙区特色经济林树种，有助于沙区乡村生态振兴。文冠果是防风固沙的优良生态树种，具有非常好的生态效益。特别是毛乌素沙地自然条件恶劣，缺水少林，生态环境脆弱，经济发展滞后。因此，建立以文冠果为主要栽培树种的木本油料林基地，可以保护水土、防风固沙和改善生态环境。中国林业科学研究院林业研究所历经10余年试验，筛选出各地区相应的优良种源，面对文冠果砧木育种基础薄弱的问题，将抗旱速生优良种源作为良种的砧木使用，结合整形修剪，总结形成了文冠果“丰产良种 + 优良砧木 + 授粉品种”轻简化栽培模式。该种栽培模式有效避免“大小年”的产生，达到稳产高产的目的。因此，在陕北沙区开展文冠果良种繁育及造林技术示范项目，推广其繁育及丰产关键技术，符合区域生态建设需求，对改</w:t>
      </w:r>
      <w:r w:rsidRPr="00F07625">
        <w:rPr>
          <w:rFonts w:ascii="宋体" w:eastAsia="宋体" w:hAnsi="宋体" w:cs="宋体" w:hint="eastAsia"/>
          <w:sz w:val="24"/>
          <w:szCs w:val="24"/>
        </w:rPr>
        <w:lastRenderedPageBreak/>
        <w:t>善沙区生态环境有着积极作用。作为生态型经济树种，文冠果既属于木本粮油产业，又属于沙产业。在毛乌素沙地发展文冠果，有利于通过科学绿化，带领广大干旱半干旱沙区群众脱贫致富。中石系列文冠果国家级良种‘中石4号’和‘中石9号’作为丰产新品种，近年来在辽宁、陕西、内蒙古、河南等省区已经实现了连续4年丰产，现已在整个三北地区进行推广。‘中石’系列文冠果在“三北”干旱、半干旱区适宜发展生态型经济林，是当地实生文冠果产量的1.5</w:t>
      </w:r>
      <w:r>
        <w:rPr>
          <w:rFonts w:ascii="宋体" w:eastAsia="宋体" w:hAnsi="宋体" w:cs="宋体" w:hint="eastAsia"/>
          <w:sz w:val="24"/>
          <w:szCs w:val="24"/>
        </w:rPr>
        <w:t>-</w:t>
      </w:r>
      <w:r w:rsidRPr="00F07625">
        <w:rPr>
          <w:rFonts w:ascii="宋体" w:eastAsia="宋体" w:hAnsi="宋体" w:cs="宋体" w:hint="eastAsia"/>
          <w:sz w:val="24"/>
          <w:szCs w:val="24"/>
        </w:rPr>
        <w:t>3倍，盛果期产种150 kg/亩计算，仅种子这一项年收入4500 元，如果榨油，产值会在3 万元以上，还有叶片制茶、树枝药用等经济来源，一次种植，多年收益。因此文冠果良种的推广不仅在完成生态环境建设的基础上，不仅为当地群众提供了劳动就业机会，增加经济收入，而且有利于国家乡村振兴战略的实施。</w:t>
      </w:r>
    </w:p>
    <w:p w:rsidR="002374E4" w:rsidRDefault="00F07625" w:rsidP="00F0762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然而</w:t>
      </w:r>
      <w:r w:rsidRPr="00F07625">
        <w:rPr>
          <w:rFonts w:ascii="宋体" w:eastAsia="宋体" w:hAnsi="宋体" w:cs="宋体" w:hint="eastAsia"/>
          <w:sz w:val="24"/>
          <w:szCs w:val="24"/>
        </w:rPr>
        <w:t>造林成活率、保存率偏低，抚育管理不到位，幼林期综合利用不足等等问题，影响了文冠果产业的发展</w:t>
      </w:r>
      <w:r>
        <w:rPr>
          <w:rFonts w:ascii="宋体" w:eastAsia="宋体" w:hAnsi="宋体" w:cs="宋体" w:hint="eastAsia"/>
          <w:sz w:val="24"/>
          <w:szCs w:val="24"/>
        </w:rPr>
        <w:t>。</w:t>
      </w:r>
      <w:r w:rsidRPr="00F07625">
        <w:rPr>
          <w:rFonts w:ascii="宋体" w:eastAsia="宋体" w:hAnsi="宋体" w:cs="宋体" w:hint="eastAsia"/>
          <w:sz w:val="24"/>
          <w:szCs w:val="24"/>
        </w:rPr>
        <w:t>急需研制颁布文冠果相关技术标准，破解制约文冠果高产稳产技术瓶颈，规范引领文冠果产业高效发展。目前，陕西省可用于发展文冠果的荒山荒坡以及沙荒地近千万亩，十四五期间，陕西省秦岭以北地区计划造林1400多万亩，文冠果产业在陕西发展空间巨大。</w:t>
      </w:r>
      <w:r>
        <w:rPr>
          <w:rFonts w:ascii="宋体" w:eastAsia="宋体" w:hAnsi="宋体" w:cs="宋体" w:hint="eastAsia"/>
          <w:color w:val="000000" w:themeColor="text1"/>
          <w:sz w:val="24"/>
          <w:szCs w:val="24"/>
        </w:rPr>
        <w:t>因此，编制《</w:t>
      </w:r>
      <w:r w:rsidRPr="00F07625">
        <w:rPr>
          <w:rFonts w:ascii="宋体" w:eastAsia="宋体" w:hAnsi="宋体" w:cs="宋体" w:hint="eastAsia"/>
          <w:color w:val="000000" w:themeColor="text1"/>
          <w:sz w:val="24"/>
          <w:szCs w:val="24"/>
        </w:rPr>
        <w:t>文冠果丰产栽培技术规程</w:t>
      </w:r>
      <w:r>
        <w:rPr>
          <w:rFonts w:ascii="宋体" w:eastAsia="宋体" w:hAnsi="宋体" w:cs="宋体" w:hint="eastAsia"/>
          <w:color w:val="000000" w:themeColor="text1"/>
          <w:sz w:val="24"/>
          <w:szCs w:val="24"/>
        </w:rPr>
        <w:t>》地方标准极具迫切性和必要性。</w:t>
      </w:r>
    </w:p>
    <w:p w:rsidR="002374E4" w:rsidRDefault="006F6D06">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（三）主要工作过程</w:t>
      </w:r>
    </w:p>
    <w:p w:rsidR="00A214EB" w:rsidRDefault="00000000" w:rsidP="006F6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起草小组在标准草案形成过程中，认真学习了国家标准化工作的相关政策、法规文件以及相关标准技术资料。查阅了国内外有关</w:t>
      </w:r>
      <w:r w:rsidR="006F6D06">
        <w:rPr>
          <w:rFonts w:ascii="宋体" w:eastAsia="宋体" w:hAnsi="宋体" w:cs="宋体" w:hint="eastAsia"/>
          <w:sz w:val="24"/>
          <w:szCs w:val="24"/>
        </w:rPr>
        <w:t>文冠果栽培技术</w:t>
      </w:r>
      <w:r>
        <w:rPr>
          <w:rFonts w:ascii="宋体" w:eastAsia="宋体" w:hAnsi="宋体" w:cs="宋体" w:hint="eastAsia"/>
          <w:sz w:val="24"/>
          <w:szCs w:val="24"/>
        </w:rPr>
        <w:t>的相关文献资料</w:t>
      </w:r>
      <w:r w:rsidR="00F07625">
        <w:rPr>
          <w:rFonts w:ascii="宋体" w:eastAsia="宋体" w:hAnsi="宋体" w:cs="宋体" w:hint="eastAsia"/>
          <w:sz w:val="24"/>
          <w:szCs w:val="24"/>
        </w:rPr>
        <w:t>，</w:t>
      </w:r>
      <w:r>
        <w:rPr>
          <w:rFonts w:ascii="宋体" w:eastAsia="宋体" w:hAnsi="宋体" w:cs="宋体" w:hint="eastAsia"/>
          <w:sz w:val="24"/>
          <w:szCs w:val="24"/>
        </w:rPr>
        <w:t>特别是</w:t>
      </w:r>
      <w:r w:rsidR="00F07625">
        <w:rPr>
          <w:rFonts w:ascii="宋体" w:eastAsia="宋体" w:hAnsi="宋体" w:cs="宋体" w:hint="eastAsia"/>
          <w:sz w:val="24"/>
          <w:szCs w:val="24"/>
        </w:rPr>
        <w:t>行业标准</w:t>
      </w:r>
      <w:r>
        <w:rPr>
          <w:rFonts w:ascii="宋体" w:eastAsia="宋体" w:hAnsi="宋体" w:cs="宋体" w:hint="eastAsia"/>
          <w:sz w:val="24"/>
          <w:szCs w:val="24"/>
        </w:rPr>
        <w:t>最新版《</w:t>
      </w:r>
      <w:r w:rsidR="00F07625">
        <w:rPr>
          <w:rFonts w:ascii="宋体" w:eastAsia="宋体" w:hAnsi="宋体" w:cs="宋体" w:hint="eastAsia"/>
          <w:sz w:val="24"/>
          <w:szCs w:val="24"/>
        </w:rPr>
        <w:t>文冠果</w:t>
      </w:r>
      <w:r>
        <w:rPr>
          <w:rFonts w:ascii="宋体" w:eastAsia="宋体" w:hAnsi="宋体" w:cs="宋体" w:hint="eastAsia"/>
          <w:sz w:val="24"/>
          <w:szCs w:val="24"/>
        </w:rPr>
        <w:t>技术规程》（</w:t>
      </w:r>
      <w:r w:rsidR="00F07625" w:rsidRPr="00F07625">
        <w:rPr>
          <w:rFonts w:ascii="宋体" w:eastAsia="宋体" w:hAnsi="宋体" w:cs="宋体"/>
          <w:sz w:val="24"/>
          <w:szCs w:val="24"/>
        </w:rPr>
        <w:t>LY/T 1943</w:t>
      </w:r>
      <w:r>
        <w:rPr>
          <w:rFonts w:ascii="宋体" w:eastAsia="宋体" w:hAnsi="宋体" w:cs="宋体" w:hint="eastAsia"/>
          <w:sz w:val="24"/>
          <w:szCs w:val="24"/>
        </w:rPr>
        <w:t>）。</w:t>
      </w:r>
      <w:r w:rsidR="00A214EB">
        <w:rPr>
          <w:rFonts w:ascii="宋体" w:eastAsia="宋体" w:hAnsi="宋体" w:cs="宋体" w:hint="eastAsia"/>
          <w:sz w:val="24"/>
          <w:szCs w:val="24"/>
        </w:rPr>
        <w:t>标准起草小组在多次召开工作组内部研讨会后，确定了标准框架。本标准框架主要由选址与规划、丰产林指标、</w:t>
      </w:r>
      <w:r w:rsidR="006F6D06">
        <w:rPr>
          <w:rFonts w:ascii="宋体" w:eastAsia="宋体" w:hAnsi="宋体" w:cs="宋体" w:hint="eastAsia"/>
          <w:sz w:val="24"/>
          <w:szCs w:val="24"/>
        </w:rPr>
        <w:t>丰产栽培技术、</w:t>
      </w:r>
      <w:r w:rsidR="00A214EB">
        <w:rPr>
          <w:rFonts w:ascii="宋体" w:eastAsia="宋体" w:hAnsi="宋体" w:cs="宋体" w:hint="eastAsia"/>
          <w:sz w:val="24"/>
          <w:szCs w:val="24"/>
        </w:rPr>
        <w:t>抚育管理和采收与处理</w:t>
      </w:r>
      <w:r w:rsidR="006F6D06">
        <w:rPr>
          <w:rFonts w:ascii="宋体" w:eastAsia="宋体" w:hAnsi="宋体" w:cs="宋体"/>
          <w:sz w:val="24"/>
          <w:szCs w:val="24"/>
        </w:rPr>
        <w:t>5</w:t>
      </w:r>
      <w:r w:rsidR="00A214EB">
        <w:rPr>
          <w:rFonts w:ascii="宋体" w:eastAsia="宋体" w:hAnsi="宋体" w:cs="宋体" w:hint="eastAsia"/>
          <w:sz w:val="24"/>
          <w:szCs w:val="24"/>
        </w:rPr>
        <w:t>个部分构成，从栽植到</w:t>
      </w:r>
      <w:proofErr w:type="gramStart"/>
      <w:r w:rsidR="00A214EB">
        <w:rPr>
          <w:rFonts w:ascii="宋体" w:eastAsia="宋体" w:hAnsi="宋体" w:cs="宋体" w:hint="eastAsia"/>
          <w:sz w:val="24"/>
          <w:szCs w:val="24"/>
        </w:rPr>
        <w:t>采收全</w:t>
      </w:r>
      <w:proofErr w:type="gramEnd"/>
      <w:r w:rsidR="00A214EB">
        <w:rPr>
          <w:rFonts w:ascii="宋体" w:eastAsia="宋体" w:hAnsi="宋体" w:cs="宋体" w:hint="eastAsia"/>
          <w:sz w:val="24"/>
          <w:szCs w:val="24"/>
        </w:rPr>
        <w:t>过程</w:t>
      </w:r>
      <w:r w:rsidR="009D62F1">
        <w:rPr>
          <w:rFonts w:ascii="宋体" w:eastAsia="宋体" w:hAnsi="宋体" w:cs="宋体" w:hint="eastAsia"/>
          <w:sz w:val="24"/>
          <w:szCs w:val="24"/>
        </w:rPr>
        <w:t>，技术路线如图所示：</w:t>
      </w:r>
    </w:p>
    <w:p w:rsidR="009D62F1" w:rsidRDefault="009D62F1" w:rsidP="006F6D06">
      <w:pPr>
        <w:spacing w:line="360" w:lineRule="auto"/>
        <w:ind w:firstLineChars="200" w:firstLine="480"/>
        <w:rPr>
          <w:rFonts w:ascii="宋体" w:eastAsia="宋体" w:hAnsi="宋体" w:cs="宋体"/>
          <w:sz w:val="24"/>
          <w:szCs w:val="24"/>
        </w:rPr>
      </w:pPr>
    </w:p>
    <w:p w:rsidR="00B90F69" w:rsidRDefault="00B90F69" w:rsidP="006F6D06">
      <w:pPr>
        <w:spacing w:line="360" w:lineRule="auto"/>
        <w:ind w:firstLineChars="200" w:firstLine="480"/>
        <w:rPr>
          <w:rFonts w:ascii="宋体" w:eastAsia="宋体" w:hAnsi="宋体" w:cs="宋体"/>
          <w:sz w:val="24"/>
          <w:szCs w:val="24"/>
        </w:rPr>
      </w:pPr>
    </w:p>
    <w:p w:rsidR="009D62F1" w:rsidRDefault="009D62F1" w:rsidP="006F6D06">
      <w:pPr>
        <w:spacing w:line="360" w:lineRule="auto"/>
        <w:ind w:firstLineChars="200" w:firstLine="480"/>
        <w:rPr>
          <w:rFonts w:ascii="宋体" w:eastAsia="宋体" w:hAnsi="宋体" w:cs="宋体"/>
          <w:sz w:val="24"/>
          <w:szCs w:val="24"/>
        </w:rPr>
      </w:pPr>
    </w:p>
    <w:p w:rsidR="009D62F1" w:rsidRDefault="009D62F1" w:rsidP="006F6D06">
      <w:pPr>
        <w:spacing w:line="360" w:lineRule="auto"/>
        <w:ind w:firstLineChars="200" w:firstLine="480"/>
        <w:rPr>
          <w:rFonts w:ascii="宋体" w:eastAsia="宋体" w:hAnsi="宋体" w:cs="宋体"/>
          <w:sz w:val="24"/>
          <w:szCs w:val="24"/>
        </w:rPr>
      </w:pPr>
    </w:p>
    <w:p w:rsidR="009D62F1" w:rsidRDefault="009D62F1" w:rsidP="006F6D06">
      <w:pPr>
        <w:spacing w:line="360" w:lineRule="auto"/>
        <w:ind w:firstLineChars="200" w:firstLine="480"/>
        <w:rPr>
          <w:rFonts w:ascii="宋体" w:eastAsia="宋体" w:hAnsi="宋体" w:cs="宋体"/>
          <w:sz w:val="24"/>
          <w:szCs w:val="24"/>
        </w:rPr>
      </w:pPr>
    </w:p>
    <w:p w:rsidR="009D62F1" w:rsidRDefault="009D62F1" w:rsidP="00A24CB3">
      <w:pPr>
        <w:spacing w:line="360" w:lineRule="auto"/>
        <w:rPr>
          <w:rFonts w:ascii="宋体" w:eastAsia="宋体" w:hAnsi="宋体" w:cs="宋体"/>
          <w:sz w:val="24"/>
          <w:szCs w:val="24"/>
        </w:rPr>
      </w:pPr>
      <w:r w:rsidRPr="009D62F1">
        <w:rPr>
          <w:rFonts w:ascii="宋体" w:eastAsia="宋体" w:hAnsi="宋体" w:cs="宋体"/>
          <w:noProof/>
          <w:sz w:val="24"/>
          <w:szCs w:val="24"/>
        </w:rPr>
        <w:lastRenderedPageBreak/>
        <w:drawing>
          <wp:anchor distT="0" distB="0" distL="114300" distR="114300" simplePos="0" relativeHeight="251658240" behindDoc="0" locked="0" layoutInCell="1" allowOverlap="1" wp14:anchorId="3D72E030">
            <wp:simplePos x="0" y="0"/>
            <wp:positionH relativeFrom="column">
              <wp:posOffset>-27305</wp:posOffset>
            </wp:positionH>
            <wp:positionV relativeFrom="paragraph">
              <wp:posOffset>74295</wp:posOffset>
            </wp:positionV>
            <wp:extent cx="5367655" cy="5603240"/>
            <wp:effectExtent l="0" t="0" r="4445" b="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67655" cy="5603240"/>
                    </a:xfrm>
                    <a:prstGeom prst="rect">
                      <a:avLst/>
                    </a:prstGeom>
                  </pic:spPr>
                </pic:pic>
              </a:graphicData>
            </a:graphic>
          </wp:anchor>
        </w:drawing>
      </w:r>
    </w:p>
    <w:p w:rsidR="009D62F1" w:rsidRDefault="009D62F1" w:rsidP="009D62F1">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图1</w:t>
      </w:r>
      <w:r>
        <w:rPr>
          <w:rFonts w:ascii="宋体" w:eastAsia="宋体" w:hAnsi="宋体" w:cs="宋体"/>
          <w:sz w:val="24"/>
          <w:szCs w:val="24"/>
        </w:rPr>
        <w:t xml:space="preserve"> </w:t>
      </w:r>
      <w:r>
        <w:rPr>
          <w:rFonts w:ascii="宋体" w:eastAsia="宋体" w:hAnsi="宋体" w:cs="宋体" w:hint="eastAsia"/>
          <w:sz w:val="24"/>
          <w:szCs w:val="24"/>
        </w:rPr>
        <w:t>技术路线</w:t>
      </w:r>
    </w:p>
    <w:p w:rsidR="002374E4"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hint="eastAsia"/>
          <w:b/>
          <w:sz w:val="28"/>
          <w:szCs w:val="28"/>
        </w:rPr>
        <w:t>二、技术规程编制原则和主要内容</w:t>
      </w:r>
    </w:p>
    <w:p w:rsidR="002374E4" w:rsidRDefault="009D62F1">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（一）编制原则</w:t>
      </w:r>
    </w:p>
    <w:p w:rsidR="003529F1" w:rsidRDefault="009D62F1" w:rsidP="003529F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本标准按照GB</w:t>
      </w:r>
      <w:r>
        <w:rPr>
          <w:rFonts w:ascii="宋体" w:eastAsia="宋体" w:hAnsi="宋体" w:cs="宋体"/>
          <w:sz w:val="24"/>
          <w:szCs w:val="24"/>
        </w:rPr>
        <w:t>/T1.1</w:t>
      </w:r>
      <w:r>
        <w:rPr>
          <w:rFonts w:ascii="宋体" w:eastAsia="宋体" w:hAnsi="宋体" w:cs="宋体" w:hint="eastAsia"/>
          <w:sz w:val="24"/>
          <w:szCs w:val="24"/>
        </w:rPr>
        <w:t>-</w:t>
      </w:r>
      <w:r>
        <w:rPr>
          <w:rFonts w:ascii="宋体" w:eastAsia="宋体" w:hAnsi="宋体" w:cs="宋体"/>
          <w:sz w:val="24"/>
          <w:szCs w:val="24"/>
        </w:rPr>
        <w:t>2009</w:t>
      </w:r>
      <w:r>
        <w:rPr>
          <w:rFonts w:ascii="宋体" w:eastAsia="宋体" w:hAnsi="宋体" w:cs="宋体" w:hint="eastAsia"/>
          <w:sz w:val="24"/>
          <w:szCs w:val="24"/>
        </w:rPr>
        <w:t>《标准化工作导则第1部分：标准的结构和编写》的要求和规定进行编写。标准的编制具有科学性、先进性，同时充分考虑到现阶段陕西省文冠果丰产栽培技术的实际需求，使其具有可操作性</w:t>
      </w:r>
      <w:r w:rsidR="003529F1">
        <w:rPr>
          <w:rFonts w:ascii="宋体" w:eastAsia="宋体" w:hAnsi="宋体" w:cs="宋体" w:hint="eastAsia"/>
          <w:sz w:val="24"/>
          <w:szCs w:val="24"/>
        </w:rPr>
        <w:t>。</w:t>
      </w:r>
    </w:p>
    <w:p w:rsidR="002374E4" w:rsidRDefault="003529F1">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（二）标准确定论据</w:t>
      </w:r>
    </w:p>
    <w:p w:rsidR="003529F1" w:rsidRDefault="003529F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本标准在起草过程中，充分以现有行业标准为依据，主要包括：</w:t>
      </w:r>
    </w:p>
    <w:p w:rsidR="003529F1" w:rsidRPr="003529F1" w:rsidRDefault="003529F1" w:rsidP="003529F1">
      <w:pPr>
        <w:spacing w:line="360" w:lineRule="auto"/>
        <w:ind w:firstLineChars="200" w:firstLine="480"/>
        <w:rPr>
          <w:rFonts w:ascii="宋体" w:eastAsia="宋体" w:hAnsi="宋体" w:cs="宋体"/>
          <w:sz w:val="24"/>
          <w:szCs w:val="24"/>
        </w:rPr>
      </w:pPr>
      <w:r w:rsidRPr="003529F1">
        <w:rPr>
          <w:rFonts w:ascii="宋体" w:eastAsia="宋体" w:hAnsi="宋体" w:cs="宋体" w:hint="eastAsia"/>
          <w:sz w:val="24"/>
          <w:szCs w:val="24"/>
        </w:rPr>
        <w:lastRenderedPageBreak/>
        <w:t xml:space="preserve">LY/T 1943 </w:t>
      </w:r>
      <w:r>
        <w:rPr>
          <w:rFonts w:ascii="宋体" w:eastAsia="宋体" w:hAnsi="宋体" w:cs="宋体" w:hint="eastAsia"/>
          <w:sz w:val="24"/>
          <w:szCs w:val="24"/>
        </w:rPr>
        <w:t>《</w:t>
      </w:r>
      <w:r w:rsidRPr="003529F1">
        <w:rPr>
          <w:rFonts w:ascii="宋体" w:eastAsia="宋体" w:hAnsi="宋体" w:cs="宋体" w:hint="eastAsia"/>
          <w:sz w:val="24"/>
          <w:szCs w:val="24"/>
        </w:rPr>
        <w:t>文冠果栽培技术规程</w:t>
      </w:r>
      <w:r>
        <w:rPr>
          <w:rFonts w:ascii="宋体" w:eastAsia="宋体" w:hAnsi="宋体" w:cs="宋体" w:hint="eastAsia"/>
          <w:sz w:val="24"/>
          <w:szCs w:val="24"/>
        </w:rPr>
        <w:t>》</w:t>
      </w:r>
    </w:p>
    <w:p w:rsidR="003529F1" w:rsidRPr="003529F1" w:rsidRDefault="003529F1" w:rsidP="003529F1">
      <w:pPr>
        <w:spacing w:line="360" w:lineRule="auto"/>
        <w:ind w:firstLineChars="200" w:firstLine="480"/>
        <w:rPr>
          <w:rFonts w:ascii="宋体" w:eastAsia="宋体" w:hAnsi="宋体" w:cs="宋体"/>
          <w:sz w:val="24"/>
          <w:szCs w:val="24"/>
        </w:rPr>
      </w:pPr>
      <w:r w:rsidRPr="003529F1">
        <w:rPr>
          <w:rFonts w:ascii="宋体" w:eastAsia="宋体" w:hAnsi="宋体" w:cs="宋体" w:hint="eastAsia"/>
          <w:sz w:val="24"/>
          <w:szCs w:val="24"/>
        </w:rPr>
        <w:t>DB61/T1475</w:t>
      </w:r>
      <w:r>
        <w:rPr>
          <w:rFonts w:ascii="宋体" w:eastAsia="宋体" w:hAnsi="宋体" w:cs="宋体" w:hint="eastAsia"/>
          <w:sz w:val="24"/>
          <w:szCs w:val="24"/>
        </w:rPr>
        <w:t>《</w:t>
      </w:r>
      <w:r w:rsidRPr="003529F1">
        <w:rPr>
          <w:rFonts w:ascii="宋体" w:eastAsia="宋体" w:hAnsi="宋体" w:cs="宋体" w:hint="eastAsia"/>
          <w:sz w:val="24"/>
          <w:szCs w:val="24"/>
        </w:rPr>
        <w:t>林地草兔综合防治技术</w:t>
      </w:r>
      <w:r>
        <w:rPr>
          <w:rFonts w:ascii="宋体" w:eastAsia="宋体" w:hAnsi="宋体" w:cs="宋体" w:hint="eastAsia"/>
          <w:sz w:val="24"/>
          <w:szCs w:val="24"/>
        </w:rPr>
        <w:t>》</w:t>
      </w:r>
    </w:p>
    <w:p w:rsidR="003529F1" w:rsidRDefault="003529F1" w:rsidP="003529F1">
      <w:pPr>
        <w:spacing w:line="360" w:lineRule="auto"/>
        <w:ind w:firstLineChars="200" w:firstLine="480"/>
        <w:rPr>
          <w:rFonts w:ascii="宋体" w:eastAsia="宋体" w:hAnsi="宋体" w:cs="宋体"/>
          <w:sz w:val="24"/>
          <w:szCs w:val="24"/>
        </w:rPr>
      </w:pPr>
      <w:r w:rsidRPr="003529F1">
        <w:rPr>
          <w:rFonts w:ascii="宋体" w:eastAsia="宋体" w:hAnsi="宋体" w:cs="宋体" w:hint="eastAsia"/>
          <w:sz w:val="24"/>
          <w:szCs w:val="24"/>
        </w:rPr>
        <w:t>DB61/T1476</w:t>
      </w:r>
      <w:r>
        <w:rPr>
          <w:rFonts w:ascii="宋体" w:eastAsia="宋体" w:hAnsi="宋体" w:cs="宋体" w:hint="eastAsia"/>
          <w:sz w:val="24"/>
          <w:szCs w:val="24"/>
        </w:rPr>
        <w:t>《</w:t>
      </w:r>
      <w:r w:rsidRPr="003529F1">
        <w:rPr>
          <w:rFonts w:ascii="宋体" w:eastAsia="宋体" w:hAnsi="宋体" w:cs="宋体" w:hint="eastAsia"/>
          <w:sz w:val="24"/>
          <w:szCs w:val="24"/>
        </w:rPr>
        <w:t>林地鼢鼠综合防治技术</w:t>
      </w:r>
      <w:r>
        <w:rPr>
          <w:rFonts w:ascii="宋体" w:eastAsia="宋体" w:hAnsi="宋体" w:cs="宋体" w:hint="eastAsia"/>
          <w:sz w:val="24"/>
          <w:szCs w:val="24"/>
        </w:rPr>
        <w:t>》</w:t>
      </w:r>
    </w:p>
    <w:p w:rsidR="002374E4" w:rsidRDefault="003529F1">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（三）标准主要内容</w:t>
      </w:r>
    </w:p>
    <w:p w:rsidR="003529F1"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1</w:t>
      </w:r>
      <w:r w:rsidRPr="007757FE">
        <w:rPr>
          <w:rFonts w:ascii="宋体" w:eastAsia="宋体" w:hAnsi="宋体" w:cs="宋体"/>
          <w:sz w:val="24"/>
          <w:szCs w:val="24"/>
        </w:rPr>
        <w:t xml:space="preserve"> </w:t>
      </w:r>
      <w:r w:rsidR="003529F1" w:rsidRPr="007757FE">
        <w:rPr>
          <w:rFonts w:ascii="宋体" w:eastAsia="宋体" w:hAnsi="宋体" w:cs="宋体" w:hint="eastAsia"/>
          <w:sz w:val="24"/>
          <w:szCs w:val="24"/>
        </w:rPr>
        <w:t>范围</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本文件规定了文冠果丰产栽培技术的相关术语、丰产林基地建设的选址与规划、丰产林指标、丰产栽培技术、抚育管理、采收与处理等技术内容。</w:t>
      </w:r>
      <w:r w:rsidRPr="007757FE">
        <w:rPr>
          <w:rFonts w:ascii="宋体" w:eastAsia="宋体" w:hAnsi="宋体" w:cs="宋体"/>
          <w:sz w:val="24"/>
          <w:szCs w:val="24"/>
        </w:rPr>
        <w:t xml:space="preserve"> </w:t>
      </w:r>
      <w:r w:rsidRPr="007757FE">
        <w:rPr>
          <w:rFonts w:ascii="宋体" w:eastAsia="宋体" w:hAnsi="宋体" w:cs="宋体" w:hint="eastAsia"/>
          <w:sz w:val="24"/>
          <w:szCs w:val="24"/>
        </w:rPr>
        <w:t>本文件适用于文冠果丰产林的营建与管理。</w:t>
      </w:r>
    </w:p>
    <w:p w:rsidR="008C27AB"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2 </w:t>
      </w:r>
      <w:r w:rsidRPr="007757FE">
        <w:rPr>
          <w:rFonts w:ascii="宋体" w:eastAsia="宋体" w:hAnsi="宋体" w:cs="宋体" w:hint="eastAsia"/>
          <w:sz w:val="24"/>
          <w:szCs w:val="24"/>
        </w:rPr>
        <w:t>规范性引用</w:t>
      </w:r>
      <w:r w:rsidR="008C27AB" w:rsidRPr="007757FE">
        <w:rPr>
          <w:rFonts w:ascii="宋体" w:eastAsia="宋体" w:hAnsi="宋体" w:cs="宋体" w:hint="eastAsia"/>
          <w:sz w:val="24"/>
          <w:szCs w:val="24"/>
        </w:rPr>
        <w:t>文件</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r w:rsidRPr="007757FE">
        <w:rPr>
          <w:rFonts w:ascii="宋体" w:eastAsia="宋体" w:hAnsi="宋体" w:cs="宋体"/>
          <w:sz w:val="24"/>
          <w:szCs w:val="24"/>
        </w:rPr>
        <w:t xml:space="preserve"> </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LY/T 1943 </w:t>
      </w:r>
      <w:r w:rsidRPr="007757FE">
        <w:rPr>
          <w:rFonts w:ascii="宋体" w:eastAsia="宋体" w:hAnsi="宋体" w:cs="宋体" w:hint="eastAsia"/>
          <w:sz w:val="24"/>
          <w:szCs w:val="24"/>
        </w:rPr>
        <w:t>文冠果栽培技术规程</w:t>
      </w:r>
      <w:r w:rsidRPr="007757FE">
        <w:rPr>
          <w:rFonts w:ascii="宋体" w:eastAsia="宋体" w:hAnsi="宋体" w:cs="宋体"/>
          <w:sz w:val="24"/>
          <w:szCs w:val="24"/>
        </w:rPr>
        <w:t xml:space="preserve"> </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DB61/T1475 </w:t>
      </w:r>
      <w:r w:rsidRPr="007757FE">
        <w:rPr>
          <w:rFonts w:ascii="宋体" w:eastAsia="宋体" w:hAnsi="宋体" w:cs="宋体" w:hint="eastAsia"/>
          <w:sz w:val="24"/>
          <w:szCs w:val="24"/>
        </w:rPr>
        <w:t>林地草兔综合防治技术</w:t>
      </w:r>
      <w:r w:rsidRPr="007757FE">
        <w:rPr>
          <w:rFonts w:ascii="宋体" w:eastAsia="宋体" w:hAnsi="宋体" w:cs="宋体"/>
          <w:sz w:val="24"/>
          <w:szCs w:val="24"/>
        </w:rPr>
        <w:t xml:space="preserve"> </w:t>
      </w:r>
    </w:p>
    <w:p w:rsidR="003529F1"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DB61/T1476 </w:t>
      </w:r>
      <w:r w:rsidRPr="007757FE">
        <w:rPr>
          <w:rFonts w:ascii="宋体" w:eastAsia="宋体" w:hAnsi="宋体" w:cs="宋体" w:hint="eastAsia"/>
          <w:sz w:val="24"/>
          <w:szCs w:val="24"/>
        </w:rPr>
        <w:t>林地鼢鼠综合防治技术</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3 </w:t>
      </w:r>
      <w:r w:rsidRPr="007757FE">
        <w:rPr>
          <w:rFonts w:ascii="宋体" w:eastAsia="宋体" w:hAnsi="宋体" w:cs="宋体" w:hint="eastAsia"/>
          <w:sz w:val="24"/>
          <w:szCs w:val="24"/>
        </w:rPr>
        <w:t>术语和</w:t>
      </w:r>
      <w:r w:rsidR="008C27AB" w:rsidRPr="007757FE">
        <w:rPr>
          <w:rFonts w:ascii="宋体" w:eastAsia="宋体" w:hAnsi="宋体" w:cs="宋体" w:hint="eastAsia"/>
          <w:sz w:val="24"/>
          <w:szCs w:val="24"/>
        </w:rPr>
        <w:t>定义</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本文件定义的术语包括：3</w:t>
      </w:r>
      <w:r w:rsidRPr="007757FE">
        <w:rPr>
          <w:rFonts w:ascii="宋体" w:eastAsia="宋体" w:hAnsi="宋体" w:cs="宋体"/>
          <w:sz w:val="24"/>
          <w:szCs w:val="24"/>
        </w:rPr>
        <w:t>.1</w:t>
      </w:r>
      <w:r w:rsidRPr="007757FE">
        <w:rPr>
          <w:rFonts w:ascii="宋体" w:eastAsia="宋体" w:hAnsi="宋体" w:cs="宋体" w:hint="eastAsia"/>
          <w:sz w:val="24"/>
          <w:szCs w:val="24"/>
        </w:rPr>
        <w:t>文冠果、3</w:t>
      </w:r>
      <w:r w:rsidRPr="007757FE">
        <w:rPr>
          <w:rFonts w:ascii="宋体" w:eastAsia="宋体" w:hAnsi="宋体" w:cs="宋体"/>
          <w:sz w:val="24"/>
          <w:szCs w:val="24"/>
        </w:rPr>
        <w:t>.2</w:t>
      </w:r>
      <w:r w:rsidRPr="007757FE">
        <w:rPr>
          <w:rFonts w:ascii="宋体" w:eastAsia="宋体" w:hAnsi="宋体" w:cs="宋体" w:hint="eastAsia"/>
          <w:sz w:val="24"/>
          <w:szCs w:val="24"/>
        </w:rPr>
        <w:t>丰产林、3</w:t>
      </w:r>
      <w:r w:rsidRPr="007757FE">
        <w:rPr>
          <w:rFonts w:ascii="宋体" w:eastAsia="宋体" w:hAnsi="宋体" w:cs="宋体"/>
          <w:sz w:val="24"/>
          <w:szCs w:val="24"/>
        </w:rPr>
        <w:t>.3</w:t>
      </w:r>
      <w:r w:rsidRPr="007757FE">
        <w:rPr>
          <w:rFonts w:ascii="宋体" w:eastAsia="宋体" w:hAnsi="宋体" w:cs="宋体" w:hint="eastAsia"/>
          <w:sz w:val="24"/>
          <w:szCs w:val="24"/>
        </w:rPr>
        <w:t>智能滴灌水肥一体化、3</w:t>
      </w:r>
      <w:r w:rsidRPr="007757FE">
        <w:rPr>
          <w:rFonts w:ascii="宋体" w:eastAsia="宋体" w:hAnsi="宋体" w:cs="宋体"/>
          <w:sz w:val="24"/>
          <w:szCs w:val="24"/>
        </w:rPr>
        <w:t>.4</w:t>
      </w:r>
      <w:r w:rsidRPr="007757FE">
        <w:rPr>
          <w:rFonts w:ascii="宋体" w:eastAsia="宋体" w:hAnsi="宋体" w:cs="宋体" w:hint="eastAsia"/>
          <w:sz w:val="24"/>
          <w:szCs w:val="24"/>
        </w:rPr>
        <w:t>埂上栽植技术、3</w:t>
      </w:r>
      <w:r w:rsidRPr="007757FE">
        <w:rPr>
          <w:rFonts w:ascii="宋体" w:eastAsia="宋体" w:hAnsi="宋体" w:cs="宋体"/>
          <w:sz w:val="24"/>
          <w:szCs w:val="24"/>
        </w:rPr>
        <w:t>.5</w:t>
      </w:r>
      <w:r w:rsidRPr="007757FE">
        <w:rPr>
          <w:rFonts w:ascii="宋体" w:eastAsia="宋体" w:hAnsi="宋体" w:cs="宋体" w:hint="eastAsia"/>
          <w:sz w:val="24"/>
          <w:szCs w:val="24"/>
        </w:rPr>
        <w:t>文冠果茶果套种模式。</w:t>
      </w:r>
    </w:p>
    <w:p w:rsidR="008C27AB"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4 </w:t>
      </w:r>
      <w:r w:rsidRPr="007757FE">
        <w:rPr>
          <w:rFonts w:ascii="宋体" w:eastAsia="宋体" w:hAnsi="宋体" w:cs="宋体" w:hint="eastAsia"/>
          <w:sz w:val="24"/>
          <w:szCs w:val="24"/>
        </w:rPr>
        <w:t>选址与规划</w:t>
      </w:r>
    </w:p>
    <w:p w:rsidR="008C27AB"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4.1 </w:t>
      </w:r>
      <w:r w:rsidRPr="007757FE">
        <w:rPr>
          <w:rFonts w:ascii="宋体" w:eastAsia="宋体" w:hAnsi="宋体" w:cs="宋体" w:hint="eastAsia"/>
          <w:sz w:val="24"/>
          <w:szCs w:val="24"/>
        </w:rPr>
        <w:t>基地地址选择</w:t>
      </w:r>
    </w:p>
    <w:p w:rsidR="008C27AB" w:rsidRPr="007757FE" w:rsidRDefault="008C27AB"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ab/>
      </w:r>
      <w:r w:rsidR="002023D5" w:rsidRPr="007757FE">
        <w:rPr>
          <w:rFonts w:ascii="宋体" w:eastAsia="宋体" w:hAnsi="宋体" w:cs="宋体" w:hint="eastAsia"/>
          <w:sz w:val="24"/>
          <w:szCs w:val="24"/>
        </w:rPr>
        <w:t>规定了</w:t>
      </w:r>
      <w:r w:rsidRPr="007757FE">
        <w:rPr>
          <w:rFonts w:ascii="宋体" w:eastAsia="宋体" w:hAnsi="宋体" w:cs="宋体" w:hint="eastAsia"/>
          <w:sz w:val="24"/>
          <w:szCs w:val="24"/>
        </w:rPr>
        <w:t>建立基地的要求，包含土层厚度、土质、p</w:t>
      </w:r>
      <w:r w:rsidRPr="007757FE">
        <w:rPr>
          <w:rFonts w:ascii="宋体" w:eastAsia="宋体" w:hAnsi="宋体" w:cs="宋体"/>
          <w:sz w:val="24"/>
          <w:szCs w:val="24"/>
        </w:rPr>
        <w:t>H</w:t>
      </w:r>
      <w:r w:rsidRPr="007757FE">
        <w:rPr>
          <w:rFonts w:ascii="宋体" w:eastAsia="宋体" w:hAnsi="宋体" w:cs="宋体" w:hint="eastAsia"/>
          <w:sz w:val="24"/>
          <w:szCs w:val="24"/>
        </w:rPr>
        <w:t>值、地下水位深度、盐都阈值等。</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4.2 </w:t>
      </w:r>
      <w:r w:rsidRPr="007757FE">
        <w:rPr>
          <w:rFonts w:ascii="宋体" w:eastAsia="宋体" w:hAnsi="宋体" w:cs="宋体" w:hint="eastAsia"/>
          <w:sz w:val="24"/>
          <w:szCs w:val="24"/>
        </w:rPr>
        <w:t>基地规划</w:t>
      </w:r>
    </w:p>
    <w:p w:rsidR="008C27AB"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w:t>
      </w:r>
      <w:r w:rsidR="00355452" w:rsidRPr="007757FE">
        <w:rPr>
          <w:rFonts w:ascii="宋体" w:eastAsia="宋体" w:hAnsi="宋体" w:cs="宋体" w:hint="eastAsia"/>
          <w:sz w:val="24"/>
          <w:szCs w:val="24"/>
        </w:rPr>
        <w:t>适宜的作业区面积大小（2</w:t>
      </w:r>
      <w:r w:rsidR="00355452" w:rsidRPr="007757FE">
        <w:rPr>
          <w:rFonts w:ascii="宋体" w:eastAsia="宋体" w:hAnsi="宋体" w:cs="宋体"/>
          <w:sz w:val="24"/>
          <w:szCs w:val="24"/>
        </w:rPr>
        <w:t>000</w:t>
      </w:r>
      <w:r w:rsidR="00355452" w:rsidRPr="007757FE">
        <w:rPr>
          <w:rFonts w:ascii="宋体" w:eastAsia="宋体" w:hAnsi="宋体" w:cs="宋体" w:hint="eastAsia"/>
          <w:sz w:val="24"/>
          <w:szCs w:val="24"/>
        </w:rPr>
        <w:t>-</w:t>
      </w:r>
      <w:r w:rsidR="00355452" w:rsidRPr="007757FE">
        <w:rPr>
          <w:rFonts w:ascii="宋体" w:eastAsia="宋体" w:hAnsi="宋体" w:cs="宋体"/>
          <w:sz w:val="24"/>
          <w:szCs w:val="24"/>
        </w:rPr>
        <w:t>3000</w:t>
      </w:r>
      <w:r w:rsidR="00355452" w:rsidRPr="007757FE">
        <w:rPr>
          <w:rFonts w:ascii="宋体" w:eastAsia="宋体" w:hAnsi="宋体" w:cs="宋体" w:hint="eastAsia"/>
          <w:sz w:val="24"/>
          <w:szCs w:val="24"/>
        </w:rPr>
        <w:t>亩），并根据地形地貌再二次区划为5</w:t>
      </w:r>
      <w:r w:rsidR="00355452" w:rsidRPr="007757FE">
        <w:rPr>
          <w:rFonts w:ascii="宋体" w:eastAsia="宋体" w:hAnsi="宋体" w:cs="宋体"/>
          <w:sz w:val="24"/>
          <w:szCs w:val="24"/>
        </w:rPr>
        <w:t>0</w:t>
      </w:r>
      <w:r w:rsidR="00355452" w:rsidRPr="007757FE">
        <w:rPr>
          <w:rFonts w:ascii="宋体" w:eastAsia="宋体" w:hAnsi="宋体" w:cs="宋体" w:hint="eastAsia"/>
          <w:sz w:val="24"/>
          <w:szCs w:val="24"/>
        </w:rPr>
        <w:t>-</w:t>
      </w:r>
      <w:r w:rsidR="00355452" w:rsidRPr="007757FE">
        <w:rPr>
          <w:rFonts w:ascii="宋体" w:eastAsia="宋体" w:hAnsi="宋体" w:cs="宋体"/>
          <w:sz w:val="24"/>
          <w:szCs w:val="24"/>
        </w:rPr>
        <w:t>100</w:t>
      </w:r>
      <w:r w:rsidR="00355452" w:rsidRPr="007757FE">
        <w:rPr>
          <w:rFonts w:ascii="宋体" w:eastAsia="宋体" w:hAnsi="宋体" w:cs="宋体" w:hint="eastAsia"/>
          <w:sz w:val="24"/>
          <w:szCs w:val="24"/>
        </w:rPr>
        <w:t>亩。基地分类为地势平坦区和山区两种类型，地势平坦区规定了小区作业主路宽度为4-</w:t>
      </w:r>
      <w:r w:rsidR="00355452" w:rsidRPr="007757FE">
        <w:rPr>
          <w:rFonts w:ascii="宋体" w:eastAsia="宋体" w:hAnsi="宋体" w:cs="宋体"/>
          <w:sz w:val="24"/>
          <w:szCs w:val="24"/>
        </w:rPr>
        <w:t>5</w:t>
      </w:r>
      <w:r w:rsidR="00355452" w:rsidRPr="007757FE">
        <w:rPr>
          <w:rFonts w:ascii="宋体" w:eastAsia="宋体" w:hAnsi="宋体" w:cs="宋体" w:hint="eastAsia"/>
          <w:sz w:val="24"/>
          <w:szCs w:val="24"/>
        </w:rPr>
        <w:t>m，二级作业路宽度3</w:t>
      </w:r>
      <w:r w:rsidR="00355452" w:rsidRPr="007757FE">
        <w:rPr>
          <w:rFonts w:ascii="宋体" w:eastAsia="宋体" w:hAnsi="宋体" w:cs="宋体"/>
          <w:sz w:val="24"/>
          <w:szCs w:val="24"/>
        </w:rPr>
        <w:t>-4m</w:t>
      </w:r>
      <w:r w:rsidR="00355452" w:rsidRPr="007757FE">
        <w:rPr>
          <w:rFonts w:ascii="宋体" w:eastAsia="宋体" w:hAnsi="宋体" w:cs="宋体" w:hint="eastAsia"/>
          <w:sz w:val="24"/>
          <w:szCs w:val="24"/>
        </w:rPr>
        <w:t>，三级作业路宽度2-</w:t>
      </w:r>
      <w:r w:rsidR="00355452" w:rsidRPr="007757FE">
        <w:rPr>
          <w:rFonts w:ascii="宋体" w:eastAsia="宋体" w:hAnsi="宋体" w:cs="宋体"/>
          <w:sz w:val="24"/>
          <w:szCs w:val="24"/>
        </w:rPr>
        <w:t>3m</w:t>
      </w:r>
      <w:r w:rsidR="00355452" w:rsidRPr="007757FE">
        <w:rPr>
          <w:rFonts w:ascii="宋体" w:eastAsia="宋体" w:hAnsi="宋体" w:cs="宋体" w:hint="eastAsia"/>
          <w:sz w:val="24"/>
          <w:szCs w:val="24"/>
        </w:rPr>
        <w:t>，且规定了路面高于作业区2</w:t>
      </w:r>
      <w:r w:rsidR="00355452" w:rsidRPr="007757FE">
        <w:rPr>
          <w:rFonts w:ascii="宋体" w:eastAsia="宋体" w:hAnsi="宋体" w:cs="宋体"/>
          <w:sz w:val="24"/>
          <w:szCs w:val="24"/>
        </w:rPr>
        <w:t>0cm</w:t>
      </w:r>
      <w:r w:rsidR="00355452" w:rsidRPr="007757FE">
        <w:rPr>
          <w:rFonts w:ascii="宋体" w:eastAsia="宋体" w:hAnsi="宋体" w:cs="宋体" w:hint="eastAsia"/>
          <w:sz w:val="24"/>
          <w:szCs w:val="24"/>
        </w:rPr>
        <w:t>；山区则依据山形地势和小区划分，没有规定具体作业路宽度，以方便车辆和机具通行为原则，作业路两侧布设花粉隔离带。</w:t>
      </w:r>
    </w:p>
    <w:p w:rsidR="00355452"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5 </w:t>
      </w:r>
      <w:r w:rsidRPr="007757FE">
        <w:rPr>
          <w:rFonts w:ascii="宋体" w:eastAsia="宋体" w:hAnsi="宋体" w:cs="宋体" w:hint="eastAsia"/>
          <w:sz w:val="24"/>
          <w:szCs w:val="24"/>
        </w:rPr>
        <w:t>丰产林指标</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lastRenderedPageBreak/>
        <w:t xml:space="preserve">5.1 </w:t>
      </w:r>
      <w:r w:rsidRPr="007757FE">
        <w:rPr>
          <w:rFonts w:ascii="宋体" w:eastAsia="宋体" w:hAnsi="宋体" w:cs="宋体" w:hint="eastAsia"/>
          <w:sz w:val="24"/>
          <w:szCs w:val="24"/>
        </w:rPr>
        <w:t>产量指标</w:t>
      </w:r>
    </w:p>
    <w:p w:rsidR="00533E0F" w:rsidRPr="007757FE" w:rsidRDefault="00533E0F"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规定了Ⅰ级嫁接苗栽植</w:t>
      </w:r>
      <w:r w:rsidRPr="007757FE">
        <w:rPr>
          <w:rFonts w:ascii="宋体" w:eastAsia="宋体" w:hAnsi="宋体" w:cs="宋体"/>
          <w:sz w:val="24"/>
          <w:szCs w:val="24"/>
        </w:rPr>
        <w:t>8</w:t>
      </w:r>
      <w:r w:rsidRPr="007757FE">
        <w:rPr>
          <w:rFonts w:ascii="宋体" w:eastAsia="宋体" w:hAnsi="宋体" w:cs="宋体" w:hint="eastAsia"/>
          <w:sz w:val="24"/>
          <w:szCs w:val="24"/>
        </w:rPr>
        <w:t>年后，文冠果种子产量≧</w:t>
      </w:r>
      <w:r w:rsidRPr="007757FE">
        <w:rPr>
          <w:rFonts w:ascii="宋体" w:eastAsia="宋体" w:hAnsi="宋体" w:cs="宋体"/>
          <w:sz w:val="24"/>
          <w:szCs w:val="24"/>
        </w:rPr>
        <w:t>60kg/667</w:t>
      </w:r>
      <w:r w:rsidRPr="007757FE">
        <w:rPr>
          <w:rFonts w:ascii="宋体" w:eastAsia="宋体" w:hAnsi="宋体" w:cs="宋体" w:hint="eastAsia"/>
          <w:sz w:val="24"/>
          <w:szCs w:val="24"/>
        </w:rPr>
        <w:t>㎡。</w:t>
      </w:r>
    </w:p>
    <w:p w:rsidR="00533E0F"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5.2 </w:t>
      </w:r>
      <w:r w:rsidRPr="007757FE">
        <w:rPr>
          <w:rFonts w:ascii="宋体" w:eastAsia="宋体" w:hAnsi="宋体" w:cs="宋体" w:hint="eastAsia"/>
          <w:sz w:val="24"/>
          <w:szCs w:val="24"/>
        </w:rPr>
        <w:t>林分生长指标</w:t>
      </w:r>
    </w:p>
    <w:p w:rsidR="00533E0F" w:rsidRPr="007757FE" w:rsidRDefault="00533E0F"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规定了Ⅰ级嫁接苗栽植</w:t>
      </w:r>
      <w:r w:rsidRPr="007757FE">
        <w:rPr>
          <w:rFonts w:ascii="宋体" w:eastAsia="宋体" w:hAnsi="宋体" w:cs="宋体"/>
          <w:sz w:val="24"/>
          <w:szCs w:val="24"/>
        </w:rPr>
        <w:t>8</w:t>
      </w:r>
      <w:r w:rsidRPr="007757FE">
        <w:rPr>
          <w:rFonts w:ascii="宋体" w:eastAsia="宋体" w:hAnsi="宋体" w:cs="宋体" w:hint="eastAsia"/>
          <w:sz w:val="24"/>
          <w:szCs w:val="24"/>
        </w:rPr>
        <w:t>年后，单位面积保留密度</w:t>
      </w:r>
      <w:r w:rsidRPr="007757FE">
        <w:rPr>
          <w:rFonts w:ascii="宋体" w:eastAsia="宋体" w:hAnsi="宋体" w:cs="宋体"/>
          <w:sz w:val="24"/>
          <w:szCs w:val="24"/>
        </w:rPr>
        <w:t>86-95</w:t>
      </w:r>
      <w:r w:rsidRPr="007757FE">
        <w:rPr>
          <w:rFonts w:ascii="宋体" w:eastAsia="宋体" w:hAnsi="宋体" w:cs="宋体" w:hint="eastAsia"/>
          <w:sz w:val="24"/>
          <w:szCs w:val="24"/>
        </w:rPr>
        <w:t>株，地径≧</w:t>
      </w:r>
      <w:r w:rsidRPr="007757FE">
        <w:rPr>
          <w:rFonts w:ascii="宋体" w:eastAsia="宋体" w:hAnsi="宋体" w:cs="宋体"/>
          <w:sz w:val="24"/>
          <w:szCs w:val="24"/>
        </w:rPr>
        <w:t>5cm</w:t>
      </w:r>
      <w:r w:rsidRPr="007757FE">
        <w:rPr>
          <w:rFonts w:ascii="宋体" w:eastAsia="宋体" w:hAnsi="宋体" w:cs="宋体" w:hint="eastAsia"/>
          <w:sz w:val="24"/>
          <w:szCs w:val="24"/>
        </w:rPr>
        <w:t>。</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 </w:t>
      </w:r>
      <w:r w:rsidRPr="007757FE">
        <w:rPr>
          <w:rFonts w:ascii="宋体" w:eastAsia="宋体" w:hAnsi="宋体" w:cs="宋体" w:hint="eastAsia"/>
          <w:sz w:val="24"/>
          <w:szCs w:val="24"/>
        </w:rPr>
        <w:t>丰产栽培技术</w:t>
      </w:r>
    </w:p>
    <w:p w:rsidR="00533E0F"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6.1 </w:t>
      </w:r>
      <w:r w:rsidRPr="007757FE">
        <w:rPr>
          <w:rFonts w:ascii="宋体" w:eastAsia="宋体" w:hAnsi="宋体" w:cs="宋体" w:hint="eastAsia"/>
          <w:sz w:val="24"/>
          <w:szCs w:val="24"/>
        </w:rPr>
        <w:t>配置技术</w:t>
      </w:r>
    </w:p>
    <w:p w:rsidR="00533E0F" w:rsidRPr="007757FE" w:rsidRDefault="00533E0F"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规定了株行距标准为</w:t>
      </w:r>
      <w:r w:rsidRPr="007757FE">
        <w:rPr>
          <w:rFonts w:ascii="宋体" w:eastAsia="宋体" w:hAnsi="宋体" w:cs="宋体"/>
          <w:sz w:val="24"/>
          <w:szCs w:val="24"/>
        </w:rPr>
        <w:t>2m</w:t>
      </w:r>
      <w:r w:rsidRPr="007757FE">
        <w:rPr>
          <w:rFonts w:ascii="宋体" w:eastAsia="宋体" w:hAnsi="宋体" w:cs="宋体" w:hint="eastAsia"/>
          <w:sz w:val="24"/>
          <w:szCs w:val="24"/>
        </w:rPr>
        <w:t>×</w:t>
      </w:r>
      <w:r w:rsidRPr="007757FE">
        <w:rPr>
          <w:rFonts w:ascii="宋体" w:eastAsia="宋体" w:hAnsi="宋体" w:cs="宋体"/>
          <w:sz w:val="24"/>
          <w:szCs w:val="24"/>
        </w:rPr>
        <w:t>2m</w:t>
      </w:r>
      <w:r w:rsidRPr="007757FE">
        <w:rPr>
          <w:rFonts w:ascii="宋体" w:eastAsia="宋体" w:hAnsi="宋体" w:cs="宋体" w:hint="eastAsia"/>
          <w:sz w:val="24"/>
          <w:szCs w:val="24"/>
        </w:rPr>
        <w:t>×</w:t>
      </w:r>
      <w:r w:rsidRPr="007757FE">
        <w:rPr>
          <w:rFonts w:ascii="宋体" w:eastAsia="宋体" w:hAnsi="宋体" w:cs="宋体"/>
          <w:sz w:val="24"/>
          <w:szCs w:val="24"/>
        </w:rPr>
        <w:t>5m</w:t>
      </w:r>
      <w:r w:rsidRPr="007757FE">
        <w:rPr>
          <w:rFonts w:ascii="宋体" w:eastAsia="宋体" w:hAnsi="宋体" w:cs="宋体" w:hint="eastAsia"/>
          <w:sz w:val="24"/>
          <w:szCs w:val="24"/>
        </w:rPr>
        <w:t>（</w:t>
      </w:r>
      <w:r w:rsidRPr="007757FE">
        <w:rPr>
          <w:rFonts w:ascii="宋体" w:eastAsia="宋体" w:hAnsi="宋体" w:cs="宋体"/>
          <w:sz w:val="24"/>
          <w:szCs w:val="24"/>
        </w:rPr>
        <w:t>95</w:t>
      </w:r>
      <w:r w:rsidRPr="007757FE">
        <w:rPr>
          <w:rFonts w:ascii="宋体" w:eastAsia="宋体" w:hAnsi="宋体" w:cs="宋体" w:hint="eastAsia"/>
          <w:sz w:val="24"/>
          <w:szCs w:val="24"/>
        </w:rPr>
        <w:t>株</w:t>
      </w:r>
      <w:r w:rsidRPr="007757FE">
        <w:rPr>
          <w:rFonts w:ascii="宋体" w:eastAsia="宋体" w:hAnsi="宋体" w:cs="宋体"/>
          <w:sz w:val="24"/>
          <w:szCs w:val="24"/>
        </w:rPr>
        <w:t>/667</w:t>
      </w:r>
      <w:r w:rsidRPr="007757FE">
        <w:rPr>
          <w:rFonts w:ascii="宋体" w:eastAsia="宋体" w:hAnsi="宋体" w:cs="宋体" w:hint="eastAsia"/>
          <w:sz w:val="24"/>
          <w:szCs w:val="24"/>
        </w:rPr>
        <w:t>㎡），并要求具有自交优势的良种单种单园，做好花粉隔离。</w:t>
      </w:r>
      <w:r w:rsidRPr="007757FE">
        <w:rPr>
          <w:rFonts w:ascii="宋体" w:eastAsia="宋体" w:hAnsi="宋体" w:cs="宋体"/>
          <w:sz w:val="24"/>
          <w:szCs w:val="24"/>
        </w:rPr>
        <w:t>2</w:t>
      </w:r>
      <w:r w:rsidRPr="007757FE">
        <w:rPr>
          <w:rFonts w:ascii="宋体" w:eastAsia="宋体" w:hAnsi="宋体" w:cs="宋体" w:hint="eastAsia"/>
          <w:sz w:val="24"/>
          <w:szCs w:val="24"/>
        </w:rPr>
        <w:t>个优势交配组合两种，则每行1个品种，双行窄带配置。</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6.2 </w:t>
      </w:r>
      <w:r w:rsidRPr="007757FE">
        <w:rPr>
          <w:rFonts w:ascii="宋体" w:eastAsia="宋体" w:hAnsi="宋体" w:cs="宋体" w:hint="eastAsia"/>
          <w:sz w:val="24"/>
          <w:szCs w:val="24"/>
        </w:rPr>
        <w:t>苗木选择</w:t>
      </w:r>
    </w:p>
    <w:p w:rsidR="00533E0F" w:rsidRPr="007757FE" w:rsidRDefault="00533E0F"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根据建设目的选用良种、新品种、优树的Ⅰ级嫁接苗，嫁接</w:t>
      </w:r>
      <w:proofErr w:type="gramStart"/>
      <w:r w:rsidRPr="007757FE">
        <w:rPr>
          <w:rFonts w:ascii="宋体" w:eastAsia="宋体" w:hAnsi="宋体" w:cs="宋体" w:hint="eastAsia"/>
          <w:sz w:val="24"/>
          <w:szCs w:val="24"/>
        </w:rPr>
        <w:t>苗不足</w:t>
      </w:r>
      <w:proofErr w:type="gramEnd"/>
      <w:r w:rsidRPr="007757FE">
        <w:rPr>
          <w:rFonts w:ascii="宋体" w:eastAsia="宋体" w:hAnsi="宋体" w:cs="宋体" w:hint="eastAsia"/>
          <w:sz w:val="24"/>
          <w:szCs w:val="24"/>
        </w:rPr>
        <w:t>时，也可选择</w:t>
      </w:r>
      <w:r w:rsidRPr="007757FE">
        <w:rPr>
          <w:rFonts w:ascii="宋体" w:eastAsia="宋体" w:hAnsi="宋体" w:cs="宋体"/>
          <w:sz w:val="24"/>
          <w:szCs w:val="24"/>
        </w:rPr>
        <w:t>I</w:t>
      </w:r>
      <w:proofErr w:type="gramStart"/>
      <w:r w:rsidRPr="007757FE">
        <w:rPr>
          <w:rFonts w:ascii="宋体" w:eastAsia="宋体" w:hAnsi="宋体" w:cs="宋体" w:hint="eastAsia"/>
          <w:sz w:val="24"/>
          <w:szCs w:val="24"/>
        </w:rPr>
        <w:t>级实生</w:t>
      </w:r>
      <w:proofErr w:type="gramEnd"/>
      <w:r w:rsidRPr="007757FE">
        <w:rPr>
          <w:rFonts w:ascii="宋体" w:eastAsia="宋体" w:hAnsi="宋体" w:cs="宋体" w:hint="eastAsia"/>
          <w:sz w:val="24"/>
          <w:szCs w:val="24"/>
        </w:rPr>
        <w:t>苗（后期嫁接改造）建园。并规定了Ⅰ级嫁接苗木规格和Ⅰ</w:t>
      </w:r>
      <w:proofErr w:type="gramStart"/>
      <w:r w:rsidRPr="007757FE">
        <w:rPr>
          <w:rFonts w:ascii="宋体" w:eastAsia="宋体" w:hAnsi="宋体" w:cs="宋体" w:hint="eastAsia"/>
          <w:sz w:val="24"/>
          <w:szCs w:val="24"/>
        </w:rPr>
        <w:t>级实生</w:t>
      </w:r>
      <w:proofErr w:type="gramEnd"/>
      <w:r w:rsidRPr="007757FE">
        <w:rPr>
          <w:rFonts w:ascii="宋体" w:eastAsia="宋体" w:hAnsi="宋体" w:cs="宋体" w:hint="eastAsia"/>
          <w:sz w:val="24"/>
          <w:szCs w:val="24"/>
        </w:rPr>
        <w:t>苗木规格的具体规格。</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6.3 </w:t>
      </w:r>
      <w:r w:rsidRPr="007757FE">
        <w:rPr>
          <w:rFonts w:ascii="宋体" w:eastAsia="宋体" w:hAnsi="宋体" w:cs="宋体" w:hint="eastAsia"/>
          <w:sz w:val="24"/>
          <w:szCs w:val="24"/>
        </w:rPr>
        <w:t>整地</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规定了整地时间和整地方式，整地方式</w:t>
      </w:r>
      <w:proofErr w:type="gramStart"/>
      <w:r w:rsidRPr="007757FE">
        <w:rPr>
          <w:rFonts w:ascii="宋体" w:eastAsia="宋体" w:hAnsi="宋体" w:cs="宋体" w:hint="eastAsia"/>
          <w:sz w:val="24"/>
          <w:szCs w:val="24"/>
        </w:rPr>
        <w:t>包括高垄整地</w:t>
      </w:r>
      <w:proofErr w:type="gramEnd"/>
      <w:r w:rsidRPr="007757FE">
        <w:rPr>
          <w:rFonts w:ascii="宋体" w:eastAsia="宋体" w:hAnsi="宋体" w:cs="宋体" w:hint="eastAsia"/>
          <w:sz w:val="24"/>
          <w:szCs w:val="24"/>
        </w:rPr>
        <w:t>、全面整地、反坡梯田整地、水平阶整地、鱼鳞坑整地。</w:t>
      </w:r>
    </w:p>
    <w:p w:rsidR="002023D5"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6.4 </w:t>
      </w:r>
      <w:r w:rsidRPr="007757FE">
        <w:rPr>
          <w:rFonts w:ascii="宋体" w:eastAsia="宋体" w:hAnsi="宋体" w:cs="宋体" w:hint="eastAsia"/>
          <w:sz w:val="24"/>
          <w:szCs w:val="24"/>
        </w:rPr>
        <w:t>栽植</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规定了详细的栽植时间、栽植前苗木处理、栽植方法。</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6.5 </w:t>
      </w:r>
      <w:r w:rsidRPr="007757FE">
        <w:rPr>
          <w:rFonts w:ascii="宋体" w:eastAsia="宋体" w:hAnsi="宋体" w:cs="宋体" w:hint="eastAsia"/>
          <w:sz w:val="24"/>
          <w:szCs w:val="24"/>
        </w:rPr>
        <w:t>栽植后管理</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规定了浇水、定杆、涂白或套管、除草布铺设和智能滴灌水肥一体化铺设。</w:t>
      </w:r>
    </w:p>
    <w:p w:rsidR="002023D5"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 </w:t>
      </w:r>
      <w:r w:rsidRPr="007757FE">
        <w:rPr>
          <w:rFonts w:ascii="宋体" w:eastAsia="宋体" w:hAnsi="宋体" w:cs="宋体" w:hint="eastAsia"/>
          <w:sz w:val="24"/>
          <w:szCs w:val="24"/>
        </w:rPr>
        <w:t>抚育管理</w:t>
      </w:r>
    </w:p>
    <w:p w:rsidR="002023D5"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7.1 </w:t>
      </w:r>
      <w:r w:rsidRPr="007757FE">
        <w:rPr>
          <w:rFonts w:ascii="宋体" w:eastAsia="宋体" w:hAnsi="宋体" w:cs="宋体" w:hint="eastAsia"/>
          <w:sz w:val="24"/>
          <w:szCs w:val="24"/>
        </w:rPr>
        <w:t>水肥管理</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规定了浇水、排水、施肥三个方面的具体要求。</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7.2</w:t>
      </w:r>
      <w:r w:rsidRPr="007757FE">
        <w:rPr>
          <w:rFonts w:ascii="宋体" w:eastAsia="宋体" w:hAnsi="宋体" w:cs="宋体" w:hint="eastAsia"/>
          <w:sz w:val="24"/>
          <w:szCs w:val="24"/>
        </w:rPr>
        <w:t>智能滴灌水肥一体化技术</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规定了灌溉管理、配方施肥两个方面的具体要求。</w:t>
      </w:r>
    </w:p>
    <w:p w:rsidR="002023D5"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7.3 </w:t>
      </w:r>
      <w:r w:rsidRPr="007757FE">
        <w:rPr>
          <w:rFonts w:ascii="宋体" w:eastAsia="宋体" w:hAnsi="宋体" w:cs="宋体" w:hint="eastAsia"/>
          <w:sz w:val="24"/>
          <w:szCs w:val="24"/>
        </w:rPr>
        <w:t>整形修剪</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给出了2种建议树形，并规定了主干上下枝间距、主枝开张角度、保留侧枝数量和侧枝角度等。</w:t>
      </w:r>
    </w:p>
    <w:p w:rsidR="002023D5" w:rsidRPr="007757FE" w:rsidRDefault="002023D5"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此外还</w:t>
      </w:r>
      <w:r w:rsidR="00712C13" w:rsidRPr="007757FE">
        <w:rPr>
          <w:rFonts w:ascii="宋体" w:eastAsia="宋体" w:hAnsi="宋体" w:cs="宋体" w:hint="eastAsia"/>
          <w:sz w:val="24"/>
          <w:szCs w:val="24"/>
        </w:rPr>
        <w:t>给出了不同时期（初果期、盛果期和衰老期）具体的推荐修剪方法和</w:t>
      </w:r>
      <w:r w:rsidR="00712C13" w:rsidRPr="007757FE">
        <w:rPr>
          <w:rFonts w:ascii="宋体" w:eastAsia="宋体" w:hAnsi="宋体" w:cs="宋体" w:hint="eastAsia"/>
          <w:sz w:val="24"/>
          <w:szCs w:val="24"/>
        </w:rPr>
        <w:lastRenderedPageBreak/>
        <w:t>要求。</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7.4 </w:t>
      </w:r>
      <w:r w:rsidRPr="007757FE">
        <w:rPr>
          <w:rFonts w:ascii="宋体" w:eastAsia="宋体" w:hAnsi="宋体" w:cs="宋体" w:hint="eastAsia"/>
          <w:sz w:val="24"/>
          <w:szCs w:val="24"/>
        </w:rPr>
        <w:t>鼠兔危害防控</w:t>
      </w:r>
    </w:p>
    <w:p w:rsidR="00712C13" w:rsidRPr="007757FE" w:rsidRDefault="00712C13"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规定了鼢鼠、草兔危害发生时，参照</w:t>
      </w:r>
      <w:r w:rsidRPr="007757FE">
        <w:rPr>
          <w:rFonts w:ascii="宋体" w:eastAsia="宋体" w:hAnsi="宋体" w:cs="宋体"/>
          <w:sz w:val="24"/>
          <w:szCs w:val="24"/>
        </w:rPr>
        <w:t xml:space="preserve"> DB61/T1475-2021</w:t>
      </w:r>
      <w:r w:rsidRPr="007757FE">
        <w:rPr>
          <w:rFonts w:ascii="宋体" w:eastAsia="宋体" w:hAnsi="宋体" w:cs="宋体" w:hint="eastAsia"/>
          <w:sz w:val="24"/>
          <w:szCs w:val="24"/>
        </w:rPr>
        <w:t>和</w:t>
      </w:r>
      <w:r w:rsidRPr="007757FE">
        <w:rPr>
          <w:rFonts w:ascii="宋体" w:eastAsia="宋体" w:hAnsi="宋体" w:cs="宋体"/>
          <w:sz w:val="24"/>
          <w:szCs w:val="24"/>
        </w:rPr>
        <w:t>DB61/T1476-2021</w:t>
      </w:r>
      <w:r w:rsidRPr="007757FE">
        <w:rPr>
          <w:rFonts w:ascii="宋体" w:eastAsia="宋体" w:hAnsi="宋体" w:cs="宋体" w:hint="eastAsia"/>
          <w:sz w:val="24"/>
          <w:szCs w:val="24"/>
        </w:rPr>
        <w:t>相关内容进行防控。</w:t>
      </w:r>
    </w:p>
    <w:p w:rsidR="00712C13"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7.5 </w:t>
      </w:r>
      <w:r w:rsidRPr="007757FE">
        <w:rPr>
          <w:rFonts w:ascii="宋体" w:eastAsia="宋体" w:hAnsi="宋体" w:cs="宋体" w:hint="eastAsia"/>
          <w:sz w:val="24"/>
          <w:szCs w:val="24"/>
        </w:rPr>
        <w:t>间作</w:t>
      </w:r>
    </w:p>
    <w:p w:rsidR="00712C13" w:rsidRPr="007757FE" w:rsidRDefault="00712C13"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给出了2种建议的套种模式，并给出了具体做法。</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7.6 </w:t>
      </w:r>
      <w:r w:rsidRPr="007757FE">
        <w:rPr>
          <w:rFonts w:ascii="宋体" w:eastAsia="宋体" w:hAnsi="宋体" w:cs="宋体" w:hint="eastAsia"/>
          <w:sz w:val="24"/>
          <w:szCs w:val="24"/>
        </w:rPr>
        <w:t>病虫害防治间作</w:t>
      </w:r>
    </w:p>
    <w:p w:rsidR="00712C13" w:rsidRPr="007757FE" w:rsidRDefault="00712C13"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主要病虫害</w:t>
      </w:r>
      <w:proofErr w:type="gramStart"/>
      <w:r w:rsidRPr="007757FE">
        <w:rPr>
          <w:rFonts w:ascii="宋体" w:eastAsia="宋体" w:hAnsi="宋体" w:cs="宋体" w:hint="eastAsia"/>
          <w:sz w:val="24"/>
          <w:szCs w:val="24"/>
        </w:rPr>
        <w:t>防治按</w:t>
      </w:r>
      <w:proofErr w:type="gramEnd"/>
      <w:r w:rsidRPr="007757FE">
        <w:rPr>
          <w:rFonts w:ascii="宋体" w:eastAsia="宋体" w:hAnsi="宋体" w:cs="宋体" w:hint="eastAsia"/>
          <w:sz w:val="24"/>
          <w:szCs w:val="24"/>
        </w:rPr>
        <w:t>标准（草案）附录</w:t>
      </w:r>
      <w:r w:rsidRPr="007757FE">
        <w:rPr>
          <w:rFonts w:ascii="宋体" w:eastAsia="宋体" w:hAnsi="宋体" w:cs="宋体"/>
          <w:sz w:val="24"/>
          <w:szCs w:val="24"/>
        </w:rPr>
        <w:t>A</w:t>
      </w:r>
      <w:r w:rsidRPr="007757FE">
        <w:rPr>
          <w:rFonts w:ascii="宋体" w:eastAsia="宋体" w:hAnsi="宋体" w:cs="宋体" w:hint="eastAsia"/>
          <w:sz w:val="24"/>
          <w:szCs w:val="24"/>
        </w:rPr>
        <w:t>给出的要求进行。</w:t>
      </w:r>
    </w:p>
    <w:p w:rsidR="003529F1" w:rsidRPr="007757FE"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sz w:val="24"/>
          <w:szCs w:val="24"/>
        </w:rPr>
        <w:t xml:space="preserve">8 </w:t>
      </w:r>
      <w:r w:rsidRPr="007757FE">
        <w:rPr>
          <w:rFonts w:ascii="宋体" w:eastAsia="宋体" w:hAnsi="宋体" w:cs="宋体" w:hint="eastAsia"/>
          <w:sz w:val="24"/>
          <w:szCs w:val="24"/>
        </w:rPr>
        <w:t>采收与处理</w:t>
      </w:r>
    </w:p>
    <w:p w:rsidR="00712C13" w:rsidRPr="007757FE" w:rsidRDefault="00712C13"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给出了推荐的采收果实、嫩芽、花蕾、花和叶等的具体要求和方法。</w:t>
      </w:r>
    </w:p>
    <w:p w:rsidR="003529F1" w:rsidRDefault="003529F1"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附录</w:t>
      </w:r>
      <w:r w:rsidRPr="007757FE">
        <w:rPr>
          <w:rFonts w:ascii="宋体" w:eastAsia="宋体" w:hAnsi="宋体" w:cs="宋体"/>
          <w:sz w:val="24"/>
          <w:szCs w:val="24"/>
        </w:rPr>
        <w:t xml:space="preserve">A </w:t>
      </w:r>
      <w:r w:rsidRPr="007757FE">
        <w:rPr>
          <w:rFonts w:ascii="宋体" w:eastAsia="宋体" w:hAnsi="宋体" w:cs="宋体" w:hint="eastAsia"/>
          <w:sz w:val="24"/>
          <w:szCs w:val="24"/>
        </w:rPr>
        <w:t>（资料性）</w:t>
      </w:r>
      <w:r w:rsidR="00B02FAE">
        <w:rPr>
          <w:rFonts w:ascii="宋体" w:eastAsia="宋体" w:hAnsi="宋体" w:cs="宋体" w:hint="eastAsia"/>
          <w:sz w:val="24"/>
          <w:szCs w:val="24"/>
        </w:rPr>
        <w:t>提供了</w:t>
      </w:r>
      <w:r w:rsidRPr="007757FE">
        <w:rPr>
          <w:rFonts w:ascii="宋体" w:eastAsia="宋体" w:hAnsi="宋体" w:cs="宋体" w:hint="eastAsia"/>
          <w:sz w:val="24"/>
          <w:szCs w:val="24"/>
        </w:rPr>
        <w:t>文冠果主要病虫害防治方法</w:t>
      </w:r>
      <w:r w:rsidR="00B02FAE">
        <w:rPr>
          <w:rFonts w:ascii="宋体" w:eastAsia="宋体" w:hAnsi="宋体" w:cs="宋体" w:hint="eastAsia"/>
          <w:sz w:val="24"/>
          <w:szCs w:val="24"/>
        </w:rPr>
        <w:t>。</w:t>
      </w:r>
    </w:p>
    <w:p w:rsidR="007757FE" w:rsidRPr="007757FE" w:rsidRDefault="007757FE" w:rsidP="007757FE">
      <w:pPr>
        <w:spacing w:beforeLines="50" w:before="156" w:line="360" w:lineRule="auto"/>
        <w:ind w:firstLine="420"/>
        <w:rPr>
          <w:rFonts w:ascii="Times New Roman" w:eastAsia="宋体" w:hAnsi="Times New Roman" w:cs="Times New Roman"/>
          <w:b/>
          <w:sz w:val="24"/>
          <w:szCs w:val="24"/>
        </w:rPr>
      </w:pPr>
      <w:r w:rsidRPr="007757FE">
        <w:rPr>
          <w:rFonts w:ascii="Times New Roman" w:eastAsia="宋体" w:hAnsi="Times New Roman" w:cs="Times New Roman" w:hint="eastAsia"/>
          <w:b/>
          <w:sz w:val="24"/>
          <w:szCs w:val="24"/>
        </w:rPr>
        <w:t>（四）与现有同类标准的对比</w:t>
      </w:r>
    </w:p>
    <w:p w:rsidR="007757FE" w:rsidRDefault="007757FE" w:rsidP="007757F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目前能检索到的现有同类标准主要有2个，分别是</w:t>
      </w:r>
      <w:r w:rsidRPr="007757FE">
        <w:rPr>
          <w:rFonts w:ascii="宋体" w:eastAsia="宋体" w:hAnsi="宋体" w:cs="宋体" w:hint="eastAsia"/>
          <w:sz w:val="24"/>
          <w:szCs w:val="24"/>
        </w:rPr>
        <w:t>国标《文冠果栽培技术规程》</w:t>
      </w:r>
      <w:r>
        <w:rPr>
          <w:rFonts w:ascii="宋体" w:eastAsia="宋体" w:hAnsi="宋体" w:cs="宋体" w:hint="eastAsia"/>
          <w:sz w:val="24"/>
          <w:szCs w:val="24"/>
        </w:rPr>
        <w:t>和</w:t>
      </w:r>
      <w:r w:rsidRPr="007757FE">
        <w:rPr>
          <w:rFonts w:ascii="宋体" w:eastAsia="宋体" w:hAnsi="宋体" w:cs="宋体" w:hint="eastAsia"/>
          <w:sz w:val="24"/>
          <w:szCs w:val="24"/>
        </w:rPr>
        <w:t>辽宁省地方标准《文冠果丰产栽培技术规程》</w:t>
      </w:r>
      <w:r>
        <w:rPr>
          <w:rFonts w:ascii="宋体" w:eastAsia="宋体" w:hAnsi="宋体" w:cs="宋体" w:hint="eastAsia"/>
          <w:sz w:val="24"/>
          <w:szCs w:val="24"/>
        </w:rPr>
        <w:t>。主要存在2个方面的问题：（1）</w:t>
      </w:r>
      <w:r w:rsidRPr="007757FE">
        <w:rPr>
          <w:rFonts w:ascii="宋体" w:eastAsia="宋体" w:hAnsi="宋体" w:cs="宋体" w:hint="eastAsia"/>
          <w:sz w:val="24"/>
          <w:szCs w:val="24"/>
        </w:rPr>
        <w:t>时间久远（11年前），技术要求较低。已不能适应目前文冠果产业优质高效的发展需求；（2）陕西与辽宁自然条件差异较大，不适宜在陕西使用。拟制定标准：陕西省地方标准《文冠果丰产栽培技术》在文冠果的栽植方法、苗木选择、抚育管理以及采收等主要技术指标都有明显的区别。</w:t>
      </w:r>
    </w:p>
    <w:p w:rsidR="007757FE" w:rsidRDefault="007757FE" w:rsidP="007757FE">
      <w:pPr>
        <w:spacing w:line="360" w:lineRule="auto"/>
        <w:ind w:firstLineChars="200" w:firstLine="480"/>
        <w:rPr>
          <w:rFonts w:ascii="宋体" w:eastAsia="宋体" w:hAnsi="宋体" w:cs="宋体"/>
          <w:sz w:val="24"/>
          <w:szCs w:val="24"/>
        </w:rPr>
      </w:pPr>
      <w:r w:rsidRPr="007757FE">
        <w:rPr>
          <w:rFonts w:ascii="宋体" w:eastAsia="宋体" w:hAnsi="宋体" w:cs="宋体" w:hint="eastAsia"/>
          <w:sz w:val="24"/>
          <w:szCs w:val="24"/>
        </w:rPr>
        <w:t>辽宁与陕西自然条件、文冠果丰产指标与栽培技术对比</w:t>
      </w:r>
      <w:r>
        <w:rPr>
          <w:rFonts w:ascii="宋体" w:eastAsia="宋体" w:hAnsi="宋体" w:cs="宋体" w:hint="eastAsia"/>
          <w:sz w:val="24"/>
          <w:szCs w:val="24"/>
        </w:rPr>
        <w:t>具体对比见表1。</w:t>
      </w: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4B2B8C" w:rsidRDefault="004B2B8C" w:rsidP="007D34FD">
      <w:pPr>
        <w:spacing w:line="360" w:lineRule="auto"/>
        <w:ind w:firstLineChars="200" w:firstLine="480"/>
        <w:jc w:val="center"/>
        <w:rPr>
          <w:rFonts w:ascii="宋体" w:eastAsia="宋体" w:hAnsi="宋体" w:cs="宋体"/>
          <w:sz w:val="24"/>
          <w:szCs w:val="24"/>
        </w:rPr>
      </w:pPr>
    </w:p>
    <w:p w:rsidR="007757FE" w:rsidRDefault="007D34FD" w:rsidP="007D34FD">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表1</w:t>
      </w:r>
      <w:r>
        <w:rPr>
          <w:rFonts w:ascii="宋体" w:eastAsia="宋体" w:hAnsi="宋体" w:cs="宋体"/>
          <w:sz w:val="24"/>
          <w:szCs w:val="24"/>
        </w:rPr>
        <w:t xml:space="preserve"> </w:t>
      </w:r>
      <w:r w:rsidRPr="007D34FD">
        <w:rPr>
          <w:rFonts w:ascii="宋体" w:eastAsia="宋体" w:hAnsi="宋体" w:cs="宋体" w:hint="eastAsia"/>
          <w:sz w:val="24"/>
          <w:szCs w:val="24"/>
        </w:rPr>
        <w:t>辽宁与陕西自然条件、文冠果丰产指标与栽培技术对比</w:t>
      </w:r>
    </w:p>
    <w:tbl>
      <w:tblPr>
        <w:tblStyle w:val="a8"/>
        <w:tblW w:w="9040" w:type="dxa"/>
        <w:jc w:val="center"/>
        <w:tblLook w:val="04A0" w:firstRow="1" w:lastRow="0" w:firstColumn="1" w:lastColumn="0" w:noHBand="0" w:noVBand="1"/>
      </w:tblPr>
      <w:tblGrid>
        <w:gridCol w:w="651"/>
        <w:gridCol w:w="1417"/>
        <w:gridCol w:w="2861"/>
        <w:gridCol w:w="4111"/>
      </w:tblGrid>
      <w:tr w:rsidR="007D34FD" w:rsidTr="007D34FD">
        <w:trPr>
          <w:jc w:val="center"/>
        </w:trPr>
        <w:tc>
          <w:tcPr>
            <w:tcW w:w="651" w:type="dxa"/>
            <w:vAlign w:val="center"/>
          </w:tcPr>
          <w:p w:rsidR="007D34FD" w:rsidRDefault="007D34FD" w:rsidP="00971C0C">
            <w:pPr>
              <w:jc w:val="center"/>
            </w:pPr>
            <w:r>
              <w:rPr>
                <w:rFonts w:hint="eastAsia"/>
              </w:rPr>
              <w:t>类别</w:t>
            </w:r>
          </w:p>
        </w:tc>
        <w:tc>
          <w:tcPr>
            <w:tcW w:w="1417" w:type="dxa"/>
            <w:vAlign w:val="center"/>
          </w:tcPr>
          <w:p w:rsidR="007D34FD" w:rsidRDefault="007D34FD" w:rsidP="00971C0C">
            <w:pPr>
              <w:jc w:val="center"/>
            </w:pPr>
            <w:r>
              <w:rPr>
                <w:rFonts w:hint="eastAsia"/>
              </w:rPr>
              <w:t>二级类别</w:t>
            </w:r>
          </w:p>
        </w:tc>
        <w:tc>
          <w:tcPr>
            <w:tcW w:w="2861" w:type="dxa"/>
            <w:vAlign w:val="center"/>
          </w:tcPr>
          <w:p w:rsidR="007D34FD" w:rsidRDefault="007D34FD" w:rsidP="00971C0C">
            <w:pPr>
              <w:jc w:val="center"/>
            </w:pPr>
            <w:r>
              <w:rPr>
                <w:rFonts w:hint="eastAsia"/>
              </w:rPr>
              <w:t>辽宁省地方标准</w:t>
            </w:r>
          </w:p>
        </w:tc>
        <w:tc>
          <w:tcPr>
            <w:tcW w:w="4111" w:type="dxa"/>
            <w:vAlign w:val="center"/>
          </w:tcPr>
          <w:p w:rsidR="007D34FD" w:rsidRDefault="007D34FD" w:rsidP="00971C0C">
            <w:pPr>
              <w:jc w:val="center"/>
            </w:pPr>
            <w:r>
              <w:rPr>
                <w:rFonts w:hint="eastAsia"/>
              </w:rPr>
              <w:t>陕西省地方标准</w:t>
            </w:r>
          </w:p>
        </w:tc>
      </w:tr>
      <w:tr w:rsidR="007D34FD" w:rsidTr="007D34FD">
        <w:trPr>
          <w:jc w:val="center"/>
        </w:trPr>
        <w:tc>
          <w:tcPr>
            <w:tcW w:w="651" w:type="dxa"/>
            <w:vMerge w:val="restart"/>
            <w:vAlign w:val="center"/>
          </w:tcPr>
          <w:p w:rsidR="007D34FD" w:rsidRDefault="007D34FD" w:rsidP="00971C0C">
            <w:pPr>
              <w:jc w:val="center"/>
            </w:pPr>
            <w:r>
              <w:rPr>
                <w:rFonts w:hint="eastAsia"/>
              </w:rPr>
              <w:t>自然条件</w:t>
            </w:r>
          </w:p>
        </w:tc>
        <w:tc>
          <w:tcPr>
            <w:tcW w:w="1417" w:type="dxa"/>
            <w:vAlign w:val="center"/>
          </w:tcPr>
          <w:p w:rsidR="007D34FD" w:rsidRDefault="007D34FD" w:rsidP="00971C0C">
            <w:pPr>
              <w:jc w:val="center"/>
            </w:pPr>
            <w:r>
              <w:rPr>
                <w:rFonts w:hint="eastAsia"/>
              </w:rPr>
              <w:t>土壤类型</w:t>
            </w:r>
          </w:p>
        </w:tc>
        <w:tc>
          <w:tcPr>
            <w:tcW w:w="2861" w:type="dxa"/>
            <w:vAlign w:val="center"/>
          </w:tcPr>
          <w:p w:rsidR="007D34FD" w:rsidRPr="007D34FD" w:rsidRDefault="007D34FD" w:rsidP="007D34FD">
            <w:pPr>
              <w:jc w:val="center"/>
            </w:pPr>
            <w:r w:rsidRPr="007D34FD">
              <w:rPr>
                <w:rFonts w:hint="eastAsia"/>
              </w:rPr>
              <w:t>棕壤和褐土、滨海盐土和盐渍化土壤</w:t>
            </w:r>
          </w:p>
        </w:tc>
        <w:tc>
          <w:tcPr>
            <w:tcW w:w="4111" w:type="dxa"/>
            <w:vAlign w:val="center"/>
          </w:tcPr>
          <w:p w:rsidR="007D34FD" w:rsidRDefault="007D34FD" w:rsidP="009B27CA">
            <w:pPr>
              <w:jc w:val="center"/>
            </w:pPr>
            <w:r w:rsidRPr="007D34FD">
              <w:rPr>
                <w:rFonts w:hint="eastAsia"/>
              </w:rPr>
              <w:t>黄绵土、风沙土</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降雨量</w:t>
            </w:r>
          </w:p>
        </w:tc>
        <w:tc>
          <w:tcPr>
            <w:tcW w:w="2861"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600-1100mm</w:t>
            </w:r>
          </w:p>
        </w:tc>
        <w:tc>
          <w:tcPr>
            <w:tcW w:w="4111"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100-600mm</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气候类型</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等线" w:hint="eastAsia"/>
                <w:color w:val="000000" w:themeColor="text1"/>
                <w:kern w:val="24"/>
                <w:sz w:val="20"/>
                <w:szCs w:val="20"/>
              </w:rPr>
              <w:t>温带大陆性季风气候</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等线" w:hint="eastAsia"/>
                <w:color w:val="000000" w:themeColor="text1"/>
                <w:kern w:val="24"/>
                <w:sz w:val="20"/>
                <w:szCs w:val="20"/>
              </w:rPr>
              <w:t>温带干旱半干旱气候、暖温带半湿润气候</w:t>
            </w:r>
          </w:p>
        </w:tc>
      </w:tr>
      <w:tr w:rsidR="007D34FD" w:rsidTr="007D34FD">
        <w:trPr>
          <w:jc w:val="center"/>
        </w:trPr>
        <w:tc>
          <w:tcPr>
            <w:tcW w:w="651" w:type="dxa"/>
            <w:vMerge w:val="restart"/>
            <w:vAlign w:val="center"/>
          </w:tcPr>
          <w:p w:rsidR="007D34FD" w:rsidRPr="007D34FD" w:rsidRDefault="007D34FD" w:rsidP="007D34FD">
            <w:pPr>
              <w:jc w:val="center"/>
            </w:pPr>
            <w:r w:rsidRPr="007D34FD">
              <w:rPr>
                <w:rFonts w:hint="eastAsia"/>
              </w:rPr>
              <w:t>文冠果丰产指标与栽培技术</w:t>
            </w:r>
          </w:p>
          <w:p w:rsidR="007D34FD" w:rsidRP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丰产林</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丰产期后，单位面积种子产量75kg/667㎡以上</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丰产期后，单位面积种子产量60kg/667㎡以上</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jc w:val="center"/>
              <w:rPr>
                <w:rFonts w:ascii="Arial" w:hAnsi="Arial" w:cs="Arial"/>
                <w:sz w:val="36"/>
                <w:szCs w:val="36"/>
              </w:rPr>
            </w:pPr>
            <w:r>
              <w:rPr>
                <w:rFonts w:ascii="新宋体" w:eastAsia="新宋体" w:hAnsi="新宋体" w:cs="等线" w:hint="eastAsia"/>
                <w:color w:val="000000" w:themeColor="text1"/>
                <w:kern w:val="24"/>
                <w:sz w:val="20"/>
                <w:szCs w:val="20"/>
              </w:rPr>
              <w:t>产量指标</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2年生苗栽植5年后，种子产量≥75kg/667㎡</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Ⅰ级嫁接苗栽植8年后，种子产量≧60kg/667㎡</w:t>
            </w:r>
          </w:p>
        </w:tc>
      </w:tr>
      <w:tr w:rsidR="007D34FD" w:rsidTr="007D34FD">
        <w:trPr>
          <w:jc w:val="center"/>
        </w:trPr>
        <w:tc>
          <w:tcPr>
            <w:tcW w:w="651" w:type="dxa"/>
            <w:vMerge/>
            <w:vAlign w:val="center"/>
          </w:tcPr>
          <w:p w:rsidR="007D34FD" w:rsidRDefault="007D34FD" w:rsidP="007D34FD"/>
        </w:tc>
        <w:tc>
          <w:tcPr>
            <w:tcW w:w="1417" w:type="dxa"/>
            <w:vAlign w:val="center"/>
          </w:tcPr>
          <w:p w:rsidR="007D34FD" w:rsidRDefault="007D34FD" w:rsidP="007D34FD">
            <w:r>
              <w:rPr>
                <w:rFonts w:ascii="新宋体" w:eastAsia="新宋体" w:hAnsi="新宋体" w:cs="等线" w:hint="eastAsia"/>
                <w:color w:val="000000" w:themeColor="text1"/>
                <w:kern w:val="24"/>
                <w:sz w:val="20"/>
                <w:szCs w:val="20"/>
              </w:rPr>
              <w:t>林分生长指标</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2年生苗栽植5年后，单位面积保留密度60-85株，地径≧5cm</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Ⅰ级嫁接苗栽植8年后，单位面积保留密度86-95株，地径≧5cm</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jc w:val="center"/>
              <w:rPr>
                <w:rFonts w:ascii="Arial" w:hAnsi="Arial" w:cs="Arial"/>
                <w:sz w:val="36"/>
                <w:szCs w:val="36"/>
              </w:rPr>
            </w:pPr>
            <w:r>
              <w:rPr>
                <w:rFonts w:ascii="新宋体" w:eastAsia="新宋体" w:hAnsi="新宋体" w:cs="等线" w:hint="eastAsia"/>
                <w:color w:val="000000" w:themeColor="text1"/>
                <w:kern w:val="24"/>
                <w:sz w:val="20"/>
                <w:szCs w:val="20"/>
              </w:rPr>
              <w:t>嫁接苗规格</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w:t>
            </w:r>
            <w:proofErr w:type="gramStart"/>
            <w:r>
              <w:rPr>
                <w:rFonts w:ascii="新宋体" w:eastAsia="新宋体" w:hAnsi="新宋体" w:cs="新宋体" w:hint="eastAsia"/>
                <w:color w:val="000000" w:themeColor="text1"/>
                <w:kern w:val="24"/>
                <w:sz w:val="20"/>
                <w:szCs w:val="20"/>
              </w:rPr>
              <w:t>级苗高</w:t>
            </w:r>
            <w:proofErr w:type="gramEnd"/>
            <w:r>
              <w:rPr>
                <w:rFonts w:ascii="新宋体" w:eastAsia="新宋体" w:hAnsi="新宋体" w:cs="新宋体" w:hint="eastAsia"/>
                <w:color w:val="000000" w:themeColor="text1"/>
                <w:kern w:val="24"/>
                <w:sz w:val="20"/>
                <w:szCs w:val="20"/>
              </w:rPr>
              <w:t>≧50cm，嫁接点上部1cm处直径≥0.5cm</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w:t>
            </w:r>
            <w:proofErr w:type="gramStart"/>
            <w:r>
              <w:rPr>
                <w:rFonts w:ascii="新宋体" w:eastAsia="新宋体" w:hAnsi="新宋体" w:cs="新宋体" w:hint="eastAsia"/>
                <w:color w:val="000000" w:themeColor="text1"/>
                <w:kern w:val="24"/>
                <w:sz w:val="20"/>
                <w:szCs w:val="20"/>
              </w:rPr>
              <w:t>级苗高</w:t>
            </w:r>
            <w:proofErr w:type="gramEnd"/>
            <w:r>
              <w:rPr>
                <w:rFonts w:ascii="新宋体" w:eastAsia="新宋体" w:hAnsi="新宋体" w:cs="新宋体" w:hint="eastAsia"/>
                <w:color w:val="000000" w:themeColor="text1"/>
                <w:kern w:val="24"/>
                <w:sz w:val="20"/>
                <w:szCs w:val="20"/>
              </w:rPr>
              <w:t>≧80cm，嫁接点上部1cm处直径≥0.8cm</w:t>
            </w:r>
          </w:p>
        </w:tc>
      </w:tr>
      <w:tr w:rsidR="007D34FD" w:rsidTr="007D34FD">
        <w:trPr>
          <w:jc w:val="center"/>
        </w:trPr>
        <w:tc>
          <w:tcPr>
            <w:tcW w:w="651" w:type="dxa"/>
            <w:vMerge/>
            <w:vAlign w:val="center"/>
          </w:tcPr>
          <w:p w:rsidR="007D34FD" w:rsidRDefault="007D34FD" w:rsidP="007D34FD"/>
        </w:tc>
        <w:tc>
          <w:tcPr>
            <w:tcW w:w="1417" w:type="dxa"/>
            <w:vAlign w:val="center"/>
          </w:tcPr>
          <w:p w:rsidR="007D34FD" w:rsidRDefault="007D34FD" w:rsidP="009B27CA">
            <w:pPr>
              <w:jc w:val="center"/>
            </w:pPr>
            <w:r>
              <w:rPr>
                <w:rFonts w:ascii="新宋体" w:eastAsia="新宋体" w:hAnsi="新宋体" w:cs="等线" w:hint="eastAsia"/>
                <w:color w:val="000000" w:themeColor="text1"/>
                <w:kern w:val="24"/>
                <w:sz w:val="20"/>
                <w:szCs w:val="20"/>
              </w:rPr>
              <w:t>实生苗规格</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w:t>
            </w:r>
            <w:proofErr w:type="gramStart"/>
            <w:r>
              <w:rPr>
                <w:rFonts w:ascii="新宋体" w:eastAsia="新宋体" w:hAnsi="新宋体" w:cs="新宋体" w:hint="eastAsia"/>
                <w:color w:val="000000" w:themeColor="text1"/>
                <w:kern w:val="24"/>
                <w:sz w:val="20"/>
                <w:szCs w:val="20"/>
              </w:rPr>
              <w:t>级苗高</w:t>
            </w:r>
            <w:proofErr w:type="gramEnd"/>
            <w:r>
              <w:rPr>
                <w:rFonts w:ascii="新宋体" w:eastAsia="新宋体" w:hAnsi="新宋体" w:cs="新宋体" w:hint="eastAsia"/>
                <w:color w:val="000000" w:themeColor="text1"/>
                <w:kern w:val="24"/>
                <w:sz w:val="20"/>
                <w:szCs w:val="20"/>
              </w:rPr>
              <w:t>≥30cm，地径≥0.3cm</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Ⅰ</w:t>
            </w:r>
            <w:proofErr w:type="gramStart"/>
            <w:r>
              <w:rPr>
                <w:rFonts w:ascii="新宋体" w:eastAsia="新宋体" w:hAnsi="新宋体" w:cs="新宋体" w:hint="eastAsia"/>
                <w:color w:val="000000" w:themeColor="text1"/>
                <w:kern w:val="24"/>
                <w:sz w:val="20"/>
                <w:szCs w:val="20"/>
              </w:rPr>
              <w:t>级苗高</w:t>
            </w:r>
            <w:proofErr w:type="gramEnd"/>
            <w:r>
              <w:rPr>
                <w:rFonts w:ascii="新宋体" w:eastAsia="新宋体" w:hAnsi="新宋体" w:cs="新宋体" w:hint="eastAsia"/>
                <w:color w:val="000000" w:themeColor="text1"/>
                <w:kern w:val="24"/>
                <w:sz w:val="20"/>
                <w:szCs w:val="20"/>
              </w:rPr>
              <w:t>≥60cm，地径≥0.6cm</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鼠兔害防控</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参照DB21/T 3279相关内容进行防控</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参照DB61/T1475-2021和DB61/T1476-2021相关内容进行防控</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栽植</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格状异交传粉配置模式，株行距1.5m×4m，每亩110株。填土高出周围地表5cm-8cm</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株行距标准为2m×2m×5m（95株/667㎡），年降雨600mm以上地区，垄上栽植，栽植穴土面</w:t>
            </w:r>
            <w:proofErr w:type="gramStart"/>
            <w:r>
              <w:rPr>
                <w:rFonts w:ascii="新宋体" w:eastAsia="新宋体" w:hAnsi="新宋体" w:cs="新宋体" w:hint="eastAsia"/>
                <w:color w:val="000000" w:themeColor="text1"/>
                <w:kern w:val="24"/>
                <w:sz w:val="20"/>
                <w:szCs w:val="20"/>
              </w:rPr>
              <w:t>与垄面</w:t>
            </w:r>
            <w:proofErr w:type="gramEnd"/>
            <w:r>
              <w:rPr>
                <w:rFonts w:ascii="新宋体" w:eastAsia="新宋体" w:hAnsi="新宋体" w:cs="新宋体" w:hint="eastAsia"/>
                <w:color w:val="000000" w:themeColor="text1"/>
                <w:kern w:val="24"/>
                <w:sz w:val="20"/>
                <w:szCs w:val="20"/>
              </w:rPr>
              <w:t>平行，不留蓄水坑；年降雨600mm以下地区，按照埂上栽植技术栽植。</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施肥</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一年2次，基肥1kg/株有机肥，追肥0.2kg-0.3kg/株复合肥</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等线" w:hint="eastAsia"/>
                <w:color w:val="000000" w:themeColor="text1"/>
                <w:kern w:val="24"/>
                <w:sz w:val="20"/>
                <w:szCs w:val="20"/>
              </w:rPr>
              <w:t>水肥一体化智能滴灌，包含萌动肥、复壮肥、叶面肥等，均有明确配方。</w:t>
            </w:r>
          </w:p>
        </w:tc>
      </w:tr>
      <w:tr w:rsidR="007D34FD" w:rsidTr="007D34FD">
        <w:trPr>
          <w:jc w:val="center"/>
        </w:trPr>
        <w:tc>
          <w:tcPr>
            <w:tcW w:w="651" w:type="dxa"/>
            <w:vMerge/>
            <w:vAlign w:val="center"/>
          </w:tcPr>
          <w:p w:rsidR="007D34FD" w:rsidRDefault="007D34FD" w:rsidP="007D34FD">
            <w:pPr>
              <w:jc w:val="center"/>
            </w:pPr>
          </w:p>
        </w:tc>
        <w:tc>
          <w:tcPr>
            <w:tcW w:w="1417" w:type="dxa"/>
            <w:vAlign w:val="center"/>
          </w:tcPr>
          <w:p w:rsidR="007D34FD" w:rsidRDefault="007D34FD" w:rsidP="007D34FD">
            <w:pPr>
              <w:pStyle w:val="a9"/>
              <w:spacing w:before="0" w:beforeAutospacing="0" w:after="0" w:afterAutospacing="0"/>
              <w:jc w:val="center"/>
              <w:rPr>
                <w:rFonts w:ascii="Arial" w:hAnsi="Arial" w:cs="Arial"/>
                <w:sz w:val="36"/>
                <w:szCs w:val="36"/>
              </w:rPr>
            </w:pPr>
            <w:r>
              <w:rPr>
                <w:rFonts w:ascii="新宋体" w:eastAsia="新宋体" w:hAnsi="新宋体" w:cs="等线" w:hint="eastAsia"/>
                <w:color w:val="000000" w:themeColor="text1"/>
                <w:kern w:val="24"/>
                <w:sz w:val="20"/>
                <w:szCs w:val="20"/>
              </w:rPr>
              <w:t>采收</w:t>
            </w:r>
          </w:p>
        </w:tc>
        <w:tc>
          <w:tcPr>
            <w:tcW w:w="286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cs="新宋体" w:hint="eastAsia"/>
                <w:color w:val="000000" w:themeColor="text1"/>
                <w:kern w:val="24"/>
                <w:sz w:val="20"/>
                <w:szCs w:val="20"/>
              </w:rPr>
              <w:t>30%微裂为采收时期，7月下旬至8月上旬</w:t>
            </w:r>
          </w:p>
        </w:tc>
        <w:tc>
          <w:tcPr>
            <w:tcW w:w="4111" w:type="dxa"/>
            <w:vAlign w:val="center"/>
          </w:tcPr>
          <w:p w:rsidR="007D34FD" w:rsidRDefault="007D34FD" w:rsidP="007D34FD">
            <w:pPr>
              <w:pStyle w:val="a9"/>
              <w:spacing w:before="0" w:beforeAutospacing="0" w:after="0" w:afterAutospacing="0"/>
              <w:rPr>
                <w:rFonts w:ascii="Arial" w:hAnsi="Arial" w:cs="Arial"/>
                <w:sz w:val="36"/>
                <w:szCs w:val="36"/>
              </w:rPr>
            </w:pPr>
            <w:r>
              <w:rPr>
                <w:rFonts w:ascii="新宋体" w:eastAsia="新宋体" w:hAnsi="新宋体" w:hint="eastAsia"/>
                <w:color w:val="000000" w:themeColor="text1"/>
                <w:kern w:val="24"/>
                <w:sz w:val="20"/>
                <w:szCs w:val="20"/>
              </w:rPr>
              <w:t>增加了嫩芽、花蕾和</w:t>
            </w:r>
            <w:r>
              <w:rPr>
                <w:rFonts w:ascii="新宋体" w:eastAsia="新宋体" w:hAnsi="新宋体" w:cs="等线" w:hint="eastAsia"/>
                <w:color w:val="000000" w:themeColor="text1"/>
                <w:kern w:val="24"/>
                <w:sz w:val="20"/>
                <w:szCs w:val="20"/>
              </w:rPr>
              <w:t>叶片</w:t>
            </w:r>
            <w:r>
              <w:rPr>
                <w:rFonts w:ascii="新宋体" w:eastAsia="新宋体" w:hAnsi="新宋体" w:hint="eastAsia"/>
                <w:color w:val="000000" w:themeColor="text1"/>
                <w:kern w:val="24"/>
                <w:sz w:val="20"/>
                <w:szCs w:val="20"/>
              </w:rPr>
              <w:t>的采摘和处理，</w:t>
            </w:r>
            <w:r>
              <w:rPr>
                <w:rFonts w:ascii="新宋体" w:eastAsia="新宋体" w:hAnsi="新宋体" w:cs="等线" w:hint="eastAsia"/>
                <w:color w:val="000000" w:themeColor="text1"/>
                <w:kern w:val="24"/>
                <w:sz w:val="20"/>
                <w:szCs w:val="20"/>
              </w:rPr>
              <w:t>果实采摘</w:t>
            </w:r>
            <w:r>
              <w:rPr>
                <w:rFonts w:ascii="新宋体" w:eastAsia="新宋体" w:hAnsi="新宋体" w:hint="eastAsia"/>
                <w:color w:val="000000" w:themeColor="text1"/>
                <w:kern w:val="24"/>
                <w:sz w:val="20"/>
                <w:szCs w:val="20"/>
              </w:rPr>
              <w:t>也因为用途不同对采摘时间和处理方式分别作了规范</w:t>
            </w:r>
          </w:p>
        </w:tc>
      </w:tr>
    </w:tbl>
    <w:p w:rsidR="007D34FD" w:rsidRDefault="007D34FD" w:rsidP="007D34FD">
      <w:pPr>
        <w:spacing w:line="360" w:lineRule="auto"/>
      </w:pPr>
    </w:p>
    <w:p w:rsidR="002374E4" w:rsidRDefault="007D34FD" w:rsidP="007D34FD">
      <w:pPr>
        <w:spacing w:line="360" w:lineRule="auto"/>
        <w:jc w:val="right"/>
      </w:pPr>
      <w:r>
        <w:rPr>
          <w:rFonts w:hint="eastAsia"/>
        </w:rPr>
        <w:t>《</w:t>
      </w:r>
      <w:r w:rsidRPr="00DF2BE0">
        <w:rPr>
          <w:rFonts w:ascii="宋体" w:eastAsia="宋体" w:hAnsi="宋体" w:cs="宋体" w:hint="eastAsia"/>
          <w:sz w:val="24"/>
          <w:szCs w:val="24"/>
        </w:rPr>
        <w:t>文冠果丰产栽培技术规程</w:t>
      </w:r>
      <w:r>
        <w:rPr>
          <w:rFonts w:hint="eastAsia"/>
        </w:rPr>
        <w:t>》</w:t>
      </w:r>
    </w:p>
    <w:p w:rsidR="007D34FD" w:rsidRPr="00A24CB3" w:rsidRDefault="007D34FD" w:rsidP="007D34FD">
      <w:pPr>
        <w:spacing w:line="360" w:lineRule="auto"/>
        <w:jc w:val="right"/>
        <w:rPr>
          <w:rFonts w:ascii="宋体" w:eastAsia="宋体" w:hAnsi="宋体" w:cs="宋体"/>
          <w:sz w:val="24"/>
          <w:szCs w:val="24"/>
        </w:rPr>
      </w:pPr>
      <w:r w:rsidRPr="00A24CB3">
        <w:rPr>
          <w:rFonts w:ascii="宋体" w:eastAsia="宋体" w:hAnsi="宋体" w:cs="宋体" w:hint="eastAsia"/>
          <w:sz w:val="24"/>
          <w:szCs w:val="24"/>
        </w:rPr>
        <w:t>标准起草组</w:t>
      </w:r>
    </w:p>
    <w:p w:rsidR="007D34FD" w:rsidRPr="007D34FD" w:rsidRDefault="007D34FD" w:rsidP="007D34FD">
      <w:pPr>
        <w:spacing w:line="360" w:lineRule="auto"/>
        <w:jc w:val="right"/>
        <w:rPr>
          <w:rFonts w:ascii="宋体" w:eastAsia="宋体" w:hAnsi="宋体" w:cs="宋体"/>
          <w:sz w:val="24"/>
          <w:szCs w:val="24"/>
        </w:rPr>
      </w:pPr>
      <w:r w:rsidRPr="00A24CB3">
        <w:rPr>
          <w:rFonts w:ascii="宋体" w:eastAsia="宋体" w:hAnsi="宋体" w:cs="宋体" w:hint="eastAsia"/>
          <w:sz w:val="24"/>
          <w:szCs w:val="24"/>
        </w:rPr>
        <w:t>2</w:t>
      </w:r>
      <w:r w:rsidRPr="00A24CB3">
        <w:rPr>
          <w:rFonts w:ascii="宋体" w:eastAsia="宋体" w:hAnsi="宋体" w:cs="宋体"/>
          <w:sz w:val="24"/>
          <w:szCs w:val="24"/>
        </w:rPr>
        <w:t>023</w:t>
      </w:r>
      <w:r w:rsidRPr="00A24CB3">
        <w:rPr>
          <w:rFonts w:ascii="宋体" w:eastAsia="宋体" w:hAnsi="宋体" w:cs="宋体" w:hint="eastAsia"/>
          <w:sz w:val="24"/>
          <w:szCs w:val="24"/>
        </w:rPr>
        <w:t>年3月</w:t>
      </w:r>
    </w:p>
    <w:sectPr w:rsidR="007D34FD" w:rsidRPr="007D34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B2C" w:rsidRDefault="00AB0B2C">
      <w:r>
        <w:separator/>
      </w:r>
    </w:p>
  </w:endnote>
  <w:endnote w:type="continuationSeparator" w:id="0">
    <w:p w:rsidR="00AB0B2C" w:rsidRDefault="00AB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90825"/>
    </w:sdtPr>
    <w:sdtContent>
      <w:p w:rsidR="002374E4" w:rsidRDefault="00000000">
        <w:pPr>
          <w:pStyle w:val="a5"/>
          <w:jc w:val="right"/>
        </w:pPr>
        <w:r>
          <w:fldChar w:fldCharType="begin"/>
        </w:r>
        <w:r>
          <w:instrText>PAGE   \* MERGEFORMAT</w:instrText>
        </w:r>
        <w:r>
          <w:fldChar w:fldCharType="separate"/>
        </w:r>
        <w:r>
          <w:rPr>
            <w:lang w:val="zh-CN"/>
          </w:rPr>
          <w:t>7</w:t>
        </w:r>
        <w:r>
          <w:fldChar w:fldCharType="end"/>
        </w:r>
      </w:p>
    </w:sdtContent>
  </w:sdt>
  <w:p w:rsidR="002374E4" w:rsidRDefault="002374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B2C" w:rsidRDefault="00AB0B2C">
      <w:r>
        <w:separator/>
      </w:r>
    </w:p>
  </w:footnote>
  <w:footnote w:type="continuationSeparator" w:id="0">
    <w:p w:rsidR="00AB0B2C" w:rsidRDefault="00AB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287"/>
    <w:rsid w:val="000D1AFE"/>
    <w:rsid w:val="000D61A8"/>
    <w:rsid w:val="001338BD"/>
    <w:rsid w:val="00134DAA"/>
    <w:rsid w:val="00160151"/>
    <w:rsid w:val="00165555"/>
    <w:rsid w:val="00196F06"/>
    <w:rsid w:val="002023D5"/>
    <w:rsid w:val="002374E4"/>
    <w:rsid w:val="002B1CC0"/>
    <w:rsid w:val="00325FD6"/>
    <w:rsid w:val="003529F1"/>
    <w:rsid w:val="00355452"/>
    <w:rsid w:val="003B31C2"/>
    <w:rsid w:val="00440B3C"/>
    <w:rsid w:val="004B2B8C"/>
    <w:rsid w:val="004B5BB4"/>
    <w:rsid w:val="00505287"/>
    <w:rsid w:val="00532D08"/>
    <w:rsid w:val="00533E0F"/>
    <w:rsid w:val="005908AD"/>
    <w:rsid w:val="005E62A1"/>
    <w:rsid w:val="00656B01"/>
    <w:rsid w:val="006F6D06"/>
    <w:rsid w:val="00712C13"/>
    <w:rsid w:val="007757FE"/>
    <w:rsid w:val="007D34FD"/>
    <w:rsid w:val="007F78D7"/>
    <w:rsid w:val="00820864"/>
    <w:rsid w:val="00886C8E"/>
    <w:rsid w:val="008C27AB"/>
    <w:rsid w:val="008D7EA2"/>
    <w:rsid w:val="009B27CA"/>
    <w:rsid w:val="009D62F1"/>
    <w:rsid w:val="00A214EB"/>
    <w:rsid w:val="00A24CB3"/>
    <w:rsid w:val="00A941E8"/>
    <w:rsid w:val="00AB0B2C"/>
    <w:rsid w:val="00B02FAE"/>
    <w:rsid w:val="00B251CB"/>
    <w:rsid w:val="00B90F69"/>
    <w:rsid w:val="00C25FD6"/>
    <w:rsid w:val="00D158B6"/>
    <w:rsid w:val="00DC519F"/>
    <w:rsid w:val="00DF2BE0"/>
    <w:rsid w:val="00E53C60"/>
    <w:rsid w:val="00E65421"/>
    <w:rsid w:val="00F07625"/>
    <w:rsid w:val="00F23076"/>
    <w:rsid w:val="00F247A2"/>
    <w:rsid w:val="00FD0541"/>
    <w:rsid w:val="0A0A671A"/>
    <w:rsid w:val="0D0F033F"/>
    <w:rsid w:val="122D23CC"/>
    <w:rsid w:val="13980241"/>
    <w:rsid w:val="14E51E93"/>
    <w:rsid w:val="1DB364EB"/>
    <w:rsid w:val="27607E39"/>
    <w:rsid w:val="27D862C1"/>
    <w:rsid w:val="280C5709"/>
    <w:rsid w:val="2C9A571A"/>
    <w:rsid w:val="34235487"/>
    <w:rsid w:val="3A8D5C5F"/>
    <w:rsid w:val="43742E15"/>
    <w:rsid w:val="4812706D"/>
    <w:rsid w:val="5A145C7B"/>
    <w:rsid w:val="5C982843"/>
    <w:rsid w:val="683F70D5"/>
    <w:rsid w:val="6FAC6380"/>
    <w:rsid w:val="74E47E79"/>
    <w:rsid w:val="74E5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414EA"/>
  <w15:docId w15:val="{EAA56C5E-46CA-49C4-B096-79B5D70C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paragraph" w:customStyle="1" w:styleId="Default">
    <w:name w:val="Default"/>
    <w:rsid w:val="003529F1"/>
    <w:pPr>
      <w:widowControl w:val="0"/>
      <w:autoSpaceDE w:val="0"/>
      <w:autoSpaceDN w:val="0"/>
      <w:adjustRightInd w:val="0"/>
    </w:pPr>
    <w:rPr>
      <w:rFonts w:ascii="宋体" w:cs="宋体"/>
      <w:color w:val="000000"/>
      <w:sz w:val="24"/>
      <w:szCs w:val="24"/>
    </w:rPr>
  </w:style>
  <w:style w:type="paragraph" w:styleId="a9">
    <w:name w:val="Normal (Web)"/>
    <w:basedOn w:val="a"/>
    <w:uiPriority w:val="99"/>
    <w:unhideWhenUsed/>
    <w:rsid w:val="007757F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段 Char"/>
    <w:link w:val="aa"/>
    <w:uiPriority w:val="99"/>
    <w:qFormat/>
    <w:locked/>
    <w:rsid w:val="007757FE"/>
    <w:rPr>
      <w:rFonts w:ascii="宋体" w:hAnsi="宋体"/>
      <w:noProof/>
    </w:rPr>
  </w:style>
  <w:style w:type="paragraph" w:customStyle="1" w:styleId="aa">
    <w:name w:val="段"/>
    <w:link w:val="Char"/>
    <w:uiPriority w:val="99"/>
    <w:qFormat/>
    <w:rsid w:val="007757FE"/>
    <w:pPr>
      <w:tabs>
        <w:tab w:val="center" w:pos="4201"/>
        <w:tab w:val="right" w:leader="dot" w:pos="9298"/>
      </w:tabs>
      <w:autoSpaceDE w:val="0"/>
      <w:autoSpaceDN w:val="0"/>
      <w:ind w:firstLineChars="200" w:firstLine="420"/>
      <w:jc w:val="both"/>
    </w:pPr>
    <w:rPr>
      <w:rFonts w:ascii="宋体" w:hAnsi="宋体"/>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968">
      <w:bodyDiv w:val="1"/>
      <w:marLeft w:val="0"/>
      <w:marRight w:val="0"/>
      <w:marTop w:val="0"/>
      <w:marBottom w:val="0"/>
      <w:divBdr>
        <w:top w:val="none" w:sz="0" w:space="0" w:color="auto"/>
        <w:left w:val="none" w:sz="0" w:space="0" w:color="auto"/>
        <w:bottom w:val="none" w:sz="0" w:space="0" w:color="auto"/>
        <w:right w:val="none" w:sz="0" w:space="0" w:color="auto"/>
      </w:divBdr>
    </w:div>
    <w:div w:id="255525328">
      <w:bodyDiv w:val="1"/>
      <w:marLeft w:val="0"/>
      <w:marRight w:val="0"/>
      <w:marTop w:val="0"/>
      <w:marBottom w:val="0"/>
      <w:divBdr>
        <w:top w:val="none" w:sz="0" w:space="0" w:color="auto"/>
        <w:left w:val="none" w:sz="0" w:space="0" w:color="auto"/>
        <w:bottom w:val="none" w:sz="0" w:space="0" w:color="auto"/>
        <w:right w:val="none" w:sz="0" w:space="0" w:color="auto"/>
      </w:divBdr>
    </w:div>
    <w:div w:id="503596714">
      <w:bodyDiv w:val="1"/>
      <w:marLeft w:val="0"/>
      <w:marRight w:val="0"/>
      <w:marTop w:val="0"/>
      <w:marBottom w:val="0"/>
      <w:divBdr>
        <w:top w:val="none" w:sz="0" w:space="0" w:color="auto"/>
        <w:left w:val="none" w:sz="0" w:space="0" w:color="auto"/>
        <w:bottom w:val="none" w:sz="0" w:space="0" w:color="auto"/>
        <w:right w:val="none" w:sz="0" w:space="0" w:color="auto"/>
      </w:divBdr>
    </w:div>
    <w:div w:id="586814242">
      <w:bodyDiv w:val="1"/>
      <w:marLeft w:val="0"/>
      <w:marRight w:val="0"/>
      <w:marTop w:val="0"/>
      <w:marBottom w:val="0"/>
      <w:divBdr>
        <w:top w:val="none" w:sz="0" w:space="0" w:color="auto"/>
        <w:left w:val="none" w:sz="0" w:space="0" w:color="auto"/>
        <w:bottom w:val="none" w:sz="0" w:space="0" w:color="auto"/>
        <w:right w:val="none" w:sz="0" w:space="0" w:color="auto"/>
      </w:divBdr>
    </w:div>
    <w:div w:id="805243033">
      <w:bodyDiv w:val="1"/>
      <w:marLeft w:val="0"/>
      <w:marRight w:val="0"/>
      <w:marTop w:val="0"/>
      <w:marBottom w:val="0"/>
      <w:divBdr>
        <w:top w:val="none" w:sz="0" w:space="0" w:color="auto"/>
        <w:left w:val="none" w:sz="0" w:space="0" w:color="auto"/>
        <w:bottom w:val="none" w:sz="0" w:space="0" w:color="auto"/>
        <w:right w:val="none" w:sz="0" w:space="0" w:color="auto"/>
      </w:divBdr>
    </w:div>
    <w:div w:id="1145006129">
      <w:bodyDiv w:val="1"/>
      <w:marLeft w:val="0"/>
      <w:marRight w:val="0"/>
      <w:marTop w:val="0"/>
      <w:marBottom w:val="0"/>
      <w:divBdr>
        <w:top w:val="none" w:sz="0" w:space="0" w:color="auto"/>
        <w:left w:val="none" w:sz="0" w:space="0" w:color="auto"/>
        <w:bottom w:val="none" w:sz="0" w:space="0" w:color="auto"/>
        <w:right w:val="none" w:sz="0" w:space="0" w:color="auto"/>
      </w:divBdr>
    </w:div>
    <w:div w:id="1223717802">
      <w:bodyDiv w:val="1"/>
      <w:marLeft w:val="0"/>
      <w:marRight w:val="0"/>
      <w:marTop w:val="0"/>
      <w:marBottom w:val="0"/>
      <w:divBdr>
        <w:top w:val="none" w:sz="0" w:space="0" w:color="auto"/>
        <w:left w:val="none" w:sz="0" w:space="0" w:color="auto"/>
        <w:bottom w:val="none" w:sz="0" w:space="0" w:color="auto"/>
        <w:right w:val="none" w:sz="0" w:space="0" w:color="auto"/>
      </w:divBdr>
    </w:div>
    <w:div w:id="1278367840">
      <w:bodyDiv w:val="1"/>
      <w:marLeft w:val="0"/>
      <w:marRight w:val="0"/>
      <w:marTop w:val="0"/>
      <w:marBottom w:val="0"/>
      <w:divBdr>
        <w:top w:val="none" w:sz="0" w:space="0" w:color="auto"/>
        <w:left w:val="none" w:sz="0" w:space="0" w:color="auto"/>
        <w:bottom w:val="none" w:sz="0" w:space="0" w:color="auto"/>
        <w:right w:val="none" w:sz="0" w:space="0" w:color="auto"/>
      </w:divBdr>
    </w:div>
    <w:div w:id="1296446526">
      <w:bodyDiv w:val="1"/>
      <w:marLeft w:val="0"/>
      <w:marRight w:val="0"/>
      <w:marTop w:val="0"/>
      <w:marBottom w:val="0"/>
      <w:divBdr>
        <w:top w:val="none" w:sz="0" w:space="0" w:color="auto"/>
        <w:left w:val="none" w:sz="0" w:space="0" w:color="auto"/>
        <w:bottom w:val="none" w:sz="0" w:space="0" w:color="auto"/>
        <w:right w:val="none" w:sz="0" w:space="0" w:color="auto"/>
      </w:divBdr>
    </w:div>
    <w:div w:id="1623607573">
      <w:bodyDiv w:val="1"/>
      <w:marLeft w:val="0"/>
      <w:marRight w:val="0"/>
      <w:marTop w:val="0"/>
      <w:marBottom w:val="0"/>
      <w:divBdr>
        <w:top w:val="none" w:sz="0" w:space="0" w:color="auto"/>
        <w:left w:val="none" w:sz="0" w:space="0" w:color="auto"/>
        <w:bottom w:val="none" w:sz="0" w:space="0" w:color="auto"/>
        <w:right w:val="none" w:sz="0" w:space="0" w:color="auto"/>
      </w:divBdr>
    </w:div>
    <w:div w:id="1646474174">
      <w:bodyDiv w:val="1"/>
      <w:marLeft w:val="0"/>
      <w:marRight w:val="0"/>
      <w:marTop w:val="0"/>
      <w:marBottom w:val="0"/>
      <w:divBdr>
        <w:top w:val="none" w:sz="0" w:space="0" w:color="auto"/>
        <w:left w:val="none" w:sz="0" w:space="0" w:color="auto"/>
        <w:bottom w:val="none" w:sz="0" w:space="0" w:color="auto"/>
        <w:right w:val="none" w:sz="0" w:space="0" w:color="auto"/>
      </w:divBdr>
    </w:div>
    <w:div w:id="1913658010">
      <w:bodyDiv w:val="1"/>
      <w:marLeft w:val="0"/>
      <w:marRight w:val="0"/>
      <w:marTop w:val="0"/>
      <w:marBottom w:val="0"/>
      <w:divBdr>
        <w:top w:val="none" w:sz="0" w:space="0" w:color="auto"/>
        <w:left w:val="none" w:sz="0" w:space="0" w:color="auto"/>
        <w:bottom w:val="none" w:sz="0" w:space="0" w:color="auto"/>
        <w:right w:val="none" w:sz="0" w:space="0" w:color="auto"/>
      </w:divBdr>
    </w:div>
    <w:div w:id="2008090247">
      <w:bodyDiv w:val="1"/>
      <w:marLeft w:val="0"/>
      <w:marRight w:val="0"/>
      <w:marTop w:val="0"/>
      <w:marBottom w:val="0"/>
      <w:divBdr>
        <w:top w:val="none" w:sz="0" w:space="0" w:color="auto"/>
        <w:left w:val="none" w:sz="0" w:space="0" w:color="auto"/>
        <w:bottom w:val="none" w:sz="0" w:space="0" w:color="auto"/>
        <w:right w:val="none" w:sz="0" w:space="0" w:color="auto"/>
      </w:divBdr>
    </w:div>
    <w:div w:id="214539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群</cp:lastModifiedBy>
  <cp:revision>19</cp:revision>
  <cp:lastPrinted>2021-04-21T08:41:00Z</cp:lastPrinted>
  <dcterms:created xsi:type="dcterms:W3CDTF">2014-10-29T12:08:00Z</dcterms:created>
  <dcterms:modified xsi:type="dcterms:W3CDTF">2023-03-21T01:55:00Z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