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4"/>
          <w:szCs w:val="44"/>
          <w:lang w:val="en-US" w:eastAsia="zh-CN"/>
        </w:rPr>
      </w:pPr>
      <w:r>
        <w:rPr>
          <w:rFonts w:hint="eastAsia"/>
          <w:b/>
          <w:bCs/>
          <w:sz w:val="44"/>
          <w:szCs w:val="44"/>
          <w:lang w:val="en-US" w:eastAsia="zh-CN"/>
        </w:rPr>
        <w:t>《陕西省自然保护区巡护技术规程》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4"/>
          <w:szCs w:val="44"/>
          <w:lang w:val="en-US" w:eastAsia="zh-CN"/>
        </w:rPr>
      </w:pPr>
      <w:r>
        <w:rPr>
          <w:rFonts w:hint="eastAsia"/>
          <w:b/>
          <w:bCs/>
          <w:sz w:val="44"/>
          <w:szCs w:val="44"/>
          <w:lang w:val="en-US" w:eastAsia="zh-CN"/>
        </w:rPr>
        <w:t>编 制 说 明</w:t>
      </w:r>
      <w:bookmarkStart w:id="0" w:name="_GoBack"/>
      <w:bookmarkEnd w:id="0"/>
    </w:p>
    <w:p>
      <w:pPr>
        <w:jc w:val="center"/>
        <w:rPr>
          <w:rFonts w:hint="eastAsia"/>
          <w:b/>
          <w:bCs/>
          <w:sz w:val="44"/>
          <w:szCs w:val="44"/>
          <w:lang w:val="en-US" w:eastAsia="zh-CN"/>
        </w:rPr>
      </w:pPr>
    </w:p>
    <w:p>
      <w:pPr>
        <w:overflowPunct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护是自然保护区资源保护最基本、最重要的日常管理工作，是保护区管理计划制定、科研监测的基础，也是自然保护区管理人员的重要职责。我省自然保护区巡护工作自自然保护区建立以来便逐步开展，历经半个多世纪，仍未形成规范的巡护体系。往往存在巡护人员少，巡护机制、巡护方法、巡护设备落后，巡护方案不科学，巡护效率低等问题，制约了巡护水平的提高。为了加强自然保护区巡护检查工作, 使自然保护区更好地履行保护管理职责，提高野外巡护管理工作的质量和水平，有效保护辖区内野生动植物资源和生态环境的安全，制定自然保护区巡护技术规程十分必要。</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sz w:val="32"/>
          <w:szCs w:val="32"/>
          <w:highlight w:val="yellow"/>
        </w:rPr>
      </w:pPr>
      <w:r>
        <w:rPr>
          <w:rFonts w:hint="eastAsia" w:ascii="黑体" w:hAnsi="黑体" w:eastAsia="黑体" w:cs="黑体"/>
          <w:b w:val="0"/>
          <w:bCs w:val="0"/>
          <w:spacing w:val="14"/>
          <w:sz w:val="32"/>
          <w:szCs w:val="32"/>
        </w:rPr>
        <w:t>一、工作概况</w:t>
      </w:r>
    </w:p>
    <w:p>
      <w:pPr>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陕西省独特的地理位置、复杂的地形地貌及气候特征，孕育了众多的生物物种，成为我国生物物种资源比较丰富的地区之一，也是我国珍稀濒危野生动、植物分布的重要省份之一。保护好陕西省的生物多样性，具有深远的历史意义和十分重要的现实意义。陕西省林业局</w:t>
      </w:r>
      <w:r>
        <w:rPr>
          <w:rFonts w:hint="eastAsia" w:ascii="仿宋_GB2312" w:hAnsi="仿宋_GB2312" w:eastAsia="仿宋_GB2312" w:cs="仿宋_GB2312"/>
          <w:sz w:val="32"/>
          <w:szCs w:val="32"/>
        </w:rPr>
        <w:t>、陕西省自然保护区与野生动植物管理站高度重视《</w:t>
      </w:r>
      <w:r>
        <w:rPr>
          <w:rFonts w:hint="eastAsia" w:ascii="仿宋_GB2312" w:hAnsi="仿宋_GB2312" w:eastAsia="仿宋_GB2312" w:cs="仿宋_GB2312"/>
          <w:bCs/>
          <w:sz w:val="32"/>
          <w:szCs w:val="32"/>
        </w:rPr>
        <w:t>自然保护区巡护技术规程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以下简称“巡护规程”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编制工作，20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rPr>
        <w:t>，委托国家</w:t>
      </w:r>
      <w:r>
        <w:rPr>
          <w:rFonts w:hint="eastAsia" w:ascii="仿宋_GB2312" w:hAnsi="仿宋_GB2312" w:eastAsia="仿宋_GB2312" w:cs="仿宋_GB2312"/>
          <w:sz w:val="32"/>
          <w:szCs w:val="32"/>
          <w:lang w:val="en-US" w:eastAsia="zh-CN"/>
        </w:rPr>
        <w:t>林业和草原局西北调查规划院开展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巡护</w:t>
      </w:r>
      <w:r>
        <w:rPr>
          <w:rFonts w:hint="eastAsia" w:ascii="仿宋_GB2312" w:hAnsi="仿宋_GB2312" w:eastAsia="仿宋_GB2312" w:cs="仿宋_GB2312"/>
          <w:bCs/>
          <w:sz w:val="32"/>
          <w:szCs w:val="32"/>
        </w:rPr>
        <w:t>规程</w:t>
      </w:r>
      <w:r>
        <w:rPr>
          <w:rFonts w:hint="eastAsia" w:ascii="仿宋_GB2312" w:hAnsi="仿宋_GB2312" w:eastAsia="仿宋_GB2312" w:cs="仿宋_GB2312"/>
          <w:sz w:val="32"/>
          <w:szCs w:val="32"/>
        </w:rPr>
        <w:t>》编制工作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推进巡护管理工作经常性、制度化、标准化开展，</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自然保护区的有效管理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巡护</w:t>
      </w:r>
      <w:r>
        <w:rPr>
          <w:rFonts w:hint="eastAsia" w:ascii="仿宋_GB2312" w:hAnsi="仿宋_GB2312" w:eastAsia="仿宋_GB2312" w:cs="仿宋_GB2312"/>
          <w:sz w:val="32"/>
          <w:szCs w:val="32"/>
        </w:rPr>
        <w:t>技术规程，</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月形成了初稿。</w:t>
      </w:r>
    </w:p>
    <w:p>
      <w:pPr>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在编制单位内部组织了研讨会，征求了院内相关技术专家意见，并对《巡护</w:t>
      </w:r>
      <w:r>
        <w:rPr>
          <w:rFonts w:hint="eastAsia" w:ascii="仿宋_GB2312" w:hAnsi="仿宋_GB2312" w:eastAsia="仿宋_GB2312" w:cs="仿宋_GB2312"/>
          <w:bCs/>
          <w:sz w:val="32"/>
          <w:szCs w:val="32"/>
        </w:rPr>
        <w:t>规程</w:t>
      </w:r>
      <w:r>
        <w:rPr>
          <w:rFonts w:hint="eastAsia" w:ascii="仿宋_GB2312" w:hAnsi="仿宋_GB2312" w:eastAsia="仿宋_GB2312" w:cs="仿宋_GB2312"/>
          <w:sz w:val="32"/>
          <w:szCs w:val="32"/>
          <w:lang w:val="en-US" w:eastAsia="zh-CN"/>
        </w:rPr>
        <w:t>》进行了完善。</w:t>
      </w:r>
    </w:p>
    <w:p>
      <w:pPr>
        <w:overflowPunct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月，征求了陕西省自然保护区与野生动植物管理站意见，经修改完善，形成了征求意见稿。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pacing w:val="0"/>
          <w:kern w:val="2"/>
          <w:sz w:val="32"/>
          <w:szCs w:val="32"/>
          <w:lang w:val="en-US" w:eastAsia="zh-CN" w:bidi="ar-SA"/>
        </w:rPr>
        <w:t>在西安组织召开专家审查会，结合专家意见对</w:t>
      </w:r>
      <w:r>
        <w:rPr>
          <w:rFonts w:hint="eastAsia" w:ascii="仿宋_GB2312" w:hAnsi="仿宋_GB2312" w:eastAsia="仿宋_GB2312" w:cs="仿宋_GB2312"/>
          <w:sz w:val="32"/>
          <w:szCs w:val="32"/>
          <w:lang w:val="en-US" w:eastAsia="zh-CN"/>
        </w:rPr>
        <w:t>《巡护</w:t>
      </w:r>
      <w:r>
        <w:rPr>
          <w:rFonts w:hint="eastAsia" w:ascii="仿宋_GB2312" w:hAnsi="仿宋_GB2312" w:eastAsia="仿宋_GB2312" w:cs="仿宋_GB2312"/>
          <w:bCs/>
          <w:sz w:val="32"/>
          <w:szCs w:val="32"/>
        </w:rPr>
        <w:t>规程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0"/>
          <w:kern w:val="2"/>
          <w:sz w:val="32"/>
          <w:szCs w:val="32"/>
          <w:lang w:val="en-US" w:eastAsia="zh-CN" w:bidi="ar-SA"/>
        </w:rPr>
        <w:t>进行修改完善。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2023年4月，依据《中华人民共和国标准化法》和《陕西省标准化条例》规定，向陕西省市场监督管理局提交项目申报书并参与标准草案资料审查，最终确定项目立项。</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二、编制原则和主要内容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《巡护</w:t>
      </w:r>
      <w:r>
        <w:rPr>
          <w:rFonts w:hint="eastAsia" w:ascii="仿宋_GB2312" w:hAnsi="仿宋_GB2312" w:eastAsia="仿宋_GB2312" w:cs="仿宋_GB2312"/>
          <w:bCs/>
          <w:sz w:val="32"/>
          <w:szCs w:val="32"/>
        </w:rPr>
        <w:t>规程</w:t>
      </w:r>
      <w:r>
        <w:rPr>
          <w:rFonts w:hint="eastAsia" w:ascii="仿宋_GB2312" w:hAnsi="仿宋_GB2312" w:eastAsia="仿宋_GB2312" w:cs="仿宋_GB2312"/>
          <w:sz w:val="32"/>
          <w:szCs w:val="32"/>
          <w:lang w:val="en-US" w:eastAsia="zh-CN"/>
        </w:rPr>
        <w:t>》的编制本着安全性、科学性和时效性三个原则；采取有效措施保证巡护安全，制定合理计划保证巡护科学，规定相应的时间保证巡护时效。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护规程》由前言、规程内文和附录三部分组成，规程内文包括范围、规范性引用文件、术语和定义、巡护的目的任务和原则、巡护类型和时间安排、巡护基本要求、巡护工作流程、检查监督与考核等8个章节。《巡护规程》的制定规范了自然保护区管理工作内容，完善了保护区职能，主要体现在以下四方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（一）彰显保护区的综合职能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自然保护区巡护技术规程，科学地对自然保护区进行巡护，是自然保护区的管理职能，同时能够密切联系社区群众，扩大社会影响力；有利于自然保护区管理机构全面掌握区内自然地理环境、物种消长变化和分布情况，对资源保护、资源“本底”调查、繁育利用、科研监测和野外应急救护等工作，都具有重要意义。</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（二）提供管理策略制定依据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巡护工作，可以收集到自然界、人类社会对自然保护区影响的各类信息、数据，如通过巡护，及时发现诸如偷猎、盗伐、放牧、毁林开垦等非法活动，打击震摄违法犯罪分子；维护自然保护区边界；确保自然保护区有关法律、法规和行政管理措施得以落实；确保重要地段，如核心区不受人为干挠。还可以收集动植物及环境的监测数据，对自然保护区生态系统及物种进行长期监测等。为制定自然保护区管理策略提供科学依据。</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推动保护区积极向好发展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以自然保护区巡护技术规程为标准，规范开展巡护工作，有利于自然保护区工作人员、巡护人员发现情况和问题时，更有效地对新情况、新问题进行分析和判断，并且依据流程作出处理。</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提高精准化管护管理水平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自然保护区巡护技术规程，推动自然保护区巡护标准化，可以使陕西省的自然保护区巡护做到有章可循，反馈的管护信息在统一标准下更容易进行汇总分析，有利于上一级管理层对重要问题进行决策，以全面推动陕西自然保护地标准化建设。</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三、实证研究</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本规程规定的工作流程、法规政策、专业知识、工具资料、救护用品等参考或引用了GB/T14529、LY/T1685 、GB/T31759 、LY/T1726 、LY/T1813、LY/T1814等国标、行标、地标中的相关内容。这些内容符合保护区常规巡护工作的一贯原则，经实践证明有效，且广泛采用。</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四、知识产权说明</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LY/T1685-2007、LY/T1813-2009、LY/T1814-2009界定的术语和定义适用于本规程。</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五、采标情况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（一）云南省《自然保护区与国家公园巡护技术规程》：该标准规定了云南省的自然保护区与国家公园范围内巡护的目的、分类和程序、基本要求、巡护和巡护成果等技术要求。</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四川省《自然保护区巡护技术规程》：该标准规定了四川省野生生物类别和自然生态系统类别的自然保护区巡护工作，对巡护的目的、内容、范围、原则、方式、工具、频率、路线、组织实施、巡护流程、总结反馈、资料管理等进行了要求。</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（三）青海省《自然保护区巡护规范》</w:t>
      </w:r>
      <w:r>
        <w:rPr>
          <w:rFonts w:hint="eastAsia" w:ascii="仿宋_GB2312" w:hAnsi="仿宋_GB2312" w:eastAsia="仿宋_GB2312" w:cs="仿宋_GB2312"/>
          <w:b w:val="0"/>
          <w:bCs w:val="0"/>
          <w:color w:val="auto"/>
          <w:sz w:val="32"/>
          <w:szCs w:val="32"/>
          <w:lang w:val="en-US" w:eastAsia="zh-CN"/>
        </w:rPr>
        <w:t>：该标准规定了自然保护区管理范围内巡护的目的、分类和程序、基本要求、巡护和巡护成果等技术要求。</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本次拟制定的地方标准项目：规定了陕西省各级各类自然保护区巡护的目的、任务、分类、巡护区划分、路线设定、人员职责内容、巡护计划、工作记录以及数据库和档案管理等要求。与其他标准相比，对巡护工作流程和检查监督与考核作了更明确的规定。同时细化了日常巡护记录表及专项巡护记录表，并起草了填写说明，更有利于管护人员进行填写。</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六、重大意见分歧处理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专家审查会上所提意见，增加了表A.1陕西省自然保护区日常巡护记录表，规定了自然保护区日常巡护记录的内容和格式；表B.1陕西省自然保护区日常巡护记录表，规定了自然保护区日常巡护记录的内容和格式；表C.1陕西省自然保护区巡护总结，规定了自然保护区巡护总结的内容和格式。</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七、其他</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暂无。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22512"/>
    <w:multiLevelType w:val="singleLevel"/>
    <w:tmpl w:val="64D22512"/>
    <w:lvl w:ilvl="0" w:tentative="0">
      <w:start w:val="3"/>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0"/>
      <w:suff w:val="nothing"/>
      <w:lvlText w:val="%1%2　"/>
      <w:lvlJc w:val="left"/>
      <w:pPr>
        <w:ind w:left="0" w:firstLine="0"/>
      </w:pPr>
      <w:rPr>
        <w:rFonts w:hint="eastAsia" w:ascii="黑体" w:eastAsia="黑体"/>
        <w:b w:val="0"/>
        <w:i w:val="0"/>
        <w:sz w:val="21"/>
      </w:rPr>
    </w:lvl>
    <w:lvl w:ilvl="2" w:tentative="0">
      <w:start w:val="1"/>
      <w:numFmt w:val="decimal"/>
      <w:pStyle w:val="9"/>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1276"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YzIzZjAxMjE4MDAyNmNiN2U3MjBjNTI1OGI3M2QifQ=="/>
  </w:docVars>
  <w:rsids>
    <w:rsidRoot w:val="5B1B14A2"/>
    <w:rsid w:val="012313A8"/>
    <w:rsid w:val="09DE4D63"/>
    <w:rsid w:val="0E716B77"/>
    <w:rsid w:val="1D9B5836"/>
    <w:rsid w:val="316F4560"/>
    <w:rsid w:val="39C22F9D"/>
    <w:rsid w:val="42AB6E74"/>
    <w:rsid w:val="509E258A"/>
    <w:rsid w:val="53B557B8"/>
    <w:rsid w:val="5B1B14A2"/>
    <w:rsid w:val="695DE103"/>
    <w:rsid w:val="764D37C3"/>
    <w:rsid w:val="789F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customStyle="1" w:styleId="7">
    <w:name w:val="标准文件_术语条一"/>
    <w:basedOn w:val="8"/>
    <w:next w:val="11"/>
    <w:qFormat/>
    <w:uiPriority w:val="0"/>
  </w:style>
  <w:style w:type="paragraph" w:customStyle="1" w:styleId="8">
    <w:name w:val="标准文件_一级无标题"/>
    <w:basedOn w:val="9"/>
    <w:qFormat/>
    <w:uiPriority w:val="0"/>
    <w:pPr>
      <w:spacing w:before="0" w:beforeLines="0" w:after="0" w:afterLines="0"/>
      <w:outlineLvl w:val="9"/>
    </w:pPr>
    <w:rPr>
      <w:rFonts w:ascii="宋体" w:eastAsia="宋体"/>
    </w:rPr>
  </w:style>
  <w:style w:type="paragraph" w:customStyle="1" w:styleId="9">
    <w:name w:val="标准文件_一级条标题"/>
    <w:basedOn w:val="10"/>
    <w:next w:val="11"/>
    <w:qFormat/>
    <w:uiPriority w:val="0"/>
    <w:pPr>
      <w:numPr>
        <w:ilvl w:val="2"/>
      </w:numPr>
      <w:spacing w:before="50" w:beforeLines="50" w:after="50" w:afterLines="50"/>
      <w:outlineLvl w:val="1"/>
    </w:pPr>
  </w:style>
  <w:style w:type="paragraph" w:customStyle="1" w:styleId="10">
    <w:name w:val="标准文件_章标题"/>
    <w:next w:val="1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2274</Words>
  <Characters>2472</Characters>
  <Lines>0</Lines>
  <Paragraphs>0</Paragraphs>
  <TotalTime>21</TotalTime>
  <ScaleCrop>false</ScaleCrop>
  <LinksUpToDate>false</LinksUpToDate>
  <CharactersWithSpaces>2490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2023-05-15T08:48:00Z</dcterms:created>
  <dc:creator>Lynx'daddy</dc:creator>
  <cp:lastModifiedBy>guest</cp:lastModifiedBy>
  <dcterms:modified xsi:type="dcterms:W3CDTF">2023-08-21T18:13:56Z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A0962A8C5F284A78AF7EC11AFDF7B029_13</vt:lpwstr>
  </property>
</Properties>
</file>