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rFonts w:hint="default" w:ascii="Times New Roman" w:hAnsi="Times New Roman" w:cs="Times New Roman"/>
          <w:color w:val="000000"/>
        </w:rPr>
      </w:pPr>
      <w:r>
        <w:rPr>
          <w:rFonts w:hint="default" w:ascii="Times New Roman" w:hAnsi="Times New Roman" w:cs="Times New Roman"/>
          <w:color w:val="000000"/>
        </w:rPr>
        <w:t>ICS</w:t>
      </w:r>
      <w:r>
        <w:rPr>
          <w:rFonts w:hint="default" w:ascii="Times New Roman" w:hAnsi="Times New Roman" w:eastAsia="MS Mincho" w:cs="Times New Roman"/>
          <w:color w:val="000000"/>
        </w:rPr>
        <w:t> </w:t>
      </w:r>
      <w:r>
        <w:rPr>
          <w:rFonts w:hint="default" w:ascii="Times New Roman" w:hAnsi="Times New Roman" w:cs="Times New Roman"/>
          <w:color w:val="000000"/>
        </w:rPr>
        <w:fldChar w:fldCharType="begin">
          <w:ffData>
            <w:name w:val="ICS"/>
            <w:enabled/>
            <w:calcOnExit w:val="0"/>
            <w:helpText w:type="text" w:val="请输入正确的ICS号："/>
            <w:textInput>
              <w:default w:val="03.100.50"/>
            </w:textInput>
          </w:ffData>
        </w:fldChar>
      </w:r>
      <w:bookmarkStart w:id="0" w:name="ICS"/>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lang w:val="en-US" w:eastAsia="zh-CN"/>
        </w:rPr>
        <w:t>71</w:t>
      </w:r>
      <w:r>
        <w:rPr>
          <w:rFonts w:hint="default" w:ascii="Times New Roman" w:hAnsi="Times New Roman" w:cs="Times New Roman"/>
          <w:color w:val="000000"/>
        </w:rPr>
        <w:t>.100.</w:t>
      </w:r>
      <w:r>
        <w:rPr>
          <w:rFonts w:hint="default" w:ascii="Times New Roman" w:hAnsi="Times New Roman" w:cs="Times New Roman"/>
          <w:color w:val="000000"/>
          <w:lang w:val="en-US" w:eastAsia="zh-CN"/>
        </w:rPr>
        <w:t>7</w:t>
      </w:r>
      <w:r>
        <w:rPr>
          <w:rFonts w:hint="default" w:ascii="Times New Roman" w:hAnsi="Times New Roman" w:cs="Times New Roman"/>
          <w:color w:val="000000"/>
        </w:rPr>
        <w:t>0</w:t>
      </w:r>
      <w:r>
        <w:rPr>
          <w:rFonts w:hint="default" w:ascii="Times New Roman" w:hAnsi="Times New Roman" w:cs="Times New Roman"/>
          <w:color w:val="000000"/>
        </w:rPr>
        <w:fldChar w:fldCharType="end"/>
      </w:r>
      <w:bookmarkEnd w:id="0"/>
    </w:p>
    <w:p>
      <w:pPr>
        <w:pStyle w:val="144"/>
        <w:rPr>
          <w:rFonts w:hint="default" w:ascii="Times New Roman" w:hAnsi="Times New Roman" w:cs="Times New Roman"/>
          <w:color w:val="000000"/>
        </w:rPr>
      </w:pPr>
      <w:r>
        <w:rPr>
          <w:rFonts w:hint="default" w:ascii="Times New Roman" w:hAnsi="Times New Roman" w:cs="Times New Roman"/>
          <w:color w:val="000000"/>
          <w:lang w:val="en-US" w:eastAsia="zh-CN"/>
        </w:rPr>
        <w:t xml:space="preserve">CCS </w:t>
      </w:r>
      <w:r>
        <w:rPr>
          <w:rFonts w:hint="default" w:ascii="Times New Roman" w:hAnsi="Times New Roman" w:cs="Times New Roman"/>
          <w:color w:val="000000"/>
        </w:rPr>
        <w:fldChar w:fldCharType="begin">
          <w:ffData>
            <w:name w:val="WXFLH"/>
            <w:enabled/>
            <w:calcOnExit w:val="0"/>
            <w:helpText w:type="text" w:val="请输入中国标准文献分类号："/>
            <w:textInput>
              <w:default w:val="C 00"/>
            </w:textInput>
          </w:ffData>
        </w:fldChar>
      </w:r>
      <w:bookmarkStart w:id="1" w:name="WXFLH"/>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lang w:val="en-US" w:eastAsia="zh-CN"/>
        </w:rPr>
        <w:t>Y42</w:t>
      </w:r>
      <w:r>
        <w:rPr>
          <w:rFonts w:hint="default" w:ascii="Times New Roman" w:hAnsi="Times New Roman" w:cs="Times New Roman"/>
          <w:color w:val="000000"/>
        </w:rPr>
        <w:fldChar w:fldCharType="end"/>
      </w:r>
      <w:bookmarkEnd w:id="1"/>
    </w:p>
    <w:p>
      <w:pPr>
        <w:pStyle w:val="108"/>
        <w:rPr>
          <w:rFonts w:hint="default" w:ascii="Times New Roman" w:hAnsi="Times New Roman" w:eastAsia="宋体" w:cs="Times New Roman"/>
          <w:color w:val="000000"/>
          <w:lang w:val="en-US" w:eastAsia="zh-CN"/>
        </w:rPr>
      </w:pPr>
      <w:r>
        <w:rPr>
          <w:rFonts w:hint="default" w:ascii="Times New Roman" w:hAnsi="Times New Roman" w:cs="Times New Roman"/>
          <w:color w:val="000000"/>
        </w:rPr>
        <w:t>DB</w:t>
      </w:r>
      <w:r>
        <w:rPr>
          <w:rFonts w:hint="default" w:ascii="Times New Roman" w:hAnsi="Times New Roman" w:cs="Times New Roman"/>
          <w:color w:val="000000"/>
          <w:lang w:val="en-US" w:eastAsia="zh-CN"/>
        </w:rPr>
        <w:t>61</w:t>
      </w:r>
    </w:p>
    <w:p>
      <w:pPr>
        <w:pStyle w:val="105"/>
        <w:rPr>
          <w:rFonts w:hint="default" w:ascii="Times New Roman" w:hAnsi="Times New Roman" w:cs="Times New Roman"/>
          <w:color w:val="000000"/>
        </w:rPr>
      </w:pPr>
      <w:bookmarkStart w:id="2" w:name="c4"/>
      <w:r>
        <w:rPr>
          <w:rFonts w:hint="default" w:ascii="Times New Roman" w:hAnsi="Times New Roman" w:cs="Times New Roman"/>
          <w:color w:val="000000"/>
        </w:rPr>
        <w:fldChar w:fldCharType="begin">
          <w:ffData>
            <w:name w:val="c4"/>
            <w:enabled/>
            <w:calcOnExit w:val="0"/>
            <w:textInput/>
          </w:ffData>
        </w:fldChar>
      </w:r>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陕西省</w:t>
      </w:r>
      <w:r>
        <w:rPr>
          <w:rFonts w:hint="default" w:ascii="Times New Roman" w:hAnsi="Times New Roman" w:cs="Times New Roman"/>
          <w:color w:val="000000"/>
        </w:rPr>
        <w:fldChar w:fldCharType="end"/>
      </w:r>
      <w:bookmarkEnd w:id="2"/>
      <w:r>
        <w:rPr>
          <w:rFonts w:hint="default" w:ascii="Times New Roman" w:hAnsi="Times New Roman" w:cs="Times New Roman"/>
          <w:color w:val="000000"/>
        </w:rPr>
        <w:t>地方标准</w:t>
      </w:r>
    </w:p>
    <w:p>
      <w:pPr>
        <w:pStyle w:val="118"/>
        <w:outlineLvl w:val="0"/>
        <w:rPr>
          <w:rFonts w:hint="default" w:ascii="Times New Roman" w:hAnsi="Times New Roman" w:cs="Times New Roman"/>
          <w:color w:val="auto"/>
        </w:rPr>
      </w:pPr>
      <w:bookmarkStart w:id="3" w:name="_Toc32082"/>
      <w:bookmarkStart w:id="4" w:name="_Toc30952"/>
      <w:r>
        <w:rPr>
          <w:rFonts w:hint="default" w:ascii="Times New Roman" w:hAnsi="Times New Roman" w:cs="Times New Roman"/>
          <w:color w:val="auto"/>
        </w:rPr>
        <w:t xml:space="preserve">DB </w:t>
      </w:r>
      <w:r>
        <w:rPr>
          <w:rFonts w:hint="default" w:ascii="Times New Roman" w:hAnsi="Times New Roman" w:cs="Times New Roman"/>
          <w:color w:val="auto"/>
        </w:rPr>
        <w:fldChar w:fldCharType="begin">
          <w:ffData>
            <w:name w:val="StdNo0"/>
            <w:enabled/>
            <w:calcOnExit w:val="0"/>
            <w:textInput>
              <w:default w:val="61"/>
              <w:maxLength w:val="2"/>
            </w:textInput>
          </w:ffData>
        </w:fldChar>
      </w:r>
      <w:bookmarkStart w:id="5" w:name="StdNo0"/>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61</w:t>
      </w:r>
      <w:r>
        <w:rPr>
          <w:rFonts w:hint="default" w:ascii="Times New Roman" w:hAnsi="Times New Roman" w:cs="Times New Roman"/>
          <w:color w:val="auto"/>
        </w:rPr>
        <w:fldChar w:fldCharType="end"/>
      </w:r>
      <w:bookmarkEnd w:id="5"/>
      <w:r>
        <w:rPr>
          <w:rFonts w:hint="default" w:ascii="Times New Roman" w:hAnsi="Times New Roman" w:cs="Times New Roman"/>
          <w:color w:val="auto"/>
        </w:rPr>
        <w:t xml:space="preserve">/T </w:t>
      </w:r>
      <w:r>
        <w:rPr>
          <w:rFonts w:hint="default" w:ascii="Times New Roman" w:hAnsi="Times New Roman" w:cs="Times New Roman"/>
          <w:color w:val="auto"/>
        </w:rPr>
        <w:fldChar w:fldCharType="begin">
          <w:ffData>
            <w:name w:val="StdNo1"/>
            <w:enabled/>
            <w:calcOnExit w:val="0"/>
            <w:textInput>
              <w:default w:val="XXXXX"/>
            </w:textInput>
          </w:ffData>
        </w:fldChar>
      </w:r>
      <w:bookmarkStart w:id="6" w:name="StdNo1"/>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XXXXX</w:t>
      </w:r>
      <w:r>
        <w:rPr>
          <w:rFonts w:hint="default" w:ascii="Times New Roman" w:hAnsi="Times New Roman" w:cs="Times New Roman"/>
          <w:color w:val="auto"/>
        </w:rPr>
        <w:fldChar w:fldCharType="end"/>
      </w:r>
      <w:bookmarkEnd w:id="6"/>
      <w:r>
        <w:rPr>
          <w:rFonts w:hint="default" w:ascii="Times New Roman" w:hAnsi="Times New Roman" w:cs="Times New Roman"/>
          <w:color w:val="auto"/>
        </w:rPr>
        <w:t>—</w:t>
      </w:r>
      <w:r>
        <w:rPr>
          <w:rFonts w:hint="default" w:ascii="Times New Roman" w:hAnsi="Times New Roman" w:cs="Times New Roman"/>
          <w:color w:val="auto"/>
        </w:rPr>
        <w:fldChar w:fldCharType="begin">
          <w:ffData>
            <w:name w:val="StdNo2"/>
            <w:enabled/>
            <w:calcOnExit w:val="0"/>
            <w:textInput>
              <w:default w:val="XXXX"/>
              <w:maxLength w:val="4"/>
            </w:textInput>
          </w:ffData>
        </w:fldChar>
      </w:r>
      <w:bookmarkStart w:id="7" w:name="StdNo2"/>
      <w:r>
        <w:rPr>
          <w:rFonts w:hint="default" w:ascii="Times New Roman" w:hAnsi="Times New Roman" w:cs="Times New Roman"/>
          <w:color w:val="auto"/>
        </w:rPr>
        <w:instrText xml:space="preserve"> FORMTEXT </w:instrText>
      </w:r>
      <w:r>
        <w:rPr>
          <w:rFonts w:hint="default" w:ascii="Times New Roman" w:hAnsi="Times New Roman" w:cs="Times New Roman"/>
          <w:color w:val="auto"/>
        </w:rPr>
        <w:fldChar w:fldCharType="separate"/>
      </w:r>
      <w:r>
        <w:rPr>
          <w:rFonts w:hint="default" w:ascii="Times New Roman" w:hAnsi="Times New Roman" w:cs="Times New Roman"/>
          <w:color w:val="auto"/>
        </w:rPr>
        <w:t>XXXX</w:t>
      </w:r>
      <w:r>
        <w:rPr>
          <w:rFonts w:hint="default" w:ascii="Times New Roman" w:hAnsi="Times New Roman" w:cs="Times New Roman"/>
          <w:color w:val="auto"/>
        </w:rPr>
        <w:fldChar w:fldCharType="end"/>
      </w:r>
      <w:bookmarkEnd w:id="3"/>
      <w:bookmarkEnd w:id="4"/>
      <w:bookmarkEnd w:id="7"/>
    </w:p>
    <w:p>
      <w:pPr>
        <w:pStyle w:val="118"/>
        <w:rPr>
          <w:rFonts w:hint="default" w:ascii="Times New Roman" w:hAnsi="Times New Roman" w:cs="Times New Roman"/>
          <w:color w:val="auto"/>
        </w:rPr>
      </w:pPr>
    </w:p>
    <w:p>
      <w:pPr>
        <w:pStyle w:val="118"/>
        <w:rPr>
          <w:rFonts w:hint="default" w:ascii="Times New Roman" w:hAnsi="Times New Roman" w:cs="Times New Roman"/>
          <w:color w:val="000000"/>
        </w:rPr>
      </w:pPr>
    </w:p>
    <w:p>
      <w:pPr>
        <w:pStyle w:val="61"/>
        <w:framePr w:x="1209" w:y="6652"/>
        <w:tabs>
          <w:tab w:val="left" w:pos="9630"/>
        </w:tabs>
        <w:ind w:right="-29" w:rightChars="-14"/>
        <w:rPr>
          <w:rFonts w:hint="default" w:ascii="Times New Roman" w:hAnsi="Times New Roman" w:cs="Times New Roman"/>
          <w:color w:val="000000"/>
          <w:shd w:val="clear" w:color="auto" w:fill="auto"/>
          <w:lang w:val="en-US" w:eastAsia="zh-CN"/>
        </w:rPr>
      </w:pPr>
      <w:r>
        <w:rPr>
          <w:rFonts w:hint="default" w:ascii="Times New Roman" w:hAnsi="Times New Roman" w:cs="Times New Roman"/>
          <w:color w:val="auto"/>
          <w:shd w:val="clear" w:color="auto" w:fill="auto"/>
        </w:rPr>
        <w:t>基于皮肤模型化妆品保湿功效试验方法</w:t>
      </w:r>
    </w:p>
    <w:p>
      <w:pPr>
        <w:pStyle w:val="60"/>
        <w:framePr w:x="1209" w:y="6652"/>
        <w:ind w:right="-29" w:rightChars="-14"/>
        <w:rPr>
          <w:rFonts w:hint="default" w:ascii="Times New Roman" w:hAnsi="Times New Roman" w:cs="Times New Roman"/>
          <w:color w:val="auto"/>
          <w:shd w:val="clear" w:color="auto" w:fill="auto"/>
        </w:rPr>
      </w:pPr>
      <w:bookmarkStart w:id="8" w:name="StdEnglishName"/>
      <w:r>
        <w:rPr>
          <w:rFonts w:hint="default" w:ascii="Times New Roman" w:hAnsi="Times New Roman" w:cs="Times New Roman"/>
          <w:color w:val="auto"/>
          <w:shd w:val="clear" w:color="auto" w:fill="auto"/>
        </w:rPr>
        <w:fldChar w:fldCharType="begin">
          <w:ffData>
            <w:name w:val="StdEnglishName"/>
            <w:enabled/>
            <w:calcOnExit w:val="0"/>
            <w:textInput>
              <w:default w:val="Comestics anti-wrinkling efficacy test-Detection of type I collagen content in fibroblasts "/>
            </w:textInput>
          </w:ffData>
        </w:fldChar>
      </w:r>
      <w:r>
        <w:rPr>
          <w:rFonts w:hint="default" w:ascii="Times New Roman" w:hAnsi="Times New Roman" w:cs="Times New Roman"/>
          <w:color w:val="auto"/>
          <w:shd w:val="clear" w:color="auto" w:fill="auto"/>
        </w:rPr>
        <w:instrText xml:space="preserve">FORMTEXT</w:instrText>
      </w:r>
      <w:r>
        <w:rPr>
          <w:rFonts w:hint="default" w:ascii="Times New Roman" w:hAnsi="Times New Roman" w:cs="Times New Roman"/>
          <w:color w:val="auto"/>
          <w:shd w:val="clear" w:color="auto" w:fill="auto"/>
        </w:rPr>
        <w:fldChar w:fldCharType="separate"/>
      </w:r>
      <w:r>
        <w:rPr>
          <w:rFonts w:hint="default" w:ascii="Times New Roman" w:hAnsi="Times New Roman" w:cs="Times New Roman"/>
          <w:color w:val="auto"/>
          <w:shd w:val="clear" w:color="auto" w:fill="auto"/>
        </w:rPr>
        <w:t xml:space="preserve">Test method of moisturizing effect of cosmetics based on skin model </w:t>
      </w:r>
      <w:r>
        <w:rPr>
          <w:rFonts w:hint="default" w:ascii="Times New Roman" w:hAnsi="Times New Roman" w:cs="Times New Roman"/>
          <w:color w:val="auto"/>
          <w:shd w:val="clear" w:color="auto" w:fill="auto"/>
        </w:rPr>
        <w:fldChar w:fldCharType="end"/>
      </w:r>
      <w:bookmarkEnd w:id="8"/>
    </w:p>
    <w:p>
      <w:pPr>
        <w:pStyle w:val="59"/>
        <w:framePr w:x="1209" w:y="6652"/>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w:t>
      </w:r>
      <w:r>
        <w:rPr>
          <w:rFonts w:hint="default" w:ascii="Times New Roman" w:hAnsi="Times New Roman" w:cs="Times New Roman"/>
          <w:b/>
          <w:bCs/>
          <w:color w:val="000000"/>
          <w:sz w:val="32"/>
          <w:szCs w:val="32"/>
          <w:lang w:val="en-US" w:eastAsia="zh-CN"/>
        </w:rPr>
        <w:t>征求意见稿</w:t>
      </w:r>
      <w:r>
        <w:rPr>
          <w:rFonts w:hint="default" w:ascii="Times New Roman" w:hAnsi="Times New Roman" w:cs="Times New Roman"/>
          <w:b/>
          <w:bCs/>
          <w:color w:val="000000"/>
          <w:sz w:val="32"/>
          <w:szCs w:val="32"/>
        </w:rPr>
        <w:t>）</w:t>
      </w:r>
    </w:p>
    <w:p>
      <w:pPr>
        <w:pStyle w:val="99"/>
        <w:rPr>
          <w:rFonts w:hint="default" w:ascii="Times New Roman" w:hAnsi="Times New Roman" w:cs="Times New Roman"/>
          <w:color w:val="000000"/>
        </w:rPr>
      </w:pPr>
      <w:r>
        <w:rPr>
          <w:rFonts w:hint="default" w:ascii="Times New Roman" w:hAnsi="Times New Roman" w:cs="Times New Roman"/>
          <w:color w:val="000000"/>
        </w:rPr>
        <w:fldChar w:fldCharType="begin">
          <w:ffData>
            <w:name w:val="FY"/>
            <w:enabled/>
            <w:calcOnExit w:val="0"/>
            <w:textInput>
              <w:default w:val="XXXX"/>
              <w:maxLength w:val="4"/>
            </w:textInput>
          </w:ffData>
        </w:fldChar>
      </w:r>
      <w:bookmarkStart w:id="9" w:name="FY"/>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XXXX</w:t>
      </w:r>
      <w:r>
        <w:rPr>
          <w:rFonts w:hint="default" w:ascii="Times New Roman" w:hAnsi="Times New Roman" w:cs="Times New Roman"/>
          <w:color w:val="000000"/>
        </w:rPr>
        <w:fldChar w:fldCharType="end"/>
      </w:r>
      <w:bookmarkEnd w:id="9"/>
      <w:r>
        <w:rPr>
          <w:rFonts w:hint="default" w:ascii="Times New Roman" w:hAnsi="Times New Roman" w:cs="Times New Roman"/>
          <w:color w:val="000000"/>
        </w:rPr>
        <w:t xml:space="preserve"> - </w:t>
      </w:r>
      <w:r>
        <w:rPr>
          <w:rFonts w:hint="default" w:ascii="Times New Roman" w:hAnsi="Times New Roman" w:cs="Times New Roman"/>
          <w:color w:val="000000"/>
        </w:rPr>
        <w:fldChar w:fldCharType="begin">
          <w:ffData>
            <w:enabled/>
            <w:calcOnExit w:val="0"/>
            <w:textInput>
              <w:default w:val="XX"/>
              <w:maxLength w:val="2"/>
            </w:textInput>
          </w:ffData>
        </w:fldChar>
      </w:r>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w:t>
      </w:r>
      <w:r>
        <w:rPr>
          <w:rFonts w:hint="default" w:ascii="Times New Roman" w:hAnsi="Times New Roman" w:cs="Times New Roman"/>
          <w:color w:val="000000"/>
        </w:rPr>
        <w:fldChar w:fldCharType="end"/>
      </w:r>
      <w:r>
        <w:rPr>
          <w:rFonts w:hint="default" w:ascii="Times New Roman" w:hAnsi="Times New Roman" w:cs="Times New Roman"/>
          <w:color w:val="000000"/>
        </w:rPr>
        <w:t xml:space="preserve"> - </w:t>
      </w:r>
      <w:r>
        <w:rPr>
          <w:rFonts w:hint="default" w:ascii="Times New Roman" w:hAnsi="Times New Roman" w:cs="Times New Roman"/>
          <w:color w:val="000000"/>
        </w:rPr>
        <w:fldChar w:fldCharType="begin">
          <w:ffData>
            <w:name w:val="FD"/>
            <w:enabled/>
            <w:calcOnExit w:val="0"/>
            <w:textInput>
              <w:default w:val="XX"/>
              <w:maxLength w:val="2"/>
            </w:textInput>
          </w:ffData>
        </w:fldChar>
      </w:r>
      <w:bookmarkStart w:id="10" w:name="FD"/>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w:t>
      </w:r>
      <w:r>
        <w:rPr>
          <w:rFonts w:hint="default" w:ascii="Times New Roman" w:hAnsi="Times New Roman" w:cs="Times New Roman"/>
          <w:color w:val="000000"/>
        </w:rPr>
        <w:fldChar w:fldCharType="end"/>
      </w:r>
      <w:bookmarkEnd w:id="10"/>
      <w:r>
        <w:rPr>
          <w:rFonts w:hint="default" w:ascii="Times New Roman" w:hAnsi="Times New Roman" w:cs="Times New Roman"/>
          <w:color w:val="000000"/>
        </w:rPr>
        <w:t>发布</w:t>
      </w:r>
      <w:r>
        <w:rPr>
          <w:rFonts w:hint="default" w:ascii="Times New Roman" w:hAnsi="Times New Roman" w:cs="Times New Roman"/>
          <w:color w:val="000000"/>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DmRAnP&#10;5gEAANwDAAAOAAAAAAAAAAEAIAAAACUBAABkcnMvZTJvRG9jLnhtbFBLBQYAAAAABgAGAFkBAAB9&#10;BQAAAAA=&#10;">
                <v:fill on="f" focussize="0,0"/>
                <v:stroke color="#000000" joinstyle="round"/>
                <v:imagedata o:title=""/>
                <o:lock v:ext="edit" aspectratio="f"/>
                <w10:anchorlock/>
              </v:line>
            </w:pict>
          </mc:Fallback>
        </mc:AlternateContent>
      </w:r>
    </w:p>
    <w:p>
      <w:pPr>
        <w:pStyle w:val="134"/>
        <w:rPr>
          <w:rFonts w:hint="default" w:ascii="Times New Roman" w:hAnsi="Times New Roman" w:cs="Times New Roman"/>
          <w:color w:val="000000"/>
        </w:rPr>
      </w:pPr>
      <w:r>
        <w:rPr>
          <w:rFonts w:hint="default" w:ascii="Times New Roman" w:hAnsi="Times New Roman" w:cs="Times New Roman"/>
          <w:color w:val="000000"/>
        </w:rPr>
        <w:fldChar w:fldCharType="begin">
          <w:ffData>
            <w:name w:val="SY"/>
            <w:enabled/>
            <w:calcOnExit w:val="0"/>
            <w:textInput>
              <w:default w:val="XXXX"/>
              <w:maxLength w:val="4"/>
            </w:textInput>
          </w:ffData>
        </w:fldChar>
      </w:r>
      <w:bookmarkStart w:id="11" w:name="SY"/>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XXXX</w:t>
      </w:r>
      <w:r>
        <w:rPr>
          <w:rFonts w:hint="default" w:ascii="Times New Roman" w:hAnsi="Times New Roman" w:cs="Times New Roman"/>
          <w:color w:val="000000"/>
        </w:rPr>
        <w:fldChar w:fldCharType="end"/>
      </w:r>
      <w:bookmarkEnd w:id="11"/>
      <w:r>
        <w:rPr>
          <w:rFonts w:hint="default" w:ascii="Times New Roman" w:hAnsi="Times New Roman" w:cs="Times New Roman"/>
          <w:color w:val="000000"/>
        </w:rPr>
        <w:t xml:space="preserve"> - </w:t>
      </w:r>
      <w:r>
        <w:rPr>
          <w:rFonts w:hint="default" w:ascii="Times New Roman" w:hAnsi="Times New Roman" w:cs="Times New Roman"/>
          <w:color w:val="000000"/>
        </w:rPr>
        <w:fldChar w:fldCharType="begin">
          <w:ffData>
            <w:name w:val="SM"/>
            <w:enabled/>
            <w:calcOnExit w:val="0"/>
            <w:textInput>
              <w:default w:val="XX"/>
              <w:maxLength w:val="2"/>
            </w:textInput>
          </w:ffData>
        </w:fldChar>
      </w:r>
      <w:bookmarkStart w:id="12" w:name="SM"/>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w:t>
      </w:r>
      <w:r>
        <w:rPr>
          <w:rFonts w:hint="default" w:ascii="Times New Roman" w:hAnsi="Times New Roman" w:cs="Times New Roman"/>
          <w:color w:val="000000"/>
        </w:rPr>
        <w:fldChar w:fldCharType="end"/>
      </w:r>
      <w:bookmarkEnd w:id="12"/>
      <w:r>
        <w:rPr>
          <w:rFonts w:hint="default" w:ascii="Times New Roman" w:hAnsi="Times New Roman" w:cs="Times New Roman"/>
          <w:color w:val="000000"/>
        </w:rPr>
        <w:t xml:space="preserve"> - </w:t>
      </w:r>
      <w:r>
        <w:rPr>
          <w:rFonts w:hint="default" w:ascii="Times New Roman" w:hAnsi="Times New Roman" w:cs="Times New Roman"/>
          <w:color w:val="000000"/>
        </w:rPr>
        <w:fldChar w:fldCharType="begin">
          <w:ffData>
            <w:name w:val="SD"/>
            <w:enabled/>
            <w:calcOnExit w:val="0"/>
            <w:textInput>
              <w:default w:val="XX"/>
              <w:maxLength w:val="2"/>
            </w:textInput>
          </w:ffData>
        </w:fldChar>
      </w:r>
      <w:bookmarkStart w:id="13" w:name="SD"/>
      <w:r>
        <w:rPr>
          <w:rFonts w:hint="default" w:ascii="Times New Roman" w:hAnsi="Times New Roman" w:cs="Times New Roman"/>
          <w:color w:val="000000"/>
        </w:rPr>
        <w:instrText xml:space="preserve"> FORMTEXT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XX</w:t>
      </w:r>
      <w:r>
        <w:rPr>
          <w:rFonts w:hint="default" w:ascii="Times New Roman" w:hAnsi="Times New Roman" w:cs="Times New Roman"/>
          <w:color w:val="000000"/>
        </w:rPr>
        <w:fldChar w:fldCharType="end"/>
      </w:r>
      <w:bookmarkEnd w:id="13"/>
      <w:r>
        <w:rPr>
          <w:rFonts w:hint="default" w:ascii="Times New Roman" w:hAnsi="Times New Roman" w:cs="Times New Roman"/>
          <w:color w:val="000000"/>
        </w:rPr>
        <w:t>实施</w:t>
      </w:r>
    </w:p>
    <w:p>
      <w:pPr>
        <w:pStyle w:val="83"/>
        <w:rPr>
          <w:rFonts w:hint="default" w:ascii="Times New Roman" w:hAnsi="Times New Roman" w:cs="Times New Roman"/>
          <w:color w:val="000000"/>
        </w:rPr>
      </w:pPr>
      <w:bookmarkStart w:id="14" w:name="fm"/>
      <w:r>
        <w:rPr>
          <w:rStyle w:val="50"/>
          <w:rFonts w:hint="default" w:ascii="Times New Roman" w:hAnsi="Times New Roman" w:cs="Times New Roman"/>
          <w:b w:val="0"/>
          <w:color w:val="000000"/>
        </w:rPr>
        <w:t>陕西省市场监督管理局</w:t>
      </w:r>
      <w:r>
        <w:rPr>
          <w:rFonts w:hint="default" w:ascii="Times New Roman" w:hAnsi="Times New Roman" w:cs="Times New Roman"/>
          <w:color w:val="000000"/>
          <w:w w:val="100"/>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rFonts w:hint="default" w:ascii="Times New Roman" w:hAnsi="Times New Roman" w:cs="Times New Roman"/>
          <w:color w:val="000000"/>
          <w:w w:val="100"/>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rFonts w:hint="default" w:ascii="Times New Roman" w:hAnsi="Times New Roman" w:cs="Times New Roman"/>
          <w:color w:val="000000"/>
          <w:w w:val="100"/>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BO&#10;XuHV5wEAANwDAAAOAAAAAAAAAAEAIAAAACcBAABkcnMvZTJvRG9jLnhtbFBLBQYAAAAABgAGAFkB&#10;AACABQAAAAA=&#10;">
                <v:fill on="f" focussize="0,0"/>
                <v:stroke color="#000000" joinstyle="round"/>
                <v:imagedata o:title=""/>
                <o:lock v:ext="edit" aspectratio="f"/>
              </v:line>
            </w:pict>
          </mc:Fallback>
        </mc:AlternateContent>
      </w:r>
      <w:bookmarkEnd w:id="14"/>
      <w:r>
        <w:rPr>
          <w:rFonts w:hint="default" w:ascii="Times New Roman" w:hAnsi="Times New Roman" w:cs="Times New Roman"/>
          <w:color w:val="000000"/>
        </w:rPr>
        <w:t>   </w:t>
      </w:r>
      <w:r>
        <w:rPr>
          <w:rStyle w:val="50"/>
          <w:rFonts w:hint="default" w:ascii="Times New Roman" w:hAnsi="Times New Roman" w:cs="Times New Roman"/>
          <w:color w:val="000000"/>
        </w:rPr>
        <w:t>发布</w:t>
      </w:r>
    </w:p>
    <w:p>
      <w:pPr>
        <w:pStyle w:val="25"/>
        <w:rPr>
          <w:rFonts w:hint="default" w:ascii="Times New Roman" w:hAnsi="Times New Roman" w:cs="Times New Roman"/>
          <w:color w:val="000000"/>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p>
    <w:p>
      <w:pPr>
        <w:pStyle w:val="139"/>
        <w:rPr>
          <w:rFonts w:hint="default" w:ascii="Times New Roman" w:hAnsi="Times New Roman" w:cs="Times New Roman"/>
          <w:color w:val="000000"/>
          <w:highlight w:val="none"/>
        </w:rPr>
      </w:pPr>
      <w:bookmarkStart w:id="15" w:name="_Toc553"/>
      <w:bookmarkStart w:id="16" w:name="_Toc18181"/>
      <w:r>
        <w:rPr>
          <w:rFonts w:hint="default" w:ascii="Times New Roman" w:hAnsi="Times New Roman" w:cs="Times New Roman"/>
          <w:color w:val="000000"/>
        </w:rPr>
        <w:t>目</w:t>
      </w:r>
      <w:bookmarkStart w:id="17" w:name="BKML"/>
      <w:r>
        <w:rPr>
          <w:rFonts w:hint="default" w:ascii="Times New Roman" w:hAnsi="Times New Roman" w:cs="Times New Roman"/>
          <w:color w:val="000000"/>
        </w:rPr>
        <w:t>  次</w:t>
      </w:r>
      <w:bookmarkEnd w:id="15"/>
      <w:bookmarkEnd w:id="16"/>
      <w:bookmarkEnd w:id="17"/>
      <w:r>
        <w:rPr>
          <w:rFonts w:hint="default" w:ascii="Times New Roman" w:hAnsi="Times New Roman" w:cs="Times New Roman"/>
          <w:color w:val="000000"/>
          <w:highlight w:val="none"/>
        </w:rPr>
        <w:fldChar w:fldCharType="begin" w:fldLock="1"/>
      </w:r>
      <w:r>
        <w:rPr>
          <w:rFonts w:hint="default" w:ascii="Times New Roman" w:hAnsi="Times New Roman" w:cs="Times New Roman"/>
          <w:color w:val="000000"/>
          <w:highlight w:val="none"/>
        </w:rPr>
        <w:instrText xml:space="preserve"> TOC \h \z \t"前言、引言标题,1,参考文献、索引标题,1,章标题,1,参考文献,1,附录标识,1" \* MERGEFORMAT </w:instrText>
      </w:r>
      <w:r>
        <w:rPr>
          <w:rFonts w:hint="default" w:ascii="Times New Roman" w:hAnsi="Times New Roman" w:cs="Times New Roman"/>
          <w:color w:val="000000"/>
          <w:highlight w:val="none"/>
        </w:rPr>
        <w:fldChar w:fldCharType="separate"/>
      </w:r>
    </w:p>
    <w:p>
      <w:pPr>
        <w:spacing w:before="0" w:beforeLines="0" w:after="0" w:afterLines="0" w:line="240" w:lineRule="auto"/>
        <w:ind w:left="0" w:leftChars="0" w:right="0" w:rightChars="0" w:firstLine="0" w:firstLineChars="0"/>
        <w:jc w:val="center"/>
        <w:rPr>
          <w:rFonts w:hint="default" w:ascii="Times New Roman" w:hAnsi="Times New Roman" w:cs="Times New Roman"/>
        </w:rPr>
      </w:pP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_Toc470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前  言</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II</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_Toc20965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_Toc25529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_Toc25529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_Toc4531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_Toc4531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_Toc24399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4 </w:t>
      </w:r>
      <w:r>
        <w:rPr>
          <w:rFonts w:hint="default" w:ascii="Times New Roman" w:hAnsi="Times New Roman" w:cs="Times New Roman"/>
          <w:lang w:val="en-US" w:eastAsia="zh-CN"/>
        </w:rPr>
        <w:t>技术原理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_Toc24399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_Toc10770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5 </w:t>
      </w:r>
      <w:r>
        <w:rPr>
          <w:rFonts w:hint="default" w:ascii="Times New Roman" w:hAnsi="Times New Roman" w:cs="Times New Roman"/>
          <w:lang w:val="en-US" w:eastAsia="zh-CN"/>
        </w:rPr>
        <w:t>试验条件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_Toc10770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_Toc16502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6 </w:t>
      </w:r>
      <w:r>
        <w:rPr>
          <w:rFonts w:hint="default" w:ascii="Times New Roman" w:hAnsi="Times New Roman" w:cs="Times New Roman"/>
          <w:i w:val="0"/>
          <w:szCs w:val="20"/>
          <w:lang w:val="en-US" w:eastAsia="zh-CN"/>
        </w:rPr>
        <w:t>材料和试剂</w:t>
      </w:r>
      <w:r>
        <w:rPr>
          <w:rFonts w:hint="default" w:ascii="Times New Roman" w:hAnsi="Times New Roman" w:cs="Times New Roman"/>
          <w:lang w:val="en-US" w:eastAsia="zh-CN"/>
        </w:rPr>
        <w:t xml:space="preserve">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_Toc16502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_Toc7571 </w:instrText>
      </w:r>
      <w:r>
        <w:rPr>
          <w:rFonts w:hint="default" w:ascii="Times New Roman" w:hAnsi="Times New Roman" w:cs="Times New Roman"/>
        </w:rPr>
        <w:fldChar w:fldCharType="separate"/>
      </w:r>
      <w:r>
        <w:rPr>
          <w:rFonts w:hint="default" w:ascii="Times New Roman" w:hAnsi="Times New Roman" w:eastAsia="宋体" w:cs="Times New Roman"/>
          <w:i w:val="0"/>
          <w:kern w:val="0"/>
          <w:szCs w:val="20"/>
        </w:rPr>
        <w:t xml:space="preserve">7 </w:t>
      </w:r>
      <w:r>
        <w:rPr>
          <w:rFonts w:hint="default" w:ascii="Times New Roman" w:hAnsi="Times New Roman" w:eastAsia="宋体" w:cs="Times New Roman"/>
          <w:kern w:val="0"/>
          <w:szCs w:val="20"/>
          <w:lang w:val="en-US" w:eastAsia="zh-CN"/>
        </w:rPr>
        <w:t>仪器设备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_Toc7571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_Toc10933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8 </w:t>
      </w:r>
      <w:r>
        <w:rPr>
          <w:rFonts w:hint="default" w:ascii="Times New Roman" w:hAnsi="Times New Roman" w:cs="Times New Roman"/>
          <w:lang w:val="en-US" w:eastAsia="zh-CN"/>
        </w:rPr>
        <w:t>样品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_Toc10933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_Toc8828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9 </w:t>
      </w:r>
      <w:r>
        <w:rPr>
          <w:rFonts w:hint="default" w:ascii="Times New Roman" w:hAnsi="Times New Roman" w:cs="Times New Roman"/>
          <w:lang w:val="en-US" w:eastAsia="zh-CN"/>
        </w:rPr>
        <w:t>试验步骤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_Toc8828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_Toc4178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10 </w:t>
      </w:r>
      <w:r>
        <w:rPr>
          <w:rFonts w:hint="default" w:ascii="Times New Roman" w:hAnsi="Times New Roman" w:cs="Times New Roman"/>
          <w:lang w:val="en-US" w:eastAsia="zh-CN"/>
        </w:rPr>
        <w:t>试验数据处理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_Toc4178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_Toc28484 </w:instrText>
      </w:r>
      <w:r>
        <w:rPr>
          <w:rFonts w:hint="default" w:ascii="Times New Roman" w:hAnsi="Times New Roman" w:cs="Times New Roman"/>
        </w:rPr>
        <w:fldChar w:fldCharType="separate"/>
      </w:r>
      <w:r>
        <w:rPr>
          <w:rFonts w:hint="default" w:ascii="Times New Roman" w:hAnsi="Times New Roman" w:eastAsia="宋体" w:cs="Times New Roman"/>
          <w:i w:val="0"/>
          <w:szCs w:val="20"/>
        </w:rPr>
        <w:t xml:space="preserve">11 </w:t>
      </w:r>
      <w:r>
        <w:rPr>
          <w:rFonts w:hint="default" w:ascii="Times New Roman" w:hAnsi="Times New Roman" w:cs="Times New Roman"/>
          <w:lang w:val="en-US" w:eastAsia="zh-CN"/>
        </w:rPr>
        <w:t>精密度和</w:t>
      </w:r>
      <w:r>
        <w:rPr>
          <w:rFonts w:hint="default" w:ascii="Times New Roman" w:hAnsi="Times New Roman" w:cs="Times New Roman"/>
          <w:lang w:eastAsia="zh-CN"/>
        </w:rPr>
        <w:t>测量不确定度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_Toc28484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_Toc8513 </w:instrText>
      </w:r>
      <w:r>
        <w:rPr>
          <w:rFonts w:hint="default" w:ascii="Times New Roman" w:hAnsi="Times New Roman" w:cs="Times New Roman"/>
        </w:rPr>
        <w:fldChar w:fldCharType="separate"/>
      </w:r>
      <w:r>
        <w:rPr>
          <w:rFonts w:hint="default" w:ascii="Times New Roman" w:hAnsi="Times New Roman" w:eastAsia="宋体" w:cs="Times New Roman"/>
          <w:i w:val="0"/>
          <w:szCs w:val="20"/>
          <w:lang w:val="en-US" w:eastAsia="zh-CN" w:bidi="ar-SA"/>
        </w:rPr>
        <w:t xml:space="preserve">12 </w:t>
      </w:r>
      <w:r>
        <w:rPr>
          <w:rFonts w:hint="default" w:ascii="Times New Roman" w:hAnsi="Times New Roman" w:eastAsia="宋体" w:cs="Times New Roman"/>
          <w:lang w:val="en-US" w:eastAsia="zh-CN" w:bidi="ar-SA"/>
        </w:rPr>
        <w:t>质量保证和控制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_Toc8513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6"/>
        <w:tabs>
          <w:tab w:val="right" w:leader="dot" w:pos="93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_Toc1600 </w:instrText>
      </w:r>
      <w:r>
        <w:rPr>
          <w:rFonts w:hint="default" w:ascii="Times New Roman" w:hAnsi="Times New Roman" w:cs="Times New Roman"/>
        </w:rPr>
        <w:fldChar w:fldCharType="separate"/>
      </w:r>
      <w:r>
        <w:rPr>
          <w:rFonts w:hint="default" w:ascii="Times New Roman" w:hAnsi="Times New Roman" w:eastAsia="宋体" w:cs="Times New Roman"/>
          <w:i w:val="0"/>
          <w:szCs w:val="20"/>
          <w:lang w:val="en-US" w:eastAsia="zh-CN"/>
        </w:rPr>
        <w:t xml:space="preserve">13 </w:t>
      </w:r>
      <w:r>
        <w:rPr>
          <w:rFonts w:hint="default" w:ascii="Times New Roman" w:hAnsi="Times New Roman" w:cs="Times New Roman"/>
          <w:lang w:val="en-US" w:eastAsia="zh-CN"/>
        </w:rPr>
        <w:t>试验报告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rPr>
          <w:rFonts w:hint="default" w:ascii="Times New Roman" w:hAnsi="Times New Roman" w:cs="Times New Roman"/>
          <w:color w:val="000000"/>
          <w:highlight w:val="none"/>
          <w:lang w:val="en-US"/>
        </w:rPr>
      </w:pPr>
    </w:p>
    <w:p>
      <w:pPr>
        <w:pStyle w:val="21"/>
        <w:spacing w:before="78" w:after="78"/>
        <w:rPr>
          <w:rFonts w:hint="default" w:ascii="Times New Roman" w:hAnsi="Times New Roman" w:cs="Times New Roman"/>
          <w:color w:val="000000"/>
        </w:rPr>
      </w:pPr>
      <w:r>
        <w:rPr>
          <w:rFonts w:hint="default" w:ascii="Times New Roman" w:hAnsi="Times New Roman" w:cs="Times New Roman"/>
          <w:color w:val="000000"/>
          <w:highlight w:val="none"/>
        </w:rPr>
        <w:fldChar w:fldCharType="end"/>
      </w:r>
    </w:p>
    <w:p>
      <w:pPr>
        <w:pStyle w:val="56"/>
        <w:rPr>
          <w:rFonts w:hint="default" w:ascii="Times New Roman" w:hAnsi="Times New Roman" w:cs="Times New Roman"/>
        </w:rPr>
      </w:pPr>
      <w:bookmarkStart w:id="18" w:name="_Toc470"/>
      <w:bookmarkStart w:id="19" w:name="_Toc25655"/>
      <w:bookmarkStart w:id="20" w:name="_Toc32460"/>
      <w:bookmarkStart w:id="21" w:name="_Toc532886273"/>
      <w:bookmarkStart w:id="22" w:name="_Toc9730"/>
      <w:bookmarkStart w:id="23" w:name="前言"/>
      <w:r>
        <w:rPr>
          <w:rFonts w:hint="default" w:ascii="Times New Roman" w:hAnsi="Times New Roman" w:cs="Times New Roman"/>
        </w:rPr>
        <w:t>前</w:t>
      </w:r>
      <w:bookmarkStart w:id="24" w:name="BKQY"/>
      <w:r>
        <w:rPr>
          <w:rFonts w:hint="default" w:ascii="Times New Roman" w:hAnsi="Times New Roman" w:cs="Times New Roman"/>
        </w:rPr>
        <w:t>  言</w:t>
      </w:r>
      <w:bookmarkEnd w:id="18"/>
      <w:bookmarkEnd w:id="19"/>
      <w:bookmarkEnd w:id="20"/>
      <w:bookmarkEnd w:id="21"/>
      <w:bookmarkEnd w:id="22"/>
      <w:bookmarkEnd w:id="24"/>
    </w:p>
    <w:bookmarkEnd w:id="23"/>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按照GB/T 1.1—</w:t>
      </w:r>
      <w:r>
        <w:rPr>
          <w:rFonts w:hint="default" w:ascii="Times New Roman" w:hAnsi="Times New Roman" w:eastAsia="宋体" w:cs="Times New Roman"/>
          <w:color w:val="auto"/>
          <w:lang w:val="en-US" w:eastAsia="zh-CN"/>
        </w:rPr>
        <w:t>2020《标准化工作导则 第1部分：标准化文件的结构和起草规则》</w:t>
      </w:r>
      <w:r>
        <w:rPr>
          <w:rFonts w:hint="default" w:ascii="Times New Roman" w:hAnsi="Times New Roman" w:eastAsia="宋体" w:cs="Times New Roman"/>
          <w:color w:val="auto"/>
        </w:rPr>
        <w:t>的</w:t>
      </w:r>
      <w:r>
        <w:rPr>
          <w:rFonts w:hint="default" w:ascii="Times New Roman" w:hAnsi="Times New Roman" w:eastAsia="宋体" w:cs="Times New Roman"/>
          <w:color w:val="auto"/>
          <w:lang w:eastAsia="zh-CN"/>
        </w:rPr>
        <w:t>规定</w:t>
      </w:r>
      <w:r>
        <w:rPr>
          <w:rFonts w:hint="default" w:ascii="Times New Roman" w:hAnsi="Times New Roman" w:eastAsia="宋体" w:cs="Times New Roman"/>
          <w:color w:val="auto"/>
        </w:rPr>
        <w:t>起草。</w:t>
      </w:r>
    </w:p>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由</w:t>
      </w:r>
      <w:r>
        <w:rPr>
          <w:rFonts w:hint="default" w:ascii="Times New Roman" w:hAnsi="Times New Roman" w:eastAsia="宋体" w:cs="Times New Roman"/>
          <w:color w:val="auto"/>
          <w:sz w:val="21"/>
          <w:szCs w:val="20"/>
        </w:rPr>
        <w:t>陕西省药品监督管理局</w:t>
      </w:r>
      <w:r>
        <w:rPr>
          <w:rFonts w:hint="default" w:ascii="Times New Roman" w:hAnsi="Times New Roman" w:eastAsia="宋体" w:cs="Times New Roman"/>
          <w:color w:val="auto"/>
        </w:rPr>
        <w:t>提出并归口。</w:t>
      </w:r>
    </w:p>
    <w:p>
      <w:pPr>
        <w:pStyle w:val="25"/>
        <w:widowControl/>
        <w:autoSpaceDE w:val="0"/>
        <w:autoSpaceDN w:val="0"/>
        <w:ind w:firstLine="630" w:firstLineChars="300"/>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起草单位：陕西省食品药品检验研究院、陕西博溪通用检测科技有限公司、</w:t>
      </w:r>
      <w:r>
        <w:rPr>
          <w:rFonts w:hint="default" w:ascii="Times New Roman" w:hAnsi="Times New Roman" w:cs="Times New Roman"/>
          <w:color w:val="auto"/>
        </w:rPr>
        <w:t>陕西省药品技术审评中心、陕西省药品和疫苗检查中心、咸阳市食品药品检验检测中心、陕西省食品药品检验研究院</w:t>
      </w:r>
      <w:r>
        <w:rPr>
          <w:rFonts w:hint="default" w:ascii="Times New Roman" w:hAnsi="Times New Roman" w:cs="Times New Roman"/>
          <w:color w:val="auto"/>
          <w:lang w:eastAsia="zh-CN"/>
        </w:rPr>
        <w:t>。</w:t>
      </w:r>
    </w:p>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主要起草人</w:t>
      </w:r>
      <w:r>
        <w:rPr>
          <w:rFonts w:hint="default" w:ascii="Times New Roman" w:hAnsi="Times New Roman" w:eastAsia="宋体" w:cs="Times New Roman"/>
          <w:color w:val="auto"/>
          <w:highlight w:val="none"/>
        </w:rPr>
        <w:t>：</w:t>
      </w:r>
      <w:r>
        <w:rPr>
          <w:rFonts w:hint="default" w:ascii="Times New Roman" w:hAnsi="Times New Roman" w:cs="Times New Roman"/>
          <w:color w:val="auto"/>
          <w:szCs w:val="20"/>
          <w:highlight w:val="none"/>
        </w:rPr>
        <w:t>王莉芳</w:t>
      </w:r>
      <w:r>
        <w:rPr>
          <w:rFonts w:hint="default" w:ascii="Times New Roman" w:hAnsi="Times New Roman" w:cs="Times New Roman"/>
          <w:color w:val="auto"/>
          <w:szCs w:val="20"/>
          <w:highlight w:val="none"/>
          <w:lang w:eastAsia="zh-CN"/>
        </w:rPr>
        <w:t>、</w:t>
      </w:r>
      <w:r>
        <w:rPr>
          <w:rFonts w:hint="default" w:ascii="Times New Roman" w:hAnsi="Times New Roman" w:eastAsia="宋体" w:cs="Times New Roman"/>
          <w:color w:val="auto"/>
          <w:highlight w:val="none"/>
        </w:rPr>
        <w:t>蔡虎</w:t>
      </w:r>
      <w:r>
        <w:rPr>
          <w:rFonts w:hint="default" w:ascii="Times New Roman" w:hAnsi="Times New Roman" w:eastAsia="宋体" w:cs="Times New Roman"/>
          <w:color w:val="auto"/>
          <w:highlight w:val="none"/>
          <w:lang w:eastAsia="zh-CN"/>
        </w:rPr>
        <w:t>、曹涵博、</w:t>
      </w:r>
      <w:r>
        <w:rPr>
          <w:rFonts w:hint="default" w:ascii="Times New Roman" w:hAnsi="Times New Roman" w:cs="Times New Roman"/>
          <w:color w:val="auto"/>
          <w:szCs w:val="20"/>
          <w:highlight w:val="none"/>
        </w:rPr>
        <w:t>党琳琳</w:t>
      </w:r>
      <w:r>
        <w:rPr>
          <w:rFonts w:hint="default" w:ascii="Times New Roman" w:hAnsi="Times New Roman" w:cs="Times New Roman"/>
          <w:color w:val="auto"/>
          <w:szCs w:val="20"/>
          <w:highlight w:val="none"/>
          <w:lang w:eastAsia="zh-CN"/>
        </w:rPr>
        <w:t>、</w:t>
      </w:r>
      <w:r>
        <w:rPr>
          <w:rFonts w:hint="default" w:ascii="Times New Roman" w:hAnsi="Times New Roman" w:eastAsia="宋体" w:cs="Times New Roman"/>
          <w:color w:val="auto"/>
          <w:highlight w:val="none"/>
          <w:lang w:eastAsia="zh-CN"/>
        </w:rPr>
        <w:t>杨文娟、卢永波、</w:t>
      </w:r>
      <w:r>
        <w:rPr>
          <w:rFonts w:hint="default" w:ascii="Times New Roman" w:hAnsi="Times New Roman" w:eastAsia="宋体" w:cs="Times New Roman"/>
          <w:color w:val="auto"/>
          <w:highlight w:val="none"/>
          <w:lang w:val="en-US" w:eastAsia="zh-CN"/>
        </w:rPr>
        <w:t>李潇、</w:t>
      </w:r>
      <w:r>
        <w:rPr>
          <w:rFonts w:hint="default" w:ascii="Times New Roman" w:hAnsi="Times New Roman" w:cs="Times New Roman"/>
          <w:color w:val="auto"/>
          <w:szCs w:val="20"/>
          <w:highlight w:val="none"/>
        </w:rPr>
        <w:t>吴小勇</w:t>
      </w:r>
      <w:r>
        <w:rPr>
          <w:rFonts w:hint="default" w:ascii="Times New Roman" w:hAnsi="Times New Roman" w:eastAsia="宋体" w:cs="Times New Roman"/>
          <w:color w:val="auto"/>
          <w:highlight w:val="none"/>
          <w:lang w:eastAsia="zh-CN"/>
        </w:rPr>
        <w:t>、冯润东</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 w:val="21"/>
          <w:szCs w:val="20"/>
          <w:highlight w:val="none"/>
          <w:lang w:val="en-US" w:eastAsia="zh-CN"/>
        </w:rPr>
        <w:t>郝武常、</w:t>
      </w:r>
      <w:r>
        <w:rPr>
          <w:rFonts w:hint="default" w:ascii="Times New Roman" w:hAnsi="Times New Roman" w:cs="Times New Roman"/>
          <w:color w:val="auto"/>
          <w:szCs w:val="20"/>
          <w:highlight w:val="none"/>
        </w:rPr>
        <w:t>罗阿利</w:t>
      </w:r>
      <w:r>
        <w:rPr>
          <w:rFonts w:hint="default" w:ascii="Times New Roman" w:hAnsi="Times New Roman" w:cs="Times New Roman"/>
          <w:color w:val="auto"/>
          <w:szCs w:val="20"/>
          <w:highlight w:val="none"/>
          <w:lang w:eastAsia="zh-CN"/>
        </w:rPr>
        <w:t>、</w:t>
      </w:r>
      <w:r>
        <w:rPr>
          <w:rFonts w:hint="default" w:ascii="Times New Roman" w:hAnsi="Times New Roman" w:cs="Times New Roman"/>
          <w:color w:val="auto"/>
          <w:szCs w:val="20"/>
          <w:highlight w:val="none"/>
        </w:rPr>
        <w:t>张若冰</w:t>
      </w:r>
      <w:r>
        <w:rPr>
          <w:rFonts w:hint="default" w:ascii="Times New Roman" w:hAnsi="Times New Roman" w:cs="Times New Roman"/>
          <w:color w:val="auto"/>
          <w:szCs w:val="20"/>
          <w:highlight w:val="none"/>
          <w:lang w:eastAsia="zh-CN"/>
        </w:rPr>
        <w:t>、</w:t>
      </w:r>
      <w:r>
        <w:rPr>
          <w:rFonts w:hint="default" w:ascii="Times New Roman" w:hAnsi="Times New Roman" w:cs="Times New Roman"/>
          <w:color w:val="auto"/>
          <w:szCs w:val="20"/>
          <w:highlight w:val="none"/>
        </w:rPr>
        <w:t>吴素丽、</w:t>
      </w:r>
      <w:r>
        <w:rPr>
          <w:rFonts w:hint="default" w:ascii="Times New Roman" w:hAnsi="Times New Roman" w:eastAsia="宋体" w:cs="Times New Roman"/>
          <w:color w:val="auto"/>
          <w:sz w:val="21"/>
          <w:szCs w:val="20"/>
          <w:highlight w:val="none"/>
          <w:lang w:val="en-US" w:eastAsia="zh-CN"/>
        </w:rPr>
        <w:t>李晓春、张亚锋、李润芝</w:t>
      </w:r>
      <w:r>
        <w:rPr>
          <w:rFonts w:hint="default" w:ascii="Times New Roman" w:hAnsi="Times New Roman" w:eastAsia="宋体" w:cs="Times New Roman"/>
          <w:color w:val="auto"/>
          <w:highlight w:val="none"/>
        </w:rPr>
        <w:t>。</w:t>
      </w:r>
    </w:p>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highlight w:val="none"/>
        </w:rPr>
        <w:t>由陕西省食品药品检验研究院负责解释。</w:t>
      </w:r>
    </w:p>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首次发布。</w:t>
      </w:r>
    </w:p>
    <w:p>
      <w:pPr>
        <w:pStyle w:val="25"/>
        <w:keepNext w:val="0"/>
        <w:keepLines w:val="0"/>
        <w:pageBreakBefore w:val="0"/>
        <w:widowControl/>
        <w:kinsoku/>
        <w:wordWrap/>
        <w:overflowPunct/>
        <w:topLinePunct w:val="0"/>
        <w:autoSpaceDE w:val="0"/>
        <w:autoSpaceDN w:val="0"/>
        <w:bidi w:val="0"/>
        <w:adjustRightInd/>
        <w:snapToGrid/>
        <w:ind w:firstLine="630" w:firstLineChars="300"/>
        <w:textAlignment w:val="auto"/>
        <w:rPr>
          <w:rFonts w:hint="default" w:ascii="Times New Roman" w:hAnsi="Times New Roman" w:eastAsia="宋体" w:cs="Times New Roman"/>
          <w:color w:val="auto"/>
        </w:rPr>
      </w:pPr>
    </w:p>
    <w:p>
      <w:pPr>
        <w:pStyle w:val="25"/>
        <w:ind w:firstLine="630" w:firstLineChars="300"/>
        <w:rPr>
          <w:rFonts w:hint="default" w:ascii="Times New Roman" w:hAnsi="Times New Roman" w:eastAsia="宋体" w:cs="Times New Roman"/>
        </w:rPr>
      </w:pPr>
      <w:r>
        <w:rPr>
          <w:rFonts w:hint="default" w:ascii="Times New Roman" w:hAnsi="Times New Roman" w:eastAsia="宋体" w:cs="Times New Roman"/>
        </w:rPr>
        <w:t>联系信息如下：</w:t>
      </w:r>
    </w:p>
    <w:p>
      <w:pPr>
        <w:pStyle w:val="25"/>
        <w:ind w:firstLine="630" w:firstLineChars="300"/>
        <w:rPr>
          <w:rFonts w:hint="default" w:ascii="Times New Roman" w:hAnsi="Times New Roman" w:eastAsia="宋体" w:cs="Times New Roman"/>
        </w:rPr>
      </w:pPr>
      <w:r>
        <w:rPr>
          <w:rFonts w:hint="default" w:ascii="Times New Roman" w:hAnsi="Times New Roman" w:eastAsia="宋体" w:cs="Times New Roman"/>
        </w:rPr>
        <w:t>单位：</w:t>
      </w:r>
      <w:r>
        <w:rPr>
          <w:rFonts w:hint="default" w:ascii="Times New Roman" w:hAnsi="Times New Roman" w:eastAsia="宋体" w:cs="Times New Roman"/>
          <w:sz w:val="21"/>
          <w:szCs w:val="20"/>
        </w:rPr>
        <w:t>陕西省</w:t>
      </w:r>
      <w:r>
        <w:rPr>
          <w:rFonts w:hint="default" w:ascii="Times New Roman" w:hAnsi="Times New Roman" w:eastAsia="宋体" w:cs="Times New Roman"/>
          <w:sz w:val="21"/>
          <w:szCs w:val="20"/>
          <w:lang w:val="en-US" w:eastAsia="zh-CN"/>
        </w:rPr>
        <w:t>食品药品检验研究院</w:t>
      </w:r>
    </w:p>
    <w:p>
      <w:pPr>
        <w:pStyle w:val="25"/>
        <w:ind w:firstLine="630" w:firstLineChars="300"/>
        <w:rPr>
          <w:rFonts w:hint="default" w:ascii="Times New Roman" w:hAnsi="Times New Roman" w:eastAsia="宋体" w:cs="Times New Roman"/>
        </w:rPr>
      </w:pPr>
      <w:r>
        <w:rPr>
          <w:rFonts w:hint="default" w:ascii="Times New Roman" w:hAnsi="Times New Roman" w:eastAsia="宋体" w:cs="Times New Roman"/>
        </w:rPr>
        <w:t>电话：029-62288412</w:t>
      </w:r>
    </w:p>
    <w:p>
      <w:pPr>
        <w:pStyle w:val="25"/>
        <w:ind w:firstLine="630" w:firstLineChars="300"/>
        <w:rPr>
          <w:rFonts w:hint="default" w:ascii="Times New Roman" w:hAnsi="Times New Roman" w:eastAsia="宋体" w:cs="Times New Roman"/>
        </w:rPr>
      </w:pPr>
      <w:r>
        <w:rPr>
          <w:rFonts w:hint="default" w:ascii="Times New Roman" w:hAnsi="Times New Roman" w:eastAsia="宋体" w:cs="Times New Roman"/>
        </w:rPr>
        <w:t>地址：</w:t>
      </w:r>
      <w:r>
        <w:rPr>
          <w:rFonts w:hint="default" w:ascii="Times New Roman" w:hAnsi="Times New Roman" w:eastAsia="宋体" w:cs="Times New Roman"/>
          <w:sz w:val="21"/>
          <w:szCs w:val="20"/>
        </w:rPr>
        <w:t>陕西省西安市高新区科技五路21号</w:t>
      </w:r>
    </w:p>
    <w:p>
      <w:pPr>
        <w:pStyle w:val="25"/>
        <w:ind w:firstLine="630" w:firstLineChars="300"/>
        <w:rPr>
          <w:rFonts w:hint="default" w:ascii="Times New Roman" w:hAnsi="Times New Roman" w:cs="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rPr>
          <w:rFonts w:hint="default" w:ascii="Times New Roman" w:hAnsi="Times New Roman" w:eastAsia="宋体" w:cs="Times New Roman"/>
        </w:rPr>
        <w:t>邮编：710065</w:t>
      </w:r>
    </w:p>
    <w:p>
      <w:pPr>
        <w:pStyle w:val="139"/>
        <w:keepNext/>
        <w:keepLines w:val="0"/>
        <w:pageBreakBefore/>
        <w:widowControl/>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auto"/>
          <w:shd w:val="clear" w:color="auto" w:fill="auto"/>
        </w:rPr>
        <w:t>基于皮肤模型化妆品保湿功效试验方法</w:t>
      </w:r>
    </w:p>
    <w:p>
      <w:pPr>
        <w:pStyle w:val="25"/>
        <w:ind w:left="0" w:leftChars="0" w:firstLine="0" w:firstLineChars="0"/>
        <w:rPr>
          <w:rFonts w:hint="default" w:ascii="Times New Roman" w:hAnsi="Times New Roman" w:cs="Times New Roman"/>
          <w:lang w:val="en-US"/>
        </w:rPr>
      </w:pPr>
    </w:p>
    <w:p>
      <w:pPr>
        <w:pStyle w:val="77"/>
        <w:keepLines w:val="0"/>
        <w:widowControl/>
        <w:kinsoku/>
        <w:wordWrap/>
        <w:overflowPunct/>
        <w:topLinePunct w:val="0"/>
        <w:bidi w:val="0"/>
        <w:adjustRightInd w:val="0"/>
        <w:snapToGrid w:val="0"/>
        <w:textAlignment w:val="auto"/>
        <w:outlineLvl w:val="0"/>
        <w:rPr>
          <w:rFonts w:hint="default" w:ascii="Times New Roman" w:hAnsi="Times New Roman" w:cs="Times New Roman"/>
          <w:color w:val="auto"/>
        </w:rPr>
      </w:pPr>
      <w:bookmarkStart w:id="25" w:name="_Toc20965"/>
      <w:bookmarkStart w:id="26" w:name="_Toc531101405"/>
      <w:bookmarkStart w:id="27" w:name="_Toc531100068"/>
      <w:bookmarkStart w:id="28" w:name="_Toc532886274"/>
      <w:bookmarkStart w:id="29" w:name="范围"/>
      <w:r>
        <w:rPr>
          <w:rFonts w:hint="default" w:ascii="Times New Roman" w:hAnsi="Times New Roman" w:cs="Times New Roman"/>
          <w:color w:val="auto"/>
        </w:rPr>
        <w:t>范围</w:t>
      </w:r>
      <w:bookmarkEnd w:id="25"/>
      <w:bookmarkEnd w:id="26"/>
      <w:bookmarkEnd w:id="27"/>
      <w:bookmarkEnd w:id="28"/>
    </w:p>
    <w:bookmarkEnd w:id="29"/>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highlight w:val="none"/>
          <w:lang w:val="en-US" w:eastAsia="zh-CN"/>
        </w:rPr>
      </w:pPr>
      <w:bookmarkStart w:id="30" w:name="_Toc531101406"/>
      <w:bookmarkStart w:id="31" w:name="_Toc531100069"/>
      <w:bookmarkStart w:id="32" w:name="_Toc532886275"/>
      <w:bookmarkStart w:id="33" w:name="规范性引用文件"/>
      <w:r>
        <w:rPr>
          <w:rFonts w:hint="default" w:ascii="Times New Roman" w:hAnsi="Times New Roman" w:cs="Times New Roman"/>
          <w:highlight w:val="none"/>
          <w:lang w:val="en-US" w:eastAsia="zh-CN"/>
        </w:rPr>
        <w:t>本文件规定了一种化妆品保湿功效评价的皮肤模型含水量</w:t>
      </w:r>
      <w:r>
        <w:rPr>
          <w:rFonts w:hint="default" w:ascii="Times New Roman" w:hAnsi="Times New Roman" w:cs="Times New Roman"/>
          <w:color w:val="000000"/>
          <w:szCs w:val="32"/>
          <w:lang w:val="en-US" w:eastAsia="zh-CN"/>
        </w:rPr>
        <w:t>测定技术要求</w:t>
      </w:r>
      <w:r>
        <w:rPr>
          <w:rFonts w:hint="default" w:ascii="Times New Roman" w:hAnsi="Times New Roman" w:cs="Times New Roman"/>
          <w:highlight w:val="none"/>
          <w:lang w:val="en-US" w:eastAsia="zh-CN"/>
        </w:rPr>
        <w:t>的范围、规范性引用文件、术语和定义、技术原理、试验条件、材料和试剂、仪器设备、样品、试验步骤、试验数据处理、精密度和测量不确定度、质量保证和控制以及试验报告的要求。</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highlight w:val="none"/>
          <w:lang w:val="en-US" w:eastAsia="zh-CN"/>
        </w:rPr>
        <w:t>本文件适用于基于</w:t>
      </w:r>
      <w:r>
        <w:rPr>
          <w:rFonts w:hint="default" w:ascii="Times New Roman" w:hAnsi="Times New Roman" w:cs="Times New Roman"/>
          <w:highlight w:val="none"/>
          <w:lang w:eastAsia="zh-CN"/>
        </w:rPr>
        <w:t>体外重组表皮模型含水量测定</w:t>
      </w:r>
      <w:r>
        <w:rPr>
          <w:rFonts w:hint="default" w:ascii="Times New Roman" w:hAnsi="Times New Roman" w:cs="Times New Roman"/>
          <w:highlight w:val="none"/>
          <w:lang w:val="en-US" w:eastAsia="zh-CN"/>
        </w:rPr>
        <w:t>的</w:t>
      </w:r>
      <w:r>
        <w:rPr>
          <w:rFonts w:hint="default" w:ascii="Times New Roman" w:hAnsi="Times New Roman" w:cs="Times New Roman"/>
          <w:color w:val="auto"/>
          <w:highlight w:val="none"/>
          <w:lang w:val="en-US" w:eastAsia="zh-CN"/>
        </w:rPr>
        <w:t>化妆品保湿功效测试技术要求。</w:t>
      </w:r>
    </w:p>
    <w:p>
      <w:pPr>
        <w:pStyle w:val="77"/>
        <w:adjustRightInd w:val="0"/>
        <w:snapToGrid w:val="0"/>
        <w:outlineLvl w:val="0"/>
        <w:rPr>
          <w:rFonts w:hint="default" w:ascii="Times New Roman" w:hAnsi="Times New Roman" w:cs="Times New Roman"/>
          <w:color w:val="auto"/>
        </w:rPr>
      </w:pPr>
      <w:bookmarkStart w:id="34" w:name="_Toc25529"/>
      <w:r>
        <w:rPr>
          <w:rFonts w:hint="default" w:ascii="Times New Roman" w:hAnsi="Times New Roman" w:cs="Times New Roman"/>
          <w:color w:val="auto"/>
        </w:rPr>
        <w:t>规范性引用文件</w:t>
      </w:r>
      <w:bookmarkEnd w:id="30"/>
      <w:bookmarkEnd w:id="31"/>
      <w:bookmarkEnd w:id="32"/>
      <w:bookmarkEnd w:id="34"/>
    </w:p>
    <w:bookmarkEnd w:id="33"/>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color w:val="auto"/>
        </w:rPr>
      </w:pPr>
      <w:bookmarkStart w:id="35" w:name="术语和定义"/>
      <w:r>
        <w:rPr>
          <w:rFonts w:hint="default" w:ascii="Times New Roman" w:hAnsi="Times New Roman" w:cs="Times New Roman"/>
          <w:color w:val="auto"/>
        </w:rPr>
        <w:t>下列文件对于本文件的应用是必不可少的。凡是注日期的引用文件，仅注日期的版本适用于本文件。凡是不注日期的引用文件，其最新版本（包括所有的修改单）适用于本文件。</w:t>
      </w:r>
    </w:p>
    <w:p>
      <w:pPr>
        <w:pStyle w:val="25"/>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GB/T6682 分析实验室用水规格和试验方法</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aps w:val="0"/>
          <w:color w:val="auto"/>
          <w:spacing w:val="0"/>
          <w:sz w:val="21"/>
          <w:szCs w:val="21"/>
          <w:shd w:val="clear" w:color="auto" w:fill="auto"/>
        </w:rPr>
        <w:t>GB 19489-2008 实验室 生物安全通用要求</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SN/T 3899—2014 化妆品体外替代试验 良好细胞培养和样品制备规范</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val="0"/>
          <w:bCs w:val="0"/>
          <w:i w:val="0"/>
          <w:iCs w:val="0"/>
          <w:caps w:val="0"/>
          <w:color w:val="auto"/>
          <w:spacing w:val="0"/>
          <w:sz w:val="21"/>
          <w:szCs w:val="21"/>
          <w:shd w:val="clear" w:color="auto" w:fill="auto"/>
          <w:vertAlign w:val="baseline"/>
        </w:rPr>
        <w:t>SNT3898-2014化妆品体外替代试验方法验证规程</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 xml:space="preserve">《化妆品安全技术规范》 </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 xml:space="preserve">《化妆品功效宣称评价规范》 </w:t>
      </w:r>
    </w:p>
    <w:p>
      <w:pPr>
        <w:pStyle w:val="25"/>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 w:val="21"/>
          <w:szCs w:val="21"/>
          <w:lang w:val="en-US" w:eastAsia="zh-CN" w:bidi="ar"/>
        </w:rPr>
        <w:t>《化妆品分类规则和分类目录》</w:t>
      </w:r>
    </w:p>
    <w:p>
      <w:pPr>
        <w:pStyle w:val="77"/>
        <w:adjustRightInd w:val="0"/>
        <w:snapToGrid w:val="0"/>
        <w:outlineLvl w:val="0"/>
        <w:rPr>
          <w:rFonts w:hint="default" w:ascii="Times New Roman" w:hAnsi="Times New Roman" w:cs="Times New Roman"/>
          <w:color w:val="auto"/>
        </w:rPr>
      </w:pPr>
      <w:bookmarkStart w:id="36" w:name="_Toc4531"/>
      <w:r>
        <w:rPr>
          <w:rFonts w:hint="default" w:ascii="Times New Roman" w:hAnsi="Times New Roman" w:cs="Times New Roman"/>
          <w:color w:val="auto"/>
        </w:rPr>
        <w:t>术语和定义</w:t>
      </w:r>
      <w:bookmarkEnd w:id="36"/>
      <w:bookmarkStart w:id="79" w:name="_GoBack"/>
      <w:bookmarkEnd w:id="79"/>
    </w:p>
    <w:bookmarkEnd w:id="35"/>
    <w:p>
      <w:pPr>
        <w:pStyle w:val="25"/>
        <w:ind w:firstLine="420" w:firstLineChars="20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下列术语和定义适用本标准。</w:t>
      </w:r>
    </w:p>
    <w:p>
      <w:pPr>
        <w:pStyle w:val="74"/>
        <w:numPr>
          <w:ilvl w:val="0"/>
          <w:numId w:val="0"/>
        </w:numPr>
        <w:rPr>
          <w:rFonts w:hint="default" w:ascii="Times New Roman" w:hAnsi="Times New Roman" w:cs="Times New Roman"/>
          <w:b w:val="0"/>
          <w:bCs w:val="0"/>
          <w:color w:val="auto"/>
          <w:lang w:val="en-US" w:eastAsia="zh-CN"/>
        </w:rPr>
      </w:pPr>
      <w:r>
        <w:rPr>
          <w:rFonts w:hint="default" w:ascii="Times New Roman" w:hAnsi="Times New Roman" w:eastAsia="黑体" w:cs="Times New Roman"/>
          <w:color w:val="auto"/>
          <w:sz w:val="21"/>
          <w:szCs w:val="20"/>
          <w:lang w:val="en-US" w:eastAsia="zh-CN" w:bidi="ar-SA"/>
        </w:rPr>
        <w:t xml:space="preserve">3.1 </w:t>
      </w:r>
      <w:r>
        <w:rPr>
          <w:rFonts w:hint="default" w:ascii="Times New Roman" w:hAnsi="Times New Roman" w:cs="Times New Roman"/>
          <w:b w:val="0"/>
          <w:bCs w:val="0"/>
          <w:color w:val="auto"/>
          <w:lang w:val="en-US" w:eastAsia="zh-CN"/>
        </w:rPr>
        <w:t xml:space="preserve"> </w:t>
      </w:r>
    </w:p>
    <w:p>
      <w:pPr>
        <w:pStyle w:val="74"/>
        <w:numPr>
          <w:ilvl w:val="1"/>
          <w:numId w:val="0"/>
        </w:numPr>
        <w:ind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eastAsia="zh-CN"/>
        </w:rPr>
        <w:t>体外重组表皮模型</w:t>
      </w:r>
      <w:r>
        <w:rPr>
          <w:rFonts w:hint="default" w:ascii="Times New Roman" w:hAnsi="Times New Roman" w:cs="Times New Roman"/>
          <w:highlight w:val="none"/>
          <w:lang w:val="en-US" w:eastAsia="zh-CN"/>
        </w:rPr>
        <w:t xml:space="preserve"> （</w:t>
      </w:r>
      <w:r>
        <w:rPr>
          <w:rFonts w:hint="eastAsia" w:ascii="Times New Roman" w:cs="Times New Roman"/>
          <w:highlight w:val="none"/>
          <w:lang w:val="en-US" w:eastAsia="zh-CN"/>
        </w:rPr>
        <w:t>R</w:t>
      </w:r>
      <w:r>
        <w:rPr>
          <w:rFonts w:hint="default" w:ascii="Times New Roman" w:hAnsi="Times New Roman" w:cs="Times New Roman"/>
          <w:highlight w:val="none"/>
          <w:lang w:val="en-US" w:eastAsia="zh-CN"/>
        </w:rPr>
        <w:t>econstructed human epidermis model）</w:t>
      </w:r>
    </w:p>
    <w:p>
      <w:pPr>
        <w:pStyle w:val="25"/>
        <w:rPr>
          <w:rFonts w:hint="default" w:ascii="Times New Roman" w:hAnsi="Times New Roman" w:eastAsia="宋体" w:cs="Times New Roman"/>
          <w:i w:val="0"/>
          <w:iCs w:val="0"/>
          <w:caps w:val="0"/>
          <w:color w:val="000000"/>
          <w:spacing w:val="0"/>
          <w:kern w:val="2"/>
          <w:sz w:val="21"/>
          <w:szCs w:val="21"/>
          <w:u w:val="none"/>
          <w:shd w:val="clear" w:color="auto" w:fill="auto"/>
          <w:lang w:val="en-US" w:eastAsia="zh-CN" w:bidi="ar"/>
        </w:rPr>
      </w:pPr>
      <w:r>
        <w:rPr>
          <w:rFonts w:hint="default" w:ascii="Times New Roman" w:hAnsi="Times New Roman" w:eastAsia="宋体" w:cs="Times New Roman"/>
          <w:i w:val="0"/>
          <w:iCs w:val="0"/>
          <w:caps w:val="0"/>
          <w:color w:val="000000"/>
          <w:spacing w:val="0"/>
          <w:kern w:val="2"/>
          <w:sz w:val="21"/>
          <w:szCs w:val="21"/>
          <w:u w:val="none"/>
          <w:shd w:val="clear" w:color="auto" w:fill="auto"/>
          <w:lang w:val="en-US" w:eastAsia="zh-CN" w:bidi="ar"/>
        </w:rPr>
        <w:t>采用人原代表皮角质形成细胞，通过组织工程技术在体外重组的皮肤组织，具有与正常皮肤高度相似的复层化结构、生理及代谢功能。</w:t>
      </w:r>
    </w:p>
    <w:p>
      <w:pPr>
        <w:pStyle w:val="74"/>
        <w:numPr>
          <w:ilvl w:val="0"/>
          <w:numId w:val="0"/>
        </w:numP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3.2</w:t>
      </w:r>
    </w:p>
    <w:p>
      <w:pPr>
        <w:pStyle w:val="74"/>
        <w:numPr>
          <w:ilvl w:val="1"/>
          <w:numId w:val="0"/>
        </w:numPr>
        <w:ind w:firstLine="420" w:firstLineChars="200"/>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阳性工作液  （Positive working fluid）</w:t>
      </w:r>
    </w:p>
    <w:p>
      <w:pPr>
        <w:pStyle w:val="25"/>
        <w:rPr>
          <w:rFonts w:hint="default" w:ascii="Times New Roman" w:hAnsi="Times New Roman" w:eastAsia="宋体" w:cs="Times New Roman"/>
          <w:i w:val="0"/>
          <w:iCs w:val="0"/>
          <w:caps w:val="0"/>
          <w:color w:val="000000"/>
          <w:spacing w:val="0"/>
          <w:kern w:val="2"/>
          <w:sz w:val="21"/>
          <w:szCs w:val="21"/>
          <w:u w:val="none"/>
          <w:shd w:val="clear" w:color="auto" w:fill="auto"/>
          <w:lang w:val="en-US" w:eastAsia="zh-CN" w:bidi="ar"/>
        </w:rPr>
      </w:pPr>
      <w:r>
        <w:rPr>
          <w:rFonts w:hint="default" w:ascii="Times New Roman" w:hAnsi="Times New Roman" w:cs="Times New Roman"/>
          <w:lang w:val="en-US" w:eastAsia="zh-CN"/>
        </w:rPr>
        <w:t>在试验过程中选择具有显著保湿功效的样品作为阳性参考，如</w:t>
      </w:r>
      <w:r>
        <w:rPr>
          <w:rFonts w:hint="default" w:ascii="Times New Roman" w:hAnsi="Times New Roman" w:cs="Times New Roman"/>
          <w:color w:val="auto"/>
          <w:sz w:val="21"/>
          <w:highlight w:val="none"/>
          <w:lang w:eastAsia="zh-CN"/>
        </w:rPr>
        <w:t>甘油</w:t>
      </w:r>
      <w:r>
        <w:rPr>
          <w:rFonts w:hint="default" w:ascii="Times New Roman" w:hAnsi="Times New Roman" w:cs="Times New Roman"/>
          <w:color w:val="auto"/>
          <w:sz w:val="21"/>
          <w:highlight w:val="none"/>
          <w:lang w:val="en-US" w:eastAsia="zh-CN"/>
        </w:rPr>
        <w:t>溶液，参考浓度20%，作为阳性工作液</w:t>
      </w:r>
      <w:r>
        <w:rPr>
          <w:rFonts w:hint="default" w:ascii="Times New Roman" w:hAnsi="Times New Roman" w:cs="Times New Roman"/>
          <w:lang w:val="en-US" w:eastAsia="zh-CN"/>
        </w:rPr>
        <w:t>。</w:t>
      </w:r>
    </w:p>
    <w:p>
      <w:pPr>
        <w:pStyle w:val="74"/>
        <w:numPr>
          <w:ilvl w:val="0"/>
          <w:numId w:val="0"/>
        </w:numP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3.3</w:t>
      </w:r>
    </w:p>
    <w:p>
      <w:pPr>
        <w:pStyle w:val="74"/>
        <w:numPr>
          <w:ilvl w:val="1"/>
          <w:numId w:val="0"/>
        </w:numPr>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样品工作液  （Sample working fluid）</w:t>
      </w:r>
    </w:p>
    <w:p>
      <w:pPr>
        <w:pStyle w:val="25"/>
        <w:rPr>
          <w:rFonts w:hint="default" w:ascii="Times New Roman" w:hAnsi="Times New Roman" w:cs="Times New Roman"/>
          <w:lang w:val="en-US" w:eastAsia="zh-CN"/>
        </w:rPr>
      </w:pPr>
      <w:r>
        <w:rPr>
          <w:rFonts w:hint="default" w:ascii="Times New Roman" w:hAnsi="Times New Roman" w:cs="Times New Roman"/>
          <w:lang w:val="en-US" w:eastAsia="zh-CN"/>
        </w:rPr>
        <w:t>将一定浓度的待测样品溶于一定的溶剂中，如去离子水或磷酸盐缓冲液中形成样品工作液。</w:t>
      </w:r>
    </w:p>
    <w:p>
      <w:pPr>
        <w:pStyle w:val="74"/>
        <w:numPr>
          <w:ilvl w:val="0"/>
          <w:numId w:val="0"/>
        </w:numP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3.4</w:t>
      </w:r>
    </w:p>
    <w:p>
      <w:pPr>
        <w:pStyle w:val="74"/>
        <w:numPr>
          <w:ilvl w:val="1"/>
          <w:numId w:val="0"/>
        </w:numPr>
        <w:ind w:firstLine="420" w:firstLineChars="200"/>
        <w:rPr>
          <w:rFonts w:hint="default" w:ascii="Times New Roman" w:hAnsi="Times New Roman" w:cs="Times New Roman"/>
          <w:highlight w:val="none"/>
        </w:rPr>
      </w:pPr>
      <w:r>
        <w:rPr>
          <w:rFonts w:hint="default" w:ascii="Times New Roman" w:hAnsi="Times New Roman" w:cs="Times New Roman"/>
          <w:highlight w:val="none"/>
          <w:lang w:eastAsia="zh-CN"/>
        </w:rPr>
        <w:t>皮肤含水量</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（Skin water content）</w:t>
      </w:r>
    </w:p>
    <w:p>
      <w:pPr>
        <w:pStyle w:val="25"/>
        <w:rPr>
          <w:rFonts w:hint="default" w:ascii="Times New Roman" w:hAnsi="Times New Roman" w:cs="Times New Roman"/>
          <w:highlight w:val="none"/>
        </w:rPr>
      </w:pPr>
      <w:r>
        <w:rPr>
          <w:rFonts w:hint="default" w:ascii="Times New Roman" w:hAnsi="Times New Roman" w:cs="Times New Roman"/>
          <w:highlight w:val="none"/>
          <w:lang w:eastAsia="zh-CN"/>
        </w:rPr>
        <w:t>本文件中皮肤含水量是指使用采用电容法测定的皮肤模型角质层中水含量</w:t>
      </w:r>
      <w:r>
        <w:rPr>
          <w:rFonts w:hint="default" w:ascii="Times New Roman" w:hAnsi="Times New Roman" w:cs="Times New Roman"/>
          <w:highlight w:val="none"/>
        </w:rPr>
        <w:t>。</w:t>
      </w:r>
    </w:p>
    <w:p>
      <w:pPr>
        <w:pStyle w:val="77"/>
        <w:adjustRightInd w:val="0"/>
        <w:snapToGrid w:val="0"/>
        <w:outlineLvl w:val="0"/>
        <w:rPr>
          <w:rFonts w:hint="default" w:ascii="Times New Roman" w:hAnsi="Times New Roman" w:cs="Times New Roman"/>
          <w:color w:val="auto"/>
        </w:rPr>
      </w:pPr>
      <w:bookmarkStart w:id="37" w:name="_Toc531100070"/>
      <w:bookmarkEnd w:id="37"/>
      <w:bookmarkStart w:id="38" w:name="_Toc24399"/>
      <w:bookmarkStart w:id="39" w:name="机构和人员"/>
      <w:r>
        <w:rPr>
          <w:rFonts w:hint="default" w:ascii="Times New Roman" w:hAnsi="Times New Roman" w:cs="Times New Roman"/>
          <w:color w:val="auto"/>
          <w:lang w:val="en-US" w:eastAsia="zh-CN"/>
        </w:rPr>
        <w:t>技术原理</w:t>
      </w:r>
      <w:bookmarkEnd w:id="38"/>
    </w:p>
    <w:bookmarkEnd w:id="39"/>
    <w:p>
      <w:pPr>
        <w:pStyle w:val="77"/>
        <w:numPr>
          <w:ilvl w:val="0"/>
          <w:numId w:val="0"/>
        </w:numPr>
        <w:ind w:right="533" w:rightChars="254" w:firstLine="420" w:firstLineChars="200"/>
        <w:jc w:val="left"/>
        <w:rPr>
          <w:rFonts w:hint="default" w:ascii="Times New Roman" w:hAnsi="Times New Roman" w:cs="Times New Roman"/>
          <w:color w:val="000000"/>
          <w:szCs w:val="21"/>
          <w:highlight w:val="none"/>
          <w:lang w:bidi="ar"/>
        </w:rPr>
      </w:pPr>
      <w:bookmarkStart w:id="40" w:name="_Toc10770"/>
      <w:bookmarkStart w:id="41" w:name="_Toc21346"/>
      <w:bookmarkStart w:id="42" w:name="_Toc8984"/>
      <w:bookmarkStart w:id="43" w:name="_Toc2301"/>
      <w:bookmarkStart w:id="44" w:name="厂房和设施"/>
      <w:r>
        <w:rPr>
          <w:rFonts w:hint="default" w:ascii="Times New Roman" w:hAnsi="Times New Roman" w:eastAsia="宋体" w:cs="Times New Roman"/>
          <w:highlight w:val="none"/>
          <w:lang w:val="en-US" w:eastAsia="zh-CN"/>
        </w:rPr>
        <w:t>皮肤保湿主要取决于角质层的含水量，当角质层的含水量充足时，皮肤呈现出柔软、光滑、细嫩和富有弹性的状态，角质层含水量不足时，皮肤就会干燥、粗糙，甚至皲裂，所以角质层含水量</w:t>
      </w:r>
      <w:r>
        <w:rPr>
          <w:rFonts w:hint="default" w:ascii="Times New Roman" w:hAnsi="Times New Roman" w:eastAsia="宋体" w:cs="Times New Roman"/>
          <w:highlight w:val="none"/>
        </w:rPr>
        <w:t>是决定皮肤健康状态的主要指标，也是评价与水分丢失相关的皮肤状态的重要参数</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保湿化妆品的功能在于增加和维持皮肤角质层的含水量，角质层含水量越高，其电容量也越高，通过测试探头与皮肤接触后电容值的变化反映皮肤角质层中的含水量，对样品保湿功效进行评估。</w:t>
      </w:r>
    </w:p>
    <w:p>
      <w:pPr>
        <w:pStyle w:val="77"/>
        <w:adjustRightInd w:val="0"/>
        <w:snapToGrid w:val="0"/>
        <w:outlineLvl w:val="0"/>
        <w:rPr>
          <w:rFonts w:hint="default" w:ascii="Times New Roman" w:hAnsi="Times New Roman" w:cs="Times New Roman"/>
          <w:color w:val="auto"/>
        </w:rPr>
      </w:pPr>
      <w:r>
        <w:rPr>
          <w:rFonts w:hint="default" w:ascii="Times New Roman" w:hAnsi="Times New Roman" w:cs="Times New Roman"/>
          <w:color w:val="auto"/>
          <w:lang w:val="en-US" w:eastAsia="zh-CN"/>
        </w:rPr>
        <w:t>试验条件</w:t>
      </w:r>
      <w:bookmarkEnd w:id="40"/>
      <w:bookmarkEnd w:id="41"/>
      <w:bookmarkEnd w:id="42"/>
      <w:bookmarkEnd w:id="43"/>
    </w:p>
    <w:p>
      <w:pPr>
        <w:pStyle w:val="25"/>
        <w:rPr>
          <w:rFonts w:hint="default" w:ascii="Times New Roman" w:hAnsi="Times New Roman" w:eastAsia="宋体" w:cs="Times New Roman"/>
          <w:lang w:eastAsia="zh-CN"/>
        </w:rPr>
      </w:pPr>
      <w:r>
        <w:rPr>
          <w:rFonts w:hint="default" w:ascii="Times New Roman" w:hAnsi="Times New Roman" w:cs="Times New Roman"/>
          <w:lang w:val="en-US" w:eastAsia="zh-CN"/>
        </w:rPr>
        <w:t>实验室环境：无菌室的等级达到十万级，温度控制在20-24℃，湿度控制在50%～70%。</w:t>
      </w:r>
    </w:p>
    <w:p>
      <w:pPr>
        <w:pStyle w:val="77"/>
        <w:outlineLvl w:val="0"/>
        <w:rPr>
          <w:rFonts w:hint="default" w:ascii="Times New Roman" w:hAnsi="Times New Roman" w:cs="Times New Roman"/>
          <w:color w:val="000000"/>
        </w:rPr>
      </w:pPr>
      <w:bookmarkStart w:id="45" w:name="_Toc16502"/>
      <w:r>
        <w:rPr>
          <w:rFonts w:hint="default" w:ascii="Times New Roman" w:hAnsi="Times New Roman" w:cs="Times New Roman"/>
          <w:color w:val="auto"/>
          <w:lang w:val="en-US" w:eastAsia="zh-CN"/>
        </w:rPr>
        <w:t>材料和试剂</w:t>
      </w:r>
      <w:bookmarkEnd w:id="44"/>
      <w:bookmarkEnd w:id="45"/>
    </w:p>
    <w:p>
      <w:pPr>
        <w:pStyle w:val="74"/>
        <w:rPr>
          <w:rFonts w:hint="default" w:ascii="Times New Roman" w:hAnsi="Times New Roman" w:cs="Times New Roman"/>
        </w:rPr>
      </w:pPr>
      <w:r>
        <w:rPr>
          <w:rFonts w:hint="default" w:ascii="Times New Roman" w:hAnsi="Times New Roman" w:cs="Times New Roman"/>
        </w:rPr>
        <w:t>材料</w:t>
      </w:r>
    </w:p>
    <w:p>
      <w:pPr>
        <w:pStyle w:val="73"/>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color w:val="auto"/>
          <w:sz w:val="21"/>
          <w:lang w:val="en-US" w:eastAsia="zh-CN" w:bidi="ar-SA"/>
        </w:rPr>
        <w:t>体外重组表皮模型：EpiKutis®</w:t>
      </w:r>
    </w:p>
    <w:p>
      <w:pPr>
        <w:pStyle w:val="73"/>
        <w:numPr>
          <w:ilvl w:val="2"/>
          <w:numId w:val="0"/>
        </w:numPr>
        <w:bidi w:val="0"/>
        <w:ind w:left="0" w:leftChars="0" w:firstLine="419" w:firstLineChars="233"/>
        <w:rPr>
          <w:rFonts w:hint="default" w:ascii="Times New Roman" w:hAnsi="Times New Roman" w:cs="Times New Roman"/>
        </w:rPr>
      </w:pPr>
      <w:r>
        <w:rPr>
          <w:rFonts w:hint="default" w:ascii="Times New Roman" w:hAnsi="Times New Roman" w:eastAsia="黑体" w:cs="Times New Roman"/>
          <w:color w:val="auto"/>
          <w:sz w:val="18"/>
          <w:szCs w:val="18"/>
        </w:rPr>
        <w:t>注</w:t>
      </w:r>
      <w:r>
        <w:rPr>
          <w:rFonts w:hint="default" w:ascii="Times New Roman" w:hAnsi="Times New Roman" w:eastAsia="宋体" w:cs="Times New Roman"/>
          <w:color w:val="auto"/>
          <w:sz w:val="21"/>
          <w:szCs w:val="20"/>
        </w:rPr>
        <w:t>：</w:t>
      </w:r>
      <w:r>
        <w:rPr>
          <w:rFonts w:hint="default" w:ascii="Times New Roman" w:hAnsi="Times New Roman" w:eastAsia="宋体" w:cs="Times New Roman"/>
          <w:color w:val="auto"/>
          <w:sz w:val="18"/>
          <w:szCs w:val="18"/>
          <w:lang w:val="en-US" w:eastAsia="zh-CN"/>
        </w:rPr>
        <w:t>其他体外重组表皮模型也可用于本试验，但应证明其等同性。</w:t>
      </w:r>
    </w:p>
    <w:p>
      <w:pPr>
        <w:pStyle w:val="74"/>
        <w:rPr>
          <w:rFonts w:hint="default" w:ascii="Times New Roman" w:hAnsi="Times New Roman" w:cs="Times New Roman"/>
          <w:b w:val="0"/>
          <w:bCs w:val="0"/>
        </w:rPr>
      </w:pPr>
      <w:r>
        <w:rPr>
          <w:rFonts w:hint="default" w:ascii="Times New Roman" w:hAnsi="Times New Roman" w:cs="Times New Roman"/>
          <w:b w:val="0"/>
          <w:bCs w:val="0"/>
        </w:rPr>
        <w:t xml:space="preserve">试剂 </w:t>
      </w:r>
    </w:p>
    <w:p>
      <w:pPr>
        <w:pStyle w:val="25"/>
        <w:keepNext w:val="0"/>
        <w:keepLines w:val="0"/>
        <w:pageBreakBefore w:val="0"/>
        <w:widowControl/>
        <w:numPr>
          <w:ilvl w:val="2"/>
          <w:numId w:val="4"/>
        </w:numPr>
        <w:kinsoku/>
        <w:wordWrap/>
        <w:overflowPunct/>
        <w:topLinePunct w:val="0"/>
        <w:autoSpaceDE w:val="0"/>
        <w:autoSpaceDN w:val="0"/>
        <w:bidi w:val="0"/>
        <w:adjustRightInd/>
        <w:snapToGrid/>
        <w:ind w:left="0" w:leftChars="0" w:firstLineChars="0"/>
        <w:jc w:val="left"/>
        <w:textAlignment w:val="auto"/>
        <w:rPr>
          <w:rFonts w:hint="default" w:ascii="Times New Roman" w:hAnsi="Times New Roman" w:cs="Times New Roman"/>
          <w:color w:val="auto"/>
        </w:rPr>
      </w:pPr>
      <w:bookmarkStart w:id="46" w:name="_Toc18171"/>
      <w:bookmarkStart w:id="47" w:name="_Toc4356"/>
      <w:r>
        <w:rPr>
          <w:rFonts w:hint="default" w:ascii="Times New Roman" w:hAnsi="Times New Roman" w:eastAsia="宋体" w:cs="Times New Roman"/>
          <w:color w:val="000000"/>
          <w:kern w:val="0"/>
          <w:sz w:val="21"/>
          <w:szCs w:val="21"/>
          <w:highlight w:val="none"/>
          <w:lang w:val="en-US" w:eastAsia="zh-CN" w:bidi="ar"/>
        </w:rPr>
        <w:t>体外重组表皮模型培养液</w:t>
      </w:r>
      <w:r>
        <w:rPr>
          <w:rFonts w:hint="default" w:ascii="Times New Roman" w:hAnsi="Times New Roman" w:cs="Times New Roman"/>
          <w:color w:val="000000"/>
          <w:kern w:val="0"/>
          <w:sz w:val="21"/>
          <w:szCs w:val="21"/>
          <w:highlight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EpiGrowth 培养液</w:t>
      </w:r>
      <w:r>
        <w:rPr>
          <w:rFonts w:hint="default" w:ascii="Times New Roman" w:hAnsi="Times New Roman" w:cs="Times New Roman"/>
          <w:color w:val="000000"/>
          <w:kern w:val="0"/>
          <w:sz w:val="21"/>
          <w:szCs w:val="21"/>
          <w:highlight w:val="none"/>
          <w:lang w:val="en-US" w:eastAsia="zh-CN" w:bidi="ar"/>
        </w:rPr>
        <w:t>，无菌，无血清成分</w:t>
      </w:r>
      <w:r>
        <w:rPr>
          <w:rFonts w:hint="default" w:ascii="Times New Roman" w:hAnsi="Times New Roman" w:cs="Times New Roman"/>
          <w:color w:val="auto"/>
          <w:lang w:val="en-US" w:eastAsia="zh-CN"/>
        </w:rPr>
        <w:t>。</w:t>
      </w:r>
    </w:p>
    <w:p>
      <w:pPr>
        <w:pStyle w:val="25"/>
        <w:keepNext w:val="0"/>
        <w:keepLines w:val="0"/>
        <w:pageBreakBefore w:val="0"/>
        <w:widowControl/>
        <w:numPr>
          <w:ilvl w:val="2"/>
          <w:numId w:val="4"/>
        </w:numPr>
        <w:kinsoku/>
        <w:wordWrap/>
        <w:overflowPunct/>
        <w:topLinePunct w:val="0"/>
        <w:autoSpaceDE w:val="0"/>
        <w:autoSpaceDN w:val="0"/>
        <w:bidi w:val="0"/>
        <w:adjustRightInd/>
        <w:snapToGrid/>
        <w:ind w:left="0" w:leftChars="0" w:firstLineChars="0"/>
        <w:jc w:val="left"/>
        <w:textAlignment w:val="auto"/>
        <w:rPr>
          <w:rFonts w:hint="default" w:ascii="Times New Roman" w:hAnsi="Times New Roman" w:cs="Times New Roman"/>
          <w:color w:val="auto"/>
        </w:rPr>
      </w:pPr>
      <w:r>
        <w:rPr>
          <w:rFonts w:hint="default" w:ascii="Times New Roman" w:hAnsi="Times New Roman" w:cs="Times New Roman"/>
          <w:highlight w:val="none"/>
          <w:lang w:val="en-US" w:eastAsia="zh-CN"/>
        </w:rPr>
        <w:t>75%乙醇</w:t>
      </w:r>
      <w:r>
        <w:rPr>
          <w:rFonts w:hint="default" w:ascii="Times New Roman" w:hAnsi="Times New Roman" w:cs="Times New Roman"/>
          <w:highlight w:val="none"/>
        </w:rPr>
        <w:t>：</w:t>
      </w:r>
      <w:r>
        <w:rPr>
          <w:rFonts w:hint="default" w:ascii="Times New Roman" w:hAnsi="Times New Roman" w:cs="Times New Roman"/>
          <w:highlight w:val="none"/>
          <w:lang w:eastAsia="zh-CN"/>
        </w:rPr>
        <w:t>无色，</w:t>
      </w:r>
      <w:r>
        <w:rPr>
          <w:rFonts w:hint="default" w:ascii="Times New Roman" w:hAnsi="Times New Roman" w:cs="Times New Roman"/>
          <w:highlight w:val="none"/>
        </w:rPr>
        <w:t>pH=</w:t>
      </w:r>
      <w:r>
        <w:rPr>
          <w:rFonts w:hint="default" w:ascii="Times New Roman" w:hAnsi="Times New Roman" w:cs="Times New Roman"/>
          <w:highlight w:val="none"/>
          <w:lang w:val="en-US" w:eastAsia="zh-CN"/>
        </w:rPr>
        <w:t>6.0-7.0</w:t>
      </w:r>
      <w:r>
        <w:rPr>
          <w:rFonts w:hint="default" w:ascii="Times New Roman" w:hAnsi="Times New Roman" w:cs="Times New Roman"/>
          <w:color w:val="auto"/>
          <w:lang w:eastAsia="zh-CN"/>
        </w:rPr>
        <w:t>。</w:t>
      </w:r>
    </w:p>
    <w:p>
      <w:pPr>
        <w:pStyle w:val="25"/>
        <w:keepNext w:val="0"/>
        <w:keepLines w:val="0"/>
        <w:pageBreakBefore w:val="0"/>
        <w:widowControl/>
        <w:numPr>
          <w:ilvl w:val="2"/>
          <w:numId w:val="4"/>
        </w:numPr>
        <w:kinsoku/>
        <w:wordWrap/>
        <w:overflowPunct/>
        <w:topLinePunct w:val="0"/>
        <w:autoSpaceDE w:val="0"/>
        <w:autoSpaceDN w:val="0"/>
        <w:bidi w:val="0"/>
        <w:adjustRightInd/>
        <w:snapToGrid/>
        <w:ind w:left="0" w:leftChars="0" w:firstLineChars="0"/>
        <w:jc w:val="left"/>
        <w:textAlignment w:val="auto"/>
        <w:rPr>
          <w:rFonts w:hint="default" w:ascii="Times New Roman" w:hAnsi="Times New Roman" w:cs="Times New Roman"/>
          <w:color w:val="auto"/>
        </w:rPr>
      </w:pPr>
      <w:r>
        <w:rPr>
          <w:rFonts w:hint="default" w:ascii="Times New Roman" w:hAnsi="Times New Roman" w:cs="Times New Roman"/>
          <w:color w:val="auto"/>
        </w:rPr>
        <w:t>磷酸盐缓冲液</w:t>
      </w:r>
      <w:r>
        <w:rPr>
          <w:rFonts w:hint="default" w:ascii="Times New Roman" w:hAnsi="Times New Roman" w:cs="Times New Roman"/>
          <w:color w:val="auto"/>
          <w:lang w:val="en-US" w:eastAsia="zh-CN"/>
        </w:rPr>
        <w:t>(PBS)：</w:t>
      </w:r>
      <w:r>
        <w:rPr>
          <w:rFonts w:hint="default" w:ascii="Times New Roman" w:hAnsi="Times New Roman" w:cs="Times New Roman"/>
          <w:color w:val="auto"/>
        </w:rPr>
        <w:t>0.01M的磷酸盐缓冲液（含氯化钾），pH=7.4</w:t>
      </w:r>
      <w:r>
        <w:rPr>
          <w:rFonts w:hint="default" w:ascii="Times New Roman" w:hAnsi="Times New Roman" w:cs="Times New Roman"/>
          <w:color w:val="auto"/>
          <w:lang w:eastAsia="zh-CN"/>
        </w:rPr>
        <w:t>。</w:t>
      </w:r>
    </w:p>
    <w:p>
      <w:pPr>
        <w:pStyle w:val="25"/>
        <w:keepNext w:val="0"/>
        <w:keepLines w:val="0"/>
        <w:pageBreakBefore w:val="0"/>
        <w:widowControl/>
        <w:numPr>
          <w:ilvl w:val="2"/>
          <w:numId w:val="4"/>
        </w:numPr>
        <w:kinsoku/>
        <w:wordWrap/>
        <w:overflowPunct/>
        <w:topLinePunct w:val="0"/>
        <w:autoSpaceDE w:val="0"/>
        <w:autoSpaceDN w:val="0"/>
        <w:bidi w:val="0"/>
        <w:adjustRightInd/>
        <w:snapToGrid/>
        <w:ind w:left="0" w:leftChars="0" w:firstLineChars="0"/>
        <w:jc w:val="left"/>
        <w:textAlignment w:val="auto"/>
        <w:rPr>
          <w:rFonts w:hint="default" w:ascii="Times New Roman" w:hAnsi="Times New Roman" w:cs="Times New Roman"/>
          <w:color w:val="auto"/>
        </w:rPr>
      </w:pPr>
      <w:r>
        <w:rPr>
          <w:rFonts w:hint="default" w:ascii="Times New Roman" w:hAnsi="Times New Roman" w:cs="Times New Roman"/>
          <w:color w:val="auto"/>
          <w:lang w:eastAsia="zh-CN"/>
        </w:rPr>
        <w:t>甘油：无色，试剂级，纯度99.9%。</w:t>
      </w:r>
    </w:p>
    <w:p>
      <w:pPr>
        <w:pStyle w:val="73"/>
        <w:numPr>
          <w:ilvl w:val="2"/>
          <w:numId w:val="0"/>
        </w:numPr>
        <w:bidi w:val="0"/>
        <w:ind w:left="0" w:leftChars="0" w:firstLine="419" w:firstLineChars="233"/>
        <w:rPr>
          <w:rFonts w:hint="default" w:ascii="Times New Roman" w:hAnsi="Times New Roman" w:eastAsia="黑体" w:cs="Times New Roman"/>
          <w:color w:val="auto"/>
          <w:sz w:val="18"/>
          <w:szCs w:val="18"/>
        </w:rPr>
      </w:pPr>
      <w:bookmarkStart w:id="48" w:name="_Toc9452"/>
      <w:bookmarkStart w:id="49" w:name="_Toc12585"/>
      <w:r>
        <w:rPr>
          <w:rFonts w:hint="default" w:ascii="Times New Roman" w:hAnsi="Times New Roman" w:eastAsia="黑体" w:cs="Times New Roman"/>
          <w:color w:val="auto"/>
          <w:sz w:val="18"/>
          <w:szCs w:val="18"/>
        </w:rPr>
        <w:t>注：</w:t>
      </w:r>
      <w:r>
        <w:rPr>
          <w:rFonts w:hint="default" w:ascii="Times New Roman" w:hAnsi="Times New Roman" w:eastAsia="宋体" w:cs="Times New Roman"/>
          <w:color w:val="auto"/>
          <w:sz w:val="18"/>
          <w:szCs w:val="18"/>
          <w:lang w:val="en-US" w:eastAsia="zh-CN"/>
        </w:rPr>
        <w:t>以上试剂可采用相同类型的试剂进行替代</w:t>
      </w:r>
      <w:bookmarkEnd w:id="46"/>
      <w:bookmarkEnd w:id="47"/>
      <w:bookmarkEnd w:id="48"/>
      <w:bookmarkEnd w:id="49"/>
      <w:r>
        <w:rPr>
          <w:rFonts w:hint="default" w:ascii="Times New Roman" w:hAnsi="Times New Roman" w:eastAsia="宋体" w:cs="Times New Roman"/>
          <w:color w:val="auto"/>
          <w:sz w:val="18"/>
          <w:szCs w:val="18"/>
          <w:lang w:val="en-US" w:eastAsia="zh-CN"/>
        </w:rPr>
        <w:t>。</w:t>
      </w:r>
    </w:p>
    <w:p>
      <w:pPr>
        <w:pStyle w:val="77"/>
        <w:adjustRightInd w:val="0"/>
        <w:snapToGrid w:val="0"/>
        <w:outlineLvl w:val="0"/>
        <w:rPr>
          <w:rFonts w:hint="default" w:ascii="Times New Roman" w:hAnsi="Times New Roman" w:eastAsia="黑体" w:cs="Times New Roman"/>
          <w:color w:val="auto"/>
          <w:kern w:val="0"/>
          <w:szCs w:val="20"/>
        </w:rPr>
      </w:pPr>
      <w:bookmarkStart w:id="50" w:name="_Toc7571"/>
      <w:r>
        <w:rPr>
          <w:rFonts w:hint="default" w:ascii="Times New Roman" w:hAnsi="Times New Roman" w:eastAsia="黑体" w:cs="Times New Roman"/>
          <w:color w:val="auto"/>
          <w:kern w:val="0"/>
          <w:szCs w:val="20"/>
          <w:lang w:val="en-US" w:eastAsia="zh-CN"/>
        </w:rPr>
        <w:t>仪器设备</w:t>
      </w:r>
      <w:bookmarkEnd w:id="50"/>
    </w:p>
    <w:p>
      <w:pPr>
        <w:pStyle w:val="25"/>
        <w:keepNext w:val="0"/>
        <w:keepLines w:val="0"/>
        <w:pageBreakBefore w:val="0"/>
        <w:widowControl/>
        <w:numPr>
          <w:ilvl w:val="1"/>
          <w:numId w:val="19"/>
        </w:numPr>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auto"/>
          <w:sz w:val="21"/>
          <w:szCs w:val="20"/>
        </w:rPr>
      </w:pPr>
      <w:bookmarkStart w:id="51" w:name="设备"/>
      <w:bookmarkEnd w:id="51"/>
      <w:bookmarkStart w:id="52" w:name="_Toc20257"/>
      <w:bookmarkStart w:id="53" w:name="_Toc17557"/>
      <w:bookmarkStart w:id="54" w:name="_Toc6319"/>
      <w:r>
        <w:rPr>
          <w:rFonts w:hint="default" w:ascii="Times New Roman" w:hAnsi="Times New Roman" w:eastAsia="宋体" w:cs="Times New Roman"/>
          <w:b w:val="0"/>
          <w:bCs w:val="0"/>
          <w:color w:val="auto"/>
          <w:sz w:val="21"/>
          <w:szCs w:val="20"/>
          <w:lang w:val="en-US" w:eastAsia="zh-CN"/>
        </w:rPr>
        <w:t>超净工作台</w:t>
      </w:r>
      <w:r>
        <w:rPr>
          <w:rFonts w:hint="default" w:ascii="Times New Roman" w:hAnsi="Times New Roman" w:cs="Times New Roman"/>
          <w:b w:val="0"/>
          <w:bCs w:val="0"/>
          <w:color w:val="auto"/>
          <w:sz w:val="21"/>
          <w:szCs w:val="20"/>
          <w:lang w:val="en-US" w:eastAsia="zh-CN"/>
        </w:rPr>
        <w:t>：</w:t>
      </w:r>
      <w:r>
        <w:rPr>
          <w:rFonts w:hint="default" w:ascii="Times New Roman" w:hAnsi="Times New Roman" w:eastAsia="宋体" w:cs="Times New Roman"/>
          <w:b w:val="0"/>
          <w:bCs w:val="0"/>
          <w:color w:val="auto"/>
          <w:sz w:val="21"/>
          <w:szCs w:val="20"/>
          <w:lang w:val="en-US" w:eastAsia="zh-CN"/>
        </w:rPr>
        <w:t>洁净度达到100级。</w:t>
      </w:r>
    </w:p>
    <w:p>
      <w:pPr>
        <w:pStyle w:val="25"/>
        <w:keepNext w:val="0"/>
        <w:keepLines w:val="0"/>
        <w:pageBreakBefore w:val="0"/>
        <w:widowControl/>
        <w:numPr>
          <w:ilvl w:val="1"/>
          <w:numId w:val="19"/>
        </w:numPr>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auto"/>
          <w:sz w:val="21"/>
          <w:szCs w:val="20"/>
        </w:rPr>
      </w:pPr>
      <w:r>
        <w:rPr>
          <w:rFonts w:hint="default" w:ascii="Times New Roman" w:hAnsi="Times New Roman" w:eastAsia="宋体" w:cs="Times New Roman"/>
          <w:b w:val="0"/>
          <w:bCs w:val="0"/>
          <w:color w:val="auto"/>
          <w:sz w:val="21"/>
          <w:szCs w:val="20"/>
          <w:lang w:val="en-US" w:eastAsia="zh-CN"/>
        </w:rPr>
        <w:t>CO</w:t>
      </w:r>
      <w:r>
        <w:rPr>
          <w:rFonts w:hint="default" w:ascii="Times New Roman" w:hAnsi="Times New Roman" w:eastAsia="宋体" w:cs="Times New Roman"/>
          <w:b w:val="0"/>
          <w:bCs w:val="0"/>
          <w:color w:val="auto"/>
          <w:sz w:val="21"/>
          <w:szCs w:val="20"/>
          <w:vertAlign w:val="subscript"/>
          <w:lang w:val="en-US" w:eastAsia="zh-CN"/>
        </w:rPr>
        <w:t>2</w:t>
      </w:r>
      <w:r>
        <w:rPr>
          <w:rFonts w:hint="default" w:ascii="Times New Roman" w:hAnsi="Times New Roman" w:eastAsia="宋体" w:cs="Times New Roman"/>
          <w:b w:val="0"/>
          <w:bCs w:val="0"/>
          <w:color w:val="auto"/>
          <w:sz w:val="21"/>
          <w:szCs w:val="20"/>
          <w:lang w:val="en-US" w:eastAsia="zh-CN"/>
        </w:rPr>
        <w:t>细胞培养箱：37℃±1℃，5±1%CO</w:t>
      </w:r>
      <w:r>
        <w:rPr>
          <w:rFonts w:hint="default" w:ascii="Times New Roman" w:hAnsi="Times New Roman" w:eastAsia="宋体" w:cs="Times New Roman"/>
          <w:b w:val="0"/>
          <w:bCs w:val="0"/>
          <w:color w:val="auto"/>
          <w:sz w:val="21"/>
          <w:szCs w:val="20"/>
          <w:vertAlign w:val="subscript"/>
          <w:lang w:val="en-US" w:eastAsia="zh-CN"/>
        </w:rPr>
        <w:t>2</w:t>
      </w:r>
      <w:r>
        <w:rPr>
          <w:rFonts w:hint="default" w:ascii="Times New Roman" w:hAnsi="Times New Roman" w:eastAsia="宋体" w:cs="Times New Roman"/>
          <w:b w:val="0"/>
          <w:bCs w:val="0"/>
          <w:color w:val="auto"/>
          <w:sz w:val="21"/>
          <w:szCs w:val="20"/>
          <w:lang w:val="en-US" w:eastAsia="zh-CN"/>
        </w:rPr>
        <w:t>，95%相对湿度。</w:t>
      </w:r>
    </w:p>
    <w:p>
      <w:pPr>
        <w:pStyle w:val="25"/>
        <w:keepNext w:val="0"/>
        <w:keepLines w:val="0"/>
        <w:pageBreakBefore w:val="0"/>
        <w:widowControl/>
        <w:numPr>
          <w:ilvl w:val="1"/>
          <w:numId w:val="19"/>
        </w:numPr>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auto"/>
          <w:sz w:val="21"/>
          <w:szCs w:val="20"/>
        </w:rPr>
      </w:pPr>
      <w:r>
        <w:rPr>
          <w:rFonts w:hint="default" w:ascii="Times New Roman" w:hAnsi="Times New Roman" w:eastAsia="宋体" w:cs="Times New Roman"/>
          <w:b w:val="0"/>
          <w:bCs w:val="0"/>
          <w:color w:val="auto"/>
          <w:sz w:val="21"/>
          <w:szCs w:val="20"/>
          <w:lang w:val="en-US" w:eastAsia="zh-CN"/>
        </w:rPr>
        <w:t>分析天平:精度0.1mg。</w:t>
      </w:r>
    </w:p>
    <w:p>
      <w:pPr>
        <w:pStyle w:val="25"/>
        <w:keepNext w:val="0"/>
        <w:keepLines w:val="0"/>
        <w:pageBreakBefore w:val="0"/>
        <w:widowControl/>
        <w:numPr>
          <w:ilvl w:val="1"/>
          <w:numId w:val="19"/>
        </w:numPr>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auto"/>
          <w:sz w:val="21"/>
          <w:szCs w:val="20"/>
          <w:lang w:val="en-US" w:eastAsia="zh-CN"/>
        </w:rPr>
      </w:pPr>
      <w:r>
        <w:rPr>
          <w:rFonts w:hint="default" w:ascii="Times New Roman" w:hAnsi="Times New Roman" w:eastAsia="宋体" w:cs="Times New Roman"/>
          <w:b w:val="0"/>
          <w:bCs w:val="0"/>
          <w:color w:val="auto"/>
          <w:sz w:val="21"/>
          <w:szCs w:val="20"/>
          <w:lang w:val="en-US" w:eastAsia="zh-CN"/>
        </w:rPr>
        <w:t>电容法皮肤水分测量仪：如</w:t>
      </w:r>
      <w:r>
        <w:rPr>
          <w:rFonts w:hint="default" w:ascii="Times New Roman" w:hAnsi="Times New Roman" w:eastAsia="宋体" w:cs="Times New Roman"/>
          <w:b w:val="0"/>
          <w:bCs w:val="0"/>
          <w:color w:val="auto"/>
          <w:sz w:val="21"/>
          <w:szCs w:val="20"/>
          <w:lang w:val="en-US" w:eastAsia="zh-CN"/>
        </w:rPr>
        <w:fldChar w:fldCharType="begin"/>
      </w:r>
      <w:r>
        <w:rPr>
          <w:rFonts w:hint="default" w:ascii="Times New Roman" w:hAnsi="Times New Roman" w:eastAsia="宋体" w:cs="Times New Roman"/>
          <w:b w:val="0"/>
          <w:bCs w:val="0"/>
          <w:color w:val="auto"/>
          <w:sz w:val="21"/>
          <w:szCs w:val="20"/>
          <w:lang w:val="en-US" w:eastAsia="zh-CN"/>
        </w:rPr>
        <w:instrText xml:space="preserve"> HYPERLINK "https://www.courage-khazaka.de/en/16-wissenschaftliche-produkte/alle-produkte/183-corneometer-e" </w:instrText>
      </w:r>
      <w:r>
        <w:rPr>
          <w:rFonts w:hint="default" w:ascii="Times New Roman" w:hAnsi="Times New Roman" w:eastAsia="宋体" w:cs="Times New Roman"/>
          <w:b w:val="0"/>
          <w:bCs w:val="0"/>
          <w:color w:val="auto"/>
          <w:sz w:val="21"/>
          <w:szCs w:val="20"/>
          <w:lang w:val="en-US" w:eastAsia="zh-CN"/>
        </w:rPr>
        <w:fldChar w:fldCharType="separate"/>
      </w:r>
      <w:r>
        <w:rPr>
          <w:rFonts w:hint="default" w:ascii="Times New Roman" w:hAnsi="Times New Roman" w:eastAsia="宋体" w:cs="Times New Roman"/>
          <w:b w:val="0"/>
          <w:bCs w:val="0"/>
          <w:color w:val="auto"/>
          <w:sz w:val="21"/>
          <w:szCs w:val="20"/>
          <w:lang w:val="en-US" w:eastAsia="zh-CN"/>
        </w:rPr>
        <w:t>Corneometer® CM 825</w:t>
      </w:r>
      <w:r>
        <w:rPr>
          <w:rFonts w:hint="default" w:ascii="Times New Roman" w:hAnsi="Times New Roman" w:eastAsia="宋体" w:cs="Times New Roman"/>
          <w:b w:val="0"/>
          <w:bCs w:val="0"/>
          <w:color w:val="auto"/>
          <w:sz w:val="21"/>
          <w:szCs w:val="20"/>
          <w:lang w:val="en-US" w:eastAsia="zh-CN"/>
        </w:rPr>
        <w:fldChar w:fldCharType="end"/>
      </w:r>
      <w:r>
        <w:rPr>
          <w:rFonts w:hint="default" w:ascii="Times New Roman" w:hAnsi="Times New Roman" w:eastAsia="宋体" w:cs="Times New Roman"/>
          <w:b w:val="0"/>
          <w:bCs w:val="0"/>
          <w:color w:val="auto"/>
          <w:sz w:val="21"/>
          <w:szCs w:val="20"/>
          <w:lang w:val="en-US" w:eastAsia="zh-CN"/>
        </w:rPr>
        <w:t>或相当者。</w:t>
      </w:r>
    </w:p>
    <w:p>
      <w:pPr>
        <w:pStyle w:val="25"/>
        <w:keepNext w:val="0"/>
        <w:keepLines w:val="0"/>
        <w:pageBreakBefore w:val="0"/>
        <w:widowControl/>
        <w:numPr>
          <w:ilvl w:val="1"/>
          <w:numId w:val="19"/>
        </w:numPr>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宋体" w:cs="Times New Roman"/>
          <w:b w:val="0"/>
          <w:bCs w:val="0"/>
          <w:color w:val="auto"/>
          <w:sz w:val="21"/>
          <w:szCs w:val="20"/>
        </w:rPr>
      </w:pPr>
      <w:r>
        <w:rPr>
          <w:rFonts w:hint="default" w:ascii="Times New Roman" w:hAnsi="Times New Roman" w:eastAsia="宋体" w:cs="Times New Roman"/>
          <w:b w:val="0"/>
          <w:bCs w:val="0"/>
          <w:color w:val="auto"/>
          <w:sz w:val="21"/>
          <w:szCs w:val="20"/>
          <w:lang w:eastAsia="zh-CN"/>
        </w:rPr>
        <w:t>移液器：连续加样器和相应吸头、M25活塞排代式移液器和相应吸头、2μL~10μL、10μL~ 100μL、20~200μL、100~1000μL移液器及相应吸头。</w:t>
      </w:r>
    </w:p>
    <w:p>
      <w:pPr>
        <w:pStyle w:val="77"/>
        <w:adjustRightInd w:val="0"/>
        <w:snapToGrid w:val="0"/>
        <w:outlineLvl w:val="0"/>
        <w:rPr>
          <w:rFonts w:hint="default" w:ascii="Times New Roman" w:hAnsi="Times New Roman" w:cs="Times New Roman"/>
          <w:color w:val="auto"/>
        </w:rPr>
      </w:pPr>
      <w:bookmarkStart w:id="55" w:name="_Toc10933"/>
      <w:r>
        <w:rPr>
          <w:rFonts w:hint="default" w:ascii="Times New Roman" w:hAnsi="Times New Roman" w:cs="Times New Roman"/>
          <w:color w:val="auto"/>
          <w:lang w:val="en-US" w:eastAsia="zh-CN"/>
        </w:rPr>
        <w:t>样品</w:t>
      </w:r>
      <w:bookmarkEnd w:id="52"/>
      <w:bookmarkEnd w:id="53"/>
      <w:bookmarkEnd w:id="54"/>
      <w:bookmarkEnd w:id="55"/>
    </w:p>
    <w:p>
      <w:pPr>
        <w:pStyle w:val="74"/>
        <w:rPr>
          <w:rFonts w:hint="default" w:ascii="Times New Roman" w:hAnsi="Times New Roman" w:eastAsia="黑体" w:cs="Times New Roman"/>
        </w:rPr>
      </w:pPr>
      <w:bookmarkStart w:id="56" w:name="_Toc26971"/>
      <w:r>
        <w:rPr>
          <w:rFonts w:hint="default" w:ascii="Times New Roman" w:hAnsi="Times New Roman" w:eastAsia="黑体" w:cs="Times New Roman"/>
          <w:lang w:val="en-US" w:eastAsia="zh-CN"/>
        </w:rPr>
        <w:t>样品要求</w:t>
      </w:r>
    </w:p>
    <w:p>
      <w:pPr>
        <w:ind w:firstLine="420" w:firstLineChars="200"/>
        <w:jc w:val="left"/>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配方类样品：本文件中配方类样品剂型包括水、乳、膏、霜、</w:t>
      </w:r>
      <w:r>
        <w:rPr>
          <w:rFonts w:hint="default" w:ascii="Times New Roman" w:hAnsi="Times New Roman" w:cs="Times New Roman"/>
          <w:kern w:val="0"/>
          <w:szCs w:val="21"/>
          <w:highlight w:val="none"/>
          <w:lang w:val="en-US" w:eastAsia="zh-CN"/>
        </w:rPr>
        <w:t>啫喱、凝胶等</w:t>
      </w:r>
      <w:r>
        <w:rPr>
          <w:rFonts w:hint="default" w:ascii="Times New Roman" w:hAnsi="Times New Roman" w:cs="Times New Roman"/>
          <w:kern w:val="0"/>
          <w:szCs w:val="21"/>
          <w:highlight w:val="none"/>
          <w:lang w:eastAsia="zh-CN"/>
        </w:rPr>
        <w:t>。</w:t>
      </w:r>
    </w:p>
    <w:p>
      <w:pPr>
        <w:ind w:firstLine="420" w:firstLineChars="200"/>
        <w:jc w:val="left"/>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原料类样品：本文件中原料类样品性状包括液体，固体。</w:t>
      </w:r>
    </w:p>
    <w:bookmarkEnd w:id="56"/>
    <w:p>
      <w:pPr>
        <w:pStyle w:val="74"/>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黑体" w:cs="Times New Roman"/>
        </w:rPr>
      </w:pPr>
      <w:bookmarkStart w:id="57" w:name="_Toc5557"/>
      <w:r>
        <w:rPr>
          <w:rFonts w:hint="default" w:ascii="Times New Roman" w:hAnsi="Times New Roman" w:eastAsia="黑体" w:cs="Times New Roman"/>
          <w:lang w:val="en-US" w:eastAsia="zh-CN"/>
        </w:rPr>
        <w:t>样品配制</w:t>
      </w:r>
    </w:p>
    <w:bookmarkEnd w:id="57"/>
    <w:p>
      <w:pPr>
        <w:pStyle w:val="25"/>
        <w:rPr>
          <w:rFonts w:hint="default" w:ascii="Times New Roman" w:hAnsi="Times New Roman" w:cs="Times New Roman"/>
          <w:highlight w:val="none"/>
          <w:lang w:eastAsia="zh-CN"/>
        </w:rPr>
      </w:pPr>
      <w:r>
        <w:rPr>
          <w:rFonts w:hint="default" w:ascii="Times New Roman" w:hAnsi="Times New Roman" w:cs="Times New Roman"/>
          <w:highlight w:val="none"/>
          <w:lang w:eastAsia="zh-CN"/>
        </w:rPr>
        <w:t>配方类样品可以直接使用。</w:t>
      </w:r>
    </w:p>
    <w:p>
      <w:pPr>
        <w:pStyle w:val="25"/>
        <w:rPr>
          <w:rFonts w:hint="default" w:ascii="Times New Roman" w:hAnsi="Times New Roman" w:cs="Times New Roman"/>
          <w:highlight w:val="none"/>
          <w:lang w:eastAsia="zh-CN"/>
        </w:rPr>
      </w:pPr>
      <w:r>
        <w:rPr>
          <w:rFonts w:hint="default" w:ascii="Times New Roman" w:hAnsi="Times New Roman" w:cs="Times New Roman"/>
          <w:highlight w:val="none"/>
          <w:lang w:eastAsia="zh-CN"/>
        </w:rPr>
        <w:t>液体原料类</w:t>
      </w:r>
      <w:r>
        <w:rPr>
          <w:rFonts w:hint="default" w:ascii="Times New Roman" w:hAnsi="Times New Roman" w:cs="Times New Roman"/>
          <w:highlight w:val="none"/>
        </w:rPr>
        <w:t>样品</w:t>
      </w:r>
      <w:r>
        <w:rPr>
          <w:rFonts w:hint="default" w:ascii="Times New Roman" w:hAnsi="Times New Roman" w:cs="Times New Roman"/>
          <w:highlight w:val="none"/>
          <w:lang w:eastAsia="zh-CN"/>
        </w:rPr>
        <w:t>，需使用蒸馏水或其他无害溶剂稀释到一定浓度，形成匀质液体。</w:t>
      </w:r>
    </w:p>
    <w:p>
      <w:pPr>
        <w:pStyle w:val="25"/>
        <w:rPr>
          <w:rFonts w:hint="default" w:ascii="Times New Roman" w:hAnsi="Times New Roman" w:eastAsia="宋体" w:cs="Times New Roman"/>
          <w:lang w:eastAsia="zh-CN"/>
        </w:rPr>
      </w:pPr>
      <w:r>
        <w:rPr>
          <w:rFonts w:hint="default" w:ascii="Times New Roman" w:hAnsi="Times New Roman" w:cs="Times New Roman"/>
          <w:highlight w:val="none"/>
          <w:lang w:eastAsia="zh-CN"/>
        </w:rPr>
        <w:t>固体原料类</w:t>
      </w:r>
      <w:r>
        <w:rPr>
          <w:rFonts w:hint="default" w:ascii="Times New Roman" w:hAnsi="Times New Roman" w:cs="Times New Roman"/>
          <w:highlight w:val="none"/>
        </w:rPr>
        <w:t>样品</w:t>
      </w:r>
      <w:r>
        <w:rPr>
          <w:rFonts w:hint="default" w:ascii="Times New Roman" w:hAnsi="Times New Roman" w:cs="Times New Roman"/>
          <w:highlight w:val="none"/>
          <w:lang w:eastAsia="zh-CN"/>
        </w:rPr>
        <w:t>，需使用适当的溶剂溶解，并稀释到一定浓度，形成匀质液体。水溶性固体可以使用蒸馏水或磷酸盐缓冲液为溶剂；水不溶性固体</w:t>
      </w:r>
      <w:r>
        <w:rPr>
          <w:rFonts w:hint="default" w:ascii="Times New Roman" w:hAnsi="Times New Roman" w:cs="Times New Roman"/>
          <w:highlight w:val="none"/>
        </w:rPr>
        <w:t>宜使用二甲基亚砜（DMSO）为助溶剂，亦可采用无水乙醇或其他低细胞毒性的</w:t>
      </w:r>
      <w:r>
        <w:rPr>
          <w:rFonts w:hint="default" w:ascii="Times New Roman" w:hAnsi="Times New Roman" w:cs="Times New Roman"/>
          <w:highlight w:val="none"/>
          <w:lang w:val="en-US" w:eastAsia="zh-CN"/>
        </w:rPr>
        <w:t>有机</w:t>
      </w:r>
      <w:r>
        <w:rPr>
          <w:rFonts w:hint="default" w:ascii="Times New Roman" w:hAnsi="Times New Roman" w:cs="Times New Roman"/>
          <w:highlight w:val="none"/>
        </w:rPr>
        <w:t>溶剂</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需保证溶解体系中有机溶剂的含量低于1%</w:t>
      </w:r>
      <w:r>
        <w:rPr>
          <w:rFonts w:hint="default" w:ascii="Times New Roman" w:hAnsi="Times New Roman" w:cs="Times New Roman"/>
          <w:highlight w:val="none"/>
        </w:rPr>
        <w:t>。在使用溶剂前，应仔细评估它们的特殊性质，例如：是否与受试物发生反应，或溶液中的化学稳定性。可使用涡旋混合/或超声处理和/或加热到适当温度等方法辅助溶解，除非这些操作会影响到受试物的稳定性</w:t>
      </w:r>
      <w:r>
        <w:rPr>
          <w:rFonts w:hint="default" w:ascii="Times New Roman" w:hAnsi="Times New Roman" w:cs="Times New Roman"/>
          <w:highlight w:val="none"/>
          <w:lang w:eastAsia="zh-CN"/>
        </w:rPr>
        <w:t>。</w:t>
      </w:r>
    </w:p>
    <w:p>
      <w:pPr>
        <w:pStyle w:val="74"/>
        <w:rPr>
          <w:rFonts w:hint="default" w:ascii="Times New Roman" w:hAnsi="Times New Roman" w:cs="Times New Roman"/>
          <w:lang w:val="en-US" w:eastAsia="zh-CN"/>
        </w:rPr>
      </w:pPr>
      <w:r>
        <w:rPr>
          <w:rFonts w:hint="default" w:ascii="Times New Roman" w:hAnsi="Times New Roman" w:eastAsia="黑体" w:cs="Times New Roman"/>
          <w:kern w:val="2"/>
          <w:szCs w:val="24"/>
          <w:lang w:val="en-US" w:eastAsia="zh-CN"/>
        </w:rPr>
        <w:t>样品</w:t>
      </w:r>
      <w:r>
        <w:rPr>
          <w:rFonts w:hint="default" w:ascii="Times New Roman" w:hAnsi="Times New Roman" w:eastAsia="黑体" w:cs="Times New Roman"/>
          <w:kern w:val="2"/>
          <w:sz w:val="21"/>
          <w:szCs w:val="24"/>
          <w:lang w:val="en-US" w:eastAsia="zh-CN" w:bidi="ar-SA"/>
        </w:rPr>
        <w:t>浓度</w:t>
      </w:r>
    </w:p>
    <w:p>
      <w:pPr>
        <w:ind w:firstLine="420" w:firstLineChars="200"/>
        <w:jc w:val="left"/>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配方类</w:t>
      </w:r>
      <w:r>
        <w:rPr>
          <w:rFonts w:hint="default" w:ascii="Times New Roman" w:hAnsi="Times New Roman" w:cs="Times New Roman"/>
          <w:kern w:val="0"/>
          <w:szCs w:val="21"/>
          <w:highlight w:val="none"/>
        </w:rPr>
        <w:t>样品</w:t>
      </w:r>
      <w:r>
        <w:rPr>
          <w:rFonts w:hint="default" w:ascii="Times New Roman" w:hAnsi="Times New Roman" w:cs="Times New Roman"/>
          <w:kern w:val="0"/>
          <w:szCs w:val="21"/>
          <w:highlight w:val="none"/>
          <w:lang w:eastAsia="zh-CN"/>
        </w:rPr>
        <w:t>使用样品原浓度进行处理。</w:t>
      </w:r>
    </w:p>
    <w:p>
      <w:pPr>
        <w:ind w:firstLine="420" w:firstLineChars="200"/>
        <w:jc w:val="left"/>
        <w:rPr>
          <w:rFonts w:hint="default" w:ascii="Times New Roman" w:hAnsi="Times New Roman" w:cs="Times New Roman"/>
          <w:highlight w:val="none"/>
        </w:rPr>
      </w:pPr>
      <w:r>
        <w:rPr>
          <w:rFonts w:hint="default" w:ascii="Times New Roman" w:hAnsi="Times New Roman" w:cs="Times New Roman"/>
          <w:kern w:val="0"/>
          <w:szCs w:val="21"/>
          <w:highlight w:val="none"/>
          <w:lang w:eastAsia="zh-CN"/>
        </w:rPr>
        <w:t>原料类样品</w:t>
      </w:r>
      <w:r>
        <w:rPr>
          <w:rFonts w:hint="default" w:ascii="Times New Roman" w:hAnsi="Times New Roman" w:cs="Times New Roman"/>
          <w:kern w:val="0"/>
          <w:szCs w:val="21"/>
          <w:highlight w:val="none"/>
        </w:rPr>
        <w:t>的工作浓度</w:t>
      </w:r>
      <w:r>
        <w:rPr>
          <w:rFonts w:hint="default" w:ascii="Times New Roman" w:hAnsi="Times New Roman" w:cs="Times New Roman"/>
          <w:color w:val="000000"/>
          <w:kern w:val="0"/>
          <w:szCs w:val="21"/>
          <w:highlight w:val="none"/>
          <w:lang w:bidi="ar"/>
        </w:rPr>
        <w:t>应通过细胞毒性检测确定样品的</w:t>
      </w:r>
      <w:r>
        <w:rPr>
          <w:rFonts w:hint="default" w:ascii="Times New Roman" w:hAnsi="Times New Roman" w:cs="Times New Roman"/>
          <w:color w:val="000000"/>
          <w:kern w:val="0"/>
          <w:szCs w:val="21"/>
          <w:highlight w:val="none"/>
          <w:lang w:eastAsia="zh-CN" w:bidi="ar"/>
        </w:rPr>
        <w:t>安全</w:t>
      </w:r>
      <w:r>
        <w:rPr>
          <w:rFonts w:hint="default" w:ascii="Times New Roman" w:hAnsi="Times New Roman" w:cs="Times New Roman"/>
          <w:color w:val="000000"/>
          <w:kern w:val="0"/>
          <w:szCs w:val="21"/>
          <w:highlight w:val="none"/>
          <w:lang w:bidi="ar"/>
        </w:rPr>
        <w:t>浓度范围。</w:t>
      </w:r>
    </w:p>
    <w:p>
      <w:pPr>
        <w:pStyle w:val="74"/>
        <w:rPr>
          <w:rFonts w:hint="default" w:ascii="Times New Roman" w:hAnsi="Times New Roman" w:cs="Times New Roman"/>
          <w:lang w:val="en-US" w:eastAsia="zh-CN"/>
        </w:rPr>
      </w:pPr>
      <w:r>
        <w:rPr>
          <w:rFonts w:hint="default" w:ascii="Times New Roman" w:hAnsi="Times New Roman" w:cs="Times New Roman"/>
          <w:kern w:val="2"/>
          <w:sz w:val="21"/>
          <w:szCs w:val="24"/>
          <w:lang w:val="en-US" w:eastAsia="zh-CN" w:bidi="ar"/>
        </w:rPr>
        <w:t>试剂</w:t>
      </w:r>
      <w:r>
        <w:rPr>
          <w:rFonts w:hint="default" w:ascii="Times New Roman" w:hAnsi="Times New Roman" w:eastAsia="黑体" w:cs="Times New Roman"/>
          <w:kern w:val="2"/>
          <w:sz w:val="21"/>
          <w:szCs w:val="24"/>
          <w:lang w:val="en-US" w:eastAsia="zh-CN" w:bidi="ar"/>
        </w:rPr>
        <w:t>配置</w:t>
      </w:r>
    </w:p>
    <w:p>
      <w:pPr>
        <w:pStyle w:val="25"/>
        <w:numPr>
          <w:ilvl w:val="2"/>
          <w:numId w:val="20"/>
        </w:numPr>
        <w:spacing w:before="0" w:beforeLines="0" w:line="240" w:lineRule="auto"/>
        <w:ind w:firstLine="0" w:firstLineChars="0"/>
        <w:jc w:val="left"/>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PBS缓冲液（pH 7.4）：准确称取0.27 g磷酸二氢钾，1.42 g磷酸氢二钠，8 g氯化钠，0.2 g氯化钾，加水800 mL溶解，用盐酸调pH至7.4，并加水定容至1 L</w:t>
      </w:r>
      <w:r>
        <w:rPr>
          <w:rFonts w:hint="default" w:ascii="Times New Roman" w:hAnsi="Times New Roman" w:cs="Times New Roman"/>
          <w:kern w:val="0"/>
          <w:sz w:val="21"/>
          <w:szCs w:val="20"/>
          <w:lang w:val="en-US" w:eastAsia="zh-CN" w:bidi="ar-SA"/>
        </w:rPr>
        <w:t>。</w:t>
      </w:r>
    </w:p>
    <w:p>
      <w:pPr>
        <w:pStyle w:val="25"/>
        <w:numPr>
          <w:ilvl w:val="2"/>
          <w:numId w:val="20"/>
        </w:numPr>
        <w:spacing w:before="0" w:beforeLines="0" w:line="240" w:lineRule="auto"/>
        <w:ind w:firstLine="0" w:firstLineChars="0"/>
        <w:jc w:val="left"/>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kern w:val="0"/>
          <w:sz w:val="21"/>
          <w:szCs w:val="20"/>
          <w:lang w:val="en-US" w:eastAsia="zh-CN" w:bidi="ar-SA"/>
        </w:rPr>
        <w:t>阳性标准品：准确吸取200μL甘油与800μL PBS溶液混合均匀，形成浓度为20%的甘油溶液。</w:t>
      </w:r>
    </w:p>
    <w:p>
      <w:pPr>
        <w:pStyle w:val="77"/>
        <w:adjustRightInd w:val="0"/>
        <w:snapToGrid w:val="0"/>
        <w:outlineLvl w:val="0"/>
        <w:rPr>
          <w:rFonts w:hint="default" w:ascii="Times New Roman" w:hAnsi="Times New Roman" w:cs="Times New Roman"/>
          <w:color w:val="auto"/>
        </w:rPr>
      </w:pPr>
      <w:bookmarkStart w:id="58" w:name="_Toc8828"/>
      <w:r>
        <w:rPr>
          <w:rFonts w:hint="default" w:ascii="Times New Roman" w:hAnsi="Times New Roman" w:cs="Times New Roman"/>
          <w:color w:val="auto"/>
          <w:lang w:val="en-US" w:eastAsia="zh-CN"/>
        </w:rPr>
        <w:t>试验步骤</w:t>
      </w:r>
      <w:bookmarkEnd w:id="58"/>
    </w:p>
    <w:p>
      <w:pPr>
        <w:pStyle w:val="74"/>
        <w:rPr>
          <w:rFonts w:hint="default" w:ascii="Times New Roman" w:hAnsi="Times New Roman" w:cs="Times New Roman"/>
          <w:color w:val="000000"/>
        </w:rPr>
      </w:pPr>
      <w:r>
        <w:rPr>
          <w:rFonts w:hint="default" w:ascii="Times New Roman" w:hAnsi="Times New Roman" w:cs="Times New Roman"/>
          <w:highlight w:val="none"/>
          <w:lang w:eastAsia="zh-CN"/>
        </w:rPr>
        <w:t>体外重组表皮模型</w:t>
      </w:r>
      <w:r>
        <w:rPr>
          <w:rFonts w:hint="default" w:ascii="Times New Roman" w:hAnsi="Times New Roman" w:cs="Times New Roman"/>
          <w:color w:val="000000"/>
          <w:lang w:val="en-US" w:eastAsia="zh-CN"/>
        </w:rPr>
        <w:t>准备</w:t>
      </w:r>
    </w:p>
    <w:p>
      <w:pPr>
        <w:pStyle w:val="25"/>
        <w:rPr>
          <w:rFonts w:hint="default" w:ascii="Times New Roman" w:hAnsi="Times New Roman" w:eastAsia="宋体" w:cs="Times New Roman"/>
          <w:color w:val="000000"/>
          <w:szCs w:val="20"/>
        </w:rPr>
      </w:pPr>
      <w:r>
        <w:rPr>
          <w:rFonts w:hint="default" w:ascii="Times New Roman" w:hAnsi="Times New Roman" w:cs="Times New Roman"/>
          <w:highlight w:val="none"/>
          <w:lang w:val="en-US" w:eastAsia="zh-CN"/>
        </w:rPr>
        <w:t>将模型转移到6孔板中（提前添加0.9mL EpiGrowth培养液），在6孔板上标注测试组编号。</w:t>
      </w:r>
      <w:r>
        <w:rPr>
          <w:rFonts w:hint="default" w:ascii="Times New Roman" w:hAnsi="Times New Roman" w:cs="Times New Roman"/>
          <w:highlight w:val="none"/>
          <w:lang w:val="zh-CN" w:eastAsia="zh-CN"/>
        </w:rPr>
        <w:t>每组设置</w:t>
      </w:r>
      <w:r>
        <w:rPr>
          <w:rFonts w:hint="default" w:ascii="Times New Roman" w:hAnsi="Times New Roman" w:cs="Times New Roman"/>
          <w:highlight w:val="none"/>
          <w:lang w:val="en-US" w:eastAsia="zh-CN"/>
        </w:rPr>
        <w:t>3个重复模型。</w:t>
      </w:r>
      <w:r>
        <w:rPr>
          <w:rFonts w:ascii="Times New Roman" w:eastAsia="宋体"/>
        </w:rPr>
        <w:t>该步骤在超净工作台中进行。</w:t>
      </w:r>
    </w:p>
    <w:p>
      <w:pPr>
        <w:pStyle w:val="74"/>
        <w:rPr>
          <w:rFonts w:hint="default" w:ascii="Times New Roman" w:hAnsi="Times New Roman" w:cs="Times New Roman"/>
          <w:color w:val="000000"/>
        </w:rPr>
      </w:pPr>
      <w:r>
        <w:rPr>
          <w:rFonts w:hint="default" w:ascii="Times New Roman" w:hAnsi="Times New Roman" w:cs="Times New Roman"/>
          <w:color w:val="000000"/>
          <w:lang w:val="en-US" w:eastAsia="zh-CN"/>
        </w:rPr>
        <w:t>给药</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配方类样品给药：设置空白对照组，阳性对照组和样品组，空白对照组表面不进行任何样品处理，阳性对照组添加</w:t>
      </w:r>
      <w:r>
        <w:rPr>
          <w:rFonts w:hint="default" w:ascii="Times New Roman" w:hAnsi="Times New Roman" w:cs="Times New Roman"/>
          <w:highlight w:val="none"/>
          <w:lang w:val="en-US" w:eastAsia="zh-CN"/>
        </w:rPr>
        <w:t>1.5μL的20%甘油溶液，样品组添加1.5μL的测试样品到模型表面，使用柔软光滑的支持物，如1mL注射器的活塞，将样品涂抹均匀。</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原料类样品给药：</w:t>
      </w:r>
      <w:r>
        <w:rPr>
          <w:rFonts w:hint="default" w:ascii="Times New Roman" w:hAnsi="Times New Roman" w:cs="Times New Roman"/>
          <w:highlight w:val="none"/>
          <w:lang w:val="en-US" w:eastAsia="zh-CN"/>
        </w:rPr>
        <w:t>对需要稀释或溶解的原料类待测样品，需增设</w:t>
      </w:r>
      <w:r>
        <w:rPr>
          <w:rFonts w:hint="default" w:ascii="Times New Roman" w:hAnsi="Times New Roman" w:cs="Times New Roman"/>
          <w:highlight w:val="none"/>
          <w:lang w:val="zh-CN" w:eastAsia="zh-CN"/>
        </w:rPr>
        <w:t>溶剂对照组，</w:t>
      </w:r>
      <w:r>
        <w:rPr>
          <w:rFonts w:hint="eastAsia" w:ascii="Times New Roman" w:hAnsi="Times New Roman" w:cs="Times New Roman"/>
          <w:highlight w:val="none"/>
          <w:lang w:val="en-US" w:eastAsia="zh-CN"/>
        </w:rPr>
        <w:t>样品</w:t>
      </w:r>
      <w:r>
        <w:rPr>
          <w:rFonts w:hint="default" w:ascii="Times New Roman" w:hAnsi="Times New Roman" w:cs="Times New Roman"/>
          <w:highlight w:val="none"/>
          <w:lang w:val="en-US" w:eastAsia="zh-CN"/>
        </w:rPr>
        <w:t>给药体积与处理方式同配方类样品</w:t>
      </w:r>
      <w:r>
        <w:rPr>
          <w:rFonts w:hint="default" w:ascii="Times New Roman" w:hAnsi="Times New Roman" w:cs="Times New Roman"/>
          <w:highlight w:val="none"/>
          <w:lang w:val="zh-CN" w:eastAsia="zh-CN"/>
        </w:rPr>
        <w:t>。</w:t>
      </w:r>
    </w:p>
    <w:p>
      <w:pPr>
        <w:pStyle w:val="148"/>
        <w:numPr>
          <w:ilvl w:val="0"/>
          <w:numId w:val="0"/>
        </w:numPr>
        <w:ind w:left="363" w:leftChars="0"/>
        <w:rPr>
          <w:rFonts w:hint="default" w:ascii="Times New Roman" w:hAnsi="Times New Roman" w:cs="Times New Roman"/>
        </w:rPr>
      </w:pPr>
      <w:r>
        <w:rPr>
          <w:rFonts w:hint="default" w:ascii="Times New Roman" w:hAnsi="Times New Roman" w:eastAsia="黑体" w:cs="Times New Roman"/>
          <w:color w:val="auto"/>
          <w:sz w:val="18"/>
          <w:szCs w:val="18"/>
        </w:rPr>
        <w:t>注</w:t>
      </w:r>
      <w:r>
        <w:rPr>
          <w:rFonts w:hint="default" w:ascii="Times New Roman" w:hAnsi="Times New Roman" w:eastAsia="黑体" w:cs="Times New Roman"/>
          <w:color w:val="auto"/>
          <w:sz w:val="18"/>
          <w:szCs w:val="18"/>
          <w:lang w:val="en-US" w:eastAsia="zh-CN"/>
        </w:rPr>
        <w:t>1</w:t>
      </w:r>
      <w:r>
        <w:rPr>
          <w:rFonts w:hint="default" w:ascii="Times New Roman" w:hAnsi="Times New Roman" w:eastAsia="宋体" w:cs="Times New Roman"/>
          <w:color w:val="auto"/>
          <w:sz w:val="21"/>
          <w:szCs w:val="20"/>
        </w:rPr>
        <w:t>：</w:t>
      </w:r>
      <w:r>
        <w:rPr>
          <w:rFonts w:hint="default" w:ascii="Times New Roman" w:hAnsi="Times New Roman" w:cs="Times New Roman"/>
          <w:lang w:val="en-US" w:eastAsia="zh-CN"/>
        </w:rPr>
        <w:t>若样品溶解液难以在皮肤模型表面均匀</w:t>
      </w:r>
      <w:r>
        <w:rPr>
          <w:rFonts w:hint="eastAsia" w:ascii="Times New Roman" w:hAnsi="Times New Roman" w:cs="Times New Roman"/>
          <w:lang w:val="en-US" w:eastAsia="zh-CN"/>
        </w:rPr>
        <w:t>分布</w:t>
      </w:r>
      <w:r>
        <w:rPr>
          <w:rFonts w:hint="default" w:ascii="Times New Roman" w:hAnsi="Times New Roman" w:cs="Times New Roman"/>
          <w:lang w:val="en-US" w:eastAsia="zh-CN"/>
        </w:rPr>
        <w:t>，可以适当增加给药体积，最高不超过25</w:t>
      </w:r>
      <w:r>
        <w:rPr>
          <w:rFonts w:hint="default" w:ascii="Times New Roman" w:hAnsi="Times New Roman" w:cs="Times New Roman"/>
          <w:highlight w:val="none"/>
          <w:lang w:val="en-US" w:eastAsia="zh-CN"/>
        </w:rPr>
        <w:t>μL，同时阳性对照组和溶剂对照组的给药体积必须与样品组保持一致。</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en-US" w:eastAsia="zh-CN"/>
        </w:rPr>
        <w:t>给药结束后，将皮肤模型放入培养箱</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5%CO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、37℃</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中继续培养。样品孵育时间可设置为24h，也</w:t>
      </w:r>
      <w:r>
        <w:rPr>
          <w:rFonts w:hint="default" w:ascii="Times New Roman" w:hAnsi="Times New Roman" w:cs="Times New Roman"/>
          <w:highlight w:val="none"/>
          <w:lang w:val="zh-CN" w:eastAsia="zh-CN"/>
        </w:rPr>
        <w:t>可按照样品实际测试要求设置不同时间；样品孵育时间点可以为单时间点，也可以为多时间点。</w:t>
      </w:r>
    </w:p>
    <w:p>
      <w:pPr>
        <w:pStyle w:val="74"/>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清洗</w:t>
      </w:r>
    </w:p>
    <w:p>
      <w:pPr>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zh-CN" w:eastAsia="zh-CN"/>
        </w:rPr>
        <w:t>样品孵育结束后，根据模型数量准备24孔板，并做相应标记。每孔加入0.3mL的EpiGrowth培养液。将模型从培养箱中转移到超净工作台中，观察模型表面，若模型表面有明显的样品残留，可以用棉签将</w:t>
      </w:r>
      <w:r>
        <w:rPr>
          <w:rFonts w:hint="default" w:ascii="Times New Roman" w:hAnsi="Times New Roman" w:cs="Times New Roman"/>
          <w:highlight w:val="none"/>
          <w:lang w:val="en-US" w:eastAsia="zh-CN"/>
        </w:rPr>
        <w:t>表面残留样品轻轻</w:t>
      </w:r>
      <w:r>
        <w:rPr>
          <w:rFonts w:hint="default" w:ascii="Times New Roman" w:hAnsi="Times New Roman" w:cs="Times New Roman"/>
          <w:highlight w:val="none"/>
          <w:lang w:val="zh-CN" w:eastAsia="zh-CN"/>
        </w:rPr>
        <w:t>擦掉；对于难清洁的样品，可以用</w:t>
      </w:r>
      <w:r>
        <w:rPr>
          <w:rFonts w:hint="default" w:ascii="Times New Roman" w:hAnsi="Times New Roman" w:cs="Times New Roman"/>
          <w:highlight w:val="none"/>
          <w:lang w:val="en-US" w:eastAsia="zh-CN"/>
        </w:rPr>
        <w:t>磷酸盐缓冲液</w:t>
      </w:r>
      <w:r>
        <w:rPr>
          <w:rFonts w:hint="default" w:ascii="Times New Roman" w:hAnsi="Times New Roman" w:cs="Times New Roman"/>
          <w:highlight w:val="none"/>
          <w:lang w:val="zh-CN" w:eastAsia="zh-CN"/>
        </w:rPr>
        <w:t>冲洗模型表面，至少冲洗</w:t>
      </w:r>
      <w:r>
        <w:rPr>
          <w:rFonts w:hint="default" w:ascii="Times New Roman" w:hAnsi="Times New Roman" w:cs="Times New Roman"/>
          <w:highlight w:val="none"/>
          <w:lang w:val="en-US" w:eastAsia="zh-CN"/>
        </w:rPr>
        <w:t>10次以保证</w:t>
      </w:r>
      <w:r>
        <w:rPr>
          <w:rFonts w:hint="default" w:ascii="Times New Roman" w:hAnsi="Times New Roman" w:cs="Times New Roman"/>
          <w:highlight w:val="none"/>
          <w:lang w:val="zh-CN" w:eastAsia="zh-CN"/>
        </w:rPr>
        <w:t>样品清洗干净，用棉签将</w:t>
      </w:r>
      <w:r>
        <w:rPr>
          <w:rFonts w:hint="default" w:ascii="Times New Roman" w:hAnsi="Times New Roman" w:cs="Times New Roman"/>
          <w:highlight w:val="none"/>
          <w:lang w:val="en-US" w:eastAsia="zh-CN"/>
        </w:rPr>
        <w:t>模型内外</w:t>
      </w:r>
      <w:r>
        <w:rPr>
          <w:rFonts w:hint="default" w:ascii="Times New Roman" w:hAnsi="Times New Roman" w:cs="Times New Roman"/>
          <w:highlight w:val="none"/>
          <w:lang w:val="zh-CN" w:eastAsia="zh-CN"/>
        </w:rPr>
        <w:t>残留的水轻轻擦干，</w:t>
      </w:r>
      <w:r>
        <w:rPr>
          <w:rFonts w:hint="default" w:ascii="Times New Roman" w:hAnsi="Times New Roman" w:cs="Times New Roman"/>
          <w:highlight w:val="none"/>
          <w:lang w:val="en-US" w:eastAsia="zh-CN"/>
        </w:rPr>
        <w:t>然后将模型转移到</w:t>
      </w:r>
      <w:r>
        <w:rPr>
          <w:rFonts w:hint="default" w:ascii="Times New Roman" w:hAnsi="Times New Roman" w:cs="Times New Roman"/>
          <w:highlight w:val="none"/>
          <w:lang w:val="zh-CN" w:eastAsia="zh-CN"/>
        </w:rPr>
        <w:t>24孔板</w:t>
      </w:r>
      <w:r>
        <w:rPr>
          <w:rFonts w:hint="default" w:ascii="Times New Roman" w:hAnsi="Times New Roman" w:cs="Times New Roman"/>
          <w:highlight w:val="none"/>
          <w:lang w:val="en-US" w:eastAsia="zh-CN"/>
        </w:rPr>
        <w:t>中</w:t>
      </w:r>
      <w:r>
        <w:rPr>
          <w:rFonts w:hint="default" w:ascii="Times New Roman" w:hAnsi="Times New Roman" w:cs="Times New Roman"/>
          <w:highlight w:val="none"/>
          <w:lang w:val="zh-CN" w:eastAsia="zh-CN"/>
        </w:rPr>
        <w:t>。</w:t>
      </w:r>
    </w:p>
    <w:p>
      <w:pPr>
        <w:pStyle w:val="74"/>
        <w:rPr>
          <w:rFonts w:hint="default" w:ascii="Times New Roman" w:hAnsi="Times New Roman" w:cs="Times New Roman"/>
          <w:color w:val="000000"/>
          <w:highlight w:val="none"/>
        </w:rPr>
      </w:pPr>
      <w:r>
        <w:rPr>
          <w:rFonts w:hint="default" w:ascii="Times New Roman" w:hAnsi="Times New Roman" w:cs="Times New Roman"/>
          <w:highlight w:val="none"/>
          <w:lang w:eastAsia="zh-CN"/>
        </w:rPr>
        <w:t>平衡</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en-US" w:eastAsia="zh-CN"/>
        </w:rPr>
        <w:t>关闭超净台通风系统，将装有皮肤模型的24孔板板盖取下，敞口静置</w:t>
      </w:r>
      <w:r>
        <w:rPr>
          <w:rFonts w:hint="default" w:ascii="Times New Roman" w:hAnsi="Times New Roman" w:cs="Times New Roman"/>
          <w:highlight w:val="none"/>
          <w:lang w:val="zh-CN" w:eastAsia="zh-CN"/>
        </w:rPr>
        <w:t>30min，然后进行含水量测量。</w:t>
      </w:r>
    </w:p>
    <w:p>
      <w:pPr>
        <w:pStyle w:val="74"/>
        <w:rPr>
          <w:rFonts w:hint="default" w:ascii="Times New Roman" w:hAnsi="Times New Roman" w:cs="Times New Roman"/>
          <w:highlight w:val="none"/>
          <w:lang w:eastAsia="zh-CN"/>
        </w:rPr>
      </w:pPr>
      <w:r>
        <w:rPr>
          <w:rFonts w:hint="default" w:ascii="Times New Roman" w:hAnsi="Times New Roman" w:cs="Times New Roman"/>
          <w:highlight w:val="none"/>
          <w:lang w:eastAsia="zh-CN"/>
        </w:rPr>
        <w:t>含水量测量</w:t>
      </w:r>
    </w:p>
    <w:p>
      <w:pPr>
        <w:ind w:firstLine="420" w:firstLineChars="200"/>
        <w:rPr>
          <w:rFonts w:hint="default" w:ascii="Times New Roman" w:hAnsi="Times New Roman" w:cs="Times New Roman"/>
          <w:highlight w:val="none"/>
          <w:lang w:val="en-US" w:eastAsia="zh-CN"/>
        </w:rPr>
      </w:pPr>
      <w:bookmarkStart w:id="59" w:name="OLE_LINK2"/>
      <w:r>
        <w:rPr>
          <w:rFonts w:hint="default" w:ascii="Times New Roman" w:hAnsi="Times New Roman" w:cs="Times New Roman"/>
          <w:highlight w:val="none"/>
          <w:lang w:val="en-US" w:eastAsia="zh-CN"/>
        </w:rPr>
        <w:t>仪器准备：将</w:t>
      </w: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"https://www.courage-khazaka.de/en/16-wissenschaftliche-produkte/alle-produkte/183-corneometer-e"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Corneometer® CM 825</w:t>
      </w:r>
      <w:r>
        <w:rPr>
          <w:rFonts w:hint="default" w:ascii="Times New Roman" w:hAnsi="Times New Roman" w:cs="Times New Roman"/>
          <w:highlight w:val="none"/>
          <w:lang w:val="en-US" w:eastAsia="zh-CN"/>
        </w:rPr>
        <w:fldChar w:fldCharType="end"/>
      </w:r>
      <w:r>
        <w:rPr>
          <w:rFonts w:hint="default" w:ascii="Times New Roman" w:hAnsi="Times New Roman" w:cs="Times New Roman"/>
          <w:highlight w:val="none"/>
          <w:lang w:val="en-US" w:eastAsia="zh-CN"/>
        </w:rPr>
        <w:t>角质层含水量测试探头连接到MPA6适配器上，打开仪器测量软件MPACT plus，选择测量参数为含水量，选择测量模式为单点测量，然后用75%酒精清洁探头，待探头表面干燥后进行测量。</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含水量测量：将模型底部的培养液擦干，用手术刀片将模型从细胞小室底部环切下来，用镊子将模型放置在测试仪的探头上，保证模型的角质层一面与探头完全接触，在平整干燥的表面按压探头进行测量，</w:t>
      </w:r>
      <w:r>
        <w:rPr>
          <w:rFonts w:hint="default" w:ascii="Times New Roman" w:hAnsi="Times New Roman" w:cs="Times New Roman"/>
          <w:highlight w:val="none"/>
          <w:lang w:val="en-US" w:eastAsia="zh-CN"/>
        </w:rPr>
        <w:t>每个模型至少测量三次。</w:t>
      </w:r>
      <w:r>
        <w:rPr>
          <w:rFonts w:hint="default" w:ascii="Times New Roman" w:hAnsi="Times New Roman" w:cs="Times New Roman"/>
          <w:highlight w:val="none"/>
          <w:lang w:val="zh-CN" w:eastAsia="zh-CN"/>
        </w:rPr>
        <w:t>测量结束后用75%酒精清洁探头，待探头表面干燥后测量下一个模型。</w:t>
      </w:r>
    </w:p>
    <w:p>
      <w:pPr>
        <w:pStyle w:val="148"/>
        <w:numPr>
          <w:ilvl w:val="0"/>
          <w:numId w:val="0"/>
        </w:numPr>
        <w:ind w:left="363" w:leftChars="0"/>
        <w:rPr>
          <w:rFonts w:hint="default" w:ascii="Times New Roman" w:hAnsi="Times New Roman" w:cs="Times New Roman"/>
        </w:rPr>
      </w:pPr>
      <w:r>
        <w:rPr>
          <w:rFonts w:hint="default" w:ascii="Times New Roman" w:hAnsi="Times New Roman" w:eastAsia="黑体" w:cs="Times New Roman"/>
          <w:color w:val="auto"/>
          <w:sz w:val="18"/>
          <w:szCs w:val="18"/>
        </w:rPr>
        <w:t>注</w:t>
      </w:r>
      <w:r>
        <w:rPr>
          <w:rFonts w:hint="default" w:ascii="Times New Roman" w:hAnsi="Times New Roman" w:eastAsia="黑体" w:cs="Times New Roman"/>
          <w:color w:val="auto"/>
          <w:sz w:val="18"/>
          <w:szCs w:val="18"/>
          <w:lang w:val="en-US" w:eastAsia="zh-CN"/>
        </w:rPr>
        <w:t>1</w:t>
      </w:r>
      <w:r>
        <w:rPr>
          <w:rFonts w:hint="default" w:ascii="Times New Roman" w:hAnsi="Times New Roman" w:eastAsia="宋体" w:cs="Times New Roman"/>
          <w:color w:val="auto"/>
          <w:sz w:val="21"/>
          <w:szCs w:val="20"/>
        </w:rPr>
        <w:t>：</w:t>
      </w:r>
      <w:r>
        <w:rPr>
          <w:rFonts w:hint="default" w:ascii="Times New Roman" w:hAnsi="Times New Roman" w:cs="Times New Roman"/>
          <w:lang w:val="en-US" w:eastAsia="zh-CN"/>
        </w:rPr>
        <w:t>操作过程中避免将手套上的水沾到探头上，干扰测试结果。</w:t>
      </w:r>
    </w:p>
    <w:p>
      <w:pPr>
        <w:pStyle w:val="148"/>
        <w:numPr>
          <w:ilvl w:val="0"/>
          <w:numId w:val="0"/>
        </w:numPr>
        <w:ind w:left="363" w:leftChars="0"/>
        <w:rPr>
          <w:rFonts w:hint="default" w:ascii="Times New Roman" w:hAnsi="Times New Roman" w:cs="Times New Roman"/>
          <w:lang w:val="en-US" w:eastAsia="zh-CN"/>
        </w:rPr>
      </w:pPr>
      <w:r>
        <w:rPr>
          <w:rFonts w:hint="default" w:ascii="Times New Roman" w:hAnsi="Times New Roman" w:eastAsia="黑体" w:cs="Times New Roman"/>
          <w:color w:val="auto"/>
          <w:sz w:val="18"/>
          <w:szCs w:val="18"/>
        </w:rPr>
        <w:t>注</w:t>
      </w:r>
      <w:r>
        <w:rPr>
          <w:rFonts w:hint="default" w:ascii="Times New Roman" w:hAnsi="Times New Roman" w:eastAsia="黑体" w:cs="Times New Roman"/>
          <w:color w:val="auto"/>
          <w:sz w:val="18"/>
          <w:szCs w:val="18"/>
          <w:lang w:val="en-US" w:eastAsia="zh-CN"/>
        </w:rPr>
        <w:t>2</w:t>
      </w:r>
      <w:r>
        <w:rPr>
          <w:rFonts w:hint="default" w:ascii="Times New Roman" w:hAnsi="Times New Roman" w:eastAsia="黑体" w:cs="Times New Roman"/>
          <w:color w:val="auto"/>
          <w:sz w:val="18"/>
          <w:szCs w:val="18"/>
        </w:rPr>
        <w:t>：</w:t>
      </w:r>
      <w:bookmarkStart w:id="60" w:name="_Toc14439"/>
      <w:bookmarkStart w:id="61" w:name="_Toc4178"/>
      <w:bookmarkStart w:id="62" w:name="_Toc8294"/>
      <w:bookmarkStart w:id="63" w:name="_Toc29069"/>
      <w:bookmarkStart w:id="64" w:name="设计开发"/>
      <w:bookmarkStart w:id="65" w:name="OLE_LINK1"/>
      <w:r>
        <w:rPr>
          <w:rFonts w:hint="default" w:ascii="Times New Roman" w:hAnsi="Times New Roman" w:cs="Times New Roman"/>
          <w:lang w:val="en-US" w:eastAsia="zh-CN"/>
        </w:rPr>
        <w:t>每个模型的检测时间最好控制在2min内，一次实验中如果检测模型数量超过24个，建议分批次进行平衡和检测。</w:t>
      </w:r>
    </w:p>
    <w:bookmarkEnd w:id="59"/>
    <w:p>
      <w:pPr>
        <w:pStyle w:val="77"/>
        <w:pBdr>
          <w:top w:val="none" w:color="auto" w:sz="0" w:space="0"/>
          <w:left w:val="none" w:color="auto" w:sz="0" w:space="0"/>
          <w:bottom w:val="none" w:color="auto" w:sz="0" w:space="0"/>
          <w:right w:val="none" w:color="auto" w:sz="0" w:space="0"/>
        </w:pBdr>
        <w:adjustRightInd w:val="0"/>
        <w:snapToGrid w:val="0"/>
        <w:outlineLvl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试验数据处理</w:t>
      </w:r>
      <w:bookmarkEnd w:id="60"/>
      <w:bookmarkEnd w:id="61"/>
      <w:bookmarkEnd w:id="62"/>
      <w:bookmarkEnd w:id="63"/>
    </w:p>
    <w:p>
      <w:pPr>
        <w:pStyle w:val="74"/>
        <w:pBdr>
          <w:top w:val="none" w:color="auto" w:sz="0" w:space="0"/>
          <w:left w:val="none" w:color="auto" w:sz="0" w:space="0"/>
          <w:bottom w:val="none" w:color="auto" w:sz="0" w:space="0"/>
          <w:right w:val="none" w:color="auto" w:sz="0" w:space="0"/>
        </w:pBdr>
        <w:bidi w:val="0"/>
        <w:rPr>
          <w:rFonts w:hint="default"/>
          <w:lang w:val="en-US" w:eastAsia="zh-CN"/>
        </w:rPr>
      </w:pPr>
      <w:bookmarkStart w:id="66" w:name="采购"/>
      <w:r>
        <w:rPr>
          <w:rFonts w:hint="eastAsia"/>
          <w:lang w:val="en-US" w:eastAsia="zh-CN"/>
        </w:rPr>
        <w:t>数据处理</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每个模型测量三次取平均值作为该模型的含水量数据，每个样品组设置</w:t>
      </w:r>
      <w:r>
        <w:rPr>
          <w:rFonts w:hint="default" w:ascii="Times New Roman" w:hAnsi="Times New Roman" w:cs="Times New Roman"/>
          <w:highlight w:val="none"/>
          <w:lang w:val="en-US" w:eastAsia="zh-CN"/>
        </w:rPr>
        <w:t>3个重复模型，</w:t>
      </w:r>
      <w:r>
        <w:rPr>
          <w:rFonts w:hint="default" w:ascii="Times New Roman" w:hAnsi="Times New Roman" w:cs="Times New Roman"/>
          <w:highlight w:val="none"/>
          <w:lang w:val="zh-CN" w:eastAsia="zh-CN"/>
        </w:rPr>
        <w:t>根据每组3个重复，计算平均值（Mean）及标准差（Standard Deviation，SD），结果采用Mean±SD形式表示。</w:t>
      </w:r>
    </w:p>
    <w:p>
      <w:pPr>
        <w:pStyle w:val="74"/>
        <w:pBdr>
          <w:top w:val="none" w:color="auto" w:sz="0" w:space="0"/>
          <w:left w:val="none" w:color="auto" w:sz="0" w:space="0"/>
          <w:bottom w:val="none" w:color="auto" w:sz="0" w:space="0"/>
          <w:right w:val="none" w:color="auto" w:sz="0" w:space="0"/>
        </w:pBdr>
        <w:bidi w:val="0"/>
        <w:rPr>
          <w:rFonts w:hint="default" w:ascii="Times New Roman" w:hAnsi="Times New Roman" w:cs="Times New Roman"/>
          <w:highlight w:val="none"/>
          <w:lang w:val="zh-CN" w:eastAsia="zh-CN"/>
        </w:rPr>
      </w:pPr>
      <w:r>
        <w:rPr>
          <w:rFonts w:hint="eastAsia"/>
          <w:lang w:val="en-US" w:eastAsia="zh-CN"/>
        </w:rPr>
        <w:t>统计分析</w:t>
      </w:r>
    </w:p>
    <w:p>
      <w:pPr>
        <w:ind w:firstLine="420" w:firstLineChars="200"/>
        <w:rPr>
          <w:rFonts w:hint="default" w:ascii="Times New Roman" w:hAnsi="Times New Roman" w:cs="Times New Roman"/>
          <w:highlight w:val="none"/>
          <w:lang w:val="zh-CN" w:eastAsia="zh-CN"/>
        </w:rPr>
      </w:pPr>
      <w:r>
        <w:rPr>
          <w:rFonts w:hint="default" w:ascii="Times New Roman" w:hAnsi="Times New Roman" w:cs="Times New Roman"/>
          <w:highlight w:val="none"/>
          <w:lang w:val="zh-CN" w:eastAsia="zh-CN"/>
        </w:rPr>
        <w:t>各组间采用</w:t>
      </w:r>
      <w:r>
        <w:rPr>
          <w:rFonts w:hint="default" w:ascii="Times New Roman" w:hAnsi="Times New Roman" w:cs="Times New Roman"/>
          <w:i/>
          <w:iCs/>
          <w:highlight w:val="none"/>
          <w:lang w:val="zh-CN" w:eastAsia="zh-CN"/>
        </w:rPr>
        <w:t>t</w:t>
      </w:r>
      <w:r>
        <w:rPr>
          <w:rFonts w:hint="default" w:ascii="Times New Roman" w:hAnsi="Times New Roman" w:cs="Times New Roman"/>
          <w:highlight w:val="none"/>
          <w:lang w:val="zh-CN" w:eastAsia="zh-CN"/>
        </w:rPr>
        <w:t xml:space="preserve">-test检验统计分析。所有的统计分析均为双尾。 </w:t>
      </w:r>
      <w:r>
        <w:rPr>
          <w:rFonts w:hint="default" w:ascii="Times New Roman" w:hAnsi="Times New Roman" w:cs="Times New Roman"/>
          <w:i/>
          <w:iCs/>
          <w:highlight w:val="none"/>
          <w:lang w:val="zh-CN" w:eastAsia="zh-CN"/>
        </w:rPr>
        <w:t>p</w:t>
      </w:r>
      <w:r>
        <w:rPr>
          <w:rFonts w:hint="default" w:ascii="Times New Roman" w:hAnsi="Times New Roman" w:cs="Times New Roman"/>
          <w:highlight w:val="none"/>
          <w:lang w:val="zh-CN" w:eastAsia="zh-CN"/>
        </w:rPr>
        <w:t>&lt;0.05 被认为具有差异显著性，其中其中</w:t>
      </w:r>
      <w:r>
        <w:rPr>
          <w:rFonts w:hint="default" w:ascii="Times New Roman" w:hAnsi="Times New Roman" w:cs="Times New Roman"/>
          <w:i/>
          <w:iCs/>
          <w:highlight w:val="none"/>
          <w:lang w:val="zh-CN" w:eastAsia="zh-CN"/>
        </w:rPr>
        <w:t>p</w:t>
      </w:r>
      <w:r>
        <w:rPr>
          <w:rFonts w:hint="default" w:ascii="Times New Roman" w:hAnsi="Times New Roman" w:cs="Times New Roman"/>
          <w:highlight w:val="none"/>
          <w:lang w:val="zh-CN" w:eastAsia="zh-CN"/>
        </w:rPr>
        <w:t>&lt;0.05表示为*，</w:t>
      </w:r>
      <w:r>
        <w:rPr>
          <w:rFonts w:hint="default" w:ascii="Times New Roman" w:hAnsi="Times New Roman" w:cs="Times New Roman"/>
          <w:i/>
          <w:iCs/>
          <w:highlight w:val="none"/>
          <w:lang w:val="zh-CN" w:eastAsia="zh-CN"/>
        </w:rPr>
        <w:t>p</w:t>
      </w:r>
      <w:r>
        <w:rPr>
          <w:rFonts w:hint="default" w:ascii="Times New Roman" w:hAnsi="Times New Roman" w:cs="Times New Roman"/>
          <w:highlight w:val="none"/>
          <w:lang w:val="zh-CN" w:eastAsia="zh-CN"/>
        </w:rPr>
        <w:t>&lt;0.01表示为**，</w:t>
      </w:r>
      <w:r>
        <w:rPr>
          <w:rFonts w:hint="default" w:ascii="Times New Roman" w:hAnsi="Times New Roman" w:cs="Times New Roman"/>
          <w:i/>
          <w:iCs/>
          <w:highlight w:val="none"/>
          <w:lang w:val="zh-CN" w:eastAsia="zh-CN"/>
        </w:rPr>
        <w:t>p</w:t>
      </w:r>
      <w:r>
        <w:rPr>
          <w:rFonts w:hint="default" w:ascii="Times New Roman" w:hAnsi="Times New Roman" w:cs="Times New Roman"/>
          <w:highlight w:val="none"/>
          <w:lang w:val="zh-CN" w:eastAsia="zh-CN"/>
        </w:rPr>
        <w:t>值越小越显著。</w:t>
      </w:r>
      <w:bookmarkEnd w:id="66"/>
    </w:p>
    <w:p>
      <w:pPr>
        <w:pStyle w:val="74"/>
        <w:pBdr>
          <w:top w:val="none" w:color="auto" w:sz="0" w:space="0"/>
          <w:left w:val="none" w:color="auto" w:sz="0" w:space="0"/>
          <w:bottom w:val="none" w:color="auto" w:sz="0" w:space="0"/>
          <w:right w:val="none" w:color="auto" w:sz="0" w:space="0"/>
        </w:pBdr>
        <w:bidi w:val="0"/>
        <w:rPr>
          <w:rFonts w:hint="eastAsia"/>
          <w:lang w:val="en-US" w:eastAsia="zh-CN"/>
        </w:rPr>
      </w:pPr>
      <w:bookmarkStart w:id="67" w:name="_Toc1003"/>
      <w:r>
        <w:rPr>
          <w:rFonts w:hint="eastAsia"/>
          <w:lang w:val="en-US" w:eastAsia="zh-CN"/>
        </w:rPr>
        <w:t>结果判定</w:t>
      </w:r>
      <w:bookmarkEnd w:id="67"/>
    </w:p>
    <w:p>
      <w:pPr>
        <w:pBdr>
          <w:top w:val="none" w:color="auto" w:sz="0" w:space="0"/>
          <w:left w:val="none" w:color="auto" w:sz="0" w:space="0"/>
          <w:bottom w:val="none" w:color="auto" w:sz="0" w:space="0"/>
          <w:right w:val="none" w:color="auto" w:sz="0" w:space="0"/>
        </w:pBd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以下条件说明待测物具有</w:t>
      </w:r>
      <w:r>
        <w:rPr>
          <w:rFonts w:hint="eastAsia" w:ascii="Times New Roman" w:hAnsi="Times New Roman" w:cs="Times New Roman"/>
          <w:szCs w:val="21"/>
          <w:lang w:val="en-US" w:eastAsia="zh-CN"/>
        </w:rPr>
        <w:t>保湿</w:t>
      </w:r>
      <w:r>
        <w:rPr>
          <w:rFonts w:hint="default" w:ascii="Times New Roman" w:hAnsi="Times New Roman" w:eastAsia="宋体" w:cs="Times New Roman"/>
          <w:szCs w:val="21"/>
          <w:lang w:val="en-US" w:eastAsia="zh-CN"/>
        </w:rPr>
        <w:t>功效：</w:t>
      </w:r>
    </w:p>
    <w:p>
      <w:pPr>
        <w:pBdr>
          <w:top w:val="none" w:color="auto" w:sz="0" w:space="0"/>
          <w:left w:val="none" w:color="auto" w:sz="0" w:space="0"/>
          <w:bottom w:val="none" w:color="auto" w:sz="0" w:space="0"/>
          <w:right w:val="none" w:color="auto" w:sz="0" w:space="0"/>
        </w:pBdr>
        <w:ind w:firstLine="420" w:firstLineChars="200"/>
        <w:rPr>
          <w:rFonts w:hint="default" w:ascii="Times New Roman" w:hAnsi="Times New Roman" w:eastAsia="宋体" w:cs="Times New Roman"/>
          <w:color w:val="000000"/>
          <w:kern w:val="0"/>
          <w:sz w:val="21"/>
          <w:szCs w:val="20"/>
        </w:rPr>
      </w:pPr>
      <w:r>
        <w:rPr>
          <w:rFonts w:hint="eastAsia" w:ascii="Times New Roman" w:hAnsi="Times New Roman" w:cs="Times New Roman"/>
          <w:sz w:val="21"/>
          <w:szCs w:val="21"/>
          <w:lang w:val="en-US" w:eastAsia="zh-CN"/>
        </w:rPr>
        <w:t>配方类样品：</w:t>
      </w:r>
      <w:r>
        <w:rPr>
          <w:rFonts w:hint="default" w:ascii="Times New Roman" w:hAnsi="Times New Roman" w:eastAsia="宋体" w:cs="Times New Roman"/>
          <w:sz w:val="21"/>
          <w:szCs w:val="21"/>
        </w:rPr>
        <w:t>与</w:t>
      </w:r>
      <w:r>
        <w:rPr>
          <w:rFonts w:hint="eastAsia" w:cs="Times New Roman"/>
          <w:szCs w:val="21"/>
          <w:lang w:val="en-US" w:eastAsia="zh-CN"/>
        </w:rPr>
        <w:t>空白对照组</w:t>
      </w:r>
      <w:r>
        <w:rPr>
          <w:rFonts w:hint="default" w:ascii="Times New Roman" w:hAnsi="Times New Roman" w:eastAsia="宋体" w:cs="Times New Roman"/>
          <w:sz w:val="21"/>
          <w:szCs w:val="21"/>
        </w:rPr>
        <w:t>相比，</w:t>
      </w:r>
      <w:r>
        <w:rPr>
          <w:rFonts w:hint="default" w:ascii="Times New Roman" w:hAnsi="Times New Roman" w:eastAsia="宋体" w:cs="Times New Roman"/>
          <w:szCs w:val="21"/>
          <w:lang w:val="en-US" w:eastAsia="zh-CN"/>
        </w:rPr>
        <w:t>待测物</w:t>
      </w:r>
      <w:r>
        <w:rPr>
          <w:rFonts w:hint="default" w:ascii="Times New Roman" w:hAnsi="Times New Roman" w:eastAsia="宋体" w:cs="Times New Roman"/>
          <w:sz w:val="21"/>
          <w:szCs w:val="21"/>
        </w:rPr>
        <w:t>的</w:t>
      </w:r>
      <w:r>
        <w:rPr>
          <w:rFonts w:hint="eastAsia" w:cs="Times New Roman"/>
          <w:sz w:val="21"/>
          <w:szCs w:val="21"/>
          <w:lang w:val="en-US" w:eastAsia="zh-CN"/>
        </w:rPr>
        <w:t>皮肤含水量</w:t>
      </w:r>
      <w:r>
        <w:rPr>
          <w:rFonts w:hint="default" w:ascii="Times New Roman" w:hAnsi="Times New Roman" w:eastAsia="宋体" w:cs="Times New Roman"/>
          <w:sz w:val="21"/>
          <w:szCs w:val="21"/>
        </w:rPr>
        <w:t>含量显著上升，</w:t>
      </w:r>
      <w:r>
        <w:rPr>
          <w:rFonts w:hint="default" w:ascii="Times New Roman" w:hAnsi="Times New Roman" w:eastAsia="宋体" w:cs="Times New Roman"/>
          <w:szCs w:val="21"/>
          <w:lang w:val="en-US" w:eastAsia="zh-CN"/>
        </w:rPr>
        <w:t>且有统计学显著性差异，</w:t>
      </w:r>
      <w:r>
        <w:rPr>
          <w:rFonts w:hint="default" w:ascii="Times New Roman" w:hAnsi="Times New Roman" w:eastAsia="宋体" w:cs="Times New Roman"/>
          <w:sz w:val="21"/>
          <w:szCs w:val="21"/>
        </w:rPr>
        <w:t>说明</w:t>
      </w:r>
      <w:r>
        <w:rPr>
          <w:rFonts w:hint="default" w:ascii="Times New Roman" w:hAnsi="Times New Roman" w:eastAsia="宋体" w:cs="Times New Roman"/>
          <w:szCs w:val="21"/>
          <w:lang w:val="en-US" w:eastAsia="zh-CN"/>
        </w:rPr>
        <w:t>待测物</w:t>
      </w:r>
      <w:r>
        <w:rPr>
          <w:rFonts w:hint="default" w:ascii="Times New Roman" w:hAnsi="Times New Roman" w:eastAsia="宋体" w:cs="Times New Roman"/>
          <w:sz w:val="21"/>
          <w:szCs w:val="21"/>
        </w:rPr>
        <w:t>可</w:t>
      </w:r>
      <w:r>
        <w:rPr>
          <w:rFonts w:hint="default" w:ascii="Times New Roman" w:hAnsi="Times New Roman" w:eastAsia="宋体" w:cs="Times New Roman"/>
          <w:sz w:val="21"/>
          <w:szCs w:val="21"/>
          <w:lang w:val="en-US" w:eastAsia="zh-CN"/>
        </w:rPr>
        <w:t>以提升</w:t>
      </w:r>
      <w:r>
        <w:rPr>
          <w:rFonts w:hint="eastAsia" w:cs="Times New Roman"/>
          <w:sz w:val="21"/>
          <w:szCs w:val="21"/>
          <w:lang w:val="en-US" w:eastAsia="zh-CN"/>
        </w:rPr>
        <w:t>皮肤角质层含水量</w:t>
      </w:r>
      <w:r>
        <w:rPr>
          <w:rFonts w:hint="default" w:ascii="Times New Roman" w:hAnsi="Times New Roman" w:eastAsia="宋体" w:cs="Times New Roman"/>
          <w:sz w:val="21"/>
          <w:szCs w:val="21"/>
        </w:rPr>
        <w:t>含量，具有</w:t>
      </w:r>
      <w:r>
        <w:rPr>
          <w:rFonts w:hint="eastAsia" w:cs="Times New Roman"/>
          <w:sz w:val="21"/>
          <w:szCs w:val="21"/>
          <w:lang w:val="en-US" w:eastAsia="zh-CN"/>
        </w:rPr>
        <w:t>保湿</w:t>
      </w:r>
      <w:r>
        <w:rPr>
          <w:rFonts w:hint="default" w:ascii="Times New Roman" w:hAnsi="Times New Roman" w:eastAsia="宋体" w:cs="Times New Roman"/>
          <w:sz w:val="21"/>
          <w:szCs w:val="21"/>
        </w:rPr>
        <w:t>功效</w:t>
      </w:r>
      <w:r>
        <w:rPr>
          <w:rFonts w:hint="default" w:ascii="Times New Roman" w:hAnsi="Times New Roman" w:eastAsia="宋体" w:cs="Times New Roman"/>
          <w:sz w:val="21"/>
          <w:szCs w:val="21"/>
          <w:lang w:eastAsia="zh-CN"/>
        </w:rPr>
        <w:t>。</w:t>
      </w:r>
    </w:p>
    <w:p>
      <w:pPr>
        <w:pBdr>
          <w:top w:val="none" w:color="auto" w:sz="0" w:space="0"/>
          <w:left w:val="none" w:color="auto" w:sz="0" w:space="0"/>
          <w:bottom w:val="none" w:color="auto" w:sz="0" w:space="0"/>
          <w:right w:val="none" w:color="auto" w:sz="0" w:space="0"/>
        </w:pBdr>
        <w:ind w:firstLine="420" w:firstLineChars="200"/>
        <w:rPr>
          <w:rFonts w:hint="default" w:ascii="Times New Roman" w:hAnsi="Times New Roman" w:eastAsia="宋体" w:cs="Times New Roman"/>
          <w:color w:val="000000"/>
          <w:kern w:val="0"/>
          <w:sz w:val="21"/>
          <w:szCs w:val="20"/>
        </w:rPr>
      </w:pPr>
      <w:r>
        <w:rPr>
          <w:rFonts w:hint="eastAsia" w:ascii="Times New Roman" w:hAnsi="Times New Roman" w:cs="Times New Roman"/>
          <w:sz w:val="21"/>
          <w:szCs w:val="21"/>
          <w:lang w:val="en-US" w:eastAsia="zh-CN"/>
        </w:rPr>
        <w:t>原料类样品：</w:t>
      </w:r>
      <w:r>
        <w:rPr>
          <w:rFonts w:hint="default" w:ascii="Times New Roman" w:hAnsi="Times New Roman" w:eastAsia="宋体" w:cs="Times New Roman"/>
          <w:sz w:val="21"/>
          <w:szCs w:val="21"/>
        </w:rPr>
        <w:t>与</w:t>
      </w:r>
      <w:r>
        <w:rPr>
          <w:rFonts w:hint="eastAsia" w:ascii="Times New Roman" w:hAnsi="Times New Roman" w:cs="Times New Roman"/>
          <w:szCs w:val="21"/>
          <w:lang w:val="en-US" w:eastAsia="zh-CN"/>
        </w:rPr>
        <w:t>溶剂</w:t>
      </w:r>
      <w:r>
        <w:rPr>
          <w:rFonts w:hint="default" w:ascii="Times New Roman" w:hAnsi="Times New Roman" w:eastAsia="宋体" w:cs="Times New Roman"/>
          <w:szCs w:val="21"/>
          <w:lang w:val="en-US" w:eastAsia="zh-CN"/>
        </w:rPr>
        <w:t>对照</w:t>
      </w:r>
      <w:r>
        <w:rPr>
          <w:rFonts w:hint="default" w:ascii="Times New Roman" w:hAnsi="Times New Roman" w:eastAsia="宋体" w:cs="Times New Roman"/>
          <w:sz w:val="21"/>
          <w:szCs w:val="21"/>
        </w:rPr>
        <w:t>组相比，</w:t>
      </w:r>
      <w:r>
        <w:rPr>
          <w:rFonts w:hint="default" w:ascii="Times New Roman" w:hAnsi="Times New Roman" w:eastAsia="宋体" w:cs="Times New Roman"/>
          <w:szCs w:val="21"/>
          <w:lang w:val="en-US" w:eastAsia="zh-CN"/>
        </w:rPr>
        <w:t>待测物</w:t>
      </w:r>
      <w:r>
        <w:rPr>
          <w:rFonts w:hint="default" w:ascii="Times New Roman" w:hAnsi="Times New Roman" w:eastAsia="宋体" w:cs="Times New Roman"/>
          <w:sz w:val="21"/>
          <w:szCs w:val="21"/>
        </w:rPr>
        <w:t>的</w:t>
      </w:r>
      <w:r>
        <w:rPr>
          <w:rFonts w:hint="eastAsia" w:cs="Times New Roman"/>
          <w:sz w:val="21"/>
          <w:szCs w:val="21"/>
          <w:lang w:val="en-US" w:eastAsia="zh-CN"/>
        </w:rPr>
        <w:t>皮肤含水量</w:t>
      </w:r>
      <w:r>
        <w:rPr>
          <w:rFonts w:hint="default" w:ascii="Times New Roman" w:hAnsi="Times New Roman" w:eastAsia="宋体" w:cs="Times New Roman"/>
          <w:sz w:val="21"/>
          <w:szCs w:val="21"/>
        </w:rPr>
        <w:t>含量显著上升，</w:t>
      </w:r>
      <w:r>
        <w:rPr>
          <w:rFonts w:hint="default" w:ascii="Times New Roman" w:hAnsi="Times New Roman" w:eastAsia="宋体" w:cs="Times New Roman"/>
          <w:szCs w:val="21"/>
          <w:lang w:val="en-US" w:eastAsia="zh-CN"/>
        </w:rPr>
        <w:t>且有统计学显著性差异，</w:t>
      </w:r>
      <w:r>
        <w:rPr>
          <w:rFonts w:hint="default" w:ascii="Times New Roman" w:hAnsi="Times New Roman" w:eastAsia="宋体" w:cs="Times New Roman"/>
          <w:sz w:val="21"/>
          <w:szCs w:val="21"/>
        </w:rPr>
        <w:t>说明</w:t>
      </w:r>
      <w:r>
        <w:rPr>
          <w:rFonts w:hint="default" w:ascii="Times New Roman" w:hAnsi="Times New Roman" w:eastAsia="宋体" w:cs="Times New Roman"/>
          <w:szCs w:val="21"/>
          <w:lang w:val="en-US" w:eastAsia="zh-CN"/>
        </w:rPr>
        <w:t>待测物</w:t>
      </w:r>
      <w:r>
        <w:rPr>
          <w:rFonts w:hint="default" w:ascii="Times New Roman" w:hAnsi="Times New Roman" w:eastAsia="宋体" w:cs="Times New Roman"/>
          <w:sz w:val="21"/>
          <w:szCs w:val="21"/>
        </w:rPr>
        <w:t>可</w:t>
      </w:r>
      <w:r>
        <w:rPr>
          <w:rFonts w:hint="default" w:ascii="Times New Roman" w:hAnsi="Times New Roman" w:eastAsia="宋体" w:cs="Times New Roman"/>
          <w:sz w:val="21"/>
          <w:szCs w:val="21"/>
          <w:lang w:val="en-US" w:eastAsia="zh-CN"/>
        </w:rPr>
        <w:t>以提升</w:t>
      </w:r>
      <w:r>
        <w:rPr>
          <w:rFonts w:hint="eastAsia" w:cs="Times New Roman"/>
          <w:sz w:val="21"/>
          <w:szCs w:val="21"/>
          <w:lang w:val="en-US" w:eastAsia="zh-CN"/>
        </w:rPr>
        <w:t>皮肤角质层含水量</w:t>
      </w:r>
      <w:r>
        <w:rPr>
          <w:rFonts w:hint="default" w:ascii="Times New Roman" w:hAnsi="Times New Roman" w:eastAsia="宋体" w:cs="Times New Roman"/>
          <w:sz w:val="21"/>
          <w:szCs w:val="21"/>
        </w:rPr>
        <w:t>含量，具有</w:t>
      </w:r>
      <w:r>
        <w:rPr>
          <w:rFonts w:hint="eastAsia" w:cs="Times New Roman"/>
          <w:sz w:val="21"/>
          <w:szCs w:val="21"/>
          <w:lang w:val="en-US" w:eastAsia="zh-CN"/>
        </w:rPr>
        <w:t>保湿</w:t>
      </w:r>
      <w:r>
        <w:rPr>
          <w:rFonts w:hint="default" w:ascii="Times New Roman" w:hAnsi="Times New Roman" w:eastAsia="宋体" w:cs="Times New Roman"/>
          <w:sz w:val="21"/>
          <w:szCs w:val="21"/>
        </w:rPr>
        <w:t>功效</w:t>
      </w:r>
      <w:r>
        <w:rPr>
          <w:rFonts w:hint="default" w:ascii="Times New Roman" w:hAnsi="Times New Roman" w:eastAsia="宋体" w:cs="Times New Roman"/>
          <w:sz w:val="21"/>
          <w:szCs w:val="21"/>
          <w:lang w:eastAsia="zh-CN"/>
        </w:rPr>
        <w:t>。</w:t>
      </w:r>
    </w:p>
    <w:p>
      <w:pPr>
        <w:pStyle w:val="77"/>
        <w:pBdr>
          <w:top w:val="none" w:color="auto" w:sz="0" w:space="0"/>
          <w:left w:val="none" w:color="auto" w:sz="0" w:space="0"/>
          <w:bottom w:val="none" w:color="auto" w:sz="0" w:space="0"/>
          <w:right w:val="none" w:color="auto" w:sz="0" w:space="0"/>
        </w:pBdr>
        <w:adjustRightInd w:val="0"/>
        <w:snapToGrid w:val="0"/>
        <w:outlineLvl w:val="0"/>
        <w:rPr>
          <w:rFonts w:hint="default" w:ascii="Times New Roman" w:hAnsi="Times New Roman" w:cs="Times New Roman"/>
          <w:color w:val="auto"/>
        </w:rPr>
      </w:pPr>
      <w:bookmarkStart w:id="68" w:name="_Toc9455"/>
      <w:bookmarkStart w:id="69" w:name="_Toc28484"/>
      <w:bookmarkStart w:id="70" w:name="_Toc20420"/>
      <w:bookmarkStart w:id="71" w:name="_Toc28015"/>
      <w:r>
        <w:rPr>
          <w:rFonts w:hint="default" w:ascii="Times New Roman" w:hAnsi="Times New Roman" w:cs="Times New Roman"/>
          <w:color w:val="auto"/>
          <w:lang w:val="en-US" w:eastAsia="zh-CN"/>
        </w:rPr>
        <w:t>精密度和</w:t>
      </w:r>
      <w:r>
        <w:rPr>
          <w:rFonts w:hint="default" w:ascii="Times New Roman" w:hAnsi="Times New Roman" w:cs="Times New Roman"/>
          <w:color w:val="auto"/>
          <w:lang w:eastAsia="zh-CN"/>
        </w:rPr>
        <w:t>测量不确定度</w:t>
      </w:r>
      <w:bookmarkEnd w:id="68"/>
      <w:bookmarkEnd w:id="69"/>
      <w:bookmarkEnd w:id="70"/>
      <w:bookmarkEnd w:id="71"/>
    </w:p>
    <w:bookmarkEnd w:id="64"/>
    <w:p>
      <w:pPr>
        <w:pStyle w:val="74"/>
        <w:pBdr>
          <w:top w:val="none" w:color="auto" w:sz="0" w:space="0"/>
          <w:left w:val="none" w:color="auto" w:sz="0" w:space="0"/>
          <w:bottom w:val="none" w:color="auto" w:sz="0" w:space="0"/>
          <w:right w:val="none" w:color="auto" w:sz="0" w:space="0"/>
        </w:pBdr>
        <w:rPr>
          <w:rFonts w:hint="default" w:ascii="Times New Roman" w:hAnsi="Times New Roman" w:cs="Times New Roman"/>
          <w:highlight w:val="none"/>
        </w:rPr>
      </w:pPr>
      <w:bookmarkStart w:id="72" w:name="_Toc28359"/>
      <w:r>
        <w:rPr>
          <w:rFonts w:hint="default" w:ascii="Times New Roman" w:hAnsi="Times New Roman" w:cs="Times New Roman"/>
          <w:highlight w:val="none"/>
          <w:lang w:val="en-US" w:eastAsia="zh-CN"/>
        </w:rPr>
        <w:t>精密度</w:t>
      </w:r>
      <w:bookmarkEnd w:id="72"/>
    </w:p>
    <w:p>
      <w:pPr>
        <w:pStyle w:val="73"/>
        <w:rPr>
          <w:rFonts w:hint="default" w:ascii="Times New Roman" w:hAnsi="Times New Roman" w:eastAsia="宋体" w:cs="Times New Roman"/>
          <w:kern w:val="2"/>
        </w:rPr>
      </w:pPr>
      <w:r>
        <w:rPr>
          <w:rFonts w:hint="default" w:ascii="Times New Roman" w:hAnsi="Times New Roman" w:eastAsia="宋体" w:cs="Times New Roman"/>
          <w:kern w:val="2"/>
          <w:lang w:val="en-US" w:eastAsia="zh-CN"/>
        </w:rPr>
        <w:t>当批次实验中</w:t>
      </w:r>
      <w:r>
        <w:rPr>
          <w:rFonts w:hint="default" w:ascii="Times New Roman" w:hAnsi="Times New Roman" w:eastAsia="宋体" w:cs="Times New Roman"/>
          <w:kern w:val="2"/>
        </w:rPr>
        <w:t>，统计</w:t>
      </w:r>
      <w:r>
        <w:rPr>
          <w:rFonts w:hint="default" w:ascii="Times New Roman" w:hAnsi="Times New Roman" w:eastAsia="宋体" w:cs="Times New Roman"/>
          <w:kern w:val="2"/>
          <w:lang w:eastAsia="zh-CN"/>
        </w:rPr>
        <w:t>测量仪</w:t>
      </w:r>
      <w:r>
        <w:rPr>
          <w:rFonts w:hint="default" w:ascii="Times New Roman" w:hAnsi="Times New Roman" w:eastAsia="宋体" w:cs="Times New Roman"/>
          <w:kern w:val="2"/>
        </w:rPr>
        <w:t>测得的</w:t>
      </w:r>
      <w:r>
        <w:rPr>
          <w:rFonts w:hint="default" w:ascii="Times New Roman" w:hAnsi="Times New Roman" w:eastAsia="宋体" w:cs="Times New Roman"/>
          <w:kern w:val="2"/>
          <w:lang w:val="en-US" w:eastAsia="zh-CN"/>
        </w:rPr>
        <w:t>每个组别</w:t>
      </w:r>
      <w:r>
        <w:rPr>
          <w:rFonts w:hint="default" w:ascii="Times New Roman" w:hAnsi="Times New Roman" w:eastAsia="宋体" w:cs="Times New Roman"/>
          <w:kern w:val="2"/>
          <w:lang w:eastAsia="zh-CN"/>
        </w:rPr>
        <w:t>重复模型间的含水量</w:t>
      </w:r>
      <w:r>
        <w:rPr>
          <w:rFonts w:hint="default" w:ascii="Times New Roman" w:hAnsi="Times New Roman" w:eastAsia="宋体" w:cs="Times New Roman"/>
          <w:kern w:val="2"/>
        </w:rPr>
        <w:t xml:space="preserve">的标准差（ Standard Deviation， SD），并计算变异系数（Coefficient of Variation， C.V）， C.V值≤ 20%。 </w:t>
      </w:r>
    </w:p>
    <w:p>
      <w:pPr>
        <w:pStyle w:val="73"/>
        <w:numPr>
          <w:ilvl w:val="-1"/>
          <w:numId w:val="0"/>
        </w:numPr>
        <w:ind w:firstLine="1470" w:firstLineChars="700"/>
        <w:rPr>
          <w:rFonts w:hint="default" w:ascii="Times New Roman" w:hAnsi="Times New Roman" w:eastAsia="宋体" w:cs="Times New Roman"/>
          <w:kern w:val="2"/>
          <w:lang w:val="en-US" w:eastAsia="zh-CN"/>
        </w:rPr>
      </w:pPr>
      <m:oMath>
        <m:r>
          <m:rPr>
            <m:sty m:val="p"/>
          </m:rPr>
          <w:rPr>
            <w:rFonts w:hint="default" w:ascii="Cambria Math" w:hAnsi="Cambria Math" w:eastAsia="宋体" w:cs="Times New Roman"/>
            <w:kern w:val="2"/>
            <w:lang w:val="en-US" w:eastAsia="zh-CN"/>
          </w:rPr>
          <m:t>变异系数（%）</m:t>
        </m:r>
        <m:r>
          <m:rPr>
            <m:sty m:val="p"/>
          </m:rPr>
          <w:rPr>
            <w:rFonts w:hint="default" w:ascii="Cambria Math" w:hAnsi="Cambria Math" w:eastAsia="宋体" w:cs="Times New Roman"/>
            <w:kern w:val="2"/>
            <w:lang w:val="en-US"/>
          </w:rPr>
          <m:t>=</m:t>
        </m:r>
        <m:f>
          <m:fPr>
            <m:ctrlPr>
              <w:rPr>
                <w:rFonts w:hint="default" w:ascii="Cambria Math" w:hAnsi="Cambria Math" w:eastAsia="宋体" w:cs="Times New Roman"/>
                <w:i w:val="0"/>
                <w:kern w:val="2"/>
                <w:lang w:val="en-US"/>
              </w:rPr>
            </m:ctrlPr>
          </m:fPr>
          <m:num>
            <m:r>
              <m:rPr>
                <m:sty m:val="p"/>
              </m:rPr>
              <w:rPr>
                <w:rFonts w:hint="default" w:ascii="Cambria Math" w:hAnsi="Cambria Math" w:eastAsia="宋体" w:cs="Times New Roman"/>
                <w:kern w:val="2"/>
                <w:szCs w:val="21"/>
              </w:rPr>
              <m:t>标准差</m:t>
            </m:r>
            <m:r>
              <m:rPr>
                <m:sty m:val="p"/>
              </m:rPr>
              <w:rPr>
                <w:rFonts w:hint="default" w:ascii="Cambria Math" w:hAnsi="Cambria Math" w:cs="Times New Roman"/>
                <w:highlight w:val="none"/>
                <w:lang w:val="en-US" w:eastAsia="zh-CN"/>
              </w:rPr>
              <m:t xml:space="preserve">Skin </m:t>
            </m:r>
            <m:r>
              <m:rPr>
                <m:sty m:val="p"/>
              </m:rPr>
              <w:rPr>
                <w:rFonts w:hint="default" w:ascii="Cambria Math" w:hAnsi="Cambria Math" w:cs="Times New Roman"/>
                <w:highlight w:val="none"/>
              </w:rPr>
              <m:t>water</m:t>
            </m:r>
            <m:r>
              <m:rPr>
                <m:sty m:val="p"/>
              </m:rPr>
              <w:rPr>
                <w:rFonts w:hint="default" w:ascii="Cambria Math" w:hAnsi="Cambria Math" w:cs="Times New Roman"/>
                <w:highlight w:val="none"/>
                <w:lang w:val="en-US" w:eastAsia="zh-CN"/>
              </w:rPr>
              <m:t xml:space="preserve"> </m:t>
            </m:r>
            <m:r>
              <m:rPr>
                <m:sty m:val="p"/>
              </m:rPr>
              <w:rPr>
                <w:rFonts w:hint="default" w:ascii="Cambria Math" w:hAnsi="Cambria Math" w:cs="Times New Roman"/>
                <w:highlight w:val="none"/>
              </w:rPr>
              <m:t>content</m:t>
            </m:r>
            <m:ctrlPr>
              <w:rPr>
                <w:rFonts w:hint="default" w:ascii="Cambria Math" w:hAnsi="Cambria Math" w:eastAsia="宋体" w:cs="Times New Roman"/>
                <w:i w:val="0"/>
                <w:kern w:val="2"/>
                <w:lang w:val="en-US"/>
              </w:rPr>
            </m:ctrlPr>
          </m:num>
          <m:den>
            <m:r>
              <m:rPr>
                <m:sty m:val="p"/>
              </m:rPr>
              <w:rPr>
                <w:rFonts w:hint="default" w:ascii="Cambria Math" w:hAnsi="Cambria Math" w:eastAsia="宋体" w:cs="Times New Roman"/>
                <w:kern w:val="2"/>
                <w:szCs w:val="21"/>
              </w:rPr>
              <m:t>平均值</m:t>
            </m:r>
            <m:r>
              <m:rPr>
                <m:sty m:val="p"/>
              </m:rPr>
              <w:rPr>
                <w:rFonts w:hint="default" w:ascii="Cambria Math" w:hAnsi="Cambria Math" w:cs="Times New Roman"/>
                <w:highlight w:val="none"/>
                <w:lang w:val="en-US" w:eastAsia="zh-CN"/>
              </w:rPr>
              <m:t xml:space="preserve">Skin </m:t>
            </m:r>
            <m:r>
              <m:rPr>
                <m:sty m:val="p"/>
              </m:rPr>
              <w:rPr>
                <w:rFonts w:hint="default" w:ascii="Cambria Math" w:hAnsi="Cambria Math" w:cs="Times New Roman"/>
                <w:highlight w:val="none"/>
              </w:rPr>
              <m:t>water</m:t>
            </m:r>
            <m:r>
              <m:rPr>
                <m:sty m:val="p"/>
              </m:rPr>
              <w:rPr>
                <w:rFonts w:hint="default" w:ascii="Cambria Math" w:hAnsi="Cambria Math" w:cs="Times New Roman"/>
                <w:highlight w:val="none"/>
                <w:lang w:val="en-US" w:eastAsia="zh-CN"/>
              </w:rPr>
              <m:t xml:space="preserve"> </m:t>
            </m:r>
            <m:r>
              <m:rPr>
                <m:sty m:val="p"/>
              </m:rPr>
              <w:rPr>
                <w:rFonts w:hint="default" w:ascii="Cambria Math" w:hAnsi="Cambria Math" w:cs="Times New Roman"/>
                <w:highlight w:val="none"/>
              </w:rPr>
              <m:t>content</m:t>
            </m:r>
            <m:ctrlPr>
              <w:rPr>
                <w:rFonts w:hint="default" w:ascii="Cambria Math" w:hAnsi="Cambria Math" w:eastAsia="宋体" w:cs="Times New Roman"/>
                <w:i w:val="0"/>
                <w:kern w:val="2"/>
                <w:lang w:val="en-US"/>
              </w:rPr>
            </m:ctrlPr>
          </m:den>
        </m:f>
      </m:oMath>
      <w:r>
        <w:rPr>
          <w:rFonts w:hint="default" w:ascii="Times New Roman" w:hAnsi="Times New Roman" w:eastAsia="宋体" w:cs="Times New Roman"/>
          <w:i w:val="0"/>
          <w:kern w:val="2"/>
          <w:lang w:val="en-US" w:eastAsia="zh-CN"/>
        </w:rPr>
        <w:t xml:space="preserve"> ×100%</w:t>
      </w:r>
    </w:p>
    <w:p>
      <w:pPr>
        <w:widowControl/>
        <w:pBdr>
          <w:top w:val="none" w:color="auto" w:sz="0" w:space="0"/>
          <w:left w:val="none" w:color="auto" w:sz="0" w:space="0"/>
          <w:bottom w:val="none" w:color="auto" w:sz="0" w:space="0"/>
          <w:right w:val="none" w:color="auto" w:sz="0" w:space="0"/>
        </w:pBdr>
        <w:tabs>
          <w:tab w:val="center" w:pos="4201"/>
          <w:tab w:val="right" w:leader="dot" w:pos="9298"/>
        </w:tabs>
        <w:autoSpaceDE w:val="0"/>
        <w:autoSpaceDN w:val="0"/>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式中：</w:t>
      </w:r>
    </w:p>
    <w:p>
      <w:pPr>
        <w:widowControl/>
        <w:pBdr>
          <w:top w:val="none" w:color="auto" w:sz="0" w:space="0"/>
          <w:left w:val="none" w:color="auto" w:sz="0" w:space="0"/>
          <w:bottom w:val="none" w:color="auto" w:sz="0" w:space="0"/>
          <w:right w:val="none" w:color="auto" w:sz="0" w:space="0"/>
        </w:pBdr>
        <w:tabs>
          <w:tab w:val="center" w:pos="4201"/>
          <w:tab w:val="right" w:leader="dot" w:pos="9298"/>
        </w:tabs>
        <w:autoSpaceDE w:val="0"/>
        <w:autoSpaceDN w:val="0"/>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标准差</w:t>
      </w:r>
      <w:r>
        <w:rPr>
          <w:rFonts w:hint="default" w:ascii="Times New Roman" w:hAnsi="Times New Roman" w:cs="Times New Roman"/>
          <w:highlight w:val="none"/>
          <w:vertAlign w:val="subscript"/>
          <w:lang w:val="en-US" w:eastAsia="zh-CN"/>
        </w:rPr>
        <w:t xml:space="preserve">Skin </w:t>
      </w:r>
      <w:r>
        <w:rPr>
          <w:rFonts w:hint="default" w:ascii="Times New Roman" w:hAnsi="Times New Roman" w:cs="Times New Roman"/>
          <w:highlight w:val="none"/>
          <w:vertAlign w:val="subscript"/>
        </w:rPr>
        <w:t>water</w:t>
      </w:r>
      <w:r>
        <w:rPr>
          <w:rFonts w:hint="default" w:ascii="Times New Roman" w:hAnsi="Times New Roman" w:cs="Times New Roman"/>
          <w:highlight w:val="none"/>
          <w:vertAlign w:val="subscript"/>
          <w:lang w:val="en-US" w:eastAsia="zh-CN"/>
        </w:rPr>
        <w:t xml:space="preserve"> </w:t>
      </w:r>
      <w:r>
        <w:rPr>
          <w:rFonts w:hint="default" w:ascii="Times New Roman" w:hAnsi="Times New Roman" w:cs="Times New Roman"/>
          <w:highlight w:val="none"/>
          <w:vertAlign w:val="subscript"/>
        </w:rPr>
        <w:t>content</w:t>
      </w:r>
      <w:r>
        <w:rPr>
          <w:rFonts w:hint="default" w:ascii="Times New Roman" w:hAnsi="Times New Roman" w:cs="Times New Roman"/>
          <w:kern w:val="0"/>
          <w:szCs w:val="20"/>
        </w:rPr>
        <w:t>——</w:t>
      </w:r>
      <w:r>
        <w:rPr>
          <w:rFonts w:hint="default" w:ascii="Times New Roman" w:hAnsi="Times New Roman" w:cs="Times New Roman"/>
          <w:kern w:val="0"/>
          <w:szCs w:val="20"/>
          <w:lang w:val="en-US" w:eastAsia="zh-CN"/>
        </w:rPr>
        <w:t>皮肤含水量</w:t>
      </w:r>
      <w:r>
        <w:rPr>
          <w:rFonts w:hint="default" w:ascii="Times New Roman" w:hAnsi="Times New Roman" w:cs="Times New Roman"/>
          <w:kern w:val="0"/>
          <w:szCs w:val="20"/>
        </w:rPr>
        <w:t>标准差</w:t>
      </w:r>
    </w:p>
    <w:p>
      <w:pPr>
        <w:widowControl/>
        <w:pBdr>
          <w:top w:val="none" w:color="auto" w:sz="0" w:space="0"/>
          <w:left w:val="none" w:color="auto" w:sz="0" w:space="0"/>
          <w:bottom w:val="none" w:color="auto" w:sz="0" w:space="0"/>
          <w:right w:val="none" w:color="auto" w:sz="0" w:space="0"/>
        </w:pBdr>
        <w:tabs>
          <w:tab w:val="center" w:pos="4201"/>
          <w:tab w:val="right" w:leader="dot" w:pos="9298"/>
        </w:tabs>
        <w:autoSpaceDE w:val="0"/>
        <w:autoSpaceDN w:val="0"/>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平均值</w:t>
      </w:r>
      <w:r>
        <w:rPr>
          <w:rFonts w:hint="default" w:ascii="Times New Roman" w:hAnsi="Times New Roman" w:cs="Times New Roman"/>
          <w:highlight w:val="none"/>
          <w:vertAlign w:val="subscript"/>
          <w:lang w:val="en-US" w:eastAsia="zh-CN"/>
        </w:rPr>
        <w:t xml:space="preserve">Skin </w:t>
      </w:r>
      <w:r>
        <w:rPr>
          <w:rFonts w:hint="default" w:ascii="Times New Roman" w:hAnsi="Times New Roman" w:cs="Times New Roman"/>
          <w:highlight w:val="none"/>
          <w:vertAlign w:val="subscript"/>
        </w:rPr>
        <w:t>water</w:t>
      </w:r>
      <w:r>
        <w:rPr>
          <w:rFonts w:hint="default" w:ascii="Times New Roman" w:hAnsi="Times New Roman" w:cs="Times New Roman"/>
          <w:highlight w:val="none"/>
          <w:vertAlign w:val="subscript"/>
          <w:lang w:val="en-US" w:eastAsia="zh-CN"/>
        </w:rPr>
        <w:t xml:space="preserve"> </w:t>
      </w:r>
      <w:r>
        <w:rPr>
          <w:rFonts w:hint="default" w:ascii="Times New Roman" w:hAnsi="Times New Roman" w:cs="Times New Roman"/>
          <w:highlight w:val="none"/>
          <w:vertAlign w:val="subscript"/>
        </w:rPr>
        <w:t>content</w:t>
      </w:r>
      <w:r>
        <w:rPr>
          <w:rFonts w:hint="default" w:ascii="Times New Roman" w:hAnsi="Times New Roman" w:cs="Times New Roman"/>
          <w:kern w:val="0"/>
          <w:szCs w:val="20"/>
        </w:rPr>
        <w:t>——</w:t>
      </w:r>
      <w:r>
        <w:rPr>
          <w:rFonts w:hint="default" w:ascii="Times New Roman" w:hAnsi="Times New Roman" w:cs="Times New Roman"/>
          <w:kern w:val="0"/>
          <w:szCs w:val="20"/>
          <w:lang w:val="en-US" w:eastAsia="zh-CN"/>
        </w:rPr>
        <w:t>皮肤含水量</w:t>
      </w:r>
      <w:r>
        <w:rPr>
          <w:rFonts w:hint="default" w:ascii="Times New Roman" w:hAnsi="Times New Roman" w:cs="Times New Roman"/>
          <w:kern w:val="0"/>
          <w:szCs w:val="20"/>
        </w:rPr>
        <w:t>平均值</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每批次试验均需设置相应的空白对照和阳性对照，针对原料样品，设计空白对照和溶剂对照。实验中设置的各种对照应符合如下标准。如任一种对照出现非下述标准，则视为质控不合格。1）与空白对照组相比，阳性对照组皮肤含水量显著增加。2）与阳性对照组相比，溶剂对照组的皮肤含水量不应有显著上升的趋势。</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 xml:space="preserve">在相同条件下，经过3次以上测试，阳性对照均能检出皮肤含水量上调的效果，且与空白对照对照相比含水量上调率需≥15%，则认为试验系统有效。 </w:t>
      </w:r>
    </w:p>
    <w:p>
      <w:pPr>
        <w:pStyle w:val="74"/>
        <w:pBdr>
          <w:top w:val="none" w:color="auto" w:sz="0" w:space="0"/>
          <w:left w:val="none" w:color="auto" w:sz="0" w:space="0"/>
          <w:bottom w:val="none" w:color="auto" w:sz="0" w:space="0"/>
          <w:right w:val="none" w:color="auto" w:sz="0" w:space="0"/>
        </w:pBdr>
        <w:bidi w:val="0"/>
        <w:rPr>
          <w:rFonts w:hint="default" w:ascii="Times New Roman" w:hAnsi="Times New Roman" w:cs="Times New Roman"/>
        </w:rPr>
      </w:pPr>
      <w:r>
        <w:rPr>
          <w:rFonts w:hint="default" w:ascii="Times New Roman" w:hAnsi="Times New Roman" w:cs="Times New Roman"/>
        </w:rPr>
        <w:t>测量不确定度</w:t>
      </w:r>
    </w:p>
    <w:p>
      <w:pPr>
        <w:pStyle w:val="73"/>
        <w:rPr>
          <w:rFonts w:hint="default" w:ascii="Times New Roman" w:hAnsi="Times New Roman" w:eastAsia="宋体" w:cs="Times New Roman"/>
          <w:kern w:val="2"/>
          <w:lang w:val="en-US" w:eastAsia="zh-C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"https://www.courage-khazaka.de/en/16-wissenschaftliche-produkte/alle-produkte/183-corneometer-e"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Corneometer® CM 825</w:t>
      </w:r>
      <w:r>
        <w:rPr>
          <w:rFonts w:hint="default" w:ascii="Times New Roman" w:hAnsi="Times New Roman" w:cs="Times New Roman"/>
          <w:highlight w:val="none"/>
          <w:lang w:val="en-US" w:eastAsia="zh-CN"/>
        </w:rPr>
        <w:fldChar w:fldCharType="end"/>
      </w:r>
      <w:r>
        <w:rPr>
          <w:rFonts w:hint="default" w:ascii="Times New Roman" w:hAnsi="Times New Roman" w:eastAsia="宋体" w:cs="Times New Roman"/>
          <w:kern w:val="2"/>
          <w:lang w:val="en-US" w:eastAsia="zh-CN"/>
        </w:rPr>
        <w:t>角质层含水量探头的测量不确定度为±3%。</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含水量测量时，每个模型测量时需要至少3次重复测量，计算时应对数据进行筛选，剔除数据落于平均值±（3×标准差）以外的异常值。</w:t>
      </w:r>
    </w:p>
    <w:p>
      <w:pPr>
        <w:pStyle w:val="77"/>
        <w:pBdr>
          <w:top w:val="none" w:color="auto" w:sz="0" w:space="0"/>
          <w:left w:val="none" w:color="auto" w:sz="0" w:space="0"/>
          <w:bottom w:val="none" w:color="auto" w:sz="0" w:space="0"/>
          <w:right w:val="none" w:color="auto" w:sz="0" w:space="0"/>
        </w:pBdr>
        <w:bidi w:val="0"/>
        <w:adjustRightInd w:val="0"/>
        <w:snapToGrid w:val="0"/>
        <w:outlineLvl w:val="0"/>
        <w:rPr>
          <w:rFonts w:hint="default" w:ascii="Times New Roman" w:hAnsi="Times New Roman" w:eastAsia="黑体" w:cs="Times New Roman"/>
          <w:color w:val="auto"/>
          <w:sz w:val="21"/>
          <w:lang w:val="en-US" w:eastAsia="zh-CN" w:bidi="ar-SA"/>
        </w:rPr>
      </w:pPr>
      <w:bookmarkStart w:id="73" w:name="_Toc7787"/>
      <w:bookmarkStart w:id="74" w:name="_Toc8513"/>
      <w:r>
        <w:rPr>
          <w:rFonts w:hint="default" w:ascii="Times New Roman" w:hAnsi="Times New Roman" w:eastAsia="黑体" w:cs="Times New Roman"/>
          <w:color w:val="auto"/>
          <w:sz w:val="21"/>
          <w:lang w:val="en-US" w:eastAsia="zh-CN" w:bidi="ar-SA"/>
        </w:rPr>
        <w:t>质量保证和控制</w:t>
      </w:r>
      <w:bookmarkEnd w:id="73"/>
      <w:bookmarkEnd w:id="74"/>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保证每个模型在给药前表面干燥，无潮湿现象。</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保证每个皮肤模型表面接收到的样本量一致并且分布均匀。样品量差异和样本分布的均匀程度，均会影响含水量测试结果。</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保证每次测量由同一操作员完成完整的测试过程，以避免因为操作手法导致的结果差异。</w:t>
      </w:r>
    </w:p>
    <w:p>
      <w:pPr>
        <w:pStyle w:val="73"/>
        <w:rPr>
          <w:rFonts w:hint="default" w:ascii="Times New Roman" w:hAnsi="Times New Roman" w:eastAsia="宋体" w:cs="Times New Roman"/>
          <w:kern w:val="2"/>
          <w:lang w:val="en-US" w:eastAsia="zh-CN"/>
        </w:rPr>
      </w:pPr>
      <w:r>
        <w:rPr>
          <w:rFonts w:hint="default" w:ascii="Times New Roman" w:hAnsi="Times New Roman" w:eastAsia="宋体" w:cs="Times New Roman"/>
          <w:kern w:val="2"/>
          <w:lang w:val="en-US" w:eastAsia="zh-CN"/>
        </w:rPr>
        <w:t>测试仪器需严格按照使用说明执行。</w:t>
      </w:r>
    </w:p>
    <w:p>
      <w:pPr>
        <w:pStyle w:val="77"/>
        <w:pBdr>
          <w:top w:val="none" w:color="auto" w:sz="0" w:space="0"/>
          <w:left w:val="none" w:color="auto" w:sz="0" w:space="0"/>
          <w:bottom w:val="none" w:color="auto" w:sz="0" w:space="0"/>
          <w:right w:val="none" w:color="auto" w:sz="0" w:space="0"/>
        </w:pBdr>
        <w:bidi w:val="0"/>
        <w:adjustRightInd w:val="0"/>
        <w:snapToGrid w:val="0"/>
        <w:outlineLvl w:val="0"/>
        <w:rPr>
          <w:rFonts w:hint="default" w:ascii="Times New Roman" w:hAnsi="Times New Roman" w:cs="Times New Roman"/>
          <w:color w:val="auto"/>
          <w:lang w:val="en-US" w:eastAsia="zh-CN"/>
        </w:rPr>
      </w:pPr>
      <w:bookmarkStart w:id="75" w:name="_Toc1600"/>
      <w:bookmarkStart w:id="76" w:name="_Toc31139"/>
      <w:bookmarkStart w:id="77" w:name="_Toc12545"/>
      <w:bookmarkStart w:id="78" w:name="_Toc27611"/>
      <w:r>
        <w:rPr>
          <w:rFonts w:hint="default" w:ascii="Times New Roman" w:hAnsi="Times New Roman" w:cs="Times New Roman"/>
          <w:color w:val="auto"/>
          <w:lang w:val="en-US" w:eastAsia="zh-CN"/>
        </w:rPr>
        <w:t>试验报告</w:t>
      </w:r>
      <w:bookmarkEnd w:id="75"/>
      <w:bookmarkEnd w:id="76"/>
      <w:bookmarkEnd w:id="77"/>
      <w:bookmarkEnd w:id="78"/>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leftChars="0" w:right="0" w:firstLine="0" w:firstLineChars="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eastAsia="zh-CN" w:bidi="ar"/>
        </w:rPr>
        <w:t xml:space="preserve">    </w:t>
      </w:r>
      <w:r>
        <w:rPr>
          <w:rFonts w:hint="default" w:ascii="Times New Roman" w:hAnsi="Times New Roman" w:eastAsia="宋体" w:cs="Times New Roman"/>
          <w:kern w:val="2"/>
          <w:sz w:val="21"/>
          <w:szCs w:val="21"/>
          <w:lang w:val="en-US" w:eastAsia="zh-CN" w:bidi="ar"/>
        </w:rPr>
        <w:t>包括但不限于以下几个方面的内容：</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——测试目的</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——测试材料</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——测试设备</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cs="Times New Roman"/>
          <w:kern w:val="2"/>
          <w:sz w:val="21"/>
          <w:szCs w:val="21"/>
          <w:lang w:eastAsia="zh-CN" w:bidi="ar"/>
        </w:rPr>
      </w:pPr>
      <w:r>
        <w:rPr>
          <w:rFonts w:hint="default" w:ascii="Times New Roman" w:hAnsi="Times New Roman" w:eastAsia="宋体" w:cs="Times New Roman"/>
          <w:kern w:val="2"/>
          <w:sz w:val="21"/>
          <w:szCs w:val="21"/>
          <w:lang w:val="en-US" w:eastAsia="zh-CN" w:bidi="ar"/>
        </w:rPr>
        <w:t>——样品信息</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——测试方法</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——数据与统计分析</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——实验结果</w:t>
      </w:r>
    </w:p>
    <w:p>
      <w:pPr>
        <w:pStyle w:val="32"/>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——实验结论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eastAsia="zh-CN" w:bidi="ar"/>
        </w:rPr>
        <w:t xml:space="preserve">    </w:t>
      </w:r>
      <w:r>
        <w:rPr>
          <w:rFonts w:hint="default" w:ascii="Times New Roman" w:hAnsi="Times New Roman" w:eastAsia="宋体" w:cs="Times New Roman"/>
          <w:kern w:val="2"/>
          <w:sz w:val="21"/>
          <w:szCs w:val="21"/>
          <w:lang w:val="en-US" w:eastAsia="zh-CN" w:bidi="ar"/>
        </w:rPr>
        <w:t>——试验日期</w:t>
      </w:r>
    </w:p>
    <w:p>
      <w:pPr>
        <w:pStyle w:val="89"/>
        <w:rPr>
          <w:rFonts w:hint="default" w:ascii="Times New Roman" w:hAnsi="Times New Roman" w:cs="Times New Roman"/>
          <w:color w:val="000000"/>
        </w:rPr>
      </w:pPr>
      <w:r>
        <w:rPr>
          <w:rFonts w:hint="default" w:ascii="Times New Roman" w:hAnsi="Times New Roman" w:cs="Times New Roman"/>
          <w:color w:val="000000"/>
        </w:rPr>
        <w:t>_________________________________</w:t>
      </w:r>
      <w:bookmarkEnd w:id="65"/>
    </w:p>
    <w:sectPr>
      <w:headerReference r:id="rId7" w:type="default"/>
      <w:footerReference r:id="rId8" w:type="default"/>
      <w:footerReference r:id="rId9" w:type="even"/>
      <w:pgSz w:w="11906" w:h="16838"/>
      <w:pgMar w:top="567" w:right="1134" w:bottom="1134" w:left="1417"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2" w:usb3="00000000" w:csb0="4002009F" w:csb1="DFD70000"/>
  </w:font>
  <w:font w:name="Cambria Math">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4"/>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color w:val="auto"/>
      </w:rPr>
    </w:pPr>
    <w:r>
      <w:rPr>
        <w:color w:val="auto"/>
      </w:rPr>
      <w:t>DB</w:t>
    </w:r>
    <w:r>
      <w:rPr>
        <w:rFonts w:hint="eastAsia"/>
        <w:color w:val="auto"/>
      </w:rPr>
      <w:t>61</w:t>
    </w:r>
    <w:r>
      <w:rPr>
        <w:color w:val="auto"/>
      </w:rPr>
      <w:t xml:space="preserve">/T </w:t>
    </w:r>
    <w:r>
      <w:rPr>
        <w:rFonts w:hint="eastAsia"/>
        <w:color w:val="auto"/>
      </w:rPr>
      <w:t>××××</w:t>
    </w:r>
    <w:r>
      <w:rPr>
        <w:color w:val="auto"/>
      </w:rPr>
      <w:t>—</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t>DB</w:t>
    </w:r>
    <w:r>
      <w:rPr>
        <w:rFonts w:hint="eastAsia"/>
      </w:rPr>
      <w:t>61</w:t>
    </w:r>
    <w:r>
      <w:t>/</w:t>
    </w:r>
    <w:r>
      <w:rPr>
        <w:rFonts w:hint="eastAsia"/>
      </w:rPr>
      <w:t>T</w:t>
    </w:r>
    <w:r>
      <w:t xml:space="preserve"> </w:t>
    </w:r>
    <w:r>
      <w:rPr>
        <w:rFonts w:hint="eastAsia"/>
      </w:rPr>
      <w:t>××××</w:t>
    </w:r>
    <w:r>
      <w:t>—</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t>DB</w:t>
    </w:r>
    <w:r>
      <w:rPr>
        <w:rFonts w:hint="eastAsia"/>
      </w:rPr>
      <w:t>61</w:t>
    </w:r>
    <w:r>
      <w:t>/</w:t>
    </w:r>
    <w:r>
      <w:rPr>
        <w:rFonts w:hint="eastAsia"/>
      </w:rPr>
      <w:t>T</w:t>
    </w:r>
    <w:r>
      <w:t xml:space="preserve"> </w:t>
    </w:r>
    <w:r>
      <w:rPr>
        <w:rFonts w:hint="eastAsia"/>
      </w:rPr>
      <w:t>××××</w:t>
    </w:r>
    <w:r>
      <w: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3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28"/>
      <w:suff w:val="nothing"/>
      <w:lvlText w:val="%1——"/>
      <w:lvlJc w:val="left"/>
      <w:pPr>
        <w:ind w:left="833" w:hanging="408"/>
      </w:pPr>
      <w:rPr>
        <w:rFonts w:hint="eastAsia"/>
      </w:rPr>
    </w:lvl>
    <w:lvl w:ilvl="1" w:tentative="0">
      <w:start w:val="1"/>
      <w:numFmt w:val="bullet"/>
      <w:pStyle w:val="107"/>
      <w:lvlText w:val=""/>
      <w:lvlJc w:val="left"/>
      <w:pPr>
        <w:tabs>
          <w:tab w:val="left" w:pos="760"/>
        </w:tabs>
        <w:ind w:left="1264" w:hanging="413"/>
      </w:pPr>
      <w:rPr>
        <w:rFonts w:hint="default" w:ascii="Symbol" w:hAnsi="Symbol"/>
        <w:color w:val="auto"/>
      </w:rPr>
    </w:lvl>
    <w:lvl w:ilvl="2" w:tentative="0">
      <w:start w:val="1"/>
      <w:numFmt w:val="bullet"/>
      <w:pStyle w:val="10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0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10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7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15"/>
  </w:num>
  <w:num w:numId="4">
    <w:abstractNumId w:val="6"/>
  </w:num>
  <w:num w:numId="5">
    <w:abstractNumId w:val="12"/>
  </w:num>
  <w:num w:numId="6">
    <w:abstractNumId w:val="11"/>
  </w:num>
  <w:num w:numId="7">
    <w:abstractNumId w:val="16"/>
  </w:num>
  <w:num w:numId="8">
    <w:abstractNumId w:val="13"/>
  </w:num>
  <w:num w:numId="9">
    <w:abstractNumId w:val="8"/>
  </w:num>
  <w:num w:numId="10">
    <w:abstractNumId w:val="9"/>
  </w:num>
  <w:num w:numId="11">
    <w:abstractNumId w:val="0"/>
  </w:num>
  <w:num w:numId="12">
    <w:abstractNumId w:val="4"/>
  </w:num>
  <w:num w:numId="13">
    <w:abstractNumId w:val="7"/>
  </w:num>
  <w:num w:numId="14">
    <w:abstractNumId w:val="17"/>
  </w:num>
  <w:num w:numId="15">
    <w:abstractNumId w:val="2"/>
  </w:num>
  <w:num w:numId="16">
    <w:abstractNumId w:val="3"/>
  </w:num>
  <w:num w:numId="17">
    <w:abstractNumId w:val="14"/>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MGY1ZDc3YTE4YWJmYTA1NTgyMzQyYjRmZjRmNGYifQ=="/>
  </w:docVars>
  <w:rsids>
    <w:rsidRoot w:val="00035925"/>
    <w:rsid w:val="00000244"/>
    <w:rsid w:val="0000185F"/>
    <w:rsid w:val="00004D34"/>
    <w:rsid w:val="0000586F"/>
    <w:rsid w:val="00005C5B"/>
    <w:rsid w:val="00013D86"/>
    <w:rsid w:val="00013E02"/>
    <w:rsid w:val="0002143C"/>
    <w:rsid w:val="000227C6"/>
    <w:rsid w:val="0002318A"/>
    <w:rsid w:val="00025A65"/>
    <w:rsid w:val="00026C31"/>
    <w:rsid w:val="00026FB5"/>
    <w:rsid w:val="00027280"/>
    <w:rsid w:val="000320A7"/>
    <w:rsid w:val="00035925"/>
    <w:rsid w:val="00037D8A"/>
    <w:rsid w:val="00045C3E"/>
    <w:rsid w:val="00067CDF"/>
    <w:rsid w:val="000708FE"/>
    <w:rsid w:val="00074FBE"/>
    <w:rsid w:val="00083100"/>
    <w:rsid w:val="00083A09"/>
    <w:rsid w:val="000846FB"/>
    <w:rsid w:val="0009005E"/>
    <w:rsid w:val="00092857"/>
    <w:rsid w:val="000A20A9"/>
    <w:rsid w:val="000A48B1"/>
    <w:rsid w:val="000B3143"/>
    <w:rsid w:val="000B328D"/>
    <w:rsid w:val="000C0E5F"/>
    <w:rsid w:val="000C17B8"/>
    <w:rsid w:val="000C6B05"/>
    <w:rsid w:val="000C6DD6"/>
    <w:rsid w:val="000C73D4"/>
    <w:rsid w:val="000D2CF3"/>
    <w:rsid w:val="000D3D4C"/>
    <w:rsid w:val="000D4CD6"/>
    <w:rsid w:val="000D4F51"/>
    <w:rsid w:val="000D718B"/>
    <w:rsid w:val="000E0C46"/>
    <w:rsid w:val="000F030C"/>
    <w:rsid w:val="000F129C"/>
    <w:rsid w:val="000F472B"/>
    <w:rsid w:val="00103F09"/>
    <w:rsid w:val="001056DE"/>
    <w:rsid w:val="00111FEF"/>
    <w:rsid w:val="001124C0"/>
    <w:rsid w:val="00116FE6"/>
    <w:rsid w:val="00120E95"/>
    <w:rsid w:val="00124B9B"/>
    <w:rsid w:val="00130D97"/>
    <w:rsid w:val="0013175F"/>
    <w:rsid w:val="00140225"/>
    <w:rsid w:val="00142D0F"/>
    <w:rsid w:val="001512B4"/>
    <w:rsid w:val="00154CD7"/>
    <w:rsid w:val="001611EC"/>
    <w:rsid w:val="001620A5"/>
    <w:rsid w:val="00164E53"/>
    <w:rsid w:val="00166267"/>
    <w:rsid w:val="0016699D"/>
    <w:rsid w:val="00170B98"/>
    <w:rsid w:val="00175159"/>
    <w:rsid w:val="00176208"/>
    <w:rsid w:val="001808D2"/>
    <w:rsid w:val="0018211B"/>
    <w:rsid w:val="001840D3"/>
    <w:rsid w:val="001900F8"/>
    <w:rsid w:val="00191258"/>
    <w:rsid w:val="00191B57"/>
    <w:rsid w:val="00192680"/>
    <w:rsid w:val="00193037"/>
    <w:rsid w:val="00193A2C"/>
    <w:rsid w:val="001A05FA"/>
    <w:rsid w:val="001A151F"/>
    <w:rsid w:val="001A288E"/>
    <w:rsid w:val="001B36A1"/>
    <w:rsid w:val="001B4930"/>
    <w:rsid w:val="001B6DC2"/>
    <w:rsid w:val="001C149C"/>
    <w:rsid w:val="001C21AC"/>
    <w:rsid w:val="001C47BA"/>
    <w:rsid w:val="001C59EA"/>
    <w:rsid w:val="001D406C"/>
    <w:rsid w:val="001D41EE"/>
    <w:rsid w:val="001D7B64"/>
    <w:rsid w:val="001E0380"/>
    <w:rsid w:val="001E0400"/>
    <w:rsid w:val="001E13B1"/>
    <w:rsid w:val="001E6FD8"/>
    <w:rsid w:val="001F3A19"/>
    <w:rsid w:val="00202C4D"/>
    <w:rsid w:val="0021060C"/>
    <w:rsid w:val="002219CC"/>
    <w:rsid w:val="00223C19"/>
    <w:rsid w:val="00234467"/>
    <w:rsid w:val="002348A9"/>
    <w:rsid w:val="00237D8D"/>
    <w:rsid w:val="00241DA2"/>
    <w:rsid w:val="00243BFC"/>
    <w:rsid w:val="00247FEE"/>
    <w:rsid w:val="00250E7D"/>
    <w:rsid w:val="00253838"/>
    <w:rsid w:val="002565D5"/>
    <w:rsid w:val="002622C0"/>
    <w:rsid w:val="0027552C"/>
    <w:rsid w:val="00275A30"/>
    <w:rsid w:val="002778AE"/>
    <w:rsid w:val="0028269A"/>
    <w:rsid w:val="00283590"/>
    <w:rsid w:val="00284DE0"/>
    <w:rsid w:val="00286973"/>
    <w:rsid w:val="00294E70"/>
    <w:rsid w:val="002A1924"/>
    <w:rsid w:val="002A1AE3"/>
    <w:rsid w:val="002A7420"/>
    <w:rsid w:val="002B0F12"/>
    <w:rsid w:val="002B1308"/>
    <w:rsid w:val="002B4554"/>
    <w:rsid w:val="002B68B1"/>
    <w:rsid w:val="002C72D8"/>
    <w:rsid w:val="002D11FA"/>
    <w:rsid w:val="002D52BA"/>
    <w:rsid w:val="002D5B84"/>
    <w:rsid w:val="002E0DDF"/>
    <w:rsid w:val="002E2906"/>
    <w:rsid w:val="002E363B"/>
    <w:rsid w:val="002E5635"/>
    <w:rsid w:val="002E64C3"/>
    <w:rsid w:val="002E6A2C"/>
    <w:rsid w:val="002E7091"/>
    <w:rsid w:val="002F1D8C"/>
    <w:rsid w:val="002F21DA"/>
    <w:rsid w:val="002F3AF5"/>
    <w:rsid w:val="002F51FE"/>
    <w:rsid w:val="003007E8"/>
    <w:rsid w:val="00301F39"/>
    <w:rsid w:val="003043F1"/>
    <w:rsid w:val="003103F3"/>
    <w:rsid w:val="00311F7B"/>
    <w:rsid w:val="003248A0"/>
    <w:rsid w:val="00325926"/>
    <w:rsid w:val="003260EA"/>
    <w:rsid w:val="00327A8A"/>
    <w:rsid w:val="00333161"/>
    <w:rsid w:val="00336610"/>
    <w:rsid w:val="00343F73"/>
    <w:rsid w:val="00345060"/>
    <w:rsid w:val="0035323B"/>
    <w:rsid w:val="003609D2"/>
    <w:rsid w:val="00363F22"/>
    <w:rsid w:val="00375564"/>
    <w:rsid w:val="00376358"/>
    <w:rsid w:val="00377597"/>
    <w:rsid w:val="00380FA9"/>
    <w:rsid w:val="00381161"/>
    <w:rsid w:val="00383191"/>
    <w:rsid w:val="0038555B"/>
    <w:rsid w:val="00386DED"/>
    <w:rsid w:val="003912E7"/>
    <w:rsid w:val="00393947"/>
    <w:rsid w:val="003A2275"/>
    <w:rsid w:val="003A6A4F"/>
    <w:rsid w:val="003A7088"/>
    <w:rsid w:val="003A7679"/>
    <w:rsid w:val="003B00DF"/>
    <w:rsid w:val="003B1275"/>
    <w:rsid w:val="003B1778"/>
    <w:rsid w:val="003B4681"/>
    <w:rsid w:val="003C11CB"/>
    <w:rsid w:val="003C2638"/>
    <w:rsid w:val="003C75F3"/>
    <w:rsid w:val="003C78A3"/>
    <w:rsid w:val="003E12D8"/>
    <w:rsid w:val="003E1867"/>
    <w:rsid w:val="003E5729"/>
    <w:rsid w:val="003F0A6A"/>
    <w:rsid w:val="003F4EE0"/>
    <w:rsid w:val="0040018C"/>
    <w:rsid w:val="00402153"/>
    <w:rsid w:val="00402FC1"/>
    <w:rsid w:val="00412340"/>
    <w:rsid w:val="00413241"/>
    <w:rsid w:val="00417A00"/>
    <w:rsid w:val="004241E6"/>
    <w:rsid w:val="00425082"/>
    <w:rsid w:val="00431DEB"/>
    <w:rsid w:val="00432985"/>
    <w:rsid w:val="00446B29"/>
    <w:rsid w:val="004528B7"/>
    <w:rsid w:val="00453F9A"/>
    <w:rsid w:val="0045681B"/>
    <w:rsid w:val="00471E91"/>
    <w:rsid w:val="00474675"/>
    <w:rsid w:val="0047470C"/>
    <w:rsid w:val="00476378"/>
    <w:rsid w:val="00481D14"/>
    <w:rsid w:val="0048578E"/>
    <w:rsid w:val="004906D2"/>
    <w:rsid w:val="004939D8"/>
    <w:rsid w:val="00496069"/>
    <w:rsid w:val="004A35F9"/>
    <w:rsid w:val="004B24C1"/>
    <w:rsid w:val="004B6CF5"/>
    <w:rsid w:val="004C292F"/>
    <w:rsid w:val="004C3FE4"/>
    <w:rsid w:val="004C4DAA"/>
    <w:rsid w:val="004D197A"/>
    <w:rsid w:val="004E0AF0"/>
    <w:rsid w:val="0050192B"/>
    <w:rsid w:val="00510280"/>
    <w:rsid w:val="00513D73"/>
    <w:rsid w:val="00514A43"/>
    <w:rsid w:val="005174E5"/>
    <w:rsid w:val="005178F3"/>
    <w:rsid w:val="00522393"/>
    <w:rsid w:val="00522620"/>
    <w:rsid w:val="00525656"/>
    <w:rsid w:val="00534C02"/>
    <w:rsid w:val="00536FB7"/>
    <w:rsid w:val="00542586"/>
    <w:rsid w:val="0054264B"/>
    <w:rsid w:val="00543786"/>
    <w:rsid w:val="00547E07"/>
    <w:rsid w:val="0055102E"/>
    <w:rsid w:val="005533D7"/>
    <w:rsid w:val="005547C0"/>
    <w:rsid w:val="005627D6"/>
    <w:rsid w:val="00563535"/>
    <w:rsid w:val="005703DE"/>
    <w:rsid w:val="00570751"/>
    <w:rsid w:val="005734D5"/>
    <w:rsid w:val="0058464E"/>
    <w:rsid w:val="00592373"/>
    <w:rsid w:val="00593B48"/>
    <w:rsid w:val="005A01CB"/>
    <w:rsid w:val="005A58FF"/>
    <w:rsid w:val="005A5EAF"/>
    <w:rsid w:val="005A64C0"/>
    <w:rsid w:val="005A7E99"/>
    <w:rsid w:val="005B3C11"/>
    <w:rsid w:val="005C051B"/>
    <w:rsid w:val="005C1C28"/>
    <w:rsid w:val="005C6DB5"/>
    <w:rsid w:val="005E19E7"/>
    <w:rsid w:val="005F0D35"/>
    <w:rsid w:val="005F2597"/>
    <w:rsid w:val="00602CB9"/>
    <w:rsid w:val="00603E7A"/>
    <w:rsid w:val="006109FE"/>
    <w:rsid w:val="0061716C"/>
    <w:rsid w:val="006243A1"/>
    <w:rsid w:val="00630062"/>
    <w:rsid w:val="00632E56"/>
    <w:rsid w:val="00633067"/>
    <w:rsid w:val="006335B6"/>
    <w:rsid w:val="00635CBA"/>
    <w:rsid w:val="0064262F"/>
    <w:rsid w:val="0064338B"/>
    <w:rsid w:val="00646542"/>
    <w:rsid w:val="006504F4"/>
    <w:rsid w:val="00653781"/>
    <w:rsid w:val="00653D7F"/>
    <w:rsid w:val="00654BC9"/>
    <w:rsid w:val="006552FD"/>
    <w:rsid w:val="00656733"/>
    <w:rsid w:val="00663AF3"/>
    <w:rsid w:val="00666B6C"/>
    <w:rsid w:val="00671B01"/>
    <w:rsid w:val="006768A5"/>
    <w:rsid w:val="006811E4"/>
    <w:rsid w:val="006820A0"/>
    <w:rsid w:val="00682682"/>
    <w:rsid w:val="00682702"/>
    <w:rsid w:val="00682CAE"/>
    <w:rsid w:val="00684DDF"/>
    <w:rsid w:val="00686616"/>
    <w:rsid w:val="00692368"/>
    <w:rsid w:val="00695750"/>
    <w:rsid w:val="00696014"/>
    <w:rsid w:val="006A15A6"/>
    <w:rsid w:val="006A1964"/>
    <w:rsid w:val="006A2EBC"/>
    <w:rsid w:val="006A5EA0"/>
    <w:rsid w:val="006A783B"/>
    <w:rsid w:val="006A7B33"/>
    <w:rsid w:val="006B4E13"/>
    <w:rsid w:val="006B75DD"/>
    <w:rsid w:val="006C138D"/>
    <w:rsid w:val="006C67E0"/>
    <w:rsid w:val="006C7ABA"/>
    <w:rsid w:val="006D0D60"/>
    <w:rsid w:val="006D1122"/>
    <w:rsid w:val="006D3C00"/>
    <w:rsid w:val="006D6CF4"/>
    <w:rsid w:val="006D7739"/>
    <w:rsid w:val="006E3675"/>
    <w:rsid w:val="006E4A7F"/>
    <w:rsid w:val="006E7F01"/>
    <w:rsid w:val="006F47FE"/>
    <w:rsid w:val="00704DF6"/>
    <w:rsid w:val="0070651C"/>
    <w:rsid w:val="007132A3"/>
    <w:rsid w:val="00716421"/>
    <w:rsid w:val="00721E76"/>
    <w:rsid w:val="00724EFB"/>
    <w:rsid w:val="007261D0"/>
    <w:rsid w:val="007419C3"/>
    <w:rsid w:val="00743F61"/>
    <w:rsid w:val="00744F22"/>
    <w:rsid w:val="007467A7"/>
    <w:rsid w:val="007469DD"/>
    <w:rsid w:val="0074741B"/>
    <w:rsid w:val="0074759E"/>
    <w:rsid w:val="007478EA"/>
    <w:rsid w:val="007502F5"/>
    <w:rsid w:val="0075415C"/>
    <w:rsid w:val="00754E53"/>
    <w:rsid w:val="00755550"/>
    <w:rsid w:val="00755C96"/>
    <w:rsid w:val="00761B76"/>
    <w:rsid w:val="00763502"/>
    <w:rsid w:val="00782483"/>
    <w:rsid w:val="007874A3"/>
    <w:rsid w:val="007913AB"/>
    <w:rsid w:val="007914F7"/>
    <w:rsid w:val="007B1625"/>
    <w:rsid w:val="007B5EF4"/>
    <w:rsid w:val="007B61E1"/>
    <w:rsid w:val="007B706E"/>
    <w:rsid w:val="007B71EB"/>
    <w:rsid w:val="007C1153"/>
    <w:rsid w:val="007C6205"/>
    <w:rsid w:val="007C686A"/>
    <w:rsid w:val="007C728E"/>
    <w:rsid w:val="007D2C53"/>
    <w:rsid w:val="007D3D60"/>
    <w:rsid w:val="007E1980"/>
    <w:rsid w:val="007E4B76"/>
    <w:rsid w:val="007E5EA8"/>
    <w:rsid w:val="007F0539"/>
    <w:rsid w:val="007F0CF1"/>
    <w:rsid w:val="007F12A5"/>
    <w:rsid w:val="007F4CF1"/>
    <w:rsid w:val="007F758D"/>
    <w:rsid w:val="007F7D52"/>
    <w:rsid w:val="008057C4"/>
    <w:rsid w:val="0080654C"/>
    <w:rsid w:val="008071C6"/>
    <w:rsid w:val="00807410"/>
    <w:rsid w:val="00811EF3"/>
    <w:rsid w:val="00814699"/>
    <w:rsid w:val="00816603"/>
    <w:rsid w:val="00817A00"/>
    <w:rsid w:val="00817F5F"/>
    <w:rsid w:val="00823A8E"/>
    <w:rsid w:val="008265E2"/>
    <w:rsid w:val="00832779"/>
    <w:rsid w:val="00835D8A"/>
    <w:rsid w:val="00835DB3"/>
    <w:rsid w:val="0083617B"/>
    <w:rsid w:val="008371BD"/>
    <w:rsid w:val="00844D53"/>
    <w:rsid w:val="00845125"/>
    <w:rsid w:val="008504A8"/>
    <w:rsid w:val="008512D3"/>
    <w:rsid w:val="0085282E"/>
    <w:rsid w:val="00856B3C"/>
    <w:rsid w:val="0086157D"/>
    <w:rsid w:val="00861BF7"/>
    <w:rsid w:val="0087198C"/>
    <w:rsid w:val="00872C1F"/>
    <w:rsid w:val="00873B42"/>
    <w:rsid w:val="008856D8"/>
    <w:rsid w:val="00886728"/>
    <w:rsid w:val="0089071D"/>
    <w:rsid w:val="00892E82"/>
    <w:rsid w:val="008A52CA"/>
    <w:rsid w:val="008B7676"/>
    <w:rsid w:val="008C1B58"/>
    <w:rsid w:val="008C39AE"/>
    <w:rsid w:val="008C590D"/>
    <w:rsid w:val="008D5119"/>
    <w:rsid w:val="008E031B"/>
    <w:rsid w:val="008E4F4E"/>
    <w:rsid w:val="008E7029"/>
    <w:rsid w:val="008E7EF6"/>
    <w:rsid w:val="008F0DA3"/>
    <w:rsid w:val="008F1F98"/>
    <w:rsid w:val="008F6758"/>
    <w:rsid w:val="009040DD"/>
    <w:rsid w:val="00905B47"/>
    <w:rsid w:val="0091331C"/>
    <w:rsid w:val="009279DE"/>
    <w:rsid w:val="00930116"/>
    <w:rsid w:val="00930944"/>
    <w:rsid w:val="0094212C"/>
    <w:rsid w:val="00945A0C"/>
    <w:rsid w:val="00947AB9"/>
    <w:rsid w:val="0095134F"/>
    <w:rsid w:val="00954641"/>
    <w:rsid w:val="00954689"/>
    <w:rsid w:val="009617C9"/>
    <w:rsid w:val="00961C93"/>
    <w:rsid w:val="009635F3"/>
    <w:rsid w:val="00965324"/>
    <w:rsid w:val="0097091E"/>
    <w:rsid w:val="009721CA"/>
    <w:rsid w:val="009760D3"/>
    <w:rsid w:val="00977132"/>
    <w:rsid w:val="00981A4B"/>
    <w:rsid w:val="00982501"/>
    <w:rsid w:val="00986F0C"/>
    <w:rsid w:val="009877D3"/>
    <w:rsid w:val="00994E8F"/>
    <w:rsid w:val="009951DC"/>
    <w:rsid w:val="009959BB"/>
    <w:rsid w:val="00997158"/>
    <w:rsid w:val="009A1E83"/>
    <w:rsid w:val="009A3A7C"/>
    <w:rsid w:val="009B04BA"/>
    <w:rsid w:val="009B0D00"/>
    <w:rsid w:val="009B2ADB"/>
    <w:rsid w:val="009B603A"/>
    <w:rsid w:val="009C2D0E"/>
    <w:rsid w:val="009C3DAC"/>
    <w:rsid w:val="009C42E0"/>
    <w:rsid w:val="009C617B"/>
    <w:rsid w:val="009D5362"/>
    <w:rsid w:val="009E0D8E"/>
    <w:rsid w:val="009E1415"/>
    <w:rsid w:val="009E5057"/>
    <w:rsid w:val="009E6116"/>
    <w:rsid w:val="009F03D7"/>
    <w:rsid w:val="009F5ADC"/>
    <w:rsid w:val="009F75C7"/>
    <w:rsid w:val="00A02E43"/>
    <w:rsid w:val="00A065F9"/>
    <w:rsid w:val="00A07F34"/>
    <w:rsid w:val="00A12BA7"/>
    <w:rsid w:val="00A13B0D"/>
    <w:rsid w:val="00A170DE"/>
    <w:rsid w:val="00A217C1"/>
    <w:rsid w:val="00A22154"/>
    <w:rsid w:val="00A25C38"/>
    <w:rsid w:val="00A3342F"/>
    <w:rsid w:val="00A36BBE"/>
    <w:rsid w:val="00A4096D"/>
    <w:rsid w:val="00A40C15"/>
    <w:rsid w:val="00A4307A"/>
    <w:rsid w:val="00A47EBB"/>
    <w:rsid w:val="00A51395"/>
    <w:rsid w:val="00A51CDD"/>
    <w:rsid w:val="00A52BA9"/>
    <w:rsid w:val="00A62CCB"/>
    <w:rsid w:val="00A6730D"/>
    <w:rsid w:val="00A71625"/>
    <w:rsid w:val="00A71B9B"/>
    <w:rsid w:val="00A751C7"/>
    <w:rsid w:val="00A75BE6"/>
    <w:rsid w:val="00A77498"/>
    <w:rsid w:val="00A843EC"/>
    <w:rsid w:val="00A87225"/>
    <w:rsid w:val="00A87844"/>
    <w:rsid w:val="00A97A33"/>
    <w:rsid w:val="00A97F84"/>
    <w:rsid w:val="00AA038C"/>
    <w:rsid w:val="00AA26BF"/>
    <w:rsid w:val="00AA7A09"/>
    <w:rsid w:val="00AA7DCE"/>
    <w:rsid w:val="00AB3B50"/>
    <w:rsid w:val="00AC05B1"/>
    <w:rsid w:val="00AC2960"/>
    <w:rsid w:val="00AD356C"/>
    <w:rsid w:val="00AE15E2"/>
    <w:rsid w:val="00AE2914"/>
    <w:rsid w:val="00AE3D9D"/>
    <w:rsid w:val="00AE6D15"/>
    <w:rsid w:val="00B036D4"/>
    <w:rsid w:val="00B04182"/>
    <w:rsid w:val="00B0447F"/>
    <w:rsid w:val="00B07AE3"/>
    <w:rsid w:val="00B11430"/>
    <w:rsid w:val="00B11A98"/>
    <w:rsid w:val="00B17C8C"/>
    <w:rsid w:val="00B17D0C"/>
    <w:rsid w:val="00B21A65"/>
    <w:rsid w:val="00B33F47"/>
    <w:rsid w:val="00B34B4F"/>
    <w:rsid w:val="00B353EB"/>
    <w:rsid w:val="00B416D4"/>
    <w:rsid w:val="00B42C54"/>
    <w:rsid w:val="00B439C4"/>
    <w:rsid w:val="00B4535E"/>
    <w:rsid w:val="00B52A8C"/>
    <w:rsid w:val="00B55086"/>
    <w:rsid w:val="00B6057E"/>
    <w:rsid w:val="00B636A8"/>
    <w:rsid w:val="00B665C6"/>
    <w:rsid w:val="00B6787A"/>
    <w:rsid w:val="00B70168"/>
    <w:rsid w:val="00B8059D"/>
    <w:rsid w:val="00B805AF"/>
    <w:rsid w:val="00B865EE"/>
    <w:rsid w:val="00B869EC"/>
    <w:rsid w:val="00B9397A"/>
    <w:rsid w:val="00B9633D"/>
    <w:rsid w:val="00BA0B75"/>
    <w:rsid w:val="00BA212A"/>
    <w:rsid w:val="00BA2EBE"/>
    <w:rsid w:val="00BB0479"/>
    <w:rsid w:val="00BB0F28"/>
    <w:rsid w:val="00BB458A"/>
    <w:rsid w:val="00BB4C87"/>
    <w:rsid w:val="00BC3280"/>
    <w:rsid w:val="00BD00D3"/>
    <w:rsid w:val="00BD1659"/>
    <w:rsid w:val="00BD216F"/>
    <w:rsid w:val="00BD3AA9"/>
    <w:rsid w:val="00BD4A18"/>
    <w:rsid w:val="00BD6DB2"/>
    <w:rsid w:val="00BE11CF"/>
    <w:rsid w:val="00BE21AB"/>
    <w:rsid w:val="00BE2E24"/>
    <w:rsid w:val="00BE55CB"/>
    <w:rsid w:val="00BF617A"/>
    <w:rsid w:val="00BF6FCE"/>
    <w:rsid w:val="00C0379D"/>
    <w:rsid w:val="00C03931"/>
    <w:rsid w:val="00C05FE3"/>
    <w:rsid w:val="00C12F1B"/>
    <w:rsid w:val="00C2136D"/>
    <w:rsid w:val="00C214EE"/>
    <w:rsid w:val="00C2314B"/>
    <w:rsid w:val="00C239F7"/>
    <w:rsid w:val="00C24971"/>
    <w:rsid w:val="00C26BE5"/>
    <w:rsid w:val="00C26E4D"/>
    <w:rsid w:val="00C27909"/>
    <w:rsid w:val="00C27B03"/>
    <w:rsid w:val="00C27B79"/>
    <w:rsid w:val="00C314E1"/>
    <w:rsid w:val="00C33137"/>
    <w:rsid w:val="00C34397"/>
    <w:rsid w:val="00C3788B"/>
    <w:rsid w:val="00C4095D"/>
    <w:rsid w:val="00C4748C"/>
    <w:rsid w:val="00C50D00"/>
    <w:rsid w:val="00C51599"/>
    <w:rsid w:val="00C52329"/>
    <w:rsid w:val="00C5256A"/>
    <w:rsid w:val="00C601D2"/>
    <w:rsid w:val="00C65149"/>
    <w:rsid w:val="00C65BCC"/>
    <w:rsid w:val="00C65F72"/>
    <w:rsid w:val="00C66970"/>
    <w:rsid w:val="00C77392"/>
    <w:rsid w:val="00C8691C"/>
    <w:rsid w:val="00CA168A"/>
    <w:rsid w:val="00CA357E"/>
    <w:rsid w:val="00CA44F9"/>
    <w:rsid w:val="00CA4A69"/>
    <w:rsid w:val="00CB7032"/>
    <w:rsid w:val="00CB7F66"/>
    <w:rsid w:val="00CC3E0C"/>
    <w:rsid w:val="00CC58D3"/>
    <w:rsid w:val="00CC784D"/>
    <w:rsid w:val="00CD34F6"/>
    <w:rsid w:val="00CD6E84"/>
    <w:rsid w:val="00CE5B53"/>
    <w:rsid w:val="00CE60F6"/>
    <w:rsid w:val="00CF14D6"/>
    <w:rsid w:val="00CF4949"/>
    <w:rsid w:val="00D0337B"/>
    <w:rsid w:val="00D046D6"/>
    <w:rsid w:val="00D04918"/>
    <w:rsid w:val="00D079B2"/>
    <w:rsid w:val="00D11376"/>
    <w:rsid w:val="00D114E9"/>
    <w:rsid w:val="00D1171B"/>
    <w:rsid w:val="00D20B92"/>
    <w:rsid w:val="00D22C02"/>
    <w:rsid w:val="00D27745"/>
    <w:rsid w:val="00D373C6"/>
    <w:rsid w:val="00D429C6"/>
    <w:rsid w:val="00D44B8E"/>
    <w:rsid w:val="00D4601E"/>
    <w:rsid w:val="00D469FD"/>
    <w:rsid w:val="00D47748"/>
    <w:rsid w:val="00D4775A"/>
    <w:rsid w:val="00D54CC3"/>
    <w:rsid w:val="00D6041A"/>
    <w:rsid w:val="00D62313"/>
    <w:rsid w:val="00D633EB"/>
    <w:rsid w:val="00D6692A"/>
    <w:rsid w:val="00D70B86"/>
    <w:rsid w:val="00D713FB"/>
    <w:rsid w:val="00D769C4"/>
    <w:rsid w:val="00D81B4F"/>
    <w:rsid w:val="00D82FF7"/>
    <w:rsid w:val="00D83F5F"/>
    <w:rsid w:val="00D847FE"/>
    <w:rsid w:val="00D964EA"/>
    <w:rsid w:val="00D966D0"/>
    <w:rsid w:val="00DA0C59"/>
    <w:rsid w:val="00DA3991"/>
    <w:rsid w:val="00DA573F"/>
    <w:rsid w:val="00DA6FD5"/>
    <w:rsid w:val="00DB0990"/>
    <w:rsid w:val="00DB7E6C"/>
    <w:rsid w:val="00DC0838"/>
    <w:rsid w:val="00DC43B1"/>
    <w:rsid w:val="00DC796C"/>
    <w:rsid w:val="00DD5A29"/>
    <w:rsid w:val="00DD5D9D"/>
    <w:rsid w:val="00DE039E"/>
    <w:rsid w:val="00DE35CB"/>
    <w:rsid w:val="00DE4F83"/>
    <w:rsid w:val="00DF21E9"/>
    <w:rsid w:val="00DF59F3"/>
    <w:rsid w:val="00DF6F35"/>
    <w:rsid w:val="00E00224"/>
    <w:rsid w:val="00E0033D"/>
    <w:rsid w:val="00E00F14"/>
    <w:rsid w:val="00E025AA"/>
    <w:rsid w:val="00E06386"/>
    <w:rsid w:val="00E07879"/>
    <w:rsid w:val="00E2056E"/>
    <w:rsid w:val="00E21373"/>
    <w:rsid w:val="00E24EB4"/>
    <w:rsid w:val="00E26045"/>
    <w:rsid w:val="00E320ED"/>
    <w:rsid w:val="00E32A3E"/>
    <w:rsid w:val="00E33AFB"/>
    <w:rsid w:val="00E34218"/>
    <w:rsid w:val="00E43514"/>
    <w:rsid w:val="00E46282"/>
    <w:rsid w:val="00E47761"/>
    <w:rsid w:val="00E47D9C"/>
    <w:rsid w:val="00E5216E"/>
    <w:rsid w:val="00E82344"/>
    <w:rsid w:val="00E82D9F"/>
    <w:rsid w:val="00E84C82"/>
    <w:rsid w:val="00E84D64"/>
    <w:rsid w:val="00E85D61"/>
    <w:rsid w:val="00E865F1"/>
    <w:rsid w:val="00E87408"/>
    <w:rsid w:val="00E914C4"/>
    <w:rsid w:val="00E934F5"/>
    <w:rsid w:val="00E966CE"/>
    <w:rsid w:val="00E96961"/>
    <w:rsid w:val="00EA15C2"/>
    <w:rsid w:val="00EA5124"/>
    <w:rsid w:val="00EA72EC"/>
    <w:rsid w:val="00EB11CB"/>
    <w:rsid w:val="00EB275A"/>
    <w:rsid w:val="00EB6259"/>
    <w:rsid w:val="00EB786A"/>
    <w:rsid w:val="00EC1578"/>
    <w:rsid w:val="00EC1C72"/>
    <w:rsid w:val="00EC3CC9"/>
    <w:rsid w:val="00EC680A"/>
    <w:rsid w:val="00ED111F"/>
    <w:rsid w:val="00ED7835"/>
    <w:rsid w:val="00EE2BED"/>
    <w:rsid w:val="00EE374B"/>
    <w:rsid w:val="00EE375D"/>
    <w:rsid w:val="00EE510D"/>
    <w:rsid w:val="00F010DC"/>
    <w:rsid w:val="00F0185D"/>
    <w:rsid w:val="00F11BB5"/>
    <w:rsid w:val="00F1417B"/>
    <w:rsid w:val="00F16602"/>
    <w:rsid w:val="00F2084F"/>
    <w:rsid w:val="00F21378"/>
    <w:rsid w:val="00F2314D"/>
    <w:rsid w:val="00F243C3"/>
    <w:rsid w:val="00F34B99"/>
    <w:rsid w:val="00F40D16"/>
    <w:rsid w:val="00F50909"/>
    <w:rsid w:val="00F50BA7"/>
    <w:rsid w:val="00F52DAB"/>
    <w:rsid w:val="00F52E71"/>
    <w:rsid w:val="00F543F0"/>
    <w:rsid w:val="00F72B6D"/>
    <w:rsid w:val="00F81D29"/>
    <w:rsid w:val="00F91C4D"/>
    <w:rsid w:val="00F92FD9"/>
    <w:rsid w:val="00FA0524"/>
    <w:rsid w:val="00FA6684"/>
    <w:rsid w:val="00FA731E"/>
    <w:rsid w:val="00FB2B38"/>
    <w:rsid w:val="00FB6E38"/>
    <w:rsid w:val="00FC10D3"/>
    <w:rsid w:val="00FC6358"/>
    <w:rsid w:val="00FD01CF"/>
    <w:rsid w:val="00FD0F8C"/>
    <w:rsid w:val="00FD320D"/>
    <w:rsid w:val="00FD38E3"/>
    <w:rsid w:val="00FE23DE"/>
    <w:rsid w:val="00FE2DE6"/>
    <w:rsid w:val="00FE5D24"/>
    <w:rsid w:val="00FF5608"/>
    <w:rsid w:val="00FF6CE0"/>
    <w:rsid w:val="018D3836"/>
    <w:rsid w:val="02A613F0"/>
    <w:rsid w:val="032D2D12"/>
    <w:rsid w:val="058D28EE"/>
    <w:rsid w:val="065A6AD7"/>
    <w:rsid w:val="07724E37"/>
    <w:rsid w:val="0A295106"/>
    <w:rsid w:val="0AAD3932"/>
    <w:rsid w:val="0AC266F3"/>
    <w:rsid w:val="0BF0281F"/>
    <w:rsid w:val="0CA16050"/>
    <w:rsid w:val="0F295B07"/>
    <w:rsid w:val="0F3E62EF"/>
    <w:rsid w:val="0F455900"/>
    <w:rsid w:val="0F476BAA"/>
    <w:rsid w:val="127609E0"/>
    <w:rsid w:val="147D65FF"/>
    <w:rsid w:val="14E86D3B"/>
    <w:rsid w:val="15E07831"/>
    <w:rsid w:val="15F75C3D"/>
    <w:rsid w:val="16105A11"/>
    <w:rsid w:val="173F5A6C"/>
    <w:rsid w:val="18C52241"/>
    <w:rsid w:val="1BC7354C"/>
    <w:rsid w:val="1CA60DA2"/>
    <w:rsid w:val="1D313E3D"/>
    <w:rsid w:val="1E2C048B"/>
    <w:rsid w:val="1EAE7303"/>
    <w:rsid w:val="1ED41189"/>
    <w:rsid w:val="1EDF506D"/>
    <w:rsid w:val="1F81045F"/>
    <w:rsid w:val="1F9550D1"/>
    <w:rsid w:val="1FE11AB9"/>
    <w:rsid w:val="20224592"/>
    <w:rsid w:val="21433E94"/>
    <w:rsid w:val="21540E0D"/>
    <w:rsid w:val="22CA43A4"/>
    <w:rsid w:val="2395785D"/>
    <w:rsid w:val="23FA7D8F"/>
    <w:rsid w:val="2423553B"/>
    <w:rsid w:val="2508631D"/>
    <w:rsid w:val="25827095"/>
    <w:rsid w:val="28011B94"/>
    <w:rsid w:val="2967011C"/>
    <w:rsid w:val="2A64640A"/>
    <w:rsid w:val="2A837561"/>
    <w:rsid w:val="2CA14EF3"/>
    <w:rsid w:val="2D5957DF"/>
    <w:rsid w:val="2DF25308"/>
    <w:rsid w:val="2E4722CA"/>
    <w:rsid w:val="2FA554FB"/>
    <w:rsid w:val="30111E78"/>
    <w:rsid w:val="317B2030"/>
    <w:rsid w:val="320F1A10"/>
    <w:rsid w:val="34BF5FD9"/>
    <w:rsid w:val="358F4CB9"/>
    <w:rsid w:val="361F20FD"/>
    <w:rsid w:val="368932D2"/>
    <w:rsid w:val="371F2036"/>
    <w:rsid w:val="3A5B6580"/>
    <w:rsid w:val="3BE879E9"/>
    <w:rsid w:val="3E1401AA"/>
    <w:rsid w:val="3E3F2FF0"/>
    <w:rsid w:val="40287F9D"/>
    <w:rsid w:val="41524DB6"/>
    <w:rsid w:val="421C7F9A"/>
    <w:rsid w:val="42C158EA"/>
    <w:rsid w:val="44572793"/>
    <w:rsid w:val="459A4B34"/>
    <w:rsid w:val="461B165F"/>
    <w:rsid w:val="474F4272"/>
    <w:rsid w:val="4778513B"/>
    <w:rsid w:val="48B3542E"/>
    <w:rsid w:val="48DE5AD3"/>
    <w:rsid w:val="49422C03"/>
    <w:rsid w:val="495C16CF"/>
    <w:rsid w:val="49617426"/>
    <w:rsid w:val="4A4A313D"/>
    <w:rsid w:val="4DC75CA6"/>
    <w:rsid w:val="4E4D423E"/>
    <w:rsid w:val="50B65FA7"/>
    <w:rsid w:val="541945A4"/>
    <w:rsid w:val="542A748C"/>
    <w:rsid w:val="54C92BF9"/>
    <w:rsid w:val="55181EAC"/>
    <w:rsid w:val="558531FF"/>
    <w:rsid w:val="56CB6587"/>
    <w:rsid w:val="595F5340"/>
    <w:rsid w:val="5A99259E"/>
    <w:rsid w:val="5D4A0CB1"/>
    <w:rsid w:val="5D815299"/>
    <w:rsid w:val="5E1C0BF9"/>
    <w:rsid w:val="5E1E0A72"/>
    <w:rsid w:val="5E7B3C23"/>
    <w:rsid w:val="5F0B4383"/>
    <w:rsid w:val="5F1F40D2"/>
    <w:rsid w:val="6137403E"/>
    <w:rsid w:val="625C4215"/>
    <w:rsid w:val="633F25A3"/>
    <w:rsid w:val="644A3BE4"/>
    <w:rsid w:val="65FF26B7"/>
    <w:rsid w:val="6734285B"/>
    <w:rsid w:val="67D87514"/>
    <w:rsid w:val="6B874FF9"/>
    <w:rsid w:val="6D1A7871"/>
    <w:rsid w:val="6D541970"/>
    <w:rsid w:val="6FF253A5"/>
    <w:rsid w:val="707E4B3B"/>
    <w:rsid w:val="720A3C6B"/>
    <w:rsid w:val="720C108F"/>
    <w:rsid w:val="72794213"/>
    <w:rsid w:val="72802E45"/>
    <w:rsid w:val="72B33057"/>
    <w:rsid w:val="743E1047"/>
    <w:rsid w:val="765608C9"/>
    <w:rsid w:val="79875090"/>
    <w:rsid w:val="7ACD4B53"/>
    <w:rsid w:val="7AFE4C0C"/>
    <w:rsid w:val="7BF02C26"/>
    <w:rsid w:val="7C5B4435"/>
    <w:rsid w:val="7CB77AF2"/>
    <w:rsid w:val="7CE84F77"/>
    <w:rsid w:val="7D985929"/>
    <w:rsid w:val="7F2C1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eastAsia="黑体"/>
      <w:b/>
      <w:bCs/>
      <w:kern w:val="44"/>
      <w:sz w:val="21"/>
      <w:szCs w:val="44"/>
    </w:rPr>
  </w:style>
  <w:style w:type="paragraph" w:styleId="4">
    <w:name w:val="heading 3"/>
    <w:basedOn w:val="1"/>
    <w:next w:val="1"/>
    <w:link w:val="4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bCs/>
      <w:kern w:val="0"/>
      <w:sz w:val="28"/>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7"/>
    <w:semiHidden/>
    <w:qFormat/>
    <w:uiPriority w:val="99"/>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49"/>
    <w:semiHidden/>
    <w:qFormat/>
    <w:uiPriority w:val="99"/>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basedOn w:val="37"/>
    <w:qFormat/>
    <w:uiPriority w:val="0"/>
    <w:rPr>
      <w:i/>
    </w:rPr>
  </w:style>
  <w:style w:type="character" w:styleId="42">
    <w:name w:val="Hyperlink"/>
    <w:qFormat/>
    <w:uiPriority w:val="99"/>
    <w:rPr>
      <w:color w:val="0000FF"/>
      <w:spacing w:val="0"/>
      <w:w w:val="100"/>
      <w:szCs w:val="21"/>
      <w:u w:val="single"/>
    </w:rPr>
  </w:style>
  <w:style w:type="character" w:styleId="43">
    <w:name w:val="annotation reference"/>
    <w:semiHidden/>
    <w:qFormat/>
    <w:uiPriority w:val="99"/>
    <w:rPr>
      <w:sz w:val="21"/>
      <w:szCs w:val="21"/>
    </w:rPr>
  </w:style>
  <w:style w:type="character" w:styleId="44">
    <w:name w:val="footnote reference"/>
    <w:semiHidden/>
    <w:qFormat/>
    <w:uiPriority w:val="0"/>
    <w:rPr>
      <w:vertAlign w:val="superscript"/>
    </w:rPr>
  </w:style>
  <w:style w:type="character" w:customStyle="1" w:styleId="45">
    <w:name w:val="标题 1 字符"/>
    <w:link w:val="3"/>
    <w:qFormat/>
    <w:uiPriority w:val="0"/>
    <w:rPr>
      <w:rFonts w:eastAsia="黑体"/>
      <w:b/>
      <w:bCs/>
      <w:kern w:val="44"/>
      <w:sz w:val="21"/>
      <w:szCs w:val="44"/>
    </w:rPr>
  </w:style>
  <w:style w:type="character" w:customStyle="1" w:styleId="46">
    <w:name w:val="标题 3 字符"/>
    <w:link w:val="4"/>
    <w:qFormat/>
    <w:uiPriority w:val="9"/>
    <w:rPr>
      <w:rFonts w:ascii="宋体" w:hAnsi="宋体" w:cs="宋体"/>
      <w:b/>
      <w:bCs/>
      <w:sz w:val="27"/>
      <w:szCs w:val="27"/>
    </w:rPr>
  </w:style>
  <w:style w:type="character" w:customStyle="1" w:styleId="47">
    <w:name w:val="批注文字 字符"/>
    <w:link w:val="10"/>
    <w:semiHidden/>
    <w:qFormat/>
    <w:uiPriority w:val="99"/>
    <w:rPr>
      <w:kern w:val="2"/>
      <w:sz w:val="21"/>
      <w:szCs w:val="24"/>
    </w:rPr>
  </w:style>
  <w:style w:type="character" w:customStyle="1" w:styleId="48">
    <w:name w:val="段 Char"/>
    <w:link w:val="25"/>
    <w:qFormat/>
    <w:uiPriority w:val="0"/>
    <w:rPr>
      <w:rFonts w:ascii="宋体"/>
      <w:sz w:val="21"/>
      <w:lang w:val="en-US" w:eastAsia="zh-CN" w:bidi="ar-SA"/>
    </w:rPr>
  </w:style>
  <w:style w:type="character" w:customStyle="1" w:styleId="49">
    <w:name w:val="批注主题 字符"/>
    <w:link w:val="34"/>
    <w:semiHidden/>
    <w:qFormat/>
    <w:uiPriority w:val="99"/>
    <w:rPr>
      <w:b/>
      <w:bCs/>
      <w:kern w:val="2"/>
      <w:sz w:val="21"/>
      <w:szCs w:val="24"/>
    </w:rPr>
  </w:style>
  <w:style w:type="character" w:customStyle="1" w:styleId="50">
    <w:name w:val="发布"/>
    <w:qFormat/>
    <w:uiPriority w:val="0"/>
    <w:rPr>
      <w:rFonts w:ascii="黑体" w:eastAsia="黑体"/>
      <w:spacing w:val="85"/>
      <w:w w:val="100"/>
      <w:position w:val="3"/>
      <w:sz w:val="28"/>
      <w:szCs w:val="28"/>
    </w:rPr>
  </w:style>
  <w:style w:type="character" w:customStyle="1" w:styleId="51">
    <w:name w:val="首示例 Char"/>
    <w:link w:val="52"/>
    <w:qFormat/>
    <w:uiPriority w:val="0"/>
    <w:rPr>
      <w:rFonts w:ascii="宋体" w:hAnsi="宋体"/>
      <w:kern w:val="2"/>
      <w:sz w:val="18"/>
      <w:szCs w:val="18"/>
    </w:rPr>
  </w:style>
  <w:style w:type="paragraph" w:customStyle="1" w:styleId="52">
    <w:name w:val="首示例"/>
    <w:next w:val="25"/>
    <w:link w:val="5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3">
    <w:name w:val="附录公式 Char"/>
    <w:basedOn w:val="48"/>
    <w:link w:val="54"/>
    <w:qFormat/>
    <w:uiPriority w:val="0"/>
  </w:style>
  <w:style w:type="paragraph" w:customStyle="1" w:styleId="54">
    <w:name w:val="附录公式"/>
    <w:basedOn w:val="25"/>
    <w:next w:val="25"/>
    <w:link w:val="53"/>
    <w:qFormat/>
    <w:uiPriority w:val="0"/>
  </w:style>
  <w:style w:type="paragraph" w:customStyle="1" w:styleId="55">
    <w:name w:val="附录章标题"/>
    <w:next w:val="25"/>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封面标准文稿编辑信息"/>
    <w:basedOn w:val="58"/>
    <w:qFormat/>
    <w:uiPriority w:val="0"/>
    <w:pPr>
      <w:spacing w:before="180" w:line="180" w:lineRule="exact"/>
    </w:pPr>
    <w:rPr>
      <w:sz w:val="21"/>
    </w:rPr>
  </w:style>
  <w:style w:type="paragraph" w:customStyle="1" w:styleId="58">
    <w:name w:val="封面标准文稿类别"/>
    <w:basedOn w:val="59"/>
    <w:qFormat/>
    <w:uiPriority w:val="0"/>
    <w:pPr>
      <w:spacing w:after="160" w:line="240" w:lineRule="auto"/>
    </w:pPr>
    <w:rPr>
      <w:sz w:val="24"/>
    </w:rPr>
  </w:style>
  <w:style w:type="paragraph" w:customStyle="1" w:styleId="59">
    <w:name w:val="封面一致性程度标识"/>
    <w:basedOn w:val="60"/>
    <w:qFormat/>
    <w:uiPriority w:val="0"/>
    <w:pPr>
      <w:spacing w:before="440"/>
    </w:pPr>
    <w:rPr>
      <w:rFonts w:ascii="宋体" w:eastAsia="宋体"/>
    </w:rPr>
  </w:style>
  <w:style w:type="paragraph" w:customStyle="1" w:styleId="60">
    <w:name w:val="封面标准英文名称"/>
    <w:basedOn w:val="61"/>
    <w:qFormat/>
    <w:uiPriority w:val="0"/>
    <w:pPr>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封面标准文稿编辑信息2"/>
    <w:basedOn w:val="57"/>
    <w:qFormat/>
    <w:uiPriority w:val="0"/>
    <w:pPr>
      <w:framePr w:y="4469"/>
    </w:pPr>
  </w:style>
  <w:style w:type="paragraph" w:customStyle="1" w:styleId="64">
    <w:name w:val="附录四级条标题"/>
    <w:basedOn w:val="65"/>
    <w:next w:val="25"/>
    <w:qFormat/>
    <w:uiPriority w:val="0"/>
    <w:pPr>
      <w:numPr>
        <w:ilvl w:val="5"/>
        <w:numId w:val="3"/>
      </w:numPr>
      <w:tabs>
        <w:tab w:val="left" w:pos="360"/>
      </w:tabs>
      <w:outlineLvl w:val="5"/>
    </w:pPr>
  </w:style>
  <w:style w:type="paragraph" w:customStyle="1" w:styleId="65">
    <w:name w:val="附录三级条标题"/>
    <w:basedOn w:val="66"/>
    <w:next w:val="25"/>
    <w:qFormat/>
    <w:uiPriority w:val="0"/>
    <w:pPr>
      <w:numPr>
        <w:ilvl w:val="4"/>
        <w:numId w:val="3"/>
      </w:numPr>
      <w:tabs>
        <w:tab w:val="left" w:pos="360"/>
      </w:tabs>
      <w:outlineLvl w:val="4"/>
    </w:pPr>
  </w:style>
  <w:style w:type="paragraph" w:customStyle="1" w:styleId="66">
    <w:name w:val="附录二级条标题"/>
    <w:basedOn w:val="1"/>
    <w:next w:val="25"/>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8">
    <w:name w:val="标准书眉_偶数页"/>
    <w:basedOn w:val="69"/>
    <w:next w:val="1"/>
    <w:qFormat/>
    <w:uiPriority w:val="0"/>
    <w:pPr>
      <w:tabs>
        <w:tab w:val="center" w:pos="4154"/>
        <w:tab w:val="right" w:pos="8306"/>
      </w:tabs>
      <w:jc w:val="left"/>
    </w:pPr>
    <w:rPr>
      <w:rFonts w:ascii="黑体" w:eastAsia="黑体"/>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附录标识"/>
    <w:basedOn w:val="1"/>
    <w:next w:val="25"/>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1">
    <w:name w:val="四级条标题"/>
    <w:basedOn w:val="72"/>
    <w:next w:val="25"/>
    <w:qFormat/>
    <w:uiPriority w:val="0"/>
    <w:pPr>
      <w:numPr>
        <w:ilvl w:val="4"/>
        <w:numId w:val="4"/>
      </w:numPr>
      <w:outlineLvl w:val="5"/>
    </w:pPr>
  </w:style>
  <w:style w:type="paragraph" w:customStyle="1" w:styleId="72">
    <w:name w:val="三级条标题"/>
    <w:basedOn w:val="73"/>
    <w:next w:val="25"/>
    <w:qFormat/>
    <w:uiPriority w:val="0"/>
    <w:pPr>
      <w:numPr>
        <w:ilvl w:val="0"/>
        <w:numId w:val="0"/>
      </w:numPr>
      <w:outlineLvl w:val="4"/>
    </w:pPr>
  </w:style>
  <w:style w:type="paragraph" w:customStyle="1" w:styleId="73">
    <w:name w:val="二级条标题"/>
    <w:basedOn w:val="74"/>
    <w:next w:val="25"/>
    <w:qFormat/>
    <w:uiPriority w:val="0"/>
    <w:pPr>
      <w:numPr>
        <w:ilvl w:val="2"/>
        <w:numId w:val="4"/>
      </w:numPr>
      <w:spacing w:before="50" w:after="50"/>
      <w:outlineLvl w:val="3"/>
    </w:pPr>
  </w:style>
  <w:style w:type="paragraph" w:customStyle="1" w:styleId="74">
    <w:name w:val="一级条标题"/>
    <w:next w:val="2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一级无"/>
    <w:basedOn w:val="74"/>
    <w:qFormat/>
    <w:uiPriority w:val="0"/>
    <w:pPr>
      <w:spacing w:before="0" w:beforeLines="0" w:after="0" w:afterLines="0"/>
    </w:pPr>
    <w:rPr>
      <w:rFonts w:ascii="宋体" w:eastAsia="宋体"/>
    </w:rPr>
  </w:style>
  <w:style w:type="paragraph" w:customStyle="1" w:styleId="76">
    <w:name w:val="示例×："/>
    <w:basedOn w:val="77"/>
    <w:qFormat/>
    <w:uiPriority w:val="0"/>
    <w:pPr>
      <w:numPr>
        <w:ilvl w:val="0"/>
        <w:numId w:val="5"/>
      </w:numPr>
      <w:spacing w:before="0" w:beforeLines="0" w:after="0" w:afterLines="0"/>
      <w:outlineLvl w:val="9"/>
    </w:pPr>
    <w:rPr>
      <w:rFonts w:ascii="宋体" w:eastAsia="宋体"/>
      <w:sz w:val="18"/>
      <w:szCs w:val="18"/>
    </w:rPr>
  </w:style>
  <w:style w:type="paragraph" w:customStyle="1" w:styleId="77">
    <w:name w:val="章标题"/>
    <w:next w:val="25"/>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封面标准英文名称2"/>
    <w:basedOn w:val="60"/>
    <w:qFormat/>
    <w:uiPriority w:val="0"/>
    <w:pPr>
      <w:framePr w:y="4469"/>
    </w:pPr>
  </w:style>
  <w:style w:type="paragraph" w:customStyle="1" w:styleId="80">
    <w:name w:val="三级无"/>
    <w:basedOn w:val="72"/>
    <w:qFormat/>
    <w:uiPriority w:val="0"/>
    <w:pPr>
      <w:spacing w:before="0" w:beforeLines="0" w:after="0" w:afterLines="0"/>
    </w:pPr>
    <w:rPr>
      <w:rFonts w:ascii="宋体" w:eastAsia="宋体"/>
    </w:rPr>
  </w:style>
  <w:style w:type="paragraph" w:customStyle="1" w:styleId="81">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82">
    <w:name w:val="封面一致性程度标识2"/>
    <w:basedOn w:val="59"/>
    <w:qFormat/>
    <w:uiPriority w:val="0"/>
    <w:pPr>
      <w:framePr w:y="4469"/>
    </w:pPr>
  </w:style>
  <w:style w:type="paragraph" w:customStyle="1" w:styleId="83">
    <w:name w:val="其他发布部门"/>
    <w:basedOn w:val="84"/>
    <w:qFormat/>
    <w:uiPriority w:val="0"/>
    <w:pPr>
      <w:framePr w:y="15310"/>
      <w:spacing w:line="0" w:lineRule="atLeast"/>
    </w:pPr>
    <w:rPr>
      <w:rFonts w:ascii="黑体" w:eastAsia="黑体"/>
      <w:b w:val="0"/>
    </w:rPr>
  </w:style>
  <w:style w:type="paragraph" w:customStyle="1" w:styleId="8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五级条标题"/>
    <w:basedOn w:val="71"/>
    <w:next w:val="25"/>
    <w:qFormat/>
    <w:uiPriority w:val="0"/>
    <w:pPr>
      <w:numPr>
        <w:ilvl w:val="5"/>
        <w:numId w:val="4"/>
      </w:numPr>
      <w:outlineLvl w:val="6"/>
    </w:pPr>
  </w:style>
  <w:style w:type="paragraph" w:customStyle="1" w:styleId="86">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7">
    <w:name w:val="附录一级条标题"/>
    <w:basedOn w:val="55"/>
    <w:next w:val="25"/>
    <w:qFormat/>
    <w:uiPriority w:val="0"/>
    <w:pPr>
      <w:numPr>
        <w:ilvl w:val="2"/>
        <w:numId w:val="3"/>
      </w:numPr>
      <w:autoSpaceDN w:val="0"/>
      <w:spacing w:before="50" w:beforeLines="50" w:after="50" w:afterLines="50"/>
      <w:outlineLvl w:val="2"/>
    </w:pPr>
  </w:style>
  <w:style w:type="paragraph" w:customStyle="1" w:styleId="88">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终结线"/>
    <w:basedOn w:val="1"/>
    <w:qFormat/>
    <w:uiPriority w:val="0"/>
    <w:pPr>
      <w:framePr w:hSpace="181" w:vSpace="181" w:wrap="around" w:vAnchor="text" w:hAnchor="margin" w:xAlign="center" w:y="285"/>
    </w:pPr>
  </w:style>
  <w:style w:type="paragraph" w:customStyle="1" w:styleId="90">
    <w:name w:val="附录五级无"/>
    <w:basedOn w:val="91"/>
    <w:qFormat/>
    <w:uiPriority w:val="0"/>
    <w:pPr>
      <w:tabs>
        <w:tab w:val="left" w:pos="360"/>
      </w:tabs>
      <w:spacing w:before="0" w:beforeLines="0" w:after="0" w:afterLines="0"/>
    </w:pPr>
    <w:rPr>
      <w:rFonts w:ascii="宋体" w:eastAsia="宋体"/>
      <w:szCs w:val="21"/>
    </w:rPr>
  </w:style>
  <w:style w:type="paragraph" w:customStyle="1" w:styleId="91">
    <w:name w:val="附录五级条标题"/>
    <w:basedOn w:val="64"/>
    <w:next w:val="25"/>
    <w:qFormat/>
    <w:uiPriority w:val="0"/>
    <w:pPr>
      <w:numPr>
        <w:ilvl w:val="6"/>
        <w:numId w:val="3"/>
      </w:numPr>
      <w:outlineLvl w:val="6"/>
    </w:p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附录四级无"/>
    <w:basedOn w:val="64"/>
    <w:qFormat/>
    <w:uiPriority w:val="0"/>
    <w:pPr>
      <w:tabs>
        <w:tab w:val="clear" w:pos="360"/>
      </w:tabs>
      <w:spacing w:before="0" w:beforeLines="0" w:after="0" w:afterLines="0"/>
    </w:pPr>
    <w:rPr>
      <w:rFonts w:ascii="宋体" w:eastAsia="宋体"/>
      <w:szCs w:val="21"/>
    </w:rPr>
  </w:style>
  <w:style w:type="paragraph" w:customStyle="1" w:styleId="9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附录表标号"/>
    <w:basedOn w:val="1"/>
    <w:next w:val="25"/>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6">
    <w:name w:val="实施日期"/>
    <w:basedOn w:val="92"/>
    <w:qFormat/>
    <w:uiPriority w:val="0"/>
    <w:pPr>
      <w:framePr w:vAnchor="page" w:hAnchor="page"/>
      <w:jc w:val="right"/>
    </w:pPr>
  </w:style>
  <w:style w:type="paragraph" w:customStyle="1" w:styleId="97">
    <w:name w:val="正文公式编号制表符"/>
    <w:basedOn w:val="25"/>
    <w:next w:val="25"/>
    <w:qFormat/>
    <w:uiPriority w:val="0"/>
    <w:pPr>
      <w:ind w:firstLine="0" w:firstLineChars="0"/>
    </w:p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其他发布日期"/>
    <w:basedOn w:val="92"/>
    <w:qFormat/>
    <w:uiPriority w:val="0"/>
    <w:pPr>
      <w:framePr w:vAnchor="page" w:hAnchor="page" w:x="1419"/>
    </w:pPr>
  </w:style>
  <w:style w:type="paragraph" w:customStyle="1" w:styleId="100">
    <w:name w:val="附录表标题"/>
    <w:basedOn w:val="1"/>
    <w:next w:val="25"/>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01">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封面正文"/>
    <w:qFormat/>
    <w:uiPriority w:val="0"/>
    <w:pPr>
      <w:jc w:val="both"/>
    </w:pPr>
    <w:rPr>
      <w:rFonts w:ascii="Times New Roman" w:hAnsi="Times New Roman" w:eastAsia="宋体" w:cs="Times New Roman"/>
      <w:lang w:val="en-US" w:eastAsia="zh-CN" w:bidi="ar-SA"/>
    </w:rPr>
  </w:style>
  <w:style w:type="paragraph" w:customStyle="1" w:styleId="10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4">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列项◆（三级）"/>
    <w:basedOn w:val="1"/>
    <w:qFormat/>
    <w:uiPriority w:val="0"/>
    <w:pPr>
      <w:numPr>
        <w:ilvl w:val="2"/>
        <w:numId w:val="10"/>
      </w:numPr>
    </w:pPr>
    <w:rPr>
      <w:rFonts w:ascii="宋体"/>
      <w:szCs w:val="21"/>
    </w:rPr>
  </w:style>
  <w:style w:type="paragraph" w:customStyle="1" w:styleId="107">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8">
    <w:name w:val="其他标准标志"/>
    <w:basedOn w:val="109"/>
    <w:qFormat/>
    <w:uiPriority w:val="0"/>
    <w:pPr>
      <w:framePr w:w="6101" w:vAnchor="page" w:hAnchor="page" w:x="4673" w:y="942"/>
    </w:pPr>
    <w:rPr>
      <w:w w:val="130"/>
    </w:rPr>
  </w:style>
  <w:style w:type="paragraph" w:customStyle="1" w:styleId="10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1">
    <w:name w:val="条文脚注"/>
    <w:basedOn w:val="26"/>
    <w:qFormat/>
    <w:uiPriority w:val="0"/>
    <w:pPr>
      <w:numPr>
        <w:ilvl w:val="0"/>
        <w:numId w:val="0"/>
      </w:numPr>
      <w:jc w:val="both"/>
    </w:pPr>
    <w:rPr>
      <w:rFonts w:ascii="宋体"/>
    </w:rPr>
  </w:style>
  <w:style w:type="paragraph" w:customStyle="1" w:styleId="112">
    <w:name w:val="四级无"/>
    <w:basedOn w:val="71"/>
    <w:qFormat/>
    <w:uiPriority w:val="0"/>
    <w:pPr>
      <w:spacing w:before="0" w:beforeLines="0" w:after="0" w:afterLines="0"/>
    </w:pPr>
    <w:rPr>
      <w:rFonts w:ascii="宋体" w:eastAsia="宋体"/>
    </w:rPr>
  </w:style>
  <w:style w:type="paragraph" w:customStyle="1" w:styleId="113">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示例后文字"/>
    <w:basedOn w:val="25"/>
    <w:next w:val="25"/>
    <w:qFormat/>
    <w:uiPriority w:val="0"/>
    <w:pPr>
      <w:ind w:firstLine="360"/>
    </w:pPr>
    <w:rPr>
      <w:sz w:val="18"/>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图表脚注说明"/>
    <w:basedOn w:val="1"/>
    <w:qFormat/>
    <w:uiPriority w:val="0"/>
    <w:pPr>
      <w:numPr>
        <w:ilvl w:val="0"/>
        <w:numId w:val="12"/>
      </w:numPr>
    </w:pPr>
    <w:rPr>
      <w:rFonts w:ascii="宋体"/>
      <w:sz w:val="18"/>
      <w:szCs w:val="18"/>
    </w:rPr>
  </w:style>
  <w:style w:type="paragraph" w:customStyle="1" w:styleId="1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编号列项（三级）"/>
    <w:qFormat/>
    <w:uiPriority w:val="0"/>
    <w:rPr>
      <w:rFonts w:ascii="宋体" w:hAnsi="Times New Roman" w:eastAsia="宋体" w:cs="Times New Roman"/>
      <w:sz w:val="21"/>
      <w:lang w:val="en-US" w:eastAsia="zh-CN" w:bidi="ar-SA"/>
    </w:rPr>
  </w:style>
  <w:style w:type="paragraph" w:customStyle="1" w:styleId="121">
    <w:name w:val="注：（正文）"/>
    <w:basedOn w:val="122"/>
    <w:next w:val="25"/>
    <w:qFormat/>
    <w:uiPriority w:val="0"/>
    <w:pPr>
      <w:numPr>
        <w:ilvl w:val="0"/>
        <w:numId w:val="13"/>
      </w:numPr>
    </w:pPr>
  </w:style>
  <w:style w:type="paragraph" w:customStyle="1" w:styleId="122">
    <w:name w:val="注："/>
    <w:next w:val="25"/>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封面标准文稿类别2"/>
    <w:basedOn w:val="58"/>
    <w:qFormat/>
    <w:uiPriority w:val="0"/>
    <w:pPr>
      <w:framePr w:y="4469"/>
    </w:pPr>
  </w:style>
  <w:style w:type="paragraph" w:customStyle="1" w:styleId="124">
    <w:name w:val="附录三级无"/>
    <w:basedOn w:val="65"/>
    <w:qFormat/>
    <w:uiPriority w:val="0"/>
    <w:pPr>
      <w:tabs>
        <w:tab w:val="clear" w:pos="360"/>
      </w:tabs>
      <w:spacing w:before="0" w:beforeLines="0" w:after="0" w:afterLines="0"/>
    </w:pPr>
    <w:rPr>
      <w:rFonts w:ascii="宋体" w:eastAsia="宋体"/>
      <w:szCs w:val="21"/>
    </w:rPr>
  </w:style>
  <w:style w:type="paragraph" w:customStyle="1" w:styleId="125">
    <w:name w:val="附录二级无"/>
    <w:basedOn w:val="66"/>
    <w:qFormat/>
    <w:uiPriority w:val="0"/>
    <w:pPr>
      <w:tabs>
        <w:tab w:val="clear" w:pos="360"/>
      </w:tabs>
      <w:spacing w:before="0" w:beforeLines="0" w:after="0" w:afterLines="0"/>
    </w:pPr>
    <w:rPr>
      <w:rFonts w:ascii="宋体" w:eastAsia="宋体"/>
      <w:szCs w:val="21"/>
    </w:rPr>
  </w:style>
  <w:style w:type="paragraph" w:customStyle="1" w:styleId="126">
    <w:name w:val="附录一级无"/>
    <w:basedOn w:val="87"/>
    <w:qFormat/>
    <w:uiPriority w:val="0"/>
    <w:pPr>
      <w:tabs>
        <w:tab w:val="clear" w:pos="360"/>
      </w:tabs>
      <w:spacing w:before="0" w:beforeLines="0" w:after="0" w:afterLines="0"/>
    </w:pPr>
    <w:rPr>
      <w:rFonts w:ascii="宋体" w:eastAsia="宋体"/>
      <w:szCs w:val="21"/>
    </w:rPr>
  </w:style>
  <w:style w:type="paragraph" w:customStyle="1" w:styleId="127">
    <w:name w:val="封面标准名称2"/>
    <w:basedOn w:val="61"/>
    <w:qFormat/>
    <w:uiPriority w:val="0"/>
    <w:pPr>
      <w:framePr w:y="4469"/>
      <w:spacing w:before="630" w:beforeLines="630"/>
    </w:pPr>
  </w:style>
  <w:style w:type="paragraph" w:customStyle="1" w:styleId="128">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29">
    <w:name w:val="_Style 126"/>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130">
    <w:name w:val="附录图标题"/>
    <w:basedOn w:val="1"/>
    <w:next w:val="25"/>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31">
    <w:name w:val="附录标题"/>
    <w:basedOn w:val="25"/>
    <w:next w:val="25"/>
    <w:qFormat/>
    <w:uiPriority w:val="0"/>
    <w:pPr>
      <w:ind w:firstLine="0" w:firstLineChars="0"/>
      <w:jc w:val="center"/>
    </w:pPr>
    <w:rPr>
      <w:rFonts w:ascii="黑体" w:eastAsia="黑体"/>
    </w:rPr>
  </w:style>
  <w:style w:type="paragraph" w:customStyle="1" w:styleId="132">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33">
    <w:name w:val="示例"/>
    <w:next w:val="110"/>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4">
    <w:name w:val="其他实施日期"/>
    <w:basedOn w:val="96"/>
    <w:qFormat/>
    <w:uiPriority w:val="0"/>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二级无"/>
    <w:basedOn w:val="73"/>
    <w:qFormat/>
    <w:uiPriority w:val="0"/>
    <w:pPr>
      <w:spacing w:before="0" w:beforeLines="0" w:after="0" w:afterLines="0"/>
    </w:pPr>
    <w:rPr>
      <w:rFonts w:ascii="宋体" w:eastAsia="宋体"/>
    </w:rPr>
  </w:style>
  <w:style w:type="paragraph" w:customStyle="1" w:styleId="137">
    <w:name w:val="正文图标题"/>
    <w:next w:val="25"/>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38">
    <w:name w:val="五级无"/>
    <w:basedOn w:val="85"/>
    <w:qFormat/>
    <w:uiPriority w:val="0"/>
    <w:pPr>
      <w:spacing w:before="0" w:beforeLines="0" w:after="0" w:afterLines="0"/>
    </w:pPr>
    <w:rPr>
      <w:rFonts w:ascii="宋体" w:eastAsia="宋体"/>
    </w:rPr>
  </w:style>
  <w:style w:type="paragraph" w:customStyle="1" w:styleId="139">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图标脚注说明"/>
    <w:basedOn w:val="25"/>
    <w:qFormat/>
    <w:uiPriority w:val="0"/>
    <w:pPr>
      <w:ind w:left="840" w:hanging="420" w:firstLineChars="0"/>
    </w:pPr>
    <w:rPr>
      <w:sz w:val="18"/>
      <w:szCs w:val="18"/>
    </w:rPr>
  </w:style>
  <w:style w:type="paragraph" w:customStyle="1" w:styleId="142">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4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6">
    <w:name w:val="WPSOffice手动目录 1"/>
    <w:qFormat/>
    <w:uiPriority w:val="0"/>
    <w:pPr>
      <w:ind w:leftChars="0"/>
    </w:pPr>
    <w:rPr>
      <w:rFonts w:ascii="Times New Roman" w:hAnsi="Times New Roman" w:eastAsia="宋体" w:cs="Times New Roman"/>
      <w:sz w:val="20"/>
      <w:szCs w:val="20"/>
    </w:rPr>
  </w:style>
  <w:style w:type="paragraph" w:customStyle="1" w:styleId="14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标准文件_注："/>
    <w:next w:val="147"/>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列出段落1"/>
    <w:basedOn w:val="1"/>
    <w:qFormat/>
    <w:uiPriority w:val="34"/>
    <w:pPr>
      <w:ind w:firstLine="420" w:firstLineChars="200"/>
    </w:pPr>
    <w:rPr>
      <w:rFonts w:ascii="Calibri" w:hAnsi="Calibri" w:eastAsia="宋体"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10</Pages>
  <Words>4704</Words>
  <Characters>5799</Characters>
  <Lines>60</Lines>
  <Paragraphs>17</Paragraphs>
  <TotalTime>4</TotalTime>
  <ScaleCrop>false</ScaleCrop>
  <LinksUpToDate>false</LinksUpToDate>
  <CharactersWithSpaces>5991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2010-01-28T06:47:00Z</dcterms:created>
  <dc:creator>CNIS</dc:creator>
  <cp:lastModifiedBy>In G Major</cp:lastModifiedBy>
  <cp:lastPrinted>2019-11-26T03:11:00Z</cp:lastPrinted>
  <dcterms:modified xsi:type="dcterms:W3CDTF">2023-11-22T07:49:40Z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D33EA658BE8E443DB614DC92A6841E65_13</vt:lpwstr>
  </property>
</Properties>
</file>