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3"/>
        <w:framePr w:wrap="around"/>
        <w:rPr>
          <w:rFonts w:ascii="Times New Roman"/>
          <w:color w:val="000000"/>
        </w:rPr>
      </w:pPr>
      <w:r>
        <w:rPr>
          <w:rFonts w:ascii="Times New Roman"/>
          <w:color w:val="000000"/>
        </w:rPr>
        <w:t>ICS</w:t>
      </w:r>
      <w:r>
        <w:rPr>
          <w:rFonts w:ascii="Times New Roman" w:eastAsia="MS Mincho"/>
          <w:color w:val="000000"/>
        </w:rPr>
        <w:t> </w:t>
      </w:r>
      <w:r>
        <w:rPr>
          <w:rFonts w:ascii="Times New Roman"/>
          <w:color w:val="000000"/>
        </w:rPr>
        <w:fldChar w:fldCharType="begin">
          <w:ffData>
            <w:name w:val="ICS"/>
            <w:enabled/>
            <w:calcOnExit w:val="0"/>
            <w:helpText w:type="text" w:val="请输入正确的ICS号："/>
            <w:textInput>
              <w:default w:val="03.100.50"/>
            </w:textInput>
          </w:ffData>
        </w:fldChar>
      </w:r>
      <w:bookmarkStart w:id="0" w:name="ICS"/>
      <w:r>
        <w:rPr>
          <w:rFonts w:ascii="Times New Roman"/>
          <w:color w:val="000000"/>
        </w:rPr>
        <w:instrText xml:space="preserve"> FORMTEXT </w:instrText>
      </w:r>
      <w:r>
        <w:rPr>
          <w:rFonts w:ascii="Times New Roman"/>
          <w:color w:val="000000"/>
        </w:rPr>
        <w:fldChar w:fldCharType="separate"/>
      </w:r>
      <w:r>
        <w:rPr>
          <w:rFonts w:ascii="Times New Roman"/>
          <w:color w:val="000000"/>
        </w:rPr>
        <w:t>71.100.70</w:t>
      </w:r>
      <w:r>
        <w:rPr>
          <w:rFonts w:ascii="Times New Roman"/>
          <w:color w:val="000000"/>
        </w:rPr>
        <w:fldChar w:fldCharType="end"/>
      </w:r>
      <w:bookmarkEnd w:id="0"/>
    </w:p>
    <w:p>
      <w:pPr>
        <w:pStyle w:val="143"/>
        <w:framePr w:wrap="around"/>
        <w:rPr>
          <w:rFonts w:ascii="Times New Roman"/>
          <w:color w:val="000000"/>
        </w:rPr>
      </w:pPr>
      <w:r>
        <w:rPr>
          <w:rFonts w:ascii="Times New Roman"/>
          <w:color w:val="000000"/>
        </w:rPr>
        <w:t xml:space="preserve">CCS </w:t>
      </w:r>
      <w:r>
        <w:rPr>
          <w:rFonts w:ascii="Times New Roman"/>
          <w:color w:val="000000"/>
        </w:rPr>
        <w:fldChar w:fldCharType="begin">
          <w:ffData>
            <w:name w:val="WXFLH"/>
            <w:enabled/>
            <w:calcOnExit w:val="0"/>
            <w:helpText w:type="text" w:val="请输入中国标准文献分类号："/>
            <w:textInput>
              <w:default w:val="C 00"/>
            </w:textInput>
          </w:ffData>
        </w:fldChar>
      </w:r>
      <w:bookmarkStart w:id="1" w:name="WXFLH"/>
      <w:r>
        <w:rPr>
          <w:rFonts w:ascii="Times New Roman"/>
          <w:color w:val="000000"/>
        </w:rPr>
        <w:instrText xml:space="preserve"> FORMTEXT </w:instrText>
      </w:r>
      <w:r>
        <w:rPr>
          <w:rFonts w:ascii="Times New Roman"/>
          <w:color w:val="000000"/>
        </w:rPr>
        <w:fldChar w:fldCharType="separate"/>
      </w:r>
      <w:r>
        <w:rPr>
          <w:rFonts w:ascii="Times New Roman"/>
          <w:color w:val="000000"/>
        </w:rPr>
        <w:t>Y42</w:t>
      </w:r>
      <w:r>
        <w:rPr>
          <w:rFonts w:ascii="Times New Roman"/>
          <w:color w:val="000000"/>
        </w:rPr>
        <w:fldChar w:fldCharType="end"/>
      </w:r>
      <w:bookmarkEnd w:id="1"/>
    </w:p>
    <w:p>
      <w:pPr>
        <w:pStyle w:val="107"/>
        <w:framePr w:wrap="around"/>
        <w:rPr>
          <w:color w:val="000000"/>
        </w:rPr>
      </w:pPr>
      <w:r>
        <w:rPr>
          <w:color w:val="000000"/>
        </w:rPr>
        <w:t>DB61</w:t>
      </w:r>
    </w:p>
    <w:p>
      <w:pPr>
        <w:pStyle w:val="104"/>
        <w:framePr w:wrap="around"/>
        <w:rPr>
          <w:rFonts w:ascii="Times New Roman" w:hAnsi="Times New Roman"/>
          <w:color w:val="000000"/>
        </w:rPr>
      </w:pPr>
      <w:bookmarkStart w:id="2" w:name="c4"/>
      <w:r>
        <w:rPr>
          <w:rFonts w:ascii="Times New Roman" w:hAnsi="Times New Roman"/>
          <w:color w:val="000000"/>
        </w:rPr>
        <w:fldChar w:fldCharType="begin">
          <w:ffData>
            <w:name w:val="c4"/>
            <w:enabled/>
            <w:calcOnExit w:val="0"/>
            <w:textInput/>
          </w:ffData>
        </w:fldChar>
      </w:r>
      <w:r>
        <w:rPr>
          <w:rFonts w:ascii="Times New Roman" w:hAnsi="Times New Roman"/>
          <w:color w:val="000000"/>
        </w:rPr>
        <w:instrText xml:space="preserve"> FORMTEXT </w:instrText>
      </w:r>
      <w:r>
        <w:rPr>
          <w:rFonts w:ascii="Times New Roman" w:hAnsi="Times New Roman"/>
          <w:color w:val="000000"/>
        </w:rPr>
        <w:fldChar w:fldCharType="separate"/>
      </w:r>
      <w:r>
        <w:rPr>
          <w:rFonts w:ascii="Times New Roman" w:hAnsi="Times New Roman"/>
          <w:color w:val="000000"/>
        </w:rPr>
        <w:t>陕西省</w:t>
      </w:r>
      <w:r>
        <w:rPr>
          <w:rFonts w:ascii="Times New Roman" w:hAnsi="Times New Roman"/>
          <w:color w:val="000000"/>
        </w:rPr>
        <w:fldChar w:fldCharType="end"/>
      </w:r>
      <w:bookmarkEnd w:id="2"/>
      <w:r>
        <w:rPr>
          <w:rFonts w:ascii="Times New Roman" w:hAnsi="Times New Roman"/>
          <w:color w:val="000000"/>
        </w:rPr>
        <w:t>地方标准</w:t>
      </w:r>
    </w:p>
    <w:p>
      <w:pPr>
        <w:pStyle w:val="117"/>
        <w:framePr w:wrap="around"/>
        <w:outlineLvl w:val="0"/>
        <w:rPr>
          <w:rFonts w:ascii="Times New Roman"/>
        </w:rPr>
      </w:pPr>
      <w:bookmarkStart w:id="3" w:name="_Toc150527930"/>
      <w:bookmarkStart w:id="4" w:name="_Toc32082"/>
      <w:bookmarkStart w:id="5" w:name="_Toc30952"/>
      <w:r>
        <w:rPr>
          <w:rFonts w:ascii="Times New Roman"/>
        </w:rPr>
        <w:t xml:space="preserve">DB </w:t>
      </w:r>
      <w:r>
        <w:rPr>
          <w:rFonts w:ascii="Times New Roman"/>
        </w:rPr>
        <w:fldChar w:fldCharType="begin">
          <w:ffData>
            <w:name w:val="StdNo0"/>
            <w:enabled/>
            <w:calcOnExit w:val="0"/>
            <w:textInput>
              <w:default w:val="61"/>
              <w:maxLength w:val="2"/>
            </w:textInput>
          </w:ffData>
        </w:fldChar>
      </w:r>
      <w:bookmarkStart w:id="6" w:name="StdNo0"/>
      <w:r>
        <w:rPr>
          <w:rFonts w:ascii="Times New Roman"/>
        </w:rPr>
        <w:instrText xml:space="preserve"> FORMTEXT </w:instrText>
      </w:r>
      <w:r>
        <w:rPr>
          <w:rFonts w:ascii="Times New Roman"/>
        </w:rPr>
        <w:fldChar w:fldCharType="separate"/>
      </w:r>
      <w:r>
        <w:rPr>
          <w:rFonts w:ascii="Times New Roman"/>
        </w:rPr>
        <w:t>61</w:t>
      </w:r>
      <w:r>
        <w:rPr>
          <w:rFonts w:ascii="Times New Roman"/>
        </w:rPr>
        <w:fldChar w:fldCharType="end"/>
      </w:r>
      <w:bookmarkEnd w:id="6"/>
      <w:r>
        <w:rPr>
          <w:rFonts w:ascii="Times New Roman"/>
        </w:rPr>
        <w:t xml:space="preserve">/T </w:t>
      </w:r>
      <w:r>
        <w:rPr>
          <w:rFonts w:ascii="Times New Roman"/>
        </w:rPr>
        <w:fldChar w:fldCharType="begin">
          <w:ffData>
            <w:name w:val="StdNo1"/>
            <w:enabled/>
            <w:calcOnExit w:val="0"/>
            <w:textInput>
              <w:default w:val="XXXXX"/>
            </w:textInput>
          </w:ffData>
        </w:fldChar>
      </w:r>
      <w:bookmarkStart w:id="7" w:name="StdNo1"/>
      <w:r>
        <w:rPr>
          <w:rFonts w:ascii="Times New Roman"/>
        </w:rPr>
        <w:instrText xml:space="preserve"> FORMTEXT </w:instrText>
      </w:r>
      <w:r>
        <w:rPr>
          <w:rFonts w:ascii="Times New Roman"/>
        </w:rPr>
        <w:fldChar w:fldCharType="separate"/>
      </w:r>
      <w:r>
        <w:rPr>
          <w:rFonts w:ascii="Times New Roman"/>
        </w:rPr>
        <w:t>XXXXX</w:t>
      </w:r>
      <w:r>
        <w:rPr>
          <w:rFonts w:ascii="Times New Roman"/>
        </w:rPr>
        <w:fldChar w:fldCharType="end"/>
      </w:r>
      <w:bookmarkEnd w:id="7"/>
      <w:r>
        <w:rPr>
          <w:rFonts w:ascii="Times New Roman"/>
        </w:rPr>
        <w:t>—</w:t>
      </w:r>
      <w:r>
        <w:rPr>
          <w:rFonts w:ascii="Times New Roman"/>
        </w:rPr>
        <w:fldChar w:fldCharType="begin">
          <w:ffData>
            <w:name w:val="StdNo2"/>
            <w:enabled/>
            <w:calcOnExit w:val="0"/>
            <w:textInput>
              <w:default w:val="XXXX"/>
              <w:maxLength w:val="4"/>
            </w:textInput>
          </w:ffData>
        </w:fldChar>
      </w:r>
      <w:bookmarkStart w:id="8" w:name="StdNo2"/>
      <w:r>
        <w:rPr>
          <w:rFonts w:ascii="Times New Roman"/>
        </w:rPr>
        <w:instrText xml:space="preserve"> FORMTEXT </w:instrText>
      </w:r>
      <w:r>
        <w:rPr>
          <w:rFonts w:ascii="Times New Roman"/>
        </w:rPr>
        <w:fldChar w:fldCharType="separate"/>
      </w:r>
      <w:r>
        <w:rPr>
          <w:rFonts w:ascii="Times New Roman"/>
        </w:rPr>
        <w:t>XXXX</w:t>
      </w:r>
      <w:bookmarkEnd w:id="3"/>
      <w:r>
        <w:rPr>
          <w:rFonts w:ascii="Times New Roman"/>
        </w:rPr>
        <w:fldChar w:fldCharType="end"/>
      </w:r>
      <w:bookmarkEnd w:id="4"/>
      <w:bookmarkEnd w:id="5"/>
      <w:bookmarkEnd w:id="8"/>
    </w:p>
    <w:p>
      <w:pPr>
        <w:pStyle w:val="117"/>
        <w:framePr w:wrap="around"/>
        <w:rPr>
          <w:rFonts w:ascii="Times New Roman"/>
        </w:rPr>
      </w:pPr>
    </w:p>
    <w:p>
      <w:pPr>
        <w:pStyle w:val="117"/>
        <w:framePr w:wrap="around"/>
        <w:rPr>
          <w:rFonts w:ascii="Times New Roman"/>
          <w:color w:val="000000"/>
        </w:rPr>
      </w:pPr>
    </w:p>
    <w:p>
      <w:pPr>
        <w:pStyle w:val="60"/>
        <w:framePr w:wrap="around" w:x="1209" w:y="6652"/>
        <w:tabs>
          <w:tab w:val="left" w:pos="9630"/>
        </w:tabs>
        <w:ind w:right="-29" w:rightChars="-14"/>
        <w:rPr>
          <w:rFonts w:ascii="Times New Roman"/>
          <w:color w:val="000000"/>
        </w:rPr>
      </w:pPr>
      <w:r>
        <w:rPr>
          <w:rFonts w:hint="eastAsia" w:ascii="Times New Roman"/>
          <w:color w:val="000000"/>
        </w:rPr>
        <w:t>基于皮肤模型化妆品舒缓功效试验方法</w:t>
      </w:r>
    </w:p>
    <w:p>
      <w:pPr>
        <w:pStyle w:val="59"/>
        <w:framePr w:wrap="around" w:x="1209" w:y="6652"/>
        <w:ind w:right="-29" w:rightChars="-14"/>
        <w:rPr>
          <w:color w:val="000000"/>
        </w:rPr>
      </w:pPr>
      <w:r>
        <w:rPr>
          <w:rFonts w:hint="eastAsia"/>
          <w:color w:val="000000"/>
        </w:rPr>
        <w:t>Test method for soothing effect of cosmetics based on skin model</w:t>
      </w:r>
    </w:p>
    <w:p>
      <w:pPr>
        <w:pStyle w:val="58"/>
        <w:framePr w:wrap="around" w:x="1209" w:y="6652"/>
        <w:rPr>
          <w:rFonts w:ascii="Times New Roman"/>
          <w:b/>
          <w:bCs/>
          <w:color w:val="000000"/>
          <w:sz w:val="32"/>
          <w:szCs w:val="32"/>
        </w:rPr>
      </w:pPr>
      <w:r>
        <w:rPr>
          <w:rFonts w:ascii="Times New Roman"/>
          <w:b/>
          <w:bCs/>
          <w:color w:val="000000"/>
          <w:sz w:val="32"/>
          <w:szCs w:val="32"/>
        </w:rPr>
        <w:t>（征求意见稿）</w:t>
      </w:r>
    </w:p>
    <w:p>
      <w:pPr>
        <w:pStyle w:val="98"/>
        <w:framePr w:wrap="around" w:vAnchor="page" w:hAnchor="page" w:x="1386" w:y="14044"/>
        <w:rPr>
          <w:color w:val="000000"/>
        </w:rPr>
      </w:pPr>
      <w:r>
        <w:rPr>
          <w:color w:val="000000"/>
        </w:rPr>
        <w:fldChar w:fldCharType="begin">
          <w:ffData>
            <w:name w:val="FY"/>
            <w:enabled/>
            <w:calcOnExit w:val="0"/>
            <w:textInput>
              <w:default w:val="XXXX"/>
              <w:maxLength w:val="4"/>
            </w:textInput>
          </w:ffData>
        </w:fldChar>
      </w:r>
      <w:bookmarkStart w:id="9" w:name="FY"/>
      <w:r>
        <w:rPr>
          <w:color w:val="000000"/>
        </w:rPr>
        <w:instrText xml:space="preserve"> FORMTEXT </w:instrText>
      </w:r>
      <w:r>
        <w:rPr>
          <w:color w:val="000000"/>
        </w:rPr>
        <w:fldChar w:fldCharType="separate"/>
      </w:r>
      <w:r>
        <w:rPr>
          <w:color w:val="000000"/>
        </w:rPr>
        <w:t>XXXX</w:t>
      </w:r>
      <w:r>
        <w:rPr>
          <w:color w:val="000000"/>
        </w:rPr>
        <w:fldChar w:fldCharType="end"/>
      </w:r>
      <w:bookmarkEnd w:id="9"/>
      <w:r>
        <w:rPr>
          <w:color w:val="000000"/>
        </w:rPr>
        <w:t xml:space="preserve"> - </w:t>
      </w:r>
      <w:r>
        <w:rPr>
          <w:color w:val="000000"/>
        </w:rPr>
        <w:fldChar w:fldCharType="begin">
          <w:ffData>
            <w:enabled/>
            <w:calcOnExit w:val="0"/>
            <w:textInput>
              <w:default w:val="XX"/>
              <w:maxLength w:val="2"/>
            </w:textInput>
          </w:ffData>
        </w:fldChar>
      </w:r>
      <w:r>
        <w:rPr>
          <w:color w:val="000000"/>
        </w:rPr>
        <w:instrText xml:space="preserve"> FORMTEXT </w:instrText>
      </w:r>
      <w:r>
        <w:rPr>
          <w:color w:val="000000"/>
        </w:rPr>
        <w:fldChar w:fldCharType="separate"/>
      </w:r>
      <w:r>
        <w:rPr>
          <w:color w:val="000000"/>
        </w:rPr>
        <w:t>XX</w:t>
      </w:r>
      <w:r>
        <w:rPr>
          <w:color w:val="000000"/>
        </w:rPr>
        <w:fldChar w:fldCharType="end"/>
      </w:r>
      <w:r>
        <w:rPr>
          <w:color w:val="000000"/>
        </w:rPr>
        <w:t xml:space="preserve"> - </w:t>
      </w:r>
      <w:r>
        <w:rPr>
          <w:color w:val="000000"/>
        </w:rPr>
        <w:fldChar w:fldCharType="begin">
          <w:ffData>
            <w:name w:val="FD"/>
            <w:enabled/>
            <w:calcOnExit w:val="0"/>
            <w:textInput>
              <w:default w:val="XX"/>
              <w:maxLength w:val="2"/>
            </w:textInput>
          </w:ffData>
        </w:fldChar>
      </w:r>
      <w:bookmarkStart w:id="10" w:name="FD"/>
      <w:r>
        <w:rPr>
          <w:color w:val="000000"/>
        </w:rPr>
        <w:instrText xml:space="preserve"> FORMTEXT </w:instrText>
      </w:r>
      <w:r>
        <w:rPr>
          <w:color w:val="000000"/>
        </w:rPr>
        <w:fldChar w:fldCharType="separate"/>
      </w:r>
      <w:r>
        <w:rPr>
          <w:color w:val="000000"/>
        </w:rPr>
        <w:t>XX</w:t>
      </w:r>
      <w:r>
        <w:rPr>
          <w:color w:val="000000"/>
        </w:rPr>
        <w:fldChar w:fldCharType="end"/>
      </w:r>
      <w:bookmarkEnd w:id="10"/>
      <w:r>
        <w:rPr>
          <w:color w:val="000000"/>
        </w:rPr>
        <w:t>发布</w:t>
      </w:r>
      <w:r>
        <w:rPr>
          <w:color w:val="000000"/>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h2s81gAAAAsBAAAPAAAA&#10;AAAAAAEAIAAAACIAAABkcnMvZG93bnJldi54bWxQSwECFAAUAAAACACHTuJAT3W0H94BAADQAwAA&#10;DgAAAAAAAAABACAAAAAlAQAAZHJzL2Uyb0RvYy54bWxQSwUGAAAAAAYABgBZAQAAdQUAAAAA&#10;">
                <v:fill on="f" focussize="0,0"/>
                <v:stroke color="#000000" joinstyle="round"/>
                <v:imagedata o:title=""/>
                <o:lock v:ext="edit" aspectratio="f"/>
                <w10:anchorlock/>
              </v:line>
            </w:pict>
          </mc:Fallback>
        </mc:AlternateContent>
      </w:r>
    </w:p>
    <w:p>
      <w:pPr>
        <w:pStyle w:val="133"/>
        <w:framePr w:wrap="around" w:vAnchor="page" w:hAnchor="page" w:x="6940" w:y="14015"/>
        <w:rPr>
          <w:color w:val="000000"/>
        </w:rPr>
      </w:pPr>
      <w:r>
        <w:rPr>
          <w:color w:val="000000"/>
        </w:rPr>
        <w:fldChar w:fldCharType="begin">
          <w:ffData>
            <w:name w:val="SY"/>
            <w:enabled/>
            <w:calcOnExit w:val="0"/>
            <w:textInput>
              <w:default w:val="XXXX"/>
              <w:maxLength w:val="4"/>
            </w:textInput>
          </w:ffData>
        </w:fldChar>
      </w:r>
      <w:bookmarkStart w:id="11" w:name="SY"/>
      <w:r>
        <w:rPr>
          <w:color w:val="000000"/>
        </w:rPr>
        <w:instrText xml:space="preserve"> FORMTEXT </w:instrText>
      </w:r>
      <w:r>
        <w:rPr>
          <w:color w:val="000000"/>
        </w:rPr>
        <w:fldChar w:fldCharType="separate"/>
      </w:r>
      <w:r>
        <w:rPr>
          <w:color w:val="000000"/>
        </w:rPr>
        <w:t>XXXX</w:t>
      </w:r>
      <w:r>
        <w:rPr>
          <w:color w:val="000000"/>
        </w:rPr>
        <w:fldChar w:fldCharType="end"/>
      </w:r>
      <w:bookmarkEnd w:id="11"/>
      <w:r>
        <w:rPr>
          <w:color w:val="000000"/>
        </w:rPr>
        <w:t xml:space="preserve"> - </w:t>
      </w:r>
      <w:r>
        <w:rPr>
          <w:color w:val="000000"/>
        </w:rPr>
        <w:fldChar w:fldCharType="begin">
          <w:ffData>
            <w:name w:val="SM"/>
            <w:enabled/>
            <w:calcOnExit w:val="0"/>
            <w:textInput>
              <w:default w:val="XX"/>
              <w:maxLength w:val="2"/>
            </w:textInput>
          </w:ffData>
        </w:fldChar>
      </w:r>
      <w:bookmarkStart w:id="12" w:name="SM"/>
      <w:r>
        <w:rPr>
          <w:color w:val="000000"/>
        </w:rPr>
        <w:instrText xml:space="preserve"> FORMTEXT </w:instrText>
      </w:r>
      <w:r>
        <w:rPr>
          <w:color w:val="000000"/>
        </w:rPr>
        <w:fldChar w:fldCharType="separate"/>
      </w:r>
      <w:r>
        <w:rPr>
          <w:color w:val="000000"/>
        </w:rPr>
        <w:t>XX</w:t>
      </w:r>
      <w:r>
        <w:rPr>
          <w:color w:val="000000"/>
        </w:rPr>
        <w:fldChar w:fldCharType="end"/>
      </w:r>
      <w:bookmarkEnd w:id="12"/>
      <w:r>
        <w:rPr>
          <w:color w:val="000000"/>
        </w:rPr>
        <w:t xml:space="preserve"> - </w:t>
      </w:r>
      <w:r>
        <w:rPr>
          <w:color w:val="000000"/>
        </w:rPr>
        <w:fldChar w:fldCharType="begin">
          <w:ffData>
            <w:name w:val="SD"/>
            <w:enabled/>
            <w:calcOnExit w:val="0"/>
            <w:textInput>
              <w:default w:val="XX"/>
              <w:maxLength w:val="2"/>
            </w:textInput>
          </w:ffData>
        </w:fldChar>
      </w:r>
      <w:bookmarkStart w:id="13" w:name="SD"/>
      <w:r>
        <w:rPr>
          <w:color w:val="000000"/>
        </w:rPr>
        <w:instrText xml:space="preserve"> FORMTEXT </w:instrText>
      </w:r>
      <w:r>
        <w:rPr>
          <w:color w:val="000000"/>
        </w:rPr>
        <w:fldChar w:fldCharType="separate"/>
      </w:r>
      <w:r>
        <w:rPr>
          <w:color w:val="000000"/>
        </w:rPr>
        <w:t>XX</w:t>
      </w:r>
      <w:r>
        <w:rPr>
          <w:color w:val="000000"/>
        </w:rPr>
        <w:fldChar w:fldCharType="end"/>
      </w:r>
      <w:bookmarkEnd w:id="13"/>
      <w:r>
        <w:rPr>
          <w:color w:val="000000"/>
        </w:rPr>
        <w:t>实施</w:t>
      </w:r>
    </w:p>
    <w:p>
      <w:pPr>
        <w:pStyle w:val="82"/>
        <w:framePr w:wrap="around"/>
        <w:rPr>
          <w:rFonts w:ascii="Times New Roman"/>
          <w:color w:val="000000"/>
        </w:rPr>
      </w:pPr>
      <w:bookmarkStart w:id="14" w:name="fm"/>
      <w:r>
        <w:rPr>
          <w:rStyle w:val="49"/>
          <w:rFonts w:ascii="Times New Roman"/>
          <w:color w:val="000000"/>
        </w:rPr>
        <w:t>陕西省市场监督管理局</w:t>
      </w:r>
      <w:r>
        <w:rPr>
          <w:rFonts w:ascii="Times New Roman"/>
          <w:color w:val="000000"/>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BXfBLqp&#10;AQAAZwMAAA4AAAAAAAAAAQAgAAAAKAEAAGRycy9lMm9Eb2MueG1sUEsFBgAAAAAGAAYAWQEAAEMF&#10;AAAAAA==&#10;">
                <v:fill on="t" focussize="0,0"/>
                <v:stroke on="f"/>
                <v:imagedata o:title=""/>
                <o:lock v:ext="edit" aspectratio="f"/>
              </v:rect>
            </w:pict>
          </mc:Fallback>
        </mc:AlternateContent>
      </w:r>
      <w:r>
        <w:rPr>
          <w:rFonts w:ascii="Times New Roman"/>
          <w:color w:val="000000"/>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9p9R&#10;CqoBAABnAwAADgAAAAAAAAABACAAAAApAQAAZHJzL2Uyb0RvYy54bWxQSwUGAAAAAAYABgBZAQAA&#10;RQUAAAAA&#10;">
                <v:fill on="t" focussize="0,0"/>
                <v:stroke on="f"/>
                <v:imagedata o:title=""/>
                <o:lock v:ext="edit" aspectratio="f"/>
              </v:rect>
            </w:pict>
          </mc:Fallback>
        </mc:AlternateContent>
      </w:r>
      <w:r>
        <w:rPr>
          <w:rFonts w:ascii="Times New Roman"/>
          <w:color w:val="000000"/>
          <w:w w:val="100"/>
        </w:rPr>
        <mc:AlternateContent>
          <mc:Choice Requires="wps">
            <w:drawing>
              <wp:anchor distT="0" distB="0" distL="114300" distR="114300" simplePos="0" relativeHeight="251663360"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4"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36.6pt;margin-top:-552.85pt;height:0pt;width:481.9pt;z-index:251663360;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7JZGg2AAAAA8BAAAP&#10;AAAAAAAAAAEAIAAAACIAAABkcnMvZG93bnJldi54bWxQSwECFAAUAAAACACHTuJAmQuPFd8BAADQ&#10;AwAADgAAAAAAAAABACAAAAAnAQAAZHJzL2Uyb0RvYy54bWxQSwUGAAAAAAYABgBZAQAAeAUAAAAA&#10;">
                <v:fill on="f" focussize="0,0"/>
                <v:stroke color="#000000" joinstyle="round"/>
                <v:imagedata o:title=""/>
                <o:lock v:ext="edit" aspectratio="f"/>
              </v:line>
            </w:pict>
          </mc:Fallback>
        </mc:AlternateContent>
      </w:r>
      <w:bookmarkEnd w:id="14"/>
      <w:r>
        <w:rPr>
          <w:rFonts w:ascii="Times New Roman"/>
          <w:color w:val="000000"/>
        </w:rPr>
        <w:t>   </w:t>
      </w:r>
      <w:r>
        <w:rPr>
          <w:rStyle w:val="49"/>
          <w:rFonts w:ascii="Times New Roman"/>
          <w:color w:val="000000"/>
        </w:rPr>
        <w:t>发布</w:t>
      </w:r>
    </w:p>
    <w:p>
      <w:pPr>
        <w:pStyle w:val="25"/>
        <w:rPr>
          <w:rFonts w:ascii="Times New Roman"/>
          <w:color w:val="000000"/>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p>
    <w:p>
      <w:pPr>
        <w:pStyle w:val="138"/>
        <w:rPr>
          <w:rFonts w:ascii="Times New Roman"/>
          <w:color w:val="000000"/>
        </w:rPr>
      </w:pPr>
      <w:bookmarkStart w:id="15" w:name="_Toc150527931"/>
      <w:bookmarkStart w:id="16" w:name="_Toc18181"/>
      <w:bookmarkStart w:id="17" w:name="_Toc553"/>
      <w:r>
        <w:rPr>
          <w:rFonts w:ascii="Times New Roman"/>
          <w:color w:val="000000"/>
        </w:rPr>
        <w:t>目</w:t>
      </w:r>
      <w:bookmarkStart w:id="18" w:name="BKML"/>
      <w:r>
        <w:rPr>
          <w:rFonts w:ascii="Times New Roman"/>
          <w:color w:val="000000"/>
        </w:rPr>
        <w:t>  次</w:t>
      </w:r>
      <w:bookmarkEnd w:id="15"/>
      <w:bookmarkEnd w:id="16"/>
      <w:bookmarkEnd w:id="17"/>
      <w:bookmarkEnd w:id="18"/>
      <w:r>
        <w:rPr>
          <w:rFonts w:ascii="Times New Roman"/>
          <w:color w:val="000000"/>
        </w:rPr>
        <w:fldChar w:fldCharType="begin" w:fldLock="1"/>
      </w:r>
      <w:r>
        <w:rPr>
          <w:rFonts w:ascii="Times New Roman"/>
          <w:color w:val="000000"/>
        </w:rPr>
        <w:instrText xml:space="preserve"> TOC \h \z \t"前言、引言标题,1,参考文献、索引标题,1,章标题,1,参考文献,1,附录标识,1" \* MERGEFORMAT </w:instrText>
      </w:r>
      <w:r>
        <w:rPr>
          <w:rFonts w:ascii="Times New Roman"/>
          <w:color w:val="000000"/>
        </w:rPr>
        <w:fldChar w:fldCharType="separate"/>
      </w:r>
    </w:p>
    <w:p>
      <w:pPr>
        <w:jc w:val="center"/>
      </w:pPr>
    </w:p>
    <w:p>
      <w:pPr>
        <w:pStyle w:val="21"/>
        <w:spacing w:before="78" w:after="78"/>
        <w:rPr>
          <w:rFonts w:asciiTheme="minorHAnsi" w:hAnsiTheme="minorHAnsi" w:eastAsiaTheme="minorEastAsia" w:cstheme="minorBidi"/>
          <w:szCs w:val="22"/>
        </w:rPr>
      </w:pPr>
      <w:r>
        <w:rPr>
          <w:rFonts w:ascii="Times New Roman"/>
          <w:kern w:val="0"/>
          <w:sz w:val="20"/>
          <w:szCs w:val="20"/>
        </w:rPr>
        <w:fldChar w:fldCharType="begin"/>
      </w:r>
      <w:r>
        <w:rPr>
          <w:rFonts w:ascii="Times New Roman"/>
        </w:rPr>
        <w:instrText xml:space="preserve">TOC \o "1-1" \h \u </w:instrText>
      </w:r>
      <w:r>
        <w:rPr>
          <w:rFonts w:ascii="Times New Roman"/>
          <w:kern w:val="0"/>
          <w:sz w:val="20"/>
          <w:szCs w:val="20"/>
        </w:rPr>
        <w:fldChar w:fldCharType="separate"/>
      </w:r>
      <w:r>
        <w:fldChar w:fldCharType="begin"/>
      </w:r>
      <w:r>
        <w:instrText xml:space="preserve"> HYPERLINK \l "_Toc150527932" </w:instrText>
      </w:r>
      <w:r>
        <w:fldChar w:fldCharType="separate"/>
      </w:r>
      <w:r>
        <w:rPr>
          <w:rStyle w:val="41"/>
          <w:rFonts w:ascii="Times New Roman"/>
        </w:rPr>
        <w:t>前  言</w:t>
      </w:r>
      <w:r>
        <w:tab/>
      </w:r>
      <w:r>
        <w:fldChar w:fldCharType="begin"/>
      </w:r>
      <w:r>
        <w:instrText xml:space="preserve"> PAGEREF _Toc150527932 \h </w:instrText>
      </w:r>
      <w:r>
        <w:fldChar w:fldCharType="separate"/>
      </w:r>
      <w:r>
        <w:t>II</w:t>
      </w:r>
      <w:r>
        <w:fldChar w:fldCharType="end"/>
      </w:r>
      <w:r>
        <w:fldChar w:fldCharType="end"/>
      </w:r>
    </w:p>
    <w:p>
      <w:pPr>
        <w:pStyle w:val="21"/>
        <w:spacing w:before="78" w:after="78"/>
        <w:rPr>
          <w:rFonts w:asciiTheme="minorHAnsi" w:hAnsiTheme="minorHAnsi" w:eastAsiaTheme="minorEastAsia" w:cstheme="minorBidi"/>
          <w:szCs w:val="22"/>
        </w:rPr>
      </w:pPr>
      <w:r>
        <w:fldChar w:fldCharType="begin"/>
      </w:r>
      <w:r>
        <w:instrText xml:space="preserve"> HYPERLINK \l "_Toc150527934" </w:instrText>
      </w:r>
      <w:r>
        <w:fldChar w:fldCharType="separate"/>
      </w:r>
      <w:r>
        <w:rPr>
          <w:rStyle w:val="41"/>
        </w:rPr>
        <w:t>1</w:t>
      </w:r>
      <w:r>
        <w:rPr>
          <w:rStyle w:val="41"/>
          <w:rFonts w:ascii="Times New Roman"/>
        </w:rPr>
        <w:t xml:space="preserve"> 范围</w:t>
      </w:r>
      <w:r>
        <w:tab/>
      </w:r>
      <w:r>
        <w:fldChar w:fldCharType="begin"/>
      </w:r>
      <w:r>
        <w:instrText xml:space="preserve"> PAGEREF _Toc150527934 \h </w:instrText>
      </w:r>
      <w:r>
        <w:fldChar w:fldCharType="separate"/>
      </w:r>
      <w:r>
        <w:t>1</w:t>
      </w:r>
      <w:r>
        <w:fldChar w:fldCharType="end"/>
      </w:r>
      <w:r>
        <w:fldChar w:fldCharType="end"/>
      </w:r>
    </w:p>
    <w:p>
      <w:pPr>
        <w:pStyle w:val="21"/>
        <w:spacing w:before="78" w:after="78"/>
        <w:rPr>
          <w:rFonts w:asciiTheme="minorHAnsi" w:hAnsiTheme="minorHAnsi" w:eastAsiaTheme="minorEastAsia" w:cstheme="minorBidi"/>
          <w:szCs w:val="22"/>
        </w:rPr>
      </w:pPr>
      <w:r>
        <w:fldChar w:fldCharType="begin"/>
      </w:r>
      <w:r>
        <w:instrText xml:space="preserve"> HYPERLINK \l "_Toc150527935" </w:instrText>
      </w:r>
      <w:r>
        <w:fldChar w:fldCharType="separate"/>
      </w:r>
      <w:r>
        <w:rPr>
          <w:rStyle w:val="41"/>
        </w:rPr>
        <w:t>2</w:t>
      </w:r>
      <w:r>
        <w:rPr>
          <w:rStyle w:val="41"/>
          <w:rFonts w:ascii="Times New Roman"/>
        </w:rPr>
        <w:t xml:space="preserve"> 规范性引用文件</w:t>
      </w:r>
      <w:r>
        <w:tab/>
      </w:r>
      <w:r>
        <w:fldChar w:fldCharType="begin"/>
      </w:r>
      <w:r>
        <w:instrText xml:space="preserve"> PAGEREF _Toc150527935 \h </w:instrText>
      </w:r>
      <w:r>
        <w:fldChar w:fldCharType="separate"/>
      </w:r>
      <w:r>
        <w:t>1</w:t>
      </w:r>
      <w:r>
        <w:fldChar w:fldCharType="end"/>
      </w:r>
      <w:r>
        <w:fldChar w:fldCharType="end"/>
      </w:r>
    </w:p>
    <w:p>
      <w:pPr>
        <w:pStyle w:val="21"/>
        <w:spacing w:before="78" w:after="78"/>
        <w:rPr>
          <w:rFonts w:asciiTheme="minorHAnsi" w:hAnsiTheme="minorHAnsi" w:eastAsiaTheme="minorEastAsia" w:cstheme="minorBidi"/>
          <w:szCs w:val="22"/>
        </w:rPr>
      </w:pPr>
      <w:r>
        <w:fldChar w:fldCharType="begin"/>
      </w:r>
      <w:r>
        <w:instrText xml:space="preserve"> HYPERLINK \l "_Toc150527936" </w:instrText>
      </w:r>
      <w:r>
        <w:fldChar w:fldCharType="separate"/>
      </w:r>
      <w:r>
        <w:rPr>
          <w:rStyle w:val="41"/>
        </w:rPr>
        <w:t>3</w:t>
      </w:r>
      <w:r>
        <w:rPr>
          <w:rStyle w:val="41"/>
          <w:rFonts w:ascii="Times New Roman"/>
        </w:rPr>
        <w:t xml:space="preserve"> 术语和定义</w:t>
      </w:r>
      <w:r>
        <w:tab/>
      </w:r>
      <w:r>
        <w:fldChar w:fldCharType="begin"/>
      </w:r>
      <w:r>
        <w:instrText xml:space="preserve"> PAGEREF _Toc150527936 \h </w:instrText>
      </w:r>
      <w:r>
        <w:fldChar w:fldCharType="separate"/>
      </w:r>
      <w:r>
        <w:t>1</w:t>
      </w:r>
      <w:r>
        <w:fldChar w:fldCharType="end"/>
      </w:r>
      <w:r>
        <w:fldChar w:fldCharType="end"/>
      </w:r>
    </w:p>
    <w:p>
      <w:pPr>
        <w:pStyle w:val="21"/>
        <w:spacing w:before="78" w:after="78"/>
        <w:rPr>
          <w:rFonts w:asciiTheme="minorHAnsi" w:hAnsiTheme="minorHAnsi" w:eastAsiaTheme="minorEastAsia" w:cstheme="minorBidi"/>
          <w:szCs w:val="22"/>
        </w:rPr>
      </w:pPr>
      <w:r>
        <w:fldChar w:fldCharType="begin"/>
      </w:r>
      <w:r>
        <w:instrText xml:space="preserve"> HYPERLINK \l "_Toc150527937" </w:instrText>
      </w:r>
      <w:r>
        <w:fldChar w:fldCharType="separate"/>
      </w:r>
      <w:r>
        <w:rPr>
          <w:rStyle w:val="41"/>
        </w:rPr>
        <w:t>4</w:t>
      </w:r>
      <w:r>
        <w:rPr>
          <w:rStyle w:val="41"/>
          <w:rFonts w:ascii="Times New Roman"/>
        </w:rPr>
        <w:t xml:space="preserve"> 技术原理</w:t>
      </w:r>
      <w:r>
        <w:tab/>
      </w:r>
      <w:r>
        <w:fldChar w:fldCharType="begin"/>
      </w:r>
      <w:r>
        <w:instrText xml:space="preserve"> PAGEREF _Toc150527937 \h </w:instrText>
      </w:r>
      <w:r>
        <w:fldChar w:fldCharType="separate"/>
      </w:r>
      <w:r>
        <w:t>2</w:t>
      </w:r>
      <w:r>
        <w:fldChar w:fldCharType="end"/>
      </w:r>
      <w:r>
        <w:fldChar w:fldCharType="end"/>
      </w:r>
    </w:p>
    <w:p>
      <w:pPr>
        <w:pStyle w:val="21"/>
        <w:spacing w:before="78" w:after="78"/>
        <w:rPr>
          <w:rFonts w:asciiTheme="minorHAnsi" w:hAnsiTheme="minorHAnsi" w:eastAsiaTheme="minorEastAsia" w:cstheme="minorBidi"/>
          <w:szCs w:val="22"/>
        </w:rPr>
      </w:pPr>
      <w:r>
        <w:fldChar w:fldCharType="begin"/>
      </w:r>
      <w:r>
        <w:instrText xml:space="preserve"> HYPERLINK \l "_Toc150527938" </w:instrText>
      </w:r>
      <w:r>
        <w:fldChar w:fldCharType="separate"/>
      </w:r>
      <w:r>
        <w:rPr>
          <w:rStyle w:val="41"/>
        </w:rPr>
        <w:t>5</w:t>
      </w:r>
      <w:r>
        <w:rPr>
          <w:rStyle w:val="41"/>
          <w:rFonts w:ascii="Times New Roman"/>
        </w:rPr>
        <w:t xml:space="preserve"> 试验条件</w:t>
      </w:r>
      <w:r>
        <w:tab/>
      </w:r>
      <w:r>
        <w:fldChar w:fldCharType="begin"/>
      </w:r>
      <w:r>
        <w:instrText xml:space="preserve"> PAGEREF _Toc150527938 \h </w:instrText>
      </w:r>
      <w:r>
        <w:fldChar w:fldCharType="separate"/>
      </w:r>
      <w:r>
        <w:t>2</w:t>
      </w:r>
      <w:r>
        <w:fldChar w:fldCharType="end"/>
      </w:r>
      <w:r>
        <w:fldChar w:fldCharType="end"/>
      </w:r>
    </w:p>
    <w:p>
      <w:pPr>
        <w:pStyle w:val="21"/>
        <w:spacing w:before="78" w:after="78"/>
        <w:rPr>
          <w:rFonts w:asciiTheme="minorHAnsi" w:hAnsiTheme="minorHAnsi" w:eastAsiaTheme="minorEastAsia" w:cstheme="minorBidi"/>
          <w:szCs w:val="22"/>
        </w:rPr>
      </w:pPr>
      <w:r>
        <w:fldChar w:fldCharType="begin"/>
      </w:r>
      <w:r>
        <w:instrText xml:space="preserve"> HYPERLINK \l "_Toc150527939" </w:instrText>
      </w:r>
      <w:r>
        <w:fldChar w:fldCharType="separate"/>
      </w:r>
      <w:r>
        <w:rPr>
          <w:rStyle w:val="41"/>
        </w:rPr>
        <w:t>6</w:t>
      </w:r>
      <w:r>
        <w:rPr>
          <w:rStyle w:val="41"/>
          <w:rFonts w:ascii="Times New Roman"/>
        </w:rPr>
        <w:t xml:space="preserve"> 材料和试剂</w:t>
      </w:r>
      <w:r>
        <w:tab/>
      </w:r>
      <w:r>
        <w:fldChar w:fldCharType="begin"/>
      </w:r>
      <w:r>
        <w:instrText xml:space="preserve"> PAGEREF _Toc150527939 \h </w:instrText>
      </w:r>
      <w:r>
        <w:fldChar w:fldCharType="separate"/>
      </w:r>
      <w:r>
        <w:t>2</w:t>
      </w:r>
      <w:r>
        <w:fldChar w:fldCharType="end"/>
      </w:r>
      <w:r>
        <w:fldChar w:fldCharType="end"/>
      </w:r>
    </w:p>
    <w:p>
      <w:pPr>
        <w:pStyle w:val="21"/>
        <w:spacing w:before="78" w:after="78"/>
        <w:rPr>
          <w:rFonts w:asciiTheme="minorHAnsi" w:hAnsiTheme="minorHAnsi" w:eastAsiaTheme="minorEastAsia" w:cstheme="minorBidi"/>
          <w:szCs w:val="22"/>
        </w:rPr>
      </w:pPr>
      <w:r>
        <w:fldChar w:fldCharType="begin"/>
      </w:r>
      <w:r>
        <w:instrText xml:space="preserve"> HYPERLINK \l "_Toc150527940" </w:instrText>
      </w:r>
      <w:r>
        <w:fldChar w:fldCharType="separate"/>
      </w:r>
      <w:r>
        <w:rPr>
          <w:rStyle w:val="41"/>
        </w:rPr>
        <w:t>7</w:t>
      </w:r>
      <w:r>
        <w:rPr>
          <w:rStyle w:val="41"/>
          <w:rFonts w:ascii="Times New Roman"/>
        </w:rPr>
        <w:t xml:space="preserve"> 仪器设备</w:t>
      </w:r>
      <w:r>
        <w:tab/>
      </w:r>
      <w:r>
        <w:fldChar w:fldCharType="begin"/>
      </w:r>
      <w:r>
        <w:instrText xml:space="preserve"> PAGEREF _Toc150527940 \h </w:instrText>
      </w:r>
      <w:r>
        <w:fldChar w:fldCharType="separate"/>
      </w:r>
      <w:r>
        <w:t>2</w:t>
      </w:r>
      <w:r>
        <w:fldChar w:fldCharType="end"/>
      </w:r>
      <w:r>
        <w:fldChar w:fldCharType="end"/>
      </w:r>
    </w:p>
    <w:p>
      <w:pPr>
        <w:pStyle w:val="21"/>
        <w:spacing w:before="78" w:after="78"/>
        <w:rPr>
          <w:rFonts w:asciiTheme="minorHAnsi" w:hAnsiTheme="minorHAnsi" w:eastAsiaTheme="minorEastAsia" w:cstheme="minorBidi"/>
          <w:szCs w:val="22"/>
        </w:rPr>
      </w:pPr>
      <w:r>
        <w:fldChar w:fldCharType="begin"/>
      </w:r>
      <w:r>
        <w:instrText xml:space="preserve"> HYPERLINK \l "_Toc150527941" </w:instrText>
      </w:r>
      <w:r>
        <w:fldChar w:fldCharType="separate"/>
      </w:r>
      <w:r>
        <w:rPr>
          <w:rStyle w:val="41"/>
        </w:rPr>
        <w:t>8</w:t>
      </w:r>
      <w:r>
        <w:rPr>
          <w:rStyle w:val="41"/>
          <w:rFonts w:ascii="Times New Roman"/>
        </w:rPr>
        <w:t xml:space="preserve"> 样品</w:t>
      </w:r>
      <w:r>
        <w:tab/>
      </w:r>
      <w:r>
        <w:fldChar w:fldCharType="begin"/>
      </w:r>
      <w:r>
        <w:instrText xml:space="preserve"> PAGEREF _Toc150527941 \h </w:instrText>
      </w:r>
      <w:r>
        <w:fldChar w:fldCharType="separate"/>
      </w:r>
      <w:r>
        <w:t>3</w:t>
      </w:r>
      <w:r>
        <w:fldChar w:fldCharType="end"/>
      </w:r>
      <w:r>
        <w:fldChar w:fldCharType="end"/>
      </w:r>
    </w:p>
    <w:p>
      <w:pPr>
        <w:pStyle w:val="21"/>
        <w:spacing w:before="78" w:after="78"/>
        <w:rPr>
          <w:rFonts w:asciiTheme="minorHAnsi" w:hAnsiTheme="minorHAnsi" w:eastAsiaTheme="minorEastAsia" w:cstheme="minorBidi"/>
          <w:szCs w:val="22"/>
        </w:rPr>
      </w:pPr>
      <w:r>
        <w:fldChar w:fldCharType="begin"/>
      </w:r>
      <w:r>
        <w:instrText xml:space="preserve"> HYPERLINK \l "_Toc150527942" </w:instrText>
      </w:r>
      <w:r>
        <w:fldChar w:fldCharType="separate"/>
      </w:r>
      <w:r>
        <w:rPr>
          <w:rStyle w:val="41"/>
        </w:rPr>
        <w:t>9</w:t>
      </w:r>
      <w:r>
        <w:rPr>
          <w:rStyle w:val="41"/>
          <w:rFonts w:ascii="Times New Roman"/>
        </w:rPr>
        <w:t xml:space="preserve"> 试验数据处理</w:t>
      </w:r>
      <w:r>
        <w:tab/>
      </w:r>
      <w:r>
        <w:fldChar w:fldCharType="begin"/>
      </w:r>
      <w:r>
        <w:instrText xml:space="preserve"> PAGEREF _Toc150527942 \h </w:instrText>
      </w:r>
      <w:r>
        <w:fldChar w:fldCharType="separate"/>
      </w:r>
      <w:r>
        <w:t>3</w:t>
      </w:r>
      <w:r>
        <w:fldChar w:fldCharType="end"/>
      </w:r>
      <w:r>
        <w:fldChar w:fldCharType="end"/>
      </w:r>
    </w:p>
    <w:p>
      <w:pPr>
        <w:pStyle w:val="21"/>
        <w:spacing w:before="78" w:after="78"/>
        <w:rPr>
          <w:rFonts w:asciiTheme="minorHAnsi" w:hAnsiTheme="minorHAnsi" w:eastAsiaTheme="minorEastAsia" w:cstheme="minorBidi"/>
          <w:szCs w:val="22"/>
        </w:rPr>
      </w:pPr>
      <w:r>
        <w:fldChar w:fldCharType="begin"/>
      </w:r>
      <w:r>
        <w:instrText xml:space="preserve"> HYPERLINK \l "_Toc150527943" </w:instrText>
      </w:r>
      <w:r>
        <w:fldChar w:fldCharType="separate"/>
      </w:r>
      <w:r>
        <w:rPr>
          <w:rStyle w:val="41"/>
        </w:rPr>
        <w:t>10</w:t>
      </w:r>
      <w:r>
        <w:rPr>
          <w:rStyle w:val="41"/>
          <w:rFonts w:ascii="Times New Roman"/>
        </w:rPr>
        <w:t xml:space="preserve"> 精密度和测量不确定度</w:t>
      </w:r>
      <w:r>
        <w:tab/>
      </w:r>
      <w:r>
        <w:fldChar w:fldCharType="begin"/>
      </w:r>
      <w:r>
        <w:instrText xml:space="preserve"> PAGEREF _Toc150527943 \h </w:instrText>
      </w:r>
      <w:r>
        <w:fldChar w:fldCharType="separate"/>
      </w:r>
      <w:r>
        <w:t>4</w:t>
      </w:r>
      <w:r>
        <w:fldChar w:fldCharType="end"/>
      </w:r>
      <w:r>
        <w:fldChar w:fldCharType="end"/>
      </w:r>
    </w:p>
    <w:p>
      <w:pPr>
        <w:pStyle w:val="21"/>
        <w:spacing w:before="78" w:after="78"/>
        <w:rPr>
          <w:rFonts w:asciiTheme="minorHAnsi" w:hAnsiTheme="minorHAnsi" w:eastAsiaTheme="minorEastAsia" w:cstheme="minorBidi"/>
          <w:szCs w:val="22"/>
        </w:rPr>
      </w:pPr>
      <w:r>
        <w:fldChar w:fldCharType="begin"/>
      </w:r>
      <w:r>
        <w:instrText xml:space="preserve"> HYPERLINK \l "_Toc150527944" </w:instrText>
      </w:r>
      <w:r>
        <w:fldChar w:fldCharType="separate"/>
      </w:r>
      <w:r>
        <w:rPr>
          <w:rStyle w:val="41"/>
        </w:rPr>
        <w:t>11</w:t>
      </w:r>
      <w:r>
        <w:rPr>
          <w:rStyle w:val="41"/>
          <w:rFonts w:ascii="Times New Roman"/>
        </w:rPr>
        <w:t xml:space="preserve"> 质量保证和控制</w:t>
      </w:r>
      <w:r>
        <w:tab/>
      </w:r>
      <w:r>
        <w:fldChar w:fldCharType="begin"/>
      </w:r>
      <w:r>
        <w:instrText xml:space="preserve"> PAGEREF _Toc150527944 \h </w:instrText>
      </w:r>
      <w:r>
        <w:fldChar w:fldCharType="separate"/>
      </w:r>
      <w:r>
        <w:t>4</w:t>
      </w:r>
      <w:r>
        <w:fldChar w:fldCharType="end"/>
      </w:r>
      <w:r>
        <w:fldChar w:fldCharType="end"/>
      </w:r>
    </w:p>
    <w:p>
      <w:pPr>
        <w:pStyle w:val="21"/>
        <w:spacing w:before="78" w:after="78"/>
        <w:rPr>
          <w:rFonts w:asciiTheme="minorHAnsi" w:hAnsiTheme="minorHAnsi" w:eastAsiaTheme="minorEastAsia" w:cstheme="minorBidi"/>
          <w:szCs w:val="22"/>
        </w:rPr>
      </w:pPr>
      <w:r>
        <w:fldChar w:fldCharType="begin"/>
      </w:r>
      <w:r>
        <w:instrText xml:space="preserve"> HYPERLINK \l "_Toc150527945" </w:instrText>
      </w:r>
      <w:r>
        <w:fldChar w:fldCharType="separate"/>
      </w:r>
      <w:r>
        <w:rPr>
          <w:rStyle w:val="41"/>
        </w:rPr>
        <w:t>12</w:t>
      </w:r>
      <w:r>
        <w:rPr>
          <w:rStyle w:val="41"/>
          <w:rFonts w:ascii="Times New Roman"/>
        </w:rPr>
        <w:t xml:space="preserve"> 试验报告</w:t>
      </w:r>
      <w:r>
        <w:tab/>
      </w:r>
      <w:r>
        <w:fldChar w:fldCharType="begin"/>
      </w:r>
      <w:r>
        <w:instrText xml:space="preserve"> PAGEREF _Toc150527945 \h </w:instrText>
      </w:r>
      <w:r>
        <w:fldChar w:fldCharType="separate"/>
      </w:r>
      <w:r>
        <w:t>5</w:t>
      </w:r>
      <w:r>
        <w:fldChar w:fldCharType="end"/>
      </w:r>
      <w:r>
        <w:fldChar w:fldCharType="end"/>
      </w:r>
    </w:p>
    <w:p>
      <w:r>
        <w:fldChar w:fldCharType="end"/>
      </w:r>
    </w:p>
    <w:p>
      <w:pPr>
        <w:rPr>
          <w:color w:val="000000"/>
        </w:rPr>
      </w:pPr>
    </w:p>
    <w:p>
      <w:pPr>
        <w:pStyle w:val="21"/>
        <w:spacing w:before="78" w:after="78"/>
        <w:rPr>
          <w:rFonts w:ascii="Times New Roman"/>
          <w:color w:val="000000"/>
        </w:rPr>
      </w:pPr>
      <w:r>
        <w:rPr>
          <w:rFonts w:ascii="Times New Roman"/>
          <w:color w:val="000000"/>
        </w:rPr>
        <w:fldChar w:fldCharType="end"/>
      </w:r>
    </w:p>
    <w:p>
      <w:pPr>
        <w:pStyle w:val="55"/>
        <w:rPr>
          <w:rFonts w:ascii="Times New Roman"/>
        </w:rPr>
      </w:pPr>
      <w:bookmarkStart w:id="19" w:name="_Toc9730"/>
      <w:bookmarkStart w:id="20" w:name="_Toc532886273"/>
      <w:bookmarkStart w:id="21" w:name="_Toc32460"/>
      <w:bookmarkStart w:id="22" w:name="_Toc25655"/>
      <w:bookmarkStart w:id="23" w:name="_Toc150527932"/>
      <w:bookmarkStart w:id="24" w:name="前言"/>
      <w:r>
        <w:rPr>
          <w:rFonts w:ascii="Times New Roman"/>
        </w:rPr>
        <w:t>前</w:t>
      </w:r>
      <w:bookmarkStart w:id="25" w:name="BKQY"/>
      <w:r>
        <w:rPr>
          <w:rFonts w:ascii="Times New Roman"/>
        </w:rPr>
        <w:t>  言</w:t>
      </w:r>
      <w:bookmarkEnd w:id="19"/>
      <w:bookmarkEnd w:id="20"/>
      <w:bookmarkEnd w:id="21"/>
      <w:bookmarkEnd w:id="22"/>
      <w:bookmarkEnd w:id="23"/>
      <w:bookmarkEnd w:id="25"/>
    </w:p>
    <w:bookmarkEnd w:id="24"/>
    <w:p>
      <w:pPr>
        <w:pStyle w:val="25"/>
        <w:ind w:firstLine="630" w:firstLineChars="300"/>
        <w:rPr>
          <w:rFonts w:ascii="Times New Roman"/>
        </w:rPr>
      </w:pPr>
      <w:r>
        <w:rPr>
          <w:rFonts w:ascii="Times New Roman"/>
        </w:rPr>
        <w:t>本文件按照GB/T 1.1—2020《标准化工作导则 第1部分：标准化文件的结构和起草规则》的规定起草。</w:t>
      </w:r>
    </w:p>
    <w:p>
      <w:pPr>
        <w:pStyle w:val="25"/>
        <w:ind w:firstLine="630" w:firstLineChars="300"/>
        <w:rPr>
          <w:rFonts w:ascii="Times New Roman"/>
        </w:rPr>
      </w:pPr>
      <w:r>
        <w:rPr>
          <w:rFonts w:ascii="Times New Roman"/>
        </w:rPr>
        <w:t>本文件由陕西省药品监督管理局提出并归口。</w:t>
      </w:r>
    </w:p>
    <w:p>
      <w:pPr>
        <w:pStyle w:val="25"/>
        <w:ind w:firstLine="630" w:firstLineChars="300"/>
        <w:rPr>
          <w:rFonts w:ascii="Times New Roman"/>
        </w:rPr>
      </w:pPr>
      <w:r>
        <w:rPr>
          <w:rFonts w:ascii="Times New Roman"/>
        </w:rPr>
        <w:t>本文件起草单位：陕西省食品药品检验研究院、陕西博溪通用检测科技有限公司、陕西省药品技术审评中心、陕西省药品和疫苗检查中心、咸阳市食品药品检验检测中心、陕西省食品药品检验研究院。</w:t>
      </w:r>
    </w:p>
    <w:p>
      <w:pPr>
        <w:pStyle w:val="25"/>
        <w:ind w:firstLine="630" w:firstLineChars="300"/>
        <w:rPr>
          <w:rFonts w:ascii="Times New Roman"/>
        </w:rPr>
      </w:pPr>
      <w:r>
        <w:rPr>
          <w:rFonts w:ascii="Times New Roman"/>
        </w:rPr>
        <w:t>本文件主要起草人：</w:t>
      </w:r>
      <w:r>
        <w:rPr>
          <w:rFonts w:hint="eastAsia" w:ascii="Times New Roman"/>
        </w:rPr>
        <w:t>曹涵博、蔡虎、刘海静、冯润东、杨文娟、吴小勇、郝武常、党琳琳、卢永波、李潇、姚婷、王莉芳、罗阿利、张若冰、李晓春、张亚锋。</w:t>
      </w:r>
    </w:p>
    <w:p>
      <w:pPr>
        <w:pStyle w:val="25"/>
        <w:ind w:firstLine="630" w:firstLineChars="300"/>
        <w:rPr>
          <w:rFonts w:ascii="Times New Roman"/>
        </w:rPr>
      </w:pPr>
      <w:r>
        <w:rPr>
          <w:rFonts w:ascii="Times New Roman"/>
        </w:rPr>
        <w:t>本文件由陕西省食品药品检验研究院负责解释。</w:t>
      </w:r>
    </w:p>
    <w:p>
      <w:pPr>
        <w:pStyle w:val="25"/>
        <w:ind w:firstLine="630" w:firstLineChars="300"/>
        <w:rPr>
          <w:rFonts w:ascii="Times New Roman"/>
        </w:rPr>
      </w:pPr>
      <w:r>
        <w:rPr>
          <w:rFonts w:ascii="Times New Roman"/>
        </w:rPr>
        <w:t>本文件首次发布。</w:t>
      </w:r>
    </w:p>
    <w:p>
      <w:pPr>
        <w:pStyle w:val="25"/>
        <w:ind w:firstLine="630" w:firstLineChars="300"/>
        <w:rPr>
          <w:rFonts w:ascii="Times New Roman"/>
        </w:rPr>
      </w:pPr>
    </w:p>
    <w:p>
      <w:pPr>
        <w:pStyle w:val="25"/>
        <w:ind w:firstLine="630" w:firstLineChars="300"/>
        <w:rPr>
          <w:rFonts w:ascii="Times New Roman"/>
        </w:rPr>
      </w:pPr>
      <w:r>
        <w:rPr>
          <w:rFonts w:ascii="Times New Roman"/>
        </w:rPr>
        <w:t>联系信息如下：</w:t>
      </w:r>
    </w:p>
    <w:p>
      <w:pPr>
        <w:pStyle w:val="25"/>
        <w:ind w:firstLine="630" w:firstLineChars="300"/>
        <w:rPr>
          <w:rFonts w:ascii="Times New Roman"/>
        </w:rPr>
      </w:pPr>
      <w:r>
        <w:rPr>
          <w:rFonts w:ascii="Times New Roman"/>
        </w:rPr>
        <w:t>单位：陕西省食品药品检验研究院</w:t>
      </w:r>
    </w:p>
    <w:p>
      <w:pPr>
        <w:pStyle w:val="25"/>
        <w:ind w:firstLine="630" w:firstLineChars="300"/>
        <w:rPr>
          <w:rFonts w:ascii="Times New Roman"/>
        </w:rPr>
      </w:pPr>
      <w:r>
        <w:rPr>
          <w:rFonts w:ascii="Times New Roman"/>
        </w:rPr>
        <w:t>电话：029-62288412</w:t>
      </w:r>
    </w:p>
    <w:p>
      <w:pPr>
        <w:pStyle w:val="25"/>
        <w:ind w:firstLine="630" w:firstLineChars="300"/>
        <w:rPr>
          <w:rFonts w:ascii="Times New Roman"/>
        </w:rPr>
      </w:pPr>
      <w:r>
        <w:rPr>
          <w:rFonts w:ascii="Times New Roman"/>
        </w:rPr>
        <w:t>地址：陕西省西安市高新区科技五路21号</w:t>
      </w:r>
    </w:p>
    <w:p>
      <w:pPr>
        <w:pStyle w:val="25"/>
        <w:ind w:firstLine="630" w:firstLineChars="300"/>
        <w:rPr>
          <w:rFonts w:ascii="Times New Roman"/>
        </w:rPr>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r>
        <w:rPr>
          <w:rFonts w:ascii="Times New Roman"/>
        </w:rPr>
        <w:t>邮编：710065</w:t>
      </w:r>
    </w:p>
    <w:p>
      <w:pPr>
        <w:pStyle w:val="138"/>
        <w:adjustRightInd w:val="0"/>
        <w:snapToGrid w:val="0"/>
        <w:spacing w:before="0" w:after="0" w:line="240" w:lineRule="auto"/>
        <w:rPr>
          <w:rFonts w:ascii="Times New Roman"/>
          <w:color w:val="000000"/>
          <w:szCs w:val="32"/>
        </w:rPr>
      </w:pPr>
      <w:r>
        <w:rPr>
          <w:rFonts w:hint="eastAsia" w:ascii="Times New Roman"/>
          <w:color w:val="000000"/>
        </w:rPr>
        <w:t>基于皮肤模型化妆品舒缓功效试验方法</w:t>
      </w:r>
    </w:p>
    <w:p>
      <w:pPr>
        <w:pStyle w:val="25"/>
        <w:ind w:firstLine="0" w:firstLineChars="0"/>
        <w:rPr>
          <w:rFonts w:ascii="Times New Roman"/>
        </w:rPr>
      </w:pPr>
      <w:r>
        <w:rPr>
          <w:rFonts w:ascii="Times New Roman"/>
          <w:color w:val="000000"/>
          <w:szCs w:val="32"/>
        </w:rPr>
        <w:t xml:space="preserve"> </w:t>
      </w:r>
    </w:p>
    <w:p>
      <w:pPr>
        <w:pStyle w:val="76"/>
        <w:adjustRightInd w:val="0"/>
        <w:snapToGrid w:val="0"/>
        <w:outlineLvl w:val="0"/>
        <w:rPr>
          <w:rFonts w:ascii="Times New Roman"/>
        </w:rPr>
      </w:pPr>
      <w:bookmarkStart w:id="26" w:name="_Toc150527934"/>
      <w:bookmarkStart w:id="27" w:name="_Toc531100068"/>
      <w:bookmarkStart w:id="28" w:name="_Toc531101405"/>
      <w:bookmarkStart w:id="29" w:name="_Toc532886274"/>
      <w:bookmarkStart w:id="30" w:name="范围"/>
      <w:r>
        <w:rPr>
          <w:rFonts w:ascii="Times New Roman"/>
        </w:rPr>
        <w:t>范围</w:t>
      </w:r>
      <w:bookmarkEnd w:id="26"/>
      <w:bookmarkEnd w:id="27"/>
      <w:bookmarkEnd w:id="28"/>
      <w:bookmarkEnd w:id="29"/>
    </w:p>
    <w:bookmarkEnd w:id="30"/>
    <w:p>
      <w:pPr>
        <w:pStyle w:val="25"/>
        <w:rPr>
          <w:rFonts w:ascii="Times New Roman"/>
        </w:rPr>
      </w:pPr>
      <w:bookmarkStart w:id="31" w:name="_Toc532886275"/>
      <w:bookmarkStart w:id="32" w:name="_Toc531100069"/>
      <w:bookmarkStart w:id="33" w:name="_Toc531101406"/>
      <w:bookmarkStart w:id="34" w:name="规范性引用文件"/>
      <w:r>
        <w:rPr>
          <w:rFonts w:ascii="Times New Roman"/>
        </w:rPr>
        <w:t>本文件规定了一种化妆品舒缓功效测试体外重组表皮模型IL-1α含量测定的范围、规范性引用文件、术语和定义、技术原理、试验条件、材料与试剂、仪器设备、试验步骤、试验数据处理、结果判定、以及试验报告的要求。</w:t>
      </w:r>
    </w:p>
    <w:p>
      <w:pPr>
        <w:pStyle w:val="25"/>
        <w:rPr>
          <w:rFonts w:ascii="Times New Roman"/>
        </w:rPr>
      </w:pPr>
      <w:r>
        <w:rPr>
          <w:rFonts w:ascii="Times New Roman"/>
        </w:rPr>
        <w:t>本文件可作为化妆品舒缓功效测试替代方法之一，也可结合其他方法对化妆品舒缓功效进行评价。</w:t>
      </w:r>
    </w:p>
    <w:p>
      <w:pPr>
        <w:pStyle w:val="76"/>
        <w:adjustRightInd w:val="0"/>
        <w:snapToGrid w:val="0"/>
        <w:outlineLvl w:val="0"/>
        <w:rPr>
          <w:rFonts w:ascii="Times New Roman"/>
        </w:rPr>
      </w:pPr>
      <w:bookmarkStart w:id="35" w:name="_Toc150527935"/>
      <w:r>
        <w:rPr>
          <w:rFonts w:ascii="Times New Roman"/>
        </w:rPr>
        <w:t>规范性引用文件</w:t>
      </w:r>
      <w:bookmarkEnd w:id="31"/>
      <w:bookmarkEnd w:id="32"/>
      <w:bookmarkEnd w:id="33"/>
      <w:bookmarkEnd w:id="35"/>
    </w:p>
    <w:bookmarkEnd w:id="34"/>
    <w:p>
      <w:pPr>
        <w:pStyle w:val="25"/>
        <w:rPr>
          <w:rFonts w:ascii="Times New Roman"/>
        </w:rPr>
      </w:pPr>
      <w:bookmarkStart w:id="36" w:name="术语和定义"/>
      <w:r>
        <w:rPr>
          <w:rFonts w:ascii="Times New Roman"/>
        </w:rPr>
        <w:t>下列文件中的内容通过文中的规范性引用而构成本文件必不可少的条款。其中，注日期的引用文件，仅改日期对应的版本适用于本文件；不注日期的引用文件，其最新版本（包括所有的修改单）适用于本文件。</w:t>
      </w:r>
    </w:p>
    <w:p>
      <w:pPr>
        <w:pStyle w:val="25"/>
        <w:rPr>
          <w:rFonts w:ascii="Times New Roman"/>
          <w:szCs w:val="21"/>
        </w:rPr>
      </w:pPr>
      <w:r>
        <w:rPr>
          <w:rFonts w:ascii="Times New Roman"/>
          <w:szCs w:val="21"/>
        </w:rPr>
        <w:t>GB/T6682 分析实验室用水规格和试验方法</w:t>
      </w:r>
    </w:p>
    <w:p>
      <w:pPr>
        <w:pStyle w:val="25"/>
        <w:rPr>
          <w:rFonts w:ascii="Times New Roman"/>
          <w:szCs w:val="21"/>
        </w:rPr>
      </w:pPr>
      <w:r>
        <w:rPr>
          <w:rFonts w:ascii="Times New Roman"/>
          <w:szCs w:val="21"/>
        </w:rPr>
        <w:t>GB 19489-2008 实验室 生物安全通用要求</w:t>
      </w:r>
    </w:p>
    <w:p>
      <w:pPr>
        <w:pStyle w:val="25"/>
        <w:rPr>
          <w:rFonts w:ascii="Times New Roman"/>
          <w:szCs w:val="21"/>
        </w:rPr>
      </w:pPr>
      <w:r>
        <w:rPr>
          <w:rFonts w:ascii="Times New Roman"/>
          <w:szCs w:val="21"/>
          <w:lang w:bidi="ar"/>
        </w:rPr>
        <w:t>SN/T 3899—2014 化妆品体外替代试验 良好细胞培养和样品制备规范</w:t>
      </w:r>
    </w:p>
    <w:p>
      <w:pPr>
        <w:pStyle w:val="25"/>
        <w:rPr>
          <w:rFonts w:ascii="Times New Roman"/>
          <w:szCs w:val="21"/>
        </w:rPr>
      </w:pPr>
      <w:r>
        <w:rPr>
          <w:rFonts w:ascii="Times New Roman"/>
          <w:szCs w:val="21"/>
        </w:rPr>
        <w:t>SNT3898-2014化妆品体外替代试验方法验证规程</w:t>
      </w:r>
    </w:p>
    <w:p>
      <w:pPr>
        <w:pStyle w:val="25"/>
        <w:rPr>
          <w:rFonts w:ascii="Times New Roman"/>
        </w:rPr>
      </w:pPr>
      <w:r>
        <w:rPr>
          <w:rFonts w:ascii="Times New Roman"/>
        </w:rPr>
        <w:t xml:space="preserve">《化妆品安全技术规范》 </w:t>
      </w:r>
    </w:p>
    <w:p>
      <w:pPr>
        <w:pStyle w:val="25"/>
        <w:rPr>
          <w:rFonts w:ascii="Times New Roman"/>
        </w:rPr>
      </w:pPr>
      <w:r>
        <w:rPr>
          <w:rFonts w:ascii="Times New Roman"/>
        </w:rPr>
        <w:t xml:space="preserve">《化妆品功效宣称评价规范》 </w:t>
      </w:r>
    </w:p>
    <w:p>
      <w:pPr>
        <w:pStyle w:val="25"/>
        <w:rPr>
          <w:rFonts w:ascii="Times New Roman"/>
        </w:rPr>
      </w:pPr>
      <w:r>
        <w:rPr>
          <w:rFonts w:ascii="Times New Roman"/>
        </w:rPr>
        <w:t>《化妆品分类规则和分类目录》</w:t>
      </w:r>
    </w:p>
    <w:p>
      <w:pPr>
        <w:pStyle w:val="76"/>
        <w:adjustRightInd w:val="0"/>
        <w:snapToGrid w:val="0"/>
        <w:outlineLvl w:val="0"/>
        <w:rPr>
          <w:rFonts w:ascii="Times New Roman"/>
        </w:rPr>
      </w:pPr>
      <w:bookmarkStart w:id="37" w:name="_Toc150527936"/>
      <w:r>
        <w:rPr>
          <w:rFonts w:ascii="Times New Roman"/>
        </w:rPr>
        <w:t>术语和定义</w:t>
      </w:r>
      <w:bookmarkEnd w:id="37"/>
    </w:p>
    <w:bookmarkEnd w:id="36"/>
    <w:p>
      <w:pPr>
        <w:pStyle w:val="25"/>
        <w:rPr>
          <w:rFonts w:ascii="Times New Roman"/>
          <w:color w:val="000000"/>
        </w:rPr>
      </w:pPr>
      <w:r>
        <w:rPr>
          <w:rFonts w:ascii="Times New Roman"/>
          <w:color w:val="000000"/>
        </w:rPr>
        <w:t>下列术语和定义适用本标准。</w:t>
      </w:r>
    </w:p>
    <w:p>
      <w:pPr>
        <w:pStyle w:val="73"/>
        <w:numPr>
          <w:ilvl w:val="0"/>
          <w:numId w:val="0"/>
        </w:numPr>
        <w:rPr>
          <w:rFonts w:ascii="Times New Roman"/>
        </w:rPr>
      </w:pPr>
      <w:r>
        <w:rPr>
          <w:rFonts w:ascii="Times New Roman"/>
          <w:color w:val="000000"/>
        </w:rPr>
        <w:t xml:space="preserve">3.1 </w:t>
      </w:r>
      <w:r>
        <w:rPr>
          <w:rFonts w:ascii="Times New Roman"/>
        </w:rPr>
        <w:t xml:space="preserve"> </w:t>
      </w:r>
    </w:p>
    <w:p>
      <w:pPr>
        <w:pStyle w:val="73"/>
        <w:numPr>
          <w:ilvl w:val="0"/>
          <w:numId w:val="0"/>
        </w:numPr>
        <w:ind w:firstLine="420" w:firstLineChars="200"/>
        <w:rPr>
          <w:rFonts w:ascii="Times New Roman"/>
        </w:rPr>
      </w:pPr>
      <w:r>
        <w:rPr>
          <w:rFonts w:ascii="Times New Roman"/>
        </w:rPr>
        <w:t>阴性工作液 （Negative working fluid）</w:t>
      </w:r>
    </w:p>
    <w:p>
      <w:pPr>
        <w:pStyle w:val="73"/>
        <w:numPr>
          <w:ilvl w:val="0"/>
          <w:numId w:val="0"/>
        </w:numPr>
        <w:ind w:firstLine="420" w:firstLineChars="200"/>
        <w:rPr>
          <w:rFonts w:ascii="Times New Roman" w:eastAsia="宋体"/>
          <w:color w:val="000000"/>
        </w:rPr>
      </w:pPr>
      <w:r>
        <w:rPr>
          <w:rFonts w:ascii="Times New Roman" w:eastAsia="宋体"/>
          <w:color w:val="000000"/>
          <w:kern w:val="2"/>
          <w:lang w:bidi="ar"/>
        </w:rPr>
        <w:t>在试验过程中选择SLS（月桂醇硫酸酯钠</w:t>
      </w:r>
      <w:r>
        <w:rPr>
          <w:rFonts w:hint="eastAsia" w:ascii="Times New Roman" w:eastAsia="宋体"/>
          <w:color w:val="000000"/>
          <w:kern w:val="2"/>
          <w:lang w:bidi="ar"/>
        </w:rPr>
        <w:t>，</w:t>
      </w:r>
      <w:r>
        <w:rPr>
          <w:rFonts w:ascii="Times New Roman" w:eastAsia="宋体"/>
          <w:color w:val="000000"/>
          <w:kern w:val="2"/>
          <w:lang w:bidi="ar"/>
        </w:rPr>
        <w:t>sodium lauryl sulfate）作为刺激</w:t>
      </w:r>
      <w:r>
        <w:rPr>
          <w:rFonts w:hint="eastAsia" w:ascii="Times New Roman" w:eastAsia="宋体"/>
          <w:color w:val="000000"/>
          <w:kern w:val="2"/>
          <w:lang w:bidi="ar"/>
        </w:rPr>
        <w:t>体外</w:t>
      </w:r>
      <w:r>
        <w:rPr>
          <w:rFonts w:ascii="Times New Roman" w:eastAsia="宋体"/>
          <w:color w:val="000000"/>
          <w:kern w:val="2"/>
          <w:lang w:bidi="ar"/>
        </w:rPr>
        <w:t>重组表皮模型的刺激物。</w:t>
      </w:r>
    </w:p>
    <w:p>
      <w:pPr>
        <w:pStyle w:val="73"/>
        <w:numPr>
          <w:ilvl w:val="0"/>
          <w:numId w:val="0"/>
        </w:numPr>
        <w:rPr>
          <w:rFonts w:ascii="Times New Roman"/>
          <w:color w:val="000000"/>
        </w:rPr>
      </w:pPr>
      <w:r>
        <w:rPr>
          <w:rFonts w:ascii="Times New Roman"/>
          <w:color w:val="000000"/>
        </w:rPr>
        <w:t>3.2</w:t>
      </w:r>
    </w:p>
    <w:p>
      <w:pPr>
        <w:pStyle w:val="73"/>
        <w:numPr>
          <w:ilvl w:val="0"/>
          <w:numId w:val="0"/>
        </w:numPr>
        <w:ind w:firstLine="420" w:firstLineChars="200"/>
        <w:rPr>
          <w:rFonts w:ascii="Times New Roman"/>
        </w:rPr>
      </w:pPr>
      <w:r>
        <w:rPr>
          <w:rFonts w:hint="eastAsia" w:ascii="Times New Roman"/>
        </w:rPr>
        <w:t>阳性工作液</w:t>
      </w:r>
      <w:r>
        <w:rPr>
          <w:rFonts w:ascii="Times New Roman"/>
        </w:rPr>
        <w:t xml:space="preserve">  </w:t>
      </w:r>
      <w:r>
        <w:rPr>
          <w:rFonts w:hint="eastAsia" w:ascii="Times New Roman"/>
        </w:rPr>
        <w:t>（Positive</w:t>
      </w:r>
      <w:r>
        <w:rPr>
          <w:rFonts w:ascii="Times New Roman"/>
        </w:rPr>
        <w:t xml:space="preserve"> working </w:t>
      </w:r>
      <w:r>
        <w:rPr>
          <w:rFonts w:hint="eastAsia" w:ascii="Times New Roman"/>
        </w:rPr>
        <w:t>fluid）</w:t>
      </w:r>
    </w:p>
    <w:p>
      <w:pPr>
        <w:pStyle w:val="25"/>
        <w:rPr>
          <w:rFonts w:ascii="Times New Roman"/>
        </w:rPr>
      </w:pPr>
      <w:r>
        <w:rPr>
          <w:rFonts w:ascii="Times New Roman"/>
        </w:rPr>
        <w:t>在试验过程中选择具有显著舒缓功效的样品作为阳性参考，将阳性标准品地塞米松溶于EpiGrowth培养液中，配置成地塞米松阳性工作液。</w:t>
      </w:r>
    </w:p>
    <w:p>
      <w:pPr>
        <w:pStyle w:val="73"/>
        <w:numPr>
          <w:ilvl w:val="0"/>
          <w:numId w:val="0"/>
        </w:numPr>
        <w:rPr>
          <w:rFonts w:ascii="Times New Roman"/>
          <w:color w:val="000000"/>
        </w:rPr>
      </w:pPr>
      <w:r>
        <w:rPr>
          <w:rFonts w:ascii="Times New Roman"/>
          <w:color w:val="000000"/>
        </w:rPr>
        <w:t>3.3</w:t>
      </w:r>
    </w:p>
    <w:p>
      <w:pPr>
        <w:pStyle w:val="73"/>
        <w:numPr>
          <w:ilvl w:val="0"/>
          <w:numId w:val="0"/>
        </w:numPr>
        <w:ind w:firstLine="420" w:firstLineChars="200"/>
        <w:rPr>
          <w:rFonts w:ascii="Times New Roman"/>
          <w:color w:val="000000"/>
        </w:rPr>
      </w:pPr>
      <w:r>
        <w:rPr>
          <w:rFonts w:ascii="Times New Roman"/>
          <w:color w:val="000000"/>
        </w:rPr>
        <w:t>样品工作液  （Sample working fluid）</w:t>
      </w:r>
    </w:p>
    <w:p>
      <w:pPr>
        <w:pStyle w:val="25"/>
        <w:rPr>
          <w:rFonts w:ascii="Times New Roman"/>
        </w:rPr>
      </w:pPr>
      <w:r>
        <w:rPr>
          <w:rFonts w:ascii="Times New Roman"/>
        </w:rPr>
        <w:t>将一定浓度的待测样品溶于培养基中形成样品工作液。</w:t>
      </w:r>
    </w:p>
    <w:p>
      <w:pPr>
        <w:pStyle w:val="73"/>
        <w:numPr>
          <w:ilvl w:val="0"/>
          <w:numId w:val="0"/>
        </w:numPr>
        <w:rPr>
          <w:rFonts w:ascii="Times New Roman"/>
          <w:color w:val="000000"/>
        </w:rPr>
      </w:pPr>
      <w:r>
        <w:rPr>
          <w:rFonts w:ascii="Times New Roman"/>
          <w:color w:val="000000"/>
        </w:rPr>
        <w:t xml:space="preserve">3.4  </w:t>
      </w:r>
    </w:p>
    <w:p>
      <w:pPr>
        <w:pStyle w:val="73"/>
        <w:numPr>
          <w:ilvl w:val="0"/>
          <w:numId w:val="0"/>
        </w:numPr>
        <w:ind w:firstLine="420" w:firstLineChars="200"/>
        <w:rPr>
          <w:rFonts w:ascii="Times New Roman"/>
          <w:color w:val="000000"/>
        </w:rPr>
      </w:pPr>
      <w:r>
        <w:rPr>
          <w:rFonts w:ascii="Times New Roman"/>
          <w:color w:val="000000"/>
        </w:rPr>
        <w:t>ELISA检测  （Enzyme linked immunosorbent assay）</w:t>
      </w:r>
    </w:p>
    <w:p>
      <w:pPr>
        <w:pStyle w:val="25"/>
        <w:rPr>
          <w:rFonts w:ascii="Times New Roman"/>
          <w:color w:val="000000"/>
        </w:rPr>
      </w:pPr>
      <w:r>
        <w:rPr>
          <w:rFonts w:ascii="Times New Roman"/>
          <w:color w:val="000000"/>
        </w:rPr>
        <w:t>酶联免疫吸附试验，是当前应用最为广泛的一项定性/定量检测抗体(抗原)的免疫酶技术。</w:t>
      </w:r>
    </w:p>
    <w:p>
      <w:pPr>
        <w:pStyle w:val="73"/>
        <w:numPr>
          <w:ilvl w:val="0"/>
          <w:numId w:val="0"/>
        </w:numPr>
        <w:rPr>
          <w:rFonts w:ascii="Times New Roman"/>
          <w:color w:val="000000"/>
        </w:rPr>
      </w:pPr>
      <w:r>
        <w:rPr>
          <w:rFonts w:ascii="Times New Roman"/>
          <w:color w:val="000000"/>
        </w:rPr>
        <w:t>3.5</w:t>
      </w:r>
    </w:p>
    <w:p>
      <w:pPr>
        <w:pStyle w:val="73"/>
        <w:numPr>
          <w:ilvl w:val="0"/>
          <w:numId w:val="0"/>
        </w:numPr>
        <w:ind w:firstLine="420" w:firstLineChars="200"/>
        <w:rPr>
          <w:rFonts w:ascii="Times New Roman"/>
          <w:color w:val="000000"/>
        </w:rPr>
      </w:pPr>
      <w:r>
        <w:rPr>
          <w:rFonts w:ascii="Times New Roman"/>
          <w:color w:val="000000"/>
        </w:rPr>
        <w:t>体外重组表皮模型  （Reconstructed human epidermis model）</w:t>
      </w:r>
    </w:p>
    <w:p>
      <w:pPr>
        <w:pStyle w:val="25"/>
        <w:rPr>
          <w:rFonts w:ascii="Times New Roman"/>
          <w:color w:val="000000"/>
        </w:rPr>
      </w:pPr>
      <w:r>
        <w:rPr>
          <w:rFonts w:ascii="Times New Roman"/>
          <w:color w:val="000000"/>
        </w:rPr>
        <w:t>采用人原代表皮角质形成细胞，通过组织工程技术在体外重组的皮肤组织，具有与正常皮肤高度相似的复层化结构、生理及代谢功能。</w:t>
      </w:r>
    </w:p>
    <w:p>
      <w:pPr>
        <w:pStyle w:val="76"/>
        <w:adjustRightInd w:val="0"/>
        <w:snapToGrid w:val="0"/>
        <w:outlineLvl w:val="0"/>
        <w:rPr>
          <w:rFonts w:ascii="Times New Roman"/>
        </w:rPr>
      </w:pPr>
      <w:bookmarkStart w:id="38" w:name="_Toc531100070"/>
      <w:bookmarkEnd w:id="38"/>
      <w:bookmarkStart w:id="39" w:name="_Toc150527937"/>
      <w:bookmarkStart w:id="40" w:name="机构和人员"/>
      <w:r>
        <w:rPr>
          <w:rFonts w:ascii="Times New Roman"/>
        </w:rPr>
        <w:t>技术原理</w:t>
      </w:r>
      <w:bookmarkEnd w:id="39"/>
    </w:p>
    <w:bookmarkEnd w:id="40"/>
    <w:p>
      <w:pPr>
        <w:pStyle w:val="25"/>
        <w:rPr>
          <w:rFonts w:ascii="Times New Roman"/>
          <w:color w:val="000000"/>
        </w:rPr>
      </w:pPr>
      <w:r>
        <w:rPr>
          <w:rFonts w:ascii="Times New Roman"/>
          <w:color w:val="000000"/>
        </w:rPr>
        <w:t>使用SLS刺激重组表皮模型模拟皮肤刺激性状态</w:t>
      </w:r>
      <w:r>
        <w:rPr>
          <w:rFonts w:hint="eastAsia" w:ascii="Times New Roman"/>
          <w:color w:val="000000"/>
        </w:rPr>
        <w:t>：刺激物S</w:t>
      </w:r>
      <w:r>
        <w:rPr>
          <w:rFonts w:ascii="Times New Roman"/>
          <w:color w:val="000000"/>
        </w:rPr>
        <w:t>LS</w:t>
      </w:r>
      <w:r>
        <w:rPr>
          <w:rFonts w:hint="eastAsia" w:ascii="Times New Roman"/>
          <w:color w:val="000000"/>
        </w:rPr>
        <w:t>渗进活细胞层，一方面与细胞表面的受体如胞内感应受体NLR等发生相互作用，介导炎症因子的产生；另一方面诱导</w:t>
      </w:r>
      <w:r>
        <w:rPr>
          <w:rFonts w:ascii="Times New Roman"/>
          <w:color w:val="000000"/>
        </w:rPr>
        <w:t>角质层中储存的IL-1α释放，释放的IL-1α进一步激活炎症相关的信号通路如核因子κB（NF-κB），介</w:t>
      </w:r>
      <w:r>
        <w:rPr>
          <w:rFonts w:hint="eastAsia" w:ascii="Times New Roman"/>
          <w:color w:val="000000"/>
        </w:rPr>
        <w:t>导表达更多的炎症因子，从而使得炎症反应级联放大，使皮肤发生刺激性反应。</w:t>
      </w:r>
      <w:r>
        <w:rPr>
          <w:rFonts w:ascii="Times New Roman"/>
          <w:color w:val="000000"/>
        </w:rPr>
        <w:t>通过ELISA法检测</w:t>
      </w:r>
      <w:bookmarkStart w:id="41" w:name="OLE_LINK2"/>
      <w:r>
        <w:rPr>
          <w:rFonts w:ascii="Times New Roman"/>
          <w:color w:val="000000"/>
        </w:rPr>
        <w:t>IL-1α</w:t>
      </w:r>
      <w:bookmarkEnd w:id="41"/>
      <w:r>
        <w:rPr>
          <w:rFonts w:ascii="Times New Roman"/>
          <w:color w:val="000000"/>
        </w:rPr>
        <w:t>蛋白含量</w:t>
      </w:r>
      <w:r>
        <w:rPr>
          <w:rFonts w:hint="eastAsia" w:ascii="Times New Roman"/>
          <w:color w:val="000000"/>
        </w:rPr>
        <w:t>来</w:t>
      </w:r>
      <w:r>
        <w:rPr>
          <w:rFonts w:ascii="Times New Roman"/>
          <w:color w:val="000000"/>
        </w:rPr>
        <w:t>评价受试物舒缓功效。</w:t>
      </w:r>
    </w:p>
    <w:p>
      <w:pPr>
        <w:pStyle w:val="76"/>
        <w:adjustRightInd w:val="0"/>
        <w:snapToGrid w:val="0"/>
        <w:outlineLvl w:val="0"/>
        <w:rPr>
          <w:rFonts w:ascii="Times New Roman"/>
        </w:rPr>
      </w:pPr>
      <w:bookmarkStart w:id="42" w:name="_Toc21346"/>
      <w:bookmarkStart w:id="43" w:name="_Toc8984"/>
      <w:bookmarkStart w:id="44" w:name="_Toc150527938"/>
      <w:bookmarkStart w:id="45" w:name="_Toc2301"/>
      <w:bookmarkStart w:id="46" w:name="厂房和设施"/>
      <w:r>
        <w:rPr>
          <w:rFonts w:ascii="Times New Roman"/>
        </w:rPr>
        <w:t>试验条件</w:t>
      </w:r>
      <w:bookmarkEnd w:id="42"/>
      <w:bookmarkEnd w:id="43"/>
      <w:bookmarkEnd w:id="44"/>
      <w:bookmarkEnd w:id="45"/>
    </w:p>
    <w:p>
      <w:pPr>
        <w:pStyle w:val="25"/>
        <w:rPr>
          <w:rFonts w:ascii="Times New Roman"/>
        </w:rPr>
      </w:pPr>
      <w:r>
        <w:rPr>
          <w:rFonts w:ascii="Times New Roman"/>
        </w:rPr>
        <w:t>无菌室的等级达到十万级，温度控制在20～24℃，湿度控制在50%～70%，防震动，防电磁干扰。</w:t>
      </w:r>
    </w:p>
    <w:p>
      <w:pPr>
        <w:pStyle w:val="76"/>
        <w:outlineLvl w:val="0"/>
        <w:rPr>
          <w:rFonts w:ascii="Times New Roman"/>
          <w:color w:val="000000"/>
        </w:rPr>
      </w:pPr>
      <w:bookmarkStart w:id="47" w:name="_Toc150527939"/>
      <w:r>
        <w:rPr>
          <w:rFonts w:ascii="Times New Roman"/>
        </w:rPr>
        <w:t>材料和试剂</w:t>
      </w:r>
      <w:bookmarkEnd w:id="46"/>
      <w:bookmarkEnd w:id="47"/>
    </w:p>
    <w:p>
      <w:pPr>
        <w:pStyle w:val="73"/>
        <w:rPr>
          <w:rFonts w:ascii="Times New Roman"/>
        </w:rPr>
      </w:pPr>
      <w:r>
        <w:rPr>
          <w:rFonts w:ascii="Times New Roman"/>
        </w:rPr>
        <w:t>材料</w:t>
      </w:r>
    </w:p>
    <w:p>
      <w:pPr>
        <w:pStyle w:val="25"/>
        <w:numPr>
          <w:ilvl w:val="2"/>
          <w:numId w:val="4"/>
        </w:numPr>
        <w:ind w:firstLineChars="0"/>
        <w:jc w:val="left"/>
        <w:rPr>
          <w:rFonts w:ascii="Times New Roman"/>
        </w:rPr>
      </w:pPr>
      <w:r>
        <w:rPr>
          <w:rFonts w:hint="eastAsia" w:ascii="Times New Roman"/>
        </w:rPr>
        <w:t>重组表皮模型：选用角质形成细胞构建的重组皮肤模型</w:t>
      </w:r>
    </w:p>
    <w:p>
      <w:pPr>
        <w:pStyle w:val="25"/>
        <w:ind w:firstLine="419" w:firstLineChars="233"/>
        <w:jc w:val="left"/>
        <w:rPr>
          <w:rFonts w:asciiTheme="minorEastAsia" w:hAnsiTheme="minorEastAsia" w:eastAsiaTheme="minorEastAsia"/>
          <w:sz w:val="18"/>
          <w:szCs w:val="18"/>
        </w:rPr>
      </w:pPr>
      <w:r>
        <w:rPr>
          <w:rFonts w:hint="eastAsia" w:ascii="黑体" w:hAnsi="黑体" w:eastAsia="黑体" w:cs="黑体"/>
          <w:sz w:val="18"/>
          <w:szCs w:val="18"/>
        </w:rPr>
        <w:t>注：</w:t>
      </w:r>
      <w:r>
        <w:rPr>
          <w:rFonts w:hint="eastAsia" w:asciiTheme="minorEastAsia" w:hAnsiTheme="minorEastAsia" w:eastAsiaTheme="minorEastAsia"/>
          <w:sz w:val="18"/>
          <w:szCs w:val="18"/>
        </w:rPr>
        <w:t>其他角质形成细胞构建的重组皮肤模型也可用于本试验，但应证明其等同性。</w:t>
      </w:r>
    </w:p>
    <w:p>
      <w:pPr>
        <w:pStyle w:val="73"/>
        <w:rPr>
          <w:rFonts w:ascii="Times New Roman"/>
        </w:rPr>
      </w:pPr>
      <w:r>
        <w:rPr>
          <w:rFonts w:ascii="Times New Roman"/>
        </w:rPr>
        <w:t xml:space="preserve">试剂 </w:t>
      </w:r>
    </w:p>
    <w:p>
      <w:pPr>
        <w:pStyle w:val="25"/>
        <w:numPr>
          <w:ilvl w:val="2"/>
          <w:numId w:val="4"/>
        </w:numPr>
        <w:ind w:firstLineChars="0"/>
        <w:jc w:val="left"/>
        <w:rPr>
          <w:rFonts w:ascii="Times New Roman"/>
        </w:rPr>
      </w:pPr>
      <w:bookmarkStart w:id="48" w:name="_Toc4356"/>
      <w:bookmarkStart w:id="49" w:name="_Toc18171"/>
      <w:r>
        <w:rPr>
          <w:rFonts w:ascii="Times New Roman"/>
        </w:rPr>
        <w:t>体外重组表皮模型培养液（EpiGrowth 培养液）。</w:t>
      </w:r>
      <w:bookmarkStart w:id="82" w:name="_GoBack"/>
      <w:bookmarkEnd w:id="82"/>
    </w:p>
    <w:p>
      <w:pPr>
        <w:pStyle w:val="25"/>
        <w:numPr>
          <w:ilvl w:val="2"/>
          <w:numId w:val="4"/>
        </w:numPr>
        <w:ind w:firstLineChars="0"/>
        <w:jc w:val="left"/>
        <w:rPr>
          <w:rFonts w:ascii="Times New Roman"/>
        </w:rPr>
      </w:pPr>
      <w:r>
        <w:rPr>
          <w:rFonts w:ascii="Times New Roman"/>
        </w:rPr>
        <w:t>SLS粉末：纯度应达到分析纯级别。</w:t>
      </w:r>
    </w:p>
    <w:p>
      <w:pPr>
        <w:pStyle w:val="25"/>
        <w:numPr>
          <w:ilvl w:val="2"/>
          <w:numId w:val="4"/>
        </w:numPr>
        <w:ind w:firstLineChars="0"/>
        <w:jc w:val="left"/>
        <w:rPr>
          <w:rFonts w:ascii="Times New Roman"/>
        </w:rPr>
      </w:pPr>
      <w:r>
        <w:rPr>
          <w:rFonts w:hint="eastAsia" w:ascii="Times New Roman"/>
        </w:rPr>
        <w:t>磷酸盐缓冲液（P</w:t>
      </w:r>
      <w:r>
        <w:rPr>
          <w:rFonts w:ascii="Times New Roman"/>
        </w:rPr>
        <w:t>BS</w:t>
      </w:r>
      <w:r>
        <w:rPr>
          <w:rFonts w:hint="eastAsia" w:ascii="Times New Roman"/>
        </w:rPr>
        <w:t>）：0.01M的磷酸盐缓冲液（含氯化钾），pH=7.4。</w:t>
      </w:r>
    </w:p>
    <w:p>
      <w:pPr>
        <w:pStyle w:val="25"/>
        <w:numPr>
          <w:ilvl w:val="2"/>
          <w:numId w:val="4"/>
        </w:numPr>
        <w:ind w:firstLineChars="0"/>
        <w:jc w:val="left"/>
        <w:rPr>
          <w:rFonts w:ascii="Times New Roman"/>
        </w:rPr>
      </w:pPr>
      <w:r>
        <w:rPr>
          <w:rFonts w:hint="eastAsia" w:ascii="Times New Roman"/>
        </w:rPr>
        <w:t>二甲基亚砜（Dimethylsulfoxide,</w:t>
      </w:r>
      <w:r>
        <w:rPr>
          <w:rFonts w:ascii="Times New Roman"/>
        </w:rPr>
        <w:t xml:space="preserve"> </w:t>
      </w:r>
      <w:r>
        <w:rPr>
          <w:rFonts w:hint="eastAsia" w:ascii="Times New Roman"/>
        </w:rPr>
        <w:t>DMSO）：CAS号：67-68-5；单位：毫升。</w:t>
      </w:r>
    </w:p>
    <w:p>
      <w:pPr>
        <w:pStyle w:val="25"/>
        <w:numPr>
          <w:ilvl w:val="2"/>
          <w:numId w:val="4"/>
        </w:numPr>
        <w:ind w:firstLineChars="0"/>
        <w:jc w:val="left"/>
        <w:rPr>
          <w:rFonts w:ascii="Times New Roman"/>
        </w:rPr>
      </w:pPr>
      <w:r>
        <w:rPr>
          <w:rFonts w:ascii="Times New Roman"/>
        </w:rPr>
        <w:t>地塞米松粉末:纯度应达到分析纯级别。</w:t>
      </w:r>
    </w:p>
    <w:p>
      <w:pPr>
        <w:pStyle w:val="25"/>
        <w:numPr>
          <w:ilvl w:val="2"/>
          <w:numId w:val="4"/>
        </w:numPr>
        <w:ind w:firstLineChars="0"/>
        <w:jc w:val="left"/>
        <w:rPr>
          <w:rFonts w:ascii="Times New Roman"/>
        </w:rPr>
      </w:pPr>
      <w:r>
        <w:rPr>
          <w:rFonts w:ascii="Times New Roman"/>
        </w:rPr>
        <w:t>IL-α ELISA试剂盒：检测范围应达到0.18-12ng/mL。</w:t>
      </w:r>
      <w:bookmarkStart w:id="50" w:name="_Toc9452"/>
      <w:bookmarkStart w:id="51" w:name="_Toc12585"/>
    </w:p>
    <w:p>
      <w:pPr>
        <w:pStyle w:val="25"/>
        <w:ind w:firstLine="419" w:firstLineChars="233"/>
        <w:jc w:val="left"/>
        <w:rPr>
          <w:rFonts w:ascii="Times New Roman"/>
        </w:rPr>
      </w:pPr>
      <w:r>
        <w:rPr>
          <w:rFonts w:hint="eastAsia" w:ascii="黑体" w:hAnsi="黑体" w:eastAsia="黑体" w:cs="黑体"/>
          <w:sz w:val="18"/>
          <w:szCs w:val="18"/>
        </w:rPr>
        <w:t>注</w:t>
      </w:r>
      <w:r>
        <w:rPr>
          <w:rFonts w:hint="eastAsia" w:ascii="黑体" w:hAnsi="黑体" w:eastAsia="黑体" w:cs="黑体"/>
        </w:rPr>
        <w:t>：</w:t>
      </w:r>
      <w:r>
        <w:rPr>
          <w:rFonts w:ascii="Times New Roman"/>
          <w:sz w:val="18"/>
          <w:szCs w:val="18"/>
        </w:rPr>
        <w:t>以上试剂可采用相同类型的试剂进行替代</w:t>
      </w:r>
      <w:bookmarkEnd w:id="48"/>
      <w:bookmarkEnd w:id="49"/>
      <w:bookmarkEnd w:id="50"/>
      <w:bookmarkEnd w:id="51"/>
    </w:p>
    <w:p>
      <w:pPr>
        <w:pStyle w:val="76"/>
        <w:adjustRightInd w:val="0"/>
        <w:snapToGrid w:val="0"/>
        <w:outlineLvl w:val="0"/>
        <w:rPr>
          <w:rFonts w:ascii="Times New Roman"/>
        </w:rPr>
      </w:pPr>
      <w:bookmarkStart w:id="52" w:name="_Toc150527940"/>
      <w:r>
        <w:rPr>
          <w:rFonts w:ascii="Times New Roman"/>
        </w:rPr>
        <w:t>仪器设备</w:t>
      </w:r>
      <w:bookmarkEnd w:id="52"/>
    </w:p>
    <w:p>
      <w:pPr>
        <w:pStyle w:val="25"/>
        <w:numPr>
          <w:ilvl w:val="1"/>
          <w:numId w:val="19"/>
        </w:numPr>
        <w:ind w:firstLine="0" w:firstLineChars="0"/>
        <w:jc w:val="left"/>
        <w:rPr>
          <w:rFonts w:ascii="Times New Roman"/>
        </w:rPr>
      </w:pPr>
      <w:bookmarkStart w:id="53" w:name="设备"/>
      <w:bookmarkEnd w:id="53"/>
      <w:bookmarkStart w:id="54" w:name="_Toc20257"/>
      <w:bookmarkStart w:id="55" w:name="_Toc17557"/>
      <w:bookmarkStart w:id="56" w:name="_Toc6319"/>
      <w:r>
        <w:rPr>
          <w:rFonts w:ascii="Times New Roman"/>
        </w:rPr>
        <w:t>超净工作台</w:t>
      </w:r>
      <w:r>
        <w:rPr>
          <w:rFonts w:hint="eastAsia" w:ascii="Times New Roman"/>
        </w:rPr>
        <w:t>：</w:t>
      </w:r>
      <w:r>
        <w:rPr>
          <w:rFonts w:ascii="Times New Roman"/>
        </w:rPr>
        <w:t>洁净度达到100级。</w:t>
      </w:r>
    </w:p>
    <w:p>
      <w:pPr>
        <w:pStyle w:val="25"/>
        <w:numPr>
          <w:ilvl w:val="1"/>
          <w:numId w:val="19"/>
        </w:numPr>
        <w:ind w:firstLine="0" w:firstLineChars="0"/>
        <w:jc w:val="left"/>
        <w:rPr>
          <w:rFonts w:ascii="Times New Roman"/>
        </w:rPr>
      </w:pPr>
      <w:r>
        <w:rPr>
          <w:rFonts w:ascii="Times New Roman"/>
        </w:rPr>
        <w:t>CO</w:t>
      </w:r>
      <w:r>
        <w:rPr>
          <w:rFonts w:ascii="Times New Roman"/>
          <w:vertAlign w:val="subscript"/>
        </w:rPr>
        <w:t>2</w:t>
      </w:r>
      <w:r>
        <w:rPr>
          <w:rFonts w:ascii="Times New Roman"/>
        </w:rPr>
        <w:t>细胞培养箱：37℃±1℃，5±1%CO</w:t>
      </w:r>
      <w:r>
        <w:rPr>
          <w:rFonts w:ascii="Times New Roman"/>
          <w:vertAlign w:val="subscript"/>
        </w:rPr>
        <w:t>2</w:t>
      </w:r>
      <w:r>
        <w:rPr>
          <w:rFonts w:ascii="Times New Roman"/>
        </w:rPr>
        <w:t>，95%相对湿度。</w:t>
      </w:r>
    </w:p>
    <w:p>
      <w:pPr>
        <w:pStyle w:val="25"/>
        <w:numPr>
          <w:ilvl w:val="1"/>
          <w:numId w:val="19"/>
        </w:numPr>
        <w:ind w:firstLine="0" w:firstLineChars="0"/>
        <w:jc w:val="left"/>
        <w:rPr>
          <w:rFonts w:ascii="Times New Roman"/>
        </w:rPr>
      </w:pPr>
      <w:r>
        <w:rPr>
          <w:rFonts w:ascii="Times New Roman"/>
        </w:rPr>
        <w:t>分析天平</w:t>
      </w:r>
      <w:r>
        <w:rPr>
          <w:rFonts w:hint="eastAsia" w:ascii="Times New Roman"/>
        </w:rPr>
        <w:t>：</w:t>
      </w:r>
      <w:r>
        <w:rPr>
          <w:rFonts w:ascii="Times New Roman"/>
        </w:rPr>
        <w:t>精度0.1mg。</w:t>
      </w:r>
    </w:p>
    <w:p>
      <w:pPr>
        <w:pStyle w:val="25"/>
        <w:numPr>
          <w:ilvl w:val="1"/>
          <w:numId w:val="19"/>
        </w:numPr>
        <w:ind w:firstLine="0" w:firstLineChars="0"/>
        <w:jc w:val="left"/>
        <w:rPr>
          <w:rFonts w:ascii="Times New Roman"/>
        </w:rPr>
      </w:pPr>
      <w:r>
        <w:rPr>
          <w:rFonts w:ascii="Times New Roman"/>
        </w:rPr>
        <w:t>酶标仪</w:t>
      </w:r>
      <w:r>
        <w:rPr>
          <w:rFonts w:hint="eastAsia" w:ascii="Times New Roman"/>
        </w:rPr>
        <w:t>：</w:t>
      </w:r>
      <w:r>
        <w:rPr>
          <w:rFonts w:ascii="Times New Roman"/>
        </w:rPr>
        <w:t>检测波长范围200-999nm。</w:t>
      </w:r>
    </w:p>
    <w:p>
      <w:pPr>
        <w:pStyle w:val="25"/>
        <w:numPr>
          <w:ilvl w:val="1"/>
          <w:numId w:val="19"/>
        </w:numPr>
        <w:ind w:firstLine="0" w:firstLineChars="0"/>
        <w:jc w:val="left"/>
        <w:rPr>
          <w:rFonts w:ascii="Times New Roman"/>
        </w:rPr>
      </w:pPr>
      <w:r>
        <w:rPr>
          <w:rFonts w:ascii="Times New Roman"/>
        </w:rPr>
        <w:t>-80℃超低温冰箱</w:t>
      </w:r>
      <w:r>
        <w:rPr>
          <w:rFonts w:hint="eastAsia" w:ascii="Times New Roman"/>
        </w:rPr>
        <w:t>：</w:t>
      </w:r>
      <w:r>
        <w:rPr>
          <w:rFonts w:ascii="Times New Roman"/>
        </w:rPr>
        <w:t>用于</w:t>
      </w:r>
      <w:r>
        <w:rPr>
          <w:rFonts w:hint="eastAsia" w:ascii="Times New Roman"/>
        </w:rPr>
        <w:t>收样培养液</w:t>
      </w:r>
      <w:r>
        <w:rPr>
          <w:rFonts w:ascii="Times New Roman"/>
        </w:rPr>
        <w:t>冻存。</w:t>
      </w:r>
    </w:p>
    <w:p>
      <w:pPr>
        <w:pStyle w:val="25"/>
        <w:numPr>
          <w:ilvl w:val="1"/>
          <w:numId w:val="19"/>
        </w:numPr>
        <w:ind w:firstLine="0" w:firstLineChars="0"/>
        <w:jc w:val="left"/>
        <w:rPr>
          <w:rFonts w:ascii="Times New Roman"/>
        </w:rPr>
      </w:pPr>
      <w:r>
        <w:rPr>
          <w:rFonts w:ascii="Times New Roman"/>
        </w:rPr>
        <w:t>移液器：连续加样器和相应吸头、M25活塞排代式移液器和相应吸头、2μL~10μL、10μL~ 100μL、20~200μL、100~1000μL移液器及相应吸头。</w:t>
      </w:r>
    </w:p>
    <w:p>
      <w:pPr>
        <w:pStyle w:val="76"/>
        <w:adjustRightInd w:val="0"/>
        <w:snapToGrid w:val="0"/>
        <w:outlineLvl w:val="0"/>
        <w:rPr>
          <w:rFonts w:ascii="Times New Roman"/>
        </w:rPr>
      </w:pPr>
      <w:bookmarkStart w:id="57" w:name="_Toc150527941"/>
      <w:r>
        <w:rPr>
          <w:rFonts w:ascii="Times New Roman"/>
        </w:rPr>
        <w:t>样品</w:t>
      </w:r>
      <w:bookmarkEnd w:id="54"/>
      <w:bookmarkEnd w:id="55"/>
      <w:bookmarkEnd w:id="56"/>
      <w:bookmarkEnd w:id="57"/>
    </w:p>
    <w:p>
      <w:pPr>
        <w:pStyle w:val="73"/>
        <w:rPr>
          <w:rFonts w:ascii="Times New Roman"/>
        </w:rPr>
      </w:pPr>
      <w:bookmarkStart w:id="58" w:name="_Toc26971"/>
      <w:r>
        <w:rPr>
          <w:rFonts w:ascii="Times New Roman"/>
        </w:rPr>
        <w:t>体外重组表皮模型的准备</w:t>
      </w:r>
    </w:p>
    <w:p>
      <w:pPr>
        <w:pStyle w:val="73"/>
        <w:numPr>
          <w:ilvl w:val="255"/>
          <w:numId w:val="0"/>
        </w:numPr>
        <w:ind w:firstLine="420" w:firstLineChars="200"/>
        <w:jc w:val="both"/>
        <w:rPr>
          <w:rFonts w:ascii="Times New Roman" w:eastAsia="宋体"/>
        </w:rPr>
      </w:pPr>
      <w:r>
        <w:rPr>
          <w:rFonts w:ascii="Times New Roman" w:eastAsia="宋体"/>
        </w:rPr>
        <w:t>该步骤在超净工作台中进行。每轮测试中</w:t>
      </w:r>
      <w:r>
        <w:rPr>
          <w:rFonts w:hint="eastAsia" w:ascii="Times New Roman" w:eastAsia="宋体"/>
        </w:rPr>
        <w:t>按照实验分组（空白对照组、阴性对照组、阳性对照组和各待测物组）数量，每组各准备1块6孔板并进行标记，</w:t>
      </w:r>
      <w:r>
        <w:rPr>
          <w:rFonts w:ascii="Times New Roman" w:eastAsia="宋体"/>
        </w:rPr>
        <w:t>在每个6孔板的第一排孔中各加入0.9mL EpiGrowth培养液</w:t>
      </w:r>
      <w:r>
        <w:rPr>
          <w:rFonts w:hint="eastAsia" w:ascii="Times New Roman" w:eastAsia="宋体"/>
        </w:rPr>
        <w:t>。每组各3个体外重组表皮模型，</w:t>
      </w:r>
      <w:r>
        <w:rPr>
          <w:rFonts w:ascii="Times New Roman" w:eastAsia="宋体"/>
        </w:rPr>
        <w:t>将模型转移至6孔板</w:t>
      </w:r>
      <w:r>
        <w:rPr>
          <w:rFonts w:hint="eastAsia" w:ascii="Times New Roman" w:eastAsia="宋体"/>
        </w:rPr>
        <w:t>第一排</w:t>
      </w:r>
      <w:r>
        <w:rPr>
          <w:rFonts w:ascii="Times New Roman" w:eastAsia="宋体"/>
        </w:rPr>
        <w:t>中，置于CO</w:t>
      </w:r>
      <w:r>
        <w:rPr>
          <w:rFonts w:ascii="Times New Roman" w:eastAsia="宋体"/>
          <w:vertAlign w:val="subscript"/>
        </w:rPr>
        <w:t>2</w:t>
      </w:r>
      <w:r>
        <w:rPr>
          <w:rFonts w:ascii="Times New Roman" w:eastAsia="宋体"/>
        </w:rPr>
        <w:t>培养箱中培养24 h（37±1℃、5±1% CO</w:t>
      </w:r>
      <w:r>
        <w:rPr>
          <w:rFonts w:ascii="Times New Roman" w:eastAsia="宋体"/>
          <w:vertAlign w:val="subscript"/>
        </w:rPr>
        <w:t>2</w:t>
      </w:r>
      <w:r>
        <w:rPr>
          <w:rFonts w:ascii="Times New Roman" w:eastAsia="宋体"/>
        </w:rPr>
        <w:t>、95%相对湿度）。</w:t>
      </w:r>
      <w:bookmarkEnd w:id="58"/>
    </w:p>
    <w:p>
      <w:pPr>
        <w:pStyle w:val="73"/>
        <w:rPr>
          <w:rFonts w:ascii="Times New Roman"/>
        </w:rPr>
      </w:pPr>
      <w:bookmarkStart w:id="59" w:name="_Toc28910"/>
      <w:r>
        <w:rPr>
          <w:rFonts w:hint="eastAsia" w:ascii="Times New Roman"/>
        </w:rPr>
        <w:t>液体配置</w:t>
      </w:r>
    </w:p>
    <w:p>
      <w:pPr>
        <w:pStyle w:val="73"/>
        <w:numPr>
          <w:ilvl w:val="255"/>
          <w:numId w:val="0"/>
        </w:numPr>
        <w:ind w:firstLine="420" w:firstLineChars="200"/>
        <w:jc w:val="both"/>
        <w:rPr>
          <w:rFonts w:ascii="Times New Roman" w:eastAsia="宋体"/>
        </w:rPr>
      </w:pPr>
      <w:r>
        <w:rPr>
          <w:rFonts w:hint="eastAsia" w:ascii="Times New Roman" w:eastAsia="宋体"/>
        </w:rPr>
        <w:t>配置阴性工作液：称取0</w:t>
      </w:r>
      <w:r>
        <w:rPr>
          <w:rFonts w:ascii="Times New Roman" w:eastAsia="宋体"/>
        </w:rPr>
        <w:t>.024 g SLS</w:t>
      </w:r>
      <w:r>
        <w:rPr>
          <w:rFonts w:hint="eastAsia" w:ascii="Times New Roman" w:eastAsia="宋体"/>
        </w:rPr>
        <w:t>溶于6</w:t>
      </w:r>
      <w:r>
        <w:rPr>
          <w:rFonts w:ascii="Times New Roman" w:eastAsia="宋体"/>
        </w:rPr>
        <w:t xml:space="preserve"> mL PBS</w:t>
      </w:r>
      <w:r>
        <w:rPr>
          <w:rFonts w:hint="eastAsia" w:ascii="Times New Roman" w:eastAsia="宋体"/>
        </w:rPr>
        <w:t>溶液中，0</w:t>
      </w:r>
      <w:r>
        <w:rPr>
          <w:rFonts w:ascii="Times New Roman" w:eastAsia="宋体"/>
        </w:rPr>
        <w:t xml:space="preserve">.22 </w:t>
      </w:r>
      <w:r>
        <w:rPr>
          <w:rFonts w:hint="eastAsia" w:ascii="Times New Roman" w:eastAsia="宋体"/>
        </w:rPr>
        <w:t>µm过滤，配置成0</w:t>
      </w:r>
      <w:r>
        <w:rPr>
          <w:rFonts w:ascii="Times New Roman" w:eastAsia="宋体"/>
        </w:rPr>
        <w:t>.4</w:t>
      </w:r>
      <w:r>
        <w:rPr>
          <w:rFonts w:hint="eastAsia" w:ascii="Times New Roman" w:eastAsia="宋体"/>
        </w:rPr>
        <w:t>%</w:t>
      </w:r>
      <w:r>
        <w:rPr>
          <w:rFonts w:ascii="Times New Roman" w:eastAsia="宋体"/>
        </w:rPr>
        <w:t xml:space="preserve"> SLS</w:t>
      </w:r>
      <w:r>
        <w:rPr>
          <w:rFonts w:hint="eastAsia" w:ascii="Times New Roman" w:eastAsia="宋体"/>
        </w:rPr>
        <w:t>母液，备用。</w:t>
      </w:r>
    </w:p>
    <w:p>
      <w:pPr>
        <w:pStyle w:val="73"/>
        <w:numPr>
          <w:ilvl w:val="255"/>
          <w:numId w:val="0"/>
        </w:numPr>
        <w:ind w:firstLine="420" w:firstLineChars="200"/>
        <w:jc w:val="both"/>
        <w:rPr>
          <w:rFonts w:ascii="Times New Roman" w:eastAsia="宋体"/>
        </w:rPr>
      </w:pPr>
      <w:r>
        <w:rPr>
          <w:rFonts w:ascii="Times New Roman" w:eastAsia="宋体"/>
        </w:rPr>
        <w:t>配置阳性工作液：将地塞米松整瓶置于玻璃皿中开口干燥，105℃干燥2 h，干燥后将粉末收集于1.5 mL离心管中并称重，根据重量按照100 mg加1000 µL DMSO的量等比例放大，震摇2 h，充分混匀得到浓度为100 mg/mL浓度的地塞米松母液。</w:t>
      </w:r>
    </w:p>
    <w:p>
      <w:pPr>
        <w:pStyle w:val="73"/>
        <w:numPr>
          <w:ilvl w:val="255"/>
          <w:numId w:val="0"/>
        </w:numPr>
        <w:ind w:firstLine="420" w:firstLineChars="200"/>
        <w:jc w:val="both"/>
        <w:rPr>
          <w:rFonts w:ascii="Times New Roman" w:eastAsia="宋体"/>
        </w:rPr>
      </w:pPr>
      <w:r>
        <w:rPr>
          <w:rFonts w:ascii="Times New Roman" w:eastAsia="宋体"/>
        </w:rPr>
        <w:t>配置样品工作液：需稀释至相应浓度的样品：根据样品浓度，采用0.2% SLS作为溶剂，稀释样品至相应工作浓度；原液给药样品：按照体积比1:1将样品与浓度为0.4%的SLS涡旋混匀。</w:t>
      </w:r>
    </w:p>
    <w:p>
      <w:pPr>
        <w:pStyle w:val="73"/>
        <w:rPr>
          <w:rFonts w:ascii="Times New Roman"/>
        </w:rPr>
      </w:pPr>
      <w:r>
        <w:rPr>
          <w:rFonts w:ascii="Times New Roman"/>
        </w:rPr>
        <w:t>给药</w:t>
      </w:r>
    </w:p>
    <w:p>
      <w:pPr>
        <w:pStyle w:val="73"/>
        <w:numPr>
          <w:ilvl w:val="255"/>
          <w:numId w:val="0"/>
        </w:numPr>
        <w:ind w:firstLine="420" w:firstLineChars="200"/>
        <w:jc w:val="both"/>
        <w:rPr>
          <w:rFonts w:ascii="Times New Roman" w:eastAsia="宋体"/>
        </w:rPr>
      </w:pPr>
      <w:r>
        <w:rPr>
          <w:rFonts w:hint="eastAsia" w:ascii="Times New Roman" w:eastAsiaTheme="minorEastAsia"/>
          <w:szCs w:val="20"/>
        </w:rPr>
        <w:t>阴性对照及阳性对照表面涂抹2</w:t>
      </w:r>
      <w:r>
        <w:rPr>
          <w:rFonts w:ascii="Times New Roman" w:eastAsiaTheme="minorEastAsia"/>
          <w:szCs w:val="20"/>
        </w:rPr>
        <w:t xml:space="preserve">5 </w:t>
      </w:r>
      <w:r>
        <w:rPr>
          <w:rFonts w:hint="eastAsia" w:ascii="Times New Roman" w:eastAsiaTheme="minorEastAsia"/>
          <w:szCs w:val="20"/>
        </w:rPr>
        <w:t>µ</w:t>
      </w:r>
      <w:r>
        <w:rPr>
          <w:rFonts w:ascii="Times New Roman" w:eastAsiaTheme="minorEastAsia"/>
          <w:szCs w:val="20"/>
        </w:rPr>
        <w:t>L 0.2</w:t>
      </w:r>
      <w:r>
        <w:rPr>
          <w:rFonts w:hint="eastAsia" w:ascii="Times New Roman" w:eastAsiaTheme="minorEastAsia"/>
          <w:szCs w:val="20"/>
        </w:rPr>
        <w:t>%</w:t>
      </w:r>
      <w:r>
        <w:rPr>
          <w:rFonts w:ascii="Times New Roman" w:eastAsiaTheme="minorEastAsia"/>
          <w:szCs w:val="20"/>
        </w:rPr>
        <w:t xml:space="preserve"> SLS</w:t>
      </w:r>
      <w:r>
        <w:rPr>
          <w:rFonts w:hint="eastAsia" w:ascii="Times New Roman" w:eastAsiaTheme="minorEastAsia"/>
          <w:szCs w:val="20"/>
        </w:rPr>
        <w:t>的工作液；样品组表面涂抹</w:t>
      </w:r>
      <w:r>
        <w:rPr>
          <w:rFonts w:ascii="Times New Roman" w:eastAsiaTheme="minorEastAsia"/>
          <w:szCs w:val="20"/>
        </w:rPr>
        <w:t>25 µL</w:t>
      </w:r>
      <w:r>
        <w:rPr>
          <w:rFonts w:hint="eastAsia" w:ascii="Times New Roman" w:eastAsiaTheme="minorEastAsia"/>
          <w:szCs w:val="20"/>
        </w:rPr>
        <w:t>样品工作液（含S</w:t>
      </w:r>
      <w:r>
        <w:rPr>
          <w:rFonts w:ascii="Times New Roman" w:eastAsiaTheme="minorEastAsia"/>
          <w:szCs w:val="20"/>
        </w:rPr>
        <w:t>LS</w:t>
      </w:r>
      <w:r>
        <w:rPr>
          <w:rFonts w:hint="eastAsia" w:ascii="Times New Roman" w:eastAsiaTheme="minorEastAsia"/>
          <w:szCs w:val="20"/>
        </w:rPr>
        <w:t>和样品）。阳性对照组给药方式为液下给药，将其母液与培养液混合稀释后换液；空白对照组、阴性对照组、样品组更换正常培养基。之后将</w:t>
      </w:r>
      <w:r>
        <w:rPr>
          <w:rFonts w:ascii="Times New Roman" w:eastAsiaTheme="minorEastAsia"/>
          <w:szCs w:val="20"/>
        </w:rPr>
        <w:t>孔板转移至CO</w:t>
      </w:r>
      <w:r>
        <w:rPr>
          <w:rFonts w:ascii="Times New Roman" w:eastAsiaTheme="minorEastAsia"/>
          <w:szCs w:val="20"/>
          <w:vertAlign w:val="subscript"/>
        </w:rPr>
        <w:t>2</w:t>
      </w:r>
      <w:r>
        <w:rPr>
          <w:rFonts w:ascii="Times New Roman" w:eastAsiaTheme="minorEastAsia"/>
          <w:szCs w:val="20"/>
        </w:rPr>
        <w:t>培养箱中，孵育培养24 h（37±1℃、5±1% CO</w:t>
      </w:r>
      <w:r>
        <w:rPr>
          <w:rFonts w:ascii="Times New Roman" w:eastAsiaTheme="minorEastAsia"/>
          <w:szCs w:val="20"/>
          <w:vertAlign w:val="subscript"/>
        </w:rPr>
        <w:t>2</w:t>
      </w:r>
      <w:r>
        <w:rPr>
          <w:rFonts w:ascii="Times New Roman" w:eastAsiaTheme="minorEastAsia"/>
          <w:szCs w:val="20"/>
        </w:rPr>
        <w:t>、95%相对湿度）</w:t>
      </w:r>
      <w:r>
        <w:rPr>
          <w:rFonts w:ascii="Times New Roman" w:eastAsia="宋体"/>
        </w:rPr>
        <w:t>。</w:t>
      </w:r>
      <w:bookmarkEnd w:id="59"/>
    </w:p>
    <w:p>
      <w:pPr>
        <w:pStyle w:val="73"/>
        <w:rPr>
          <w:rFonts w:ascii="Times New Roman"/>
        </w:rPr>
      </w:pPr>
      <w:bookmarkStart w:id="60" w:name="_Toc5557"/>
      <w:r>
        <w:rPr>
          <w:rFonts w:ascii="Times New Roman"/>
        </w:rPr>
        <w:t>收样</w:t>
      </w:r>
    </w:p>
    <w:p>
      <w:pPr>
        <w:pStyle w:val="73"/>
        <w:numPr>
          <w:ilvl w:val="255"/>
          <w:numId w:val="0"/>
        </w:numPr>
        <w:ind w:firstLine="420" w:firstLineChars="200"/>
        <w:rPr>
          <w:rFonts w:ascii="Times New Roman" w:eastAsia="宋体"/>
        </w:rPr>
      </w:pPr>
      <w:r>
        <w:rPr>
          <w:rFonts w:ascii="Times New Roman" w:eastAsia="宋体"/>
        </w:rPr>
        <w:t>24 h孵育结束后，收集培养液储存于-80℃保存。</w:t>
      </w:r>
      <w:bookmarkEnd w:id="60"/>
    </w:p>
    <w:p>
      <w:pPr>
        <w:pStyle w:val="73"/>
        <w:rPr>
          <w:rFonts w:ascii="Times New Roman"/>
        </w:rPr>
      </w:pPr>
      <w:r>
        <w:rPr>
          <w:rFonts w:ascii="Times New Roman"/>
        </w:rPr>
        <w:t xml:space="preserve"> </w:t>
      </w:r>
      <w:r>
        <w:rPr>
          <w:rFonts w:ascii="Times New Roman"/>
          <w:kern w:val="2"/>
          <w:szCs w:val="24"/>
        </w:rPr>
        <w:t>ELISA检测IL-1α</w:t>
      </w:r>
    </w:p>
    <w:p>
      <w:pPr>
        <w:pStyle w:val="73"/>
        <w:numPr>
          <w:ilvl w:val="255"/>
          <w:numId w:val="0"/>
        </w:numPr>
        <w:ind w:firstLine="420" w:firstLineChars="200"/>
        <w:rPr>
          <w:rFonts w:ascii="Times New Roman"/>
          <w:kern w:val="2"/>
          <w:szCs w:val="24"/>
          <w:lang w:bidi="ar"/>
        </w:rPr>
      </w:pPr>
      <w:r>
        <w:rPr>
          <w:rFonts w:ascii="Times New Roman" w:eastAsia="宋体"/>
          <w:kern w:val="2"/>
          <w:szCs w:val="24"/>
          <w:lang w:bidi="ar"/>
        </w:rPr>
        <w:t>检测前提取将样本从-80℃室温解冻，按照ELISA检测说明书进行IL-1α检测</w:t>
      </w:r>
      <w:r>
        <w:rPr>
          <w:rFonts w:ascii="Times New Roman"/>
          <w:kern w:val="2"/>
          <w:szCs w:val="24"/>
          <w:lang w:bidi="ar"/>
        </w:rPr>
        <w:t>。</w:t>
      </w:r>
    </w:p>
    <w:p>
      <w:pPr>
        <w:pStyle w:val="76"/>
        <w:adjustRightInd w:val="0"/>
        <w:snapToGrid w:val="0"/>
        <w:outlineLvl w:val="0"/>
        <w:rPr>
          <w:rFonts w:ascii="Times New Roman"/>
        </w:rPr>
      </w:pPr>
      <w:bookmarkStart w:id="61" w:name="_Toc29069"/>
      <w:bookmarkStart w:id="62" w:name="_Toc150527942"/>
      <w:bookmarkStart w:id="63" w:name="_Toc8294"/>
      <w:bookmarkStart w:id="64" w:name="_Toc14439"/>
      <w:bookmarkStart w:id="65" w:name="设计开发"/>
      <w:bookmarkStart w:id="66" w:name="OLE_LINK1"/>
      <w:r>
        <w:rPr>
          <w:rFonts w:ascii="Times New Roman"/>
        </w:rPr>
        <w:t>试验数据处理</w:t>
      </w:r>
      <w:bookmarkEnd w:id="61"/>
      <w:bookmarkEnd w:id="62"/>
      <w:bookmarkEnd w:id="63"/>
      <w:bookmarkEnd w:id="64"/>
    </w:p>
    <w:p>
      <w:pPr>
        <w:pStyle w:val="73"/>
        <w:rPr>
          <w:rFonts w:ascii="Times New Roman"/>
        </w:rPr>
      </w:pPr>
      <w:bookmarkStart w:id="67" w:name="_Toc14007"/>
      <w:r>
        <w:rPr>
          <w:rFonts w:ascii="Times New Roman"/>
          <w:color w:val="000000"/>
        </w:rPr>
        <w:t>IL-1α含量计算</w:t>
      </w:r>
      <w:bookmarkEnd w:id="67"/>
    </w:p>
    <w:p>
      <w:pPr>
        <w:pStyle w:val="25"/>
        <w:rPr>
          <w:rFonts w:ascii="Times New Roman"/>
          <w:szCs w:val="21"/>
        </w:rPr>
      </w:pPr>
      <w:r>
        <w:rPr>
          <w:rFonts w:ascii="Times New Roman"/>
          <w:szCs w:val="21"/>
        </w:rPr>
        <w:t>推荐使用专业制作曲线软件，以标准品的浓度为纵坐标，</w:t>
      </w:r>
      <w:r>
        <w:rPr>
          <w:rFonts w:ascii="Times New Roman"/>
          <w:color w:val="000000"/>
          <w:szCs w:val="21"/>
        </w:rPr>
        <w:t>OD</w:t>
      </w:r>
      <w:r>
        <w:rPr>
          <w:rFonts w:ascii="Times New Roman"/>
          <w:color w:val="000000"/>
          <w:szCs w:val="21"/>
          <w:vertAlign w:val="subscript"/>
        </w:rPr>
        <w:t>450</w:t>
      </w:r>
      <w:r>
        <w:rPr>
          <w:rFonts w:ascii="Times New Roman"/>
          <w:szCs w:val="21"/>
        </w:rPr>
        <w:t>值为横坐标，制作标准曲线，根据样本的</w:t>
      </w:r>
      <w:r>
        <w:rPr>
          <w:rFonts w:ascii="Times New Roman"/>
          <w:color w:val="000000"/>
          <w:szCs w:val="21"/>
        </w:rPr>
        <w:t>OD</w:t>
      </w:r>
      <w:r>
        <w:rPr>
          <w:rFonts w:ascii="Times New Roman"/>
          <w:color w:val="000000"/>
          <w:szCs w:val="21"/>
          <w:vertAlign w:val="subscript"/>
        </w:rPr>
        <w:t>450</w:t>
      </w:r>
      <w:r>
        <w:rPr>
          <w:rFonts w:ascii="Times New Roman"/>
          <w:szCs w:val="21"/>
        </w:rPr>
        <w:t>值，查出相应的浓度。或用标准品的浓度与</w:t>
      </w:r>
      <w:r>
        <w:rPr>
          <w:rFonts w:ascii="Times New Roman"/>
          <w:color w:val="000000"/>
          <w:szCs w:val="21"/>
        </w:rPr>
        <w:t>OD</w:t>
      </w:r>
      <w:r>
        <w:rPr>
          <w:rFonts w:ascii="Times New Roman"/>
          <w:color w:val="000000"/>
          <w:szCs w:val="21"/>
          <w:vertAlign w:val="subscript"/>
        </w:rPr>
        <w:t>450</w:t>
      </w:r>
      <w:r>
        <w:rPr>
          <w:rFonts w:ascii="Times New Roman"/>
          <w:szCs w:val="21"/>
        </w:rPr>
        <w:t>值计算出标准曲线的回归方程式。</w:t>
      </w:r>
      <w:r>
        <w:rPr>
          <w:rFonts w:ascii="Times New Roman"/>
          <w:color w:val="000000"/>
          <w:szCs w:val="21"/>
        </w:rPr>
        <w:t>将样本的OD</w:t>
      </w:r>
      <w:r>
        <w:rPr>
          <w:rFonts w:ascii="Times New Roman"/>
          <w:color w:val="000000"/>
          <w:szCs w:val="21"/>
          <w:vertAlign w:val="subscript"/>
        </w:rPr>
        <w:t>450</w:t>
      </w:r>
      <w:r>
        <w:rPr>
          <w:rFonts w:ascii="Times New Roman"/>
          <w:color w:val="000000"/>
          <w:szCs w:val="21"/>
        </w:rPr>
        <w:t>值代入方程式，计算样本的IL-1α含量。最终取各组3个复孔的平均值作为最终的IL-1α结果。</w:t>
      </w:r>
      <w:r>
        <w:rPr>
          <w:rFonts w:ascii="Times New Roman"/>
          <w:szCs w:val="21"/>
        </w:rPr>
        <w:t xml:space="preserve"> </w:t>
      </w:r>
    </w:p>
    <w:p>
      <w:pPr>
        <w:pStyle w:val="73"/>
        <w:rPr>
          <w:rFonts w:ascii="Times New Roman"/>
        </w:rPr>
      </w:pPr>
      <w:bookmarkStart w:id="68" w:name="_Toc15481"/>
      <w:r>
        <w:rPr>
          <w:rFonts w:ascii="Times New Roman"/>
          <w:color w:val="000000"/>
        </w:rPr>
        <w:t>IL-1α抑制</w:t>
      </w:r>
      <w:r>
        <w:rPr>
          <w:rFonts w:ascii="Times New Roman"/>
          <w:color w:val="000000"/>
          <w:sz w:val="22"/>
          <w:szCs w:val="22"/>
        </w:rPr>
        <w:t>率计算公式</w:t>
      </w:r>
      <w:bookmarkEnd w:id="68"/>
      <w:r>
        <w:rPr>
          <w:rFonts w:ascii="Times New Roman" w:eastAsia="宋体"/>
          <w:sz w:val="24"/>
          <w:szCs w:val="24"/>
        </w:rPr>
        <w:t xml:space="preserve"> </w:t>
      </w:r>
    </w:p>
    <w:p>
      <w:pPr>
        <w:pStyle w:val="25"/>
        <w:jc w:val="center"/>
        <w:rPr>
          <w:rFonts w:ascii="Times New Roman"/>
        </w:rPr>
      </w:pPr>
      <w:r>
        <w:rPr>
          <w:rFonts w:hint="eastAsia" w:ascii="Times New Roman"/>
          <w:lang w:bidi="ar"/>
        </w:rPr>
        <w:t>抑制率（%）</w:t>
      </w:r>
      <m:oMath>
        <m:r>
          <m:rPr/>
          <w:rPr>
            <w:rFonts w:ascii="Cambria Math" w:hAnsi="Cambria Math"/>
            <w:lang w:bidi="ar"/>
          </w:rPr>
          <m:t>=(</m:t>
        </m:r>
        <m:f>
          <m:fPr>
            <m:ctrlPr>
              <w:rPr>
                <w:rFonts w:ascii="Cambria Math" w:hAnsi="Cambria Math"/>
                <w:i/>
                <w:lang w:bidi="ar"/>
              </w:rPr>
            </m:ctrlPr>
          </m:fPr>
          <m:num>
            <m:r>
              <m:rPr/>
              <w:rPr>
                <w:rFonts w:ascii="Cambria Math" w:hAnsi="Cambria Math"/>
                <w:lang w:bidi="ar"/>
              </w:rPr>
              <m:t>T−C</m:t>
            </m:r>
            <m:ctrlPr>
              <w:rPr>
                <w:rFonts w:ascii="Cambria Math" w:hAnsi="Cambria Math"/>
                <w:i/>
                <w:lang w:bidi="ar"/>
              </w:rPr>
            </m:ctrlPr>
          </m:num>
          <m:den>
            <m:r>
              <m:rPr/>
              <w:rPr>
                <w:rFonts w:ascii="Cambria Math" w:hAnsi="Cambria Math"/>
                <w:lang w:bidi="ar"/>
              </w:rPr>
              <m:t>C</m:t>
            </m:r>
            <m:ctrlPr>
              <w:rPr>
                <w:rFonts w:ascii="Cambria Math" w:hAnsi="Cambria Math"/>
                <w:i/>
                <w:lang w:bidi="ar"/>
              </w:rPr>
            </m:ctrlPr>
          </m:den>
        </m:f>
      </m:oMath>
      <w:r>
        <w:rPr>
          <w:rFonts w:hint="eastAsia" w:hAnsi="Cambria Math"/>
          <w:lang w:bidi="ar"/>
        </w:rPr>
        <w:t>)</w:t>
      </w:r>
      <w:r>
        <w:rPr>
          <w:rFonts w:hint="eastAsia" w:ascii="Times New Roman"/>
          <w:lang w:bidi="ar"/>
        </w:rPr>
        <w:t>×100%</w:t>
      </w:r>
    </w:p>
    <w:p>
      <w:pPr>
        <w:pStyle w:val="25"/>
        <w:rPr>
          <w:rFonts w:ascii="Times New Roman"/>
        </w:rPr>
      </w:pPr>
      <w:r>
        <w:rPr>
          <w:rFonts w:ascii="Times New Roman"/>
        </w:rPr>
        <w:t>式中：</w:t>
      </w:r>
    </w:p>
    <w:p>
      <w:pPr>
        <w:pStyle w:val="25"/>
        <w:ind w:firstLine="440"/>
        <w:rPr>
          <w:rFonts w:ascii="Times New Roman"/>
        </w:rPr>
      </w:pPr>
      <w:r>
        <w:rPr>
          <w:rFonts w:ascii="Times New Roman"/>
          <w:sz w:val="22"/>
          <w:szCs w:val="21"/>
        </w:rPr>
        <w:t>T</w:t>
      </w:r>
      <w:r>
        <w:rPr>
          <w:rFonts w:ascii="Times New Roman"/>
        </w:rPr>
        <w:t>—受试物IL-1α含量平均值；</w:t>
      </w:r>
    </w:p>
    <w:p>
      <w:pPr>
        <w:pStyle w:val="25"/>
        <w:ind w:firstLine="440"/>
        <w:rPr>
          <w:rFonts w:ascii="Times New Roman"/>
        </w:rPr>
      </w:pPr>
      <w:r>
        <w:rPr>
          <w:rFonts w:ascii="Times New Roman"/>
          <w:sz w:val="22"/>
          <w:szCs w:val="21"/>
        </w:rPr>
        <w:t>C</w:t>
      </w:r>
      <w:r>
        <w:rPr>
          <w:rFonts w:ascii="Times New Roman"/>
        </w:rPr>
        <w:t>—空白/溶剂对照IL-1α含量平均值。</w:t>
      </w:r>
    </w:p>
    <w:p>
      <w:pPr>
        <w:pStyle w:val="73"/>
        <w:rPr>
          <w:rFonts w:ascii="Times New Roman"/>
        </w:rPr>
      </w:pPr>
      <w:bookmarkStart w:id="69" w:name="_Toc3535"/>
      <w:r>
        <w:rPr>
          <w:rFonts w:ascii="Times New Roman"/>
        </w:rPr>
        <w:t>统计分析</w:t>
      </w:r>
      <w:bookmarkEnd w:id="69"/>
    </w:p>
    <w:p>
      <w:pPr>
        <w:ind w:firstLine="420" w:firstLineChars="200"/>
        <w:rPr>
          <w:color w:val="000000"/>
          <w:kern w:val="0"/>
          <w:szCs w:val="20"/>
        </w:rPr>
      </w:pPr>
      <w:r>
        <w:rPr>
          <w:color w:val="000000"/>
        </w:rPr>
        <w:t>各组间采用</w:t>
      </w:r>
      <w:r>
        <w:rPr>
          <w:i/>
          <w:iCs/>
          <w:color w:val="000000"/>
        </w:rPr>
        <w:t>t</w:t>
      </w:r>
      <w:r>
        <w:rPr>
          <w:color w:val="000000"/>
        </w:rPr>
        <w:t>-test检验统计分析</w:t>
      </w:r>
      <w:r>
        <w:rPr>
          <w:kern w:val="0"/>
          <w:szCs w:val="20"/>
        </w:rPr>
        <w:t>，所有的统计分析均为双尾。</w:t>
      </w:r>
      <w:r>
        <w:rPr>
          <w:i/>
          <w:iCs/>
          <w:color w:val="000000"/>
          <w:kern w:val="0"/>
          <w:szCs w:val="20"/>
        </w:rPr>
        <w:t>p</w:t>
      </w:r>
      <w:r>
        <w:rPr>
          <w:color w:val="000000"/>
          <w:kern w:val="0"/>
          <w:szCs w:val="20"/>
        </w:rPr>
        <w:t>&lt;0.05被认为具有差异显著性，其中</w:t>
      </w:r>
      <w:r>
        <w:rPr>
          <w:i/>
          <w:iCs/>
          <w:color w:val="000000"/>
          <w:kern w:val="0"/>
          <w:szCs w:val="20"/>
        </w:rPr>
        <w:t>p</w:t>
      </w:r>
      <w:r>
        <w:rPr>
          <w:color w:val="000000"/>
          <w:kern w:val="0"/>
          <w:szCs w:val="20"/>
        </w:rPr>
        <w:t>&lt;0.05表示为*，</w:t>
      </w:r>
      <w:r>
        <w:rPr>
          <w:i/>
          <w:iCs/>
          <w:color w:val="000000"/>
          <w:kern w:val="0"/>
          <w:szCs w:val="20"/>
        </w:rPr>
        <w:t>p</w:t>
      </w:r>
      <w:r>
        <w:rPr>
          <w:color w:val="000000"/>
          <w:kern w:val="0"/>
          <w:szCs w:val="20"/>
        </w:rPr>
        <w:t>&lt;0.01表示为**，</w:t>
      </w:r>
      <w:r>
        <w:rPr>
          <w:i/>
          <w:iCs/>
          <w:color w:val="000000"/>
          <w:kern w:val="0"/>
          <w:szCs w:val="20"/>
        </w:rPr>
        <w:t>p</w:t>
      </w:r>
      <w:r>
        <w:rPr>
          <w:color w:val="000000"/>
          <w:kern w:val="0"/>
          <w:szCs w:val="20"/>
        </w:rPr>
        <w:t>值越小越显著。</w:t>
      </w:r>
    </w:p>
    <w:p>
      <w:pPr>
        <w:pStyle w:val="73"/>
        <w:rPr>
          <w:rFonts w:ascii="Times New Roman"/>
        </w:rPr>
      </w:pPr>
      <w:bookmarkStart w:id="70" w:name="_Toc1003"/>
      <w:r>
        <w:rPr>
          <w:rFonts w:ascii="Times New Roman"/>
        </w:rPr>
        <w:t>结果判定</w:t>
      </w:r>
      <w:bookmarkEnd w:id="70"/>
    </w:p>
    <w:p>
      <w:pPr>
        <w:ind w:firstLine="420" w:firstLineChars="200"/>
        <w:rPr>
          <w:szCs w:val="21"/>
        </w:rPr>
      </w:pPr>
      <w:r>
        <w:rPr>
          <w:szCs w:val="21"/>
        </w:rPr>
        <w:t>以下条件说明待测物具有舒缓功效：</w:t>
      </w:r>
    </w:p>
    <w:p>
      <w:pPr>
        <w:ind w:firstLine="420" w:firstLineChars="200"/>
        <w:rPr>
          <w:szCs w:val="21"/>
        </w:rPr>
      </w:pPr>
      <w:r>
        <w:rPr>
          <w:szCs w:val="21"/>
        </w:rPr>
        <w:t>对于受试物抑制IL-1α释放的表述，应包含受试浓度。</w:t>
      </w:r>
    </w:p>
    <w:p>
      <w:pPr>
        <w:ind w:firstLine="420" w:firstLineChars="200"/>
        <w:rPr>
          <w:color w:val="000000"/>
          <w:kern w:val="0"/>
          <w:szCs w:val="20"/>
        </w:rPr>
      </w:pPr>
      <w:r>
        <w:rPr>
          <w:szCs w:val="21"/>
        </w:rPr>
        <w:t>与阴性对照组相比，待测物的IL-1α含量显著下调，且有统计学显著性差异，说明待测物可以抑制重组皮肤模型释放IL-1α，具有舒缓功效。</w:t>
      </w:r>
    </w:p>
    <w:p>
      <w:pPr>
        <w:pStyle w:val="76"/>
        <w:adjustRightInd w:val="0"/>
        <w:snapToGrid w:val="0"/>
        <w:outlineLvl w:val="0"/>
        <w:rPr>
          <w:rFonts w:ascii="Times New Roman"/>
        </w:rPr>
      </w:pPr>
      <w:bookmarkStart w:id="71" w:name="_Toc9455"/>
      <w:bookmarkStart w:id="72" w:name="_Toc28015"/>
      <w:bookmarkStart w:id="73" w:name="_Toc20420"/>
      <w:bookmarkStart w:id="74" w:name="_Toc150527943"/>
      <w:r>
        <w:rPr>
          <w:rFonts w:ascii="Times New Roman"/>
        </w:rPr>
        <w:t>精密度和测量不确定度</w:t>
      </w:r>
      <w:bookmarkEnd w:id="71"/>
      <w:bookmarkEnd w:id="72"/>
      <w:bookmarkEnd w:id="73"/>
      <w:bookmarkEnd w:id="74"/>
    </w:p>
    <w:bookmarkEnd w:id="65"/>
    <w:p>
      <w:pPr>
        <w:pStyle w:val="73"/>
        <w:rPr>
          <w:rFonts w:ascii="Times New Roman"/>
        </w:rPr>
      </w:pPr>
      <w:bookmarkStart w:id="75" w:name="_Toc28359"/>
      <w:r>
        <w:rPr>
          <w:rFonts w:ascii="Times New Roman"/>
        </w:rPr>
        <w:t>精密度</w:t>
      </w:r>
      <w:bookmarkEnd w:id="75"/>
    </w:p>
    <w:p>
      <w:pPr>
        <w:pStyle w:val="72"/>
        <w:spacing w:before="156" w:after="156"/>
        <w:rPr>
          <w:rFonts w:ascii="Times New Roman" w:eastAsia="宋体"/>
          <w:kern w:val="2"/>
        </w:rPr>
      </w:pPr>
      <w:r>
        <w:rPr>
          <w:rFonts w:ascii="Times New Roman" w:eastAsia="宋体"/>
          <w:kern w:val="2"/>
        </w:rPr>
        <w:t xml:space="preserve">当批次实验中，统计酶标仪测得的每个组别复孔间光密度的标准差（ Standard Deviation， SD），并计算变异系数（Coefficient of Variation，C.V），C.V值≤ 20%。 </w:t>
      </w:r>
    </w:p>
    <w:p>
      <w:pPr>
        <w:pStyle w:val="72"/>
        <w:numPr>
          <w:ilvl w:val="255"/>
          <w:numId w:val="0"/>
        </w:numPr>
        <w:spacing w:before="156" w:after="156"/>
        <w:ind w:firstLine="1470" w:firstLineChars="700"/>
        <w:rPr>
          <w:rFonts w:ascii="Times New Roman" w:eastAsia="宋体"/>
          <w:kern w:val="2"/>
        </w:rPr>
      </w:pPr>
      <m:oMath>
        <m:r>
          <m:rPr>
            <m:sty m:val="p"/>
          </m:rPr>
          <w:rPr>
            <w:rFonts w:ascii="Cambria Math" w:hAnsi="Cambria Math" w:eastAsia="宋体"/>
            <w:kern w:val="2"/>
          </w:rPr>
          <m:t>变异系数（%）=</m:t>
        </m:r>
        <m:f>
          <m:fPr>
            <m:ctrlPr>
              <w:rPr>
                <w:rFonts w:ascii="Cambria Math" w:hAnsi="Cambria Math" w:eastAsia="宋体"/>
                <w:kern w:val="2"/>
              </w:rPr>
            </m:ctrlPr>
          </m:fPr>
          <m:num>
            <m:r>
              <m:rPr>
                <m:sty m:val="p"/>
              </m:rPr>
              <w:rPr>
                <w:rFonts w:ascii="Cambria Math" w:hAnsi="Cambria Math" w:eastAsia="宋体"/>
                <w:kern w:val="2"/>
              </w:rPr>
              <m:t>标准差Relative optical density rate</m:t>
            </m:r>
            <m:ctrlPr>
              <w:rPr>
                <w:rFonts w:ascii="Cambria Math" w:hAnsi="Cambria Math" w:eastAsia="宋体"/>
                <w:kern w:val="2"/>
              </w:rPr>
            </m:ctrlPr>
          </m:num>
          <m:den>
            <m:r>
              <m:rPr>
                <m:sty m:val="p"/>
              </m:rPr>
              <w:rPr>
                <w:rFonts w:ascii="Cambria Math" w:hAnsi="Cambria Math" w:eastAsia="宋体"/>
                <w:kern w:val="2"/>
              </w:rPr>
              <m:t>平均值Relative optical density rate</m:t>
            </m:r>
            <m:ctrlPr>
              <w:rPr>
                <w:rFonts w:ascii="Cambria Math" w:hAnsi="Cambria Math" w:eastAsia="宋体"/>
                <w:kern w:val="2"/>
              </w:rPr>
            </m:ctrlPr>
          </m:den>
        </m:f>
      </m:oMath>
      <w:r>
        <w:rPr>
          <w:rFonts w:ascii="Times New Roman" w:eastAsia="宋体"/>
          <w:kern w:val="2"/>
        </w:rPr>
        <w:t xml:space="preserve"> ×100%</w:t>
      </w:r>
    </w:p>
    <w:p>
      <w:pPr>
        <w:widowControl/>
        <w:tabs>
          <w:tab w:val="center" w:pos="4201"/>
          <w:tab w:val="right" w:leader="dot" w:pos="9298"/>
        </w:tabs>
        <w:autoSpaceDE w:val="0"/>
        <w:autoSpaceDN w:val="0"/>
        <w:ind w:firstLine="420" w:firstLineChars="200"/>
        <w:rPr>
          <w:kern w:val="0"/>
          <w:szCs w:val="20"/>
        </w:rPr>
      </w:pPr>
      <w:r>
        <w:rPr>
          <w:kern w:val="0"/>
          <w:szCs w:val="20"/>
        </w:rPr>
        <w:t>式中：</w:t>
      </w:r>
    </w:p>
    <w:p>
      <w:pPr>
        <w:widowControl/>
        <w:tabs>
          <w:tab w:val="center" w:pos="4201"/>
          <w:tab w:val="right" w:leader="dot" w:pos="9298"/>
        </w:tabs>
        <w:autoSpaceDE w:val="0"/>
        <w:autoSpaceDN w:val="0"/>
        <w:ind w:firstLine="420" w:firstLineChars="200"/>
        <w:rPr>
          <w:kern w:val="0"/>
          <w:szCs w:val="20"/>
        </w:rPr>
      </w:pPr>
      <w:r>
        <w:rPr>
          <w:kern w:val="0"/>
          <w:szCs w:val="20"/>
        </w:rPr>
        <w:t>标准差</w:t>
      </w:r>
      <w:r>
        <w:rPr>
          <w:kern w:val="0"/>
          <w:szCs w:val="20"/>
          <w:vertAlign w:val="subscript"/>
        </w:rPr>
        <w:t>Relative optical density rate</w:t>
      </w:r>
      <w:r>
        <w:rPr>
          <w:kern w:val="0"/>
          <w:szCs w:val="20"/>
        </w:rPr>
        <w:t>——相对光密度标准差</w:t>
      </w:r>
    </w:p>
    <w:p>
      <w:pPr>
        <w:widowControl/>
        <w:tabs>
          <w:tab w:val="center" w:pos="4201"/>
          <w:tab w:val="right" w:leader="dot" w:pos="9298"/>
        </w:tabs>
        <w:autoSpaceDE w:val="0"/>
        <w:autoSpaceDN w:val="0"/>
        <w:ind w:firstLine="420" w:firstLineChars="200"/>
        <w:rPr>
          <w:kern w:val="0"/>
          <w:szCs w:val="20"/>
        </w:rPr>
      </w:pPr>
      <w:r>
        <w:rPr>
          <w:kern w:val="0"/>
          <w:szCs w:val="20"/>
        </w:rPr>
        <w:t>平均值</w:t>
      </w:r>
      <w:r>
        <w:rPr>
          <w:kern w:val="0"/>
          <w:szCs w:val="20"/>
          <w:vertAlign w:val="subscript"/>
        </w:rPr>
        <w:t>Relative optical density rate</w:t>
      </w:r>
      <w:r>
        <w:rPr>
          <w:kern w:val="0"/>
          <w:szCs w:val="20"/>
        </w:rPr>
        <w:t>——相对光密度平均值</w:t>
      </w:r>
    </w:p>
    <w:p>
      <w:pPr>
        <w:pStyle w:val="25"/>
        <w:ind w:firstLine="0" w:firstLineChars="0"/>
        <w:rPr>
          <w:rFonts w:ascii="Times New Roman"/>
        </w:rPr>
      </w:pPr>
      <w:r>
        <w:rPr>
          <w:rFonts w:ascii="Times New Roman"/>
          <w:kern w:val="2"/>
          <w:szCs w:val="21"/>
        </w:rPr>
        <w:t>10.1.2  每批次试验均需设置空白对照、阴性对照和阳性对照。实验中设置的各种对照应符合如下标准。如任一种对照出现非下述标准，则视为质控不合格。1）与空</w:t>
      </w:r>
      <w:r>
        <w:rPr>
          <w:rFonts w:ascii="Times New Roman"/>
        </w:rPr>
        <w:t>白对照组相比，IL-1α含量出现显著性上调且具有统计学差异。2）与阴性对照组相比，阳性对照（地塞米松）组的IL-1α含量显著下调且具有统计学差异。</w:t>
      </w:r>
    </w:p>
    <w:p>
      <w:pPr>
        <w:widowControl/>
      </w:pPr>
      <w:r>
        <w:rPr>
          <w:rFonts w:eastAsia="黑体"/>
          <w:kern w:val="0"/>
          <w:szCs w:val="21"/>
        </w:rPr>
        <w:t>10.1.3</w:t>
      </w:r>
      <w:r>
        <w:t xml:space="preserve"> 在相同条件下，经过3次以上测试，</w:t>
      </w:r>
      <w:r>
        <w:rPr>
          <w:color w:val="000000"/>
          <w:kern w:val="0"/>
          <w:szCs w:val="21"/>
          <w:lang w:bidi="ar"/>
        </w:rPr>
        <w:t xml:space="preserve">阳性对照均能检出IL-1α含量下调的效果，且与阴性对照相比IL-1α含量下调率需≥20%，则认为试验系统有效。 </w:t>
      </w:r>
    </w:p>
    <w:p>
      <w:pPr>
        <w:pStyle w:val="73"/>
        <w:rPr>
          <w:rFonts w:ascii="Times New Roman"/>
        </w:rPr>
      </w:pPr>
      <w:r>
        <w:rPr>
          <w:rFonts w:ascii="Times New Roman"/>
        </w:rPr>
        <w:t>测量不确定度</w:t>
      </w:r>
    </w:p>
    <w:p>
      <w:pPr>
        <w:pStyle w:val="25"/>
        <w:ind w:firstLine="0" w:firstLineChars="0"/>
        <w:rPr>
          <w:rFonts w:ascii="Times New Roman"/>
        </w:rPr>
      </w:pPr>
      <w:r>
        <w:rPr>
          <w:rFonts w:ascii="Times New Roman" w:eastAsia="黑体"/>
          <w:szCs w:val="21"/>
        </w:rPr>
        <w:t>10.2.1</w:t>
      </w:r>
      <w:r>
        <w:rPr>
          <w:rFonts w:ascii="Times New Roman"/>
        </w:rPr>
        <w:t xml:space="preserve"> 进行ELISA时需对待测测上清液进行稀释以确定适当稀释比例，保证检测数值落在试剂盒标准曲线范围内。</w:t>
      </w:r>
    </w:p>
    <w:p>
      <w:pPr>
        <w:pStyle w:val="25"/>
        <w:ind w:firstLine="0" w:firstLineChars="0"/>
        <w:rPr>
          <w:rFonts w:ascii="Times New Roman"/>
        </w:rPr>
      </w:pPr>
      <w:r>
        <w:rPr>
          <w:rFonts w:ascii="Times New Roman" w:eastAsia="黑体"/>
          <w:szCs w:val="21"/>
        </w:rPr>
        <w:t xml:space="preserve">10.2.2 </w:t>
      </w:r>
      <w:r>
        <w:rPr>
          <w:rFonts w:ascii="Times New Roman"/>
        </w:rPr>
        <w:t>计算时应对数据进行筛选，剔除数据落于平均值±（3×标准差）以外的异常值。</w:t>
      </w:r>
    </w:p>
    <w:p>
      <w:pPr>
        <w:pStyle w:val="76"/>
        <w:adjustRightInd w:val="0"/>
        <w:snapToGrid w:val="0"/>
        <w:outlineLvl w:val="0"/>
        <w:rPr>
          <w:rFonts w:ascii="Times New Roman"/>
        </w:rPr>
      </w:pPr>
      <w:bookmarkStart w:id="76" w:name="_Toc7787"/>
      <w:bookmarkStart w:id="77" w:name="_Toc150527944"/>
      <w:r>
        <w:rPr>
          <w:rFonts w:ascii="Times New Roman"/>
        </w:rPr>
        <w:t>质量保证和控制</w:t>
      </w:r>
      <w:bookmarkEnd w:id="76"/>
      <w:bookmarkEnd w:id="77"/>
    </w:p>
    <w:p>
      <w:pPr>
        <w:pStyle w:val="73"/>
        <w:numPr>
          <w:ilvl w:val="255"/>
          <w:numId w:val="0"/>
        </w:numPr>
        <w:jc w:val="both"/>
        <w:rPr>
          <w:rFonts w:ascii="Times New Roman" w:eastAsia="宋体"/>
          <w:szCs w:val="20"/>
        </w:rPr>
      </w:pPr>
      <w:r>
        <w:rPr>
          <w:rFonts w:ascii="Times New Roman"/>
        </w:rPr>
        <w:t xml:space="preserve">11.1 </w:t>
      </w:r>
      <w:r>
        <w:rPr>
          <w:rFonts w:ascii="Times New Roman" w:eastAsia="宋体"/>
          <w:szCs w:val="20"/>
        </w:rPr>
        <w:t>SLS剂量不足导致细胞对刺激条件无响应，或剂量过大造成细胞形态异常损伤影响蛋白正常分泌。</w:t>
      </w:r>
    </w:p>
    <w:p>
      <w:pPr>
        <w:pStyle w:val="25"/>
        <w:ind w:firstLine="0" w:firstLineChars="0"/>
        <w:rPr>
          <w:rFonts w:ascii="Times New Roman"/>
        </w:rPr>
      </w:pPr>
      <w:r>
        <w:rPr>
          <w:rFonts w:ascii="Times New Roman" w:eastAsia="黑体"/>
          <w:szCs w:val="21"/>
        </w:rPr>
        <w:t xml:space="preserve">11.2 </w:t>
      </w:r>
      <w:r>
        <w:rPr>
          <w:rFonts w:ascii="Times New Roman"/>
        </w:rPr>
        <w:t>样品给药浓度超过安全浓度范围，导致细胞损伤或者死亡。</w:t>
      </w:r>
    </w:p>
    <w:p>
      <w:pPr>
        <w:pStyle w:val="73"/>
        <w:numPr>
          <w:ilvl w:val="255"/>
          <w:numId w:val="0"/>
        </w:numPr>
        <w:jc w:val="both"/>
        <w:rPr>
          <w:rFonts w:ascii="Times New Roman"/>
        </w:rPr>
      </w:pPr>
      <w:r>
        <w:rPr>
          <w:rFonts w:ascii="Times New Roman"/>
        </w:rPr>
        <w:t>11.3</w:t>
      </w:r>
      <w:r>
        <w:rPr>
          <w:rFonts w:ascii="Times New Roman" w:eastAsia="宋体"/>
          <w:szCs w:val="20"/>
        </w:rPr>
        <w:t xml:space="preserve"> 试剂盒未严格按照使用说明执行。</w:t>
      </w:r>
    </w:p>
    <w:p>
      <w:pPr>
        <w:pStyle w:val="76"/>
        <w:adjustRightInd w:val="0"/>
        <w:snapToGrid w:val="0"/>
        <w:outlineLvl w:val="0"/>
        <w:rPr>
          <w:rFonts w:ascii="Times New Roman"/>
        </w:rPr>
      </w:pPr>
      <w:bookmarkStart w:id="78" w:name="_Toc27611"/>
      <w:bookmarkStart w:id="79" w:name="_Toc31139"/>
      <w:bookmarkStart w:id="80" w:name="_Toc12545"/>
      <w:bookmarkStart w:id="81" w:name="_Toc150527945"/>
      <w:r>
        <w:rPr>
          <w:rFonts w:ascii="Times New Roman"/>
        </w:rPr>
        <w:t>试验报告</w:t>
      </w:r>
      <w:bookmarkEnd w:id="78"/>
      <w:bookmarkEnd w:id="79"/>
      <w:bookmarkEnd w:id="80"/>
      <w:bookmarkEnd w:id="81"/>
    </w:p>
    <w:p>
      <w:pPr>
        <w:pStyle w:val="32"/>
        <w:widowControl/>
        <w:autoSpaceDE w:val="0"/>
        <w:autoSpaceDN w:val="0"/>
        <w:rPr>
          <w:sz w:val="21"/>
          <w:szCs w:val="21"/>
          <w:lang w:bidi="ar"/>
        </w:rPr>
      </w:pPr>
      <w:r>
        <w:rPr>
          <w:sz w:val="21"/>
          <w:szCs w:val="21"/>
          <w:lang w:bidi="ar"/>
        </w:rPr>
        <w:t xml:space="preserve">    包括但不限于以下几个方面的内容：</w:t>
      </w:r>
    </w:p>
    <w:p>
      <w:pPr>
        <w:pStyle w:val="32"/>
        <w:widowControl/>
        <w:autoSpaceDE w:val="0"/>
        <w:autoSpaceDN w:val="0"/>
        <w:ind w:firstLine="420" w:firstLineChars="200"/>
        <w:rPr>
          <w:sz w:val="21"/>
          <w:szCs w:val="21"/>
        </w:rPr>
      </w:pPr>
      <w:r>
        <w:rPr>
          <w:sz w:val="21"/>
          <w:szCs w:val="21"/>
          <w:lang w:bidi="ar"/>
        </w:rPr>
        <w:t>——测试目的</w:t>
      </w:r>
    </w:p>
    <w:p>
      <w:pPr>
        <w:pStyle w:val="32"/>
        <w:widowControl/>
        <w:autoSpaceDE w:val="0"/>
        <w:autoSpaceDN w:val="0"/>
        <w:ind w:firstLine="420" w:firstLineChars="200"/>
        <w:rPr>
          <w:sz w:val="21"/>
          <w:szCs w:val="21"/>
        </w:rPr>
      </w:pPr>
      <w:r>
        <w:rPr>
          <w:sz w:val="21"/>
          <w:szCs w:val="21"/>
          <w:lang w:bidi="ar"/>
        </w:rPr>
        <w:t>——测试材料</w:t>
      </w:r>
    </w:p>
    <w:p>
      <w:pPr>
        <w:pStyle w:val="32"/>
        <w:widowControl/>
        <w:autoSpaceDE w:val="0"/>
        <w:autoSpaceDN w:val="0"/>
        <w:ind w:firstLine="420" w:firstLineChars="200"/>
        <w:rPr>
          <w:sz w:val="21"/>
          <w:szCs w:val="21"/>
          <w:lang w:bidi="ar"/>
        </w:rPr>
      </w:pPr>
      <w:r>
        <w:rPr>
          <w:sz w:val="21"/>
          <w:szCs w:val="21"/>
          <w:lang w:bidi="ar"/>
        </w:rPr>
        <w:t>——测试设备</w:t>
      </w:r>
    </w:p>
    <w:p>
      <w:pPr>
        <w:pStyle w:val="32"/>
        <w:widowControl/>
        <w:autoSpaceDE w:val="0"/>
        <w:autoSpaceDN w:val="0"/>
        <w:ind w:firstLine="420" w:firstLineChars="200"/>
        <w:rPr>
          <w:sz w:val="21"/>
          <w:szCs w:val="21"/>
          <w:lang w:bidi="ar"/>
        </w:rPr>
      </w:pPr>
      <w:r>
        <w:rPr>
          <w:sz w:val="21"/>
          <w:szCs w:val="21"/>
          <w:lang w:bidi="ar"/>
        </w:rPr>
        <w:t>——样品信息</w:t>
      </w:r>
    </w:p>
    <w:p>
      <w:pPr>
        <w:pStyle w:val="32"/>
        <w:widowControl/>
        <w:autoSpaceDE w:val="0"/>
        <w:autoSpaceDN w:val="0"/>
        <w:ind w:firstLine="420" w:firstLineChars="200"/>
        <w:rPr>
          <w:sz w:val="21"/>
          <w:szCs w:val="21"/>
        </w:rPr>
      </w:pPr>
      <w:r>
        <w:rPr>
          <w:sz w:val="21"/>
          <w:szCs w:val="21"/>
          <w:lang w:bidi="ar"/>
        </w:rPr>
        <w:t>——测试方法</w:t>
      </w:r>
    </w:p>
    <w:p>
      <w:pPr>
        <w:pStyle w:val="32"/>
        <w:widowControl/>
        <w:autoSpaceDE w:val="0"/>
        <w:autoSpaceDN w:val="0"/>
        <w:ind w:firstLine="420" w:firstLineChars="200"/>
        <w:rPr>
          <w:sz w:val="21"/>
          <w:szCs w:val="21"/>
        </w:rPr>
      </w:pPr>
      <w:r>
        <w:rPr>
          <w:sz w:val="21"/>
          <w:szCs w:val="21"/>
          <w:lang w:bidi="ar"/>
        </w:rPr>
        <w:t>——数据与统计分析</w:t>
      </w:r>
    </w:p>
    <w:p>
      <w:pPr>
        <w:pStyle w:val="32"/>
        <w:widowControl/>
        <w:autoSpaceDE w:val="0"/>
        <w:autoSpaceDN w:val="0"/>
        <w:ind w:firstLine="420" w:firstLineChars="200"/>
        <w:rPr>
          <w:sz w:val="21"/>
          <w:szCs w:val="21"/>
        </w:rPr>
      </w:pPr>
      <w:r>
        <w:rPr>
          <w:sz w:val="21"/>
          <w:szCs w:val="21"/>
          <w:lang w:bidi="ar"/>
        </w:rPr>
        <w:t>——实验结果</w:t>
      </w:r>
    </w:p>
    <w:p>
      <w:pPr>
        <w:pStyle w:val="32"/>
        <w:widowControl/>
        <w:autoSpaceDE w:val="0"/>
        <w:autoSpaceDN w:val="0"/>
        <w:ind w:firstLine="420" w:firstLineChars="200"/>
        <w:rPr>
          <w:sz w:val="21"/>
          <w:szCs w:val="21"/>
        </w:rPr>
      </w:pPr>
      <w:r>
        <w:rPr>
          <w:sz w:val="21"/>
          <w:szCs w:val="21"/>
          <w:lang w:bidi="ar"/>
        </w:rPr>
        <w:t>——实验结论</w:t>
      </w:r>
    </w:p>
    <w:p>
      <w:r>
        <w:rPr>
          <w:szCs w:val="21"/>
          <w:lang w:bidi="ar"/>
        </w:rPr>
        <w:t xml:space="preserve">    ——试验日期</w:t>
      </w:r>
    </w:p>
    <w:p>
      <w:pPr>
        <w:pStyle w:val="88"/>
        <w:framePr w:wrap="around"/>
        <w:rPr>
          <w:color w:val="000000"/>
        </w:rPr>
      </w:pPr>
      <w:r>
        <w:rPr>
          <w:color w:val="000000"/>
        </w:rPr>
        <w:t>_________________________________</w:t>
      </w:r>
      <w:bookmarkEnd w:id="66"/>
    </w:p>
    <w:sectPr>
      <w:headerReference r:id="rId7" w:type="default"/>
      <w:footerReference r:id="rId8" w:type="default"/>
      <w:footerReference r:id="rId9" w:type="even"/>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4002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4"/>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4"/>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3"/>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3"/>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t>DB</w:t>
    </w:r>
    <w:r>
      <w:rPr>
        <w:rFonts w:hint="eastAsia"/>
      </w:rPr>
      <w:t>61</w:t>
    </w:r>
    <w:r>
      <w:t xml:space="preserve">/T </w:t>
    </w:r>
    <w:r>
      <w:rPr>
        <w:rFonts w:hint="eastAsia"/>
      </w:rPr>
      <w:t>××××</w:t>
    </w:r>
    <w:r>
      <w:t>—</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t>DB</w:t>
    </w:r>
    <w:r>
      <w:rPr>
        <w:rFonts w:hint="eastAsia"/>
      </w:rPr>
      <w:t>61</w:t>
    </w:r>
    <w:r>
      <w:t>/</w:t>
    </w:r>
    <w:r>
      <w:rPr>
        <w:rFonts w:hint="eastAsia"/>
      </w:rPr>
      <w:t>T</w:t>
    </w:r>
    <w:r>
      <w:t xml:space="preserve"> </w:t>
    </w:r>
    <w:r>
      <w:rPr>
        <w:rFonts w:hint="eastAsia"/>
      </w:rPr>
      <w:t>××××</w:t>
    </w:r>
    <w:r>
      <w:t>—</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t>DB</w:t>
    </w:r>
    <w:r>
      <w:rPr>
        <w:rFonts w:hint="eastAsia"/>
      </w:rPr>
      <w:t>61</w:t>
    </w:r>
    <w:r>
      <w:t>/</w:t>
    </w:r>
    <w:r>
      <w:rPr>
        <w:rFonts w:hint="eastAsia"/>
      </w:rPr>
      <w:t>T</w:t>
    </w:r>
    <w:r>
      <w:t xml:space="preserve"> </w:t>
    </w:r>
    <w:r>
      <w:rPr>
        <w:rFonts w:hint="eastAsia"/>
      </w:rPr>
      <w:t>××××</w:t>
    </w:r>
    <w:r>
      <w:t>—</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1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1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4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7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3"/>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8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12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102"/>
      <w:suff w:val="space"/>
      <w:lvlText w:val="%1"/>
      <w:lvlJc w:val="left"/>
      <w:pPr>
        <w:ind w:left="623" w:hanging="425"/>
      </w:pPr>
      <w:rPr>
        <w:rFonts w:hint="eastAsia"/>
      </w:rPr>
    </w:lvl>
    <w:lvl w:ilvl="1" w:tentative="0">
      <w:start w:val="1"/>
      <w:numFmt w:val="decimal"/>
      <w:pStyle w:val="12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27"/>
      <w:suff w:val="nothing"/>
      <w:lvlText w:val="%1——"/>
      <w:lvlJc w:val="left"/>
      <w:pPr>
        <w:ind w:left="833" w:hanging="408"/>
      </w:pPr>
      <w:rPr>
        <w:rFonts w:hint="eastAsia"/>
      </w:rPr>
    </w:lvl>
    <w:lvl w:ilvl="1" w:tentative="0">
      <w:start w:val="1"/>
      <w:numFmt w:val="bullet"/>
      <w:pStyle w:val="106"/>
      <w:lvlText w:val=""/>
      <w:lvlJc w:val="left"/>
      <w:pPr>
        <w:tabs>
          <w:tab w:val="left" w:pos="760"/>
        </w:tabs>
        <w:ind w:left="1264" w:hanging="413"/>
      </w:pPr>
      <w:rPr>
        <w:rFonts w:hint="default" w:ascii="Symbol" w:hAnsi="Symbol"/>
        <w:color w:val="auto"/>
      </w:rPr>
    </w:lvl>
    <w:lvl w:ilvl="2" w:tentative="0">
      <w:start w:val="1"/>
      <w:numFmt w:val="bullet"/>
      <w:pStyle w:val="10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0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7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94"/>
      <w:lvlText w:val="%1"/>
      <w:lvlJc w:val="left"/>
      <w:pPr>
        <w:tabs>
          <w:tab w:val="left" w:pos="0"/>
        </w:tabs>
        <w:ind w:left="0" w:hanging="425"/>
      </w:pPr>
      <w:rPr>
        <w:rFonts w:hint="eastAsia"/>
      </w:rPr>
    </w:lvl>
    <w:lvl w:ilvl="1" w:tentative="0">
      <w:start w:val="1"/>
      <w:numFmt w:val="decimal"/>
      <w:pStyle w:val="9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3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6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6"/>
      <w:suff w:val="nothing"/>
      <w:lvlText w:val="%1.%2.%3　"/>
      <w:lvlJc w:val="left"/>
      <w:pPr>
        <w:ind w:left="0" w:firstLine="0"/>
      </w:pPr>
      <w:rPr>
        <w:rFonts w:hint="eastAsia" w:ascii="黑体" w:hAnsi="Times New Roman" w:eastAsia="黑体"/>
        <w:b w:val="0"/>
        <w:i w:val="0"/>
        <w:sz w:val="21"/>
      </w:rPr>
    </w:lvl>
    <w:lvl w:ilvl="3" w:tentative="0">
      <w:start w:val="1"/>
      <w:numFmt w:val="decimal"/>
      <w:pStyle w:val="65"/>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3"/>
      <w:suff w:val="nothing"/>
      <w:lvlText w:val="%1.%2.%3.%4.%5.%6　"/>
      <w:lvlJc w:val="left"/>
      <w:pPr>
        <w:ind w:left="0" w:firstLine="0"/>
      </w:pPr>
      <w:rPr>
        <w:rFonts w:hint="eastAsia" w:ascii="黑体" w:hAnsi="Times New Roman" w:eastAsia="黑体"/>
        <w:b w:val="0"/>
        <w:i w:val="0"/>
        <w:sz w:val="21"/>
      </w:rPr>
    </w:lvl>
    <w:lvl w:ilvl="6" w:tentative="0">
      <w:start w:val="1"/>
      <w:numFmt w:val="decimal"/>
      <w:pStyle w:val="9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31"/>
      <w:lvlText w:val="%1)"/>
      <w:lvlJc w:val="left"/>
      <w:pPr>
        <w:tabs>
          <w:tab w:val="left" w:pos="839"/>
        </w:tabs>
        <w:ind w:left="839" w:hanging="419"/>
      </w:pPr>
      <w:rPr>
        <w:rFonts w:hint="eastAsia" w:ascii="宋体" w:eastAsia="宋体"/>
        <w:b w:val="0"/>
        <w:i w:val="0"/>
        <w:sz w:val="21"/>
      </w:rPr>
    </w:lvl>
    <w:lvl w:ilvl="1" w:tentative="0">
      <w:start w:val="1"/>
      <w:numFmt w:val="decimal"/>
      <w:pStyle w:val="8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1"/>
  </w:num>
  <w:num w:numId="3">
    <w:abstractNumId w:val="15"/>
  </w:num>
  <w:num w:numId="4">
    <w:abstractNumId w:val="6"/>
  </w:num>
  <w:num w:numId="5">
    <w:abstractNumId w:val="12"/>
  </w:num>
  <w:num w:numId="6">
    <w:abstractNumId w:val="11"/>
  </w:num>
  <w:num w:numId="7">
    <w:abstractNumId w:val="16"/>
  </w:num>
  <w:num w:numId="8">
    <w:abstractNumId w:val="13"/>
  </w:num>
  <w:num w:numId="9">
    <w:abstractNumId w:val="8"/>
  </w:num>
  <w:num w:numId="10">
    <w:abstractNumId w:val="9"/>
  </w:num>
  <w:num w:numId="11">
    <w:abstractNumId w:val="0"/>
  </w:num>
  <w:num w:numId="12">
    <w:abstractNumId w:val="4"/>
  </w:num>
  <w:num w:numId="13">
    <w:abstractNumId w:val="7"/>
  </w:num>
  <w:num w:numId="14">
    <w:abstractNumId w:val="17"/>
  </w:num>
  <w:num w:numId="15">
    <w:abstractNumId w:val="2"/>
  </w:num>
  <w:num w:numId="16">
    <w:abstractNumId w:val="3"/>
  </w:num>
  <w:num w:numId="17">
    <w:abstractNumId w:val="14"/>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hMGY1ZDc3YTE4YWJmYTA1NTgyMzQyYjRmZjRmNGYifQ=="/>
  </w:docVars>
  <w:rsids>
    <w:rsidRoot w:val="00035925"/>
    <w:rsid w:val="00000244"/>
    <w:rsid w:val="0000185F"/>
    <w:rsid w:val="00004D34"/>
    <w:rsid w:val="0000586F"/>
    <w:rsid w:val="00005C5B"/>
    <w:rsid w:val="00013D86"/>
    <w:rsid w:val="00013E02"/>
    <w:rsid w:val="0002143C"/>
    <w:rsid w:val="000227C6"/>
    <w:rsid w:val="0002318A"/>
    <w:rsid w:val="00025A65"/>
    <w:rsid w:val="00026C31"/>
    <w:rsid w:val="00026FB5"/>
    <w:rsid w:val="00027280"/>
    <w:rsid w:val="00031A94"/>
    <w:rsid w:val="000320A7"/>
    <w:rsid w:val="00035925"/>
    <w:rsid w:val="00037D8A"/>
    <w:rsid w:val="00045C3E"/>
    <w:rsid w:val="00067CDF"/>
    <w:rsid w:val="000708FE"/>
    <w:rsid w:val="00074FBE"/>
    <w:rsid w:val="00083100"/>
    <w:rsid w:val="00083A09"/>
    <w:rsid w:val="000846FB"/>
    <w:rsid w:val="0009005E"/>
    <w:rsid w:val="00092857"/>
    <w:rsid w:val="000A20A9"/>
    <w:rsid w:val="000A48B1"/>
    <w:rsid w:val="000B3143"/>
    <w:rsid w:val="000B328D"/>
    <w:rsid w:val="000C0E5F"/>
    <w:rsid w:val="000C17B8"/>
    <w:rsid w:val="000C5A4C"/>
    <w:rsid w:val="000C6B05"/>
    <w:rsid w:val="000C6DD6"/>
    <w:rsid w:val="000C73D4"/>
    <w:rsid w:val="000D2CF3"/>
    <w:rsid w:val="000D3D4C"/>
    <w:rsid w:val="000D4CD6"/>
    <w:rsid w:val="000D4F51"/>
    <w:rsid w:val="000D718B"/>
    <w:rsid w:val="000E0C46"/>
    <w:rsid w:val="000F030C"/>
    <w:rsid w:val="000F129C"/>
    <w:rsid w:val="000F472B"/>
    <w:rsid w:val="00102634"/>
    <w:rsid w:val="00103F09"/>
    <w:rsid w:val="001056DE"/>
    <w:rsid w:val="00111FEF"/>
    <w:rsid w:val="001124C0"/>
    <w:rsid w:val="00116FE6"/>
    <w:rsid w:val="00120E95"/>
    <w:rsid w:val="00124B9B"/>
    <w:rsid w:val="00130D97"/>
    <w:rsid w:val="0013175F"/>
    <w:rsid w:val="00140225"/>
    <w:rsid w:val="00142D0F"/>
    <w:rsid w:val="001512B4"/>
    <w:rsid w:val="00153E88"/>
    <w:rsid w:val="00154CD7"/>
    <w:rsid w:val="001611EC"/>
    <w:rsid w:val="001620A5"/>
    <w:rsid w:val="00164E53"/>
    <w:rsid w:val="00166267"/>
    <w:rsid w:val="0016699D"/>
    <w:rsid w:val="00170B98"/>
    <w:rsid w:val="00175159"/>
    <w:rsid w:val="00176208"/>
    <w:rsid w:val="001808D2"/>
    <w:rsid w:val="0018211B"/>
    <w:rsid w:val="001840D3"/>
    <w:rsid w:val="001900F8"/>
    <w:rsid w:val="00191258"/>
    <w:rsid w:val="00191B57"/>
    <w:rsid w:val="00192680"/>
    <w:rsid w:val="00193037"/>
    <w:rsid w:val="00193A2C"/>
    <w:rsid w:val="001A05FA"/>
    <w:rsid w:val="001A151F"/>
    <w:rsid w:val="001A288E"/>
    <w:rsid w:val="001B36A1"/>
    <w:rsid w:val="001B4930"/>
    <w:rsid w:val="001B6DC2"/>
    <w:rsid w:val="001C149C"/>
    <w:rsid w:val="001C21AC"/>
    <w:rsid w:val="001C47BA"/>
    <w:rsid w:val="001C59EA"/>
    <w:rsid w:val="001D406C"/>
    <w:rsid w:val="001D41EE"/>
    <w:rsid w:val="001D7B64"/>
    <w:rsid w:val="001E0380"/>
    <w:rsid w:val="001E0400"/>
    <w:rsid w:val="001E13B1"/>
    <w:rsid w:val="001E6FD8"/>
    <w:rsid w:val="001F3A19"/>
    <w:rsid w:val="00202C4D"/>
    <w:rsid w:val="0021060C"/>
    <w:rsid w:val="002219CC"/>
    <w:rsid w:val="00223C19"/>
    <w:rsid w:val="00234467"/>
    <w:rsid w:val="002348A9"/>
    <w:rsid w:val="00237D8D"/>
    <w:rsid w:val="00241DA2"/>
    <w:rsid w:val="00243BFC"/>
    <w:rsid w:val="00247FEE"/>
    <w:rsid w:val="00250E7D"/>
    <w:rsid w:val="00253838"/>
    <w:rsid w:val="002565D5"/>
    <w:rsid w:val="002622C0"/>
    <w:rsid w:val="0027552C"/>
    <w:rsid w:val="00275A30"/>
    <w:rsid w:val="002778AE"/>
    <w:rsid w:val="0028269A"/>
    <w:rsid w:val="00283590"/>
    <w:rsid w:val="00284DE0"/>
    <w:rsid w:val="00286973"/>
    <w:rsid w:val="00294E70"/>
    <w:rsid w:val="002A1924"/>
    <w:rsid w:val="002A1AE3"/>
    <w:rsid w:val="002A7420"/>
    <w:rsid w:val="002B0F12"/>
    <w:rsid w:val="002B1308"/>
    <w:rsid w:val="002B4554"/>
    <w:rsid w:val="002B5725"/>
    <w:rsid w:val="002B68B1"/>
    <w:rsid w:val="002C72D8"/>
    <w:rsid w:val="002D11FA"/>
    <w:rsid w:val="002D52BA"/>
    <w:rsid w:val="002D5B84"/>
    <w:rsid w:val="002E0DDF"/>
    <w:rsid w:val="002E2906"/>
    <w:rsid w:val="002E363B"/>
    <w:rsid w:val="002E5635"/>
    <w:rsid w:val="002E64C3"/>
    <w:rsid w:val="002E6A2C"/>
    <w:rsid w:val="002E7091"/>
    <w:rsid w:val="002F1D8C"/>
    <w:rsid w:val="002F21DA"/>
    <w:rsid w:val="002F3AF5"/>
    <w:rsid w:val="002F51FE"/>
    <w:rsid w:val="003007E8"/>
    <w:rsid w:val="00301F39"/>
    <w:rsid w:val="003043F1"/>
    <w:rsid w:val="003103F3"/>
    <w:rsid w:val="00311F7B"/>
    <w:rsid w:val="003248A0"/>
    <w:rsid w:val="00325926"/>
    <w:rsid w:val="003260EA"/>
    <w:rsid w:val="00327A8A"/>
    <w:rsid w:val="00333161"/>
    <w:rsid w:val="00336610"/>
    <w:rsid w:val="00343F73"/>
    <w:rsid w:val="00345060"/>
    <w:rsid w:val="0035323B"/>
    <w:rsid w:val="003609D2"/>
    <w:rsid w:val="00363F22"/>
    <w:rsid w:val="00375564"/>
    <w:rsid w:val="00376358"/>
    <w:rsid w:val="00377597"/>
    <w:rsid w:val="00380FA9"/>
    <w:rsid w:val="00381161"/>
    <w:rsid w:val="00383191"/>
    <w:rsid w:val="0038555B"/>
    <w:rsid w:val="00386DED"/>
    <w:rsid w:val="003912E7"/>
    <w:rsid w:val="00393947"/>
    <w:rsid w:val="003A2275"/>
    <w:rsid w:val="003A6A4F"/>
    <w:rsid w:val="003A7088"/>
    <w:rsid w:val="003A7679"/>
    <w:rsid w:val="003B00DF"/>
    <w:rsid w:val="003B1275"/>
    <w:rsid w:val="003B1778"/>
    <w:rsid w:val="003B4681"/>
    <w:rsid w:val="003C11CB"/>
    <w:rsid w:val="003C2638"/>
    <w:rsid w:val="003C75F3"/>
    <w:rsid w:val="003C78A3"/>
    <w:rsid w:val="003E12D8"/>
    <w:rsid w:val="003E1867"/>
    <w:rsid w:val="003E5729"/>
    <w:rsid w:val="003F0A6A"/>
    <w:rsid w:val="003F4EE0"/>
    <w:rsid w:val="0040018C"/>
    <w:rsid w:val="00402153"/>
    <w:rsid w:val="00402FC1"/>
    <w:rsid w:val="00412340"/>
    <w:rsid w:val="00413241"/>
    <w:rsid w:val="00417A00"/>
    <w:rsid w:val="004241E6"/>
    <w:rsid w:val="00425082"/>
    <w:rsid w:val="00431DEB"/>
    <w:rsid w:val="00432985"/>
    <w:rsid w:val="00446B29"/>
    <w:rsid w:val="004528B7"/>
    <w:rsid w:val="00453F9A"/>
    <w:rsid w:val="0045681B"/>
    <w:rsid w:val="00471E91"/>
    <w:rsid w:val="00474675"/>
    <w:rsid w:val="0047470C"/>
    <w:rsid w:val="00476378"/>
    <w:rsid w:val="00481D14"/>
    <w:rsid w:val="00483585"/>
    <w:rsid w:val="0048578E"/>
    <w:rsid w:val="004901D9"/>
    <w:rsid w:val="004906D2"/>
    <w:rsid w:val="004939D8"/>
    <w:rsid w:val="00496069"/>
    <w:rsid w:val="004A35F9"/>
    <w:rsid w:val="004B24C1"/>
    <w:rsid w:val="004B6CF5"/>
    <w:rsid w:val="004C292F"/>
    <w:rsid w:val="004C3FE4"/>
    <w:rsid w:val="004C4DAA"/>
    <w:rsid w:val="004D197A"/>
    <w:rsid w:val="004E0AF0"/>
    <w:rsid w:val="0050192B"/>
    <w:rsid w:val="00510280"/>
    <w:rsid w:val="00513D73"/>
    <w:rsid w:val="00514A43"/>
    <w:rsid w:val="005174E5"/>
    <w:rsid w:val="005178F3"/>
    <w:rsid w:val="00522393"/>
    <w:rsid w:val="00522620"/>
    <w:rsid w:val="00525656"/>
    <w:rsid w:val="00534C02"/>
    <w:rsid w:val="00536FB7"/>
    <w:rsid w:val="00542586"/>
    <w:rsid w:val="0054264B"/>
    <w:rsid w:val="00543786"/>
    <w:rsid w:val="00547E07"/>
    <w:rsid w:val="0055102E"/>
    <w:rsid w:val="005533D7"/>
    <w:rsid w:val="005547C0"/>
    <w:rsid w:val="005627D6"/>
    <w:rsid w:val="00563535"/>
    <w:rsid w:val="005703DE"/>
    <w:rsid w:val="00570751"/>
    <w:rsid w:val="005734D5"/>
    <w:rsid w:val="0058464E"/>
    <w:rsid w:val="00592373"/>
    <w:rsid w:val="00593B48"/>
    <w:rsid w:val="005A01CB"/>
    <w:rsid w:val="005A58FF"/>
    <w:rsid w:val="005A5EAF"/>
    <w:rsid w:val="005A64C0"/>
    <w:rsid w:val="005A7E99"/>
    <w:rsid w:val="005B3C11"/>
    <w:rsid w:val="005C051B"/>
    <w:rsid w:val="005C1C28"/>
    <w:rsid w:val="005C6DB5"/>
    <w:rsid w:val="005E19E7"/>
    <w:rsid w:val="005F0D35"/>
    <w:rsid w:val="005F2597"/>
    <w:rsid w:val="00602CB9"/>
    <w:rsid w:val="00603E7A"/>
    <w:rsid w:val="006109FE"/>
    <w:rsid w:val="0061716C"/>
    <w:rsid w:val="006243A1"/>
    <w:rsid w:val="00630062"/>
    <w:rsid w:val="00632E56"/>
    <w:rsid w:val="00633067"/>
    <w:rsid w:val="006335B6"/>
    <w:rsid w:val="00635CBA"/>
    <w:rsid w:val="0064262F"/>
    <w:rsid w:val="0064338B"/>
    <w:rsid w:val="00646542"/>
    <w:rsid w:val="006504F4"/>
    <w:rsid w:val="00653781"/>
    <w:rsid w:val="00653D7F"/>
    <w:rsid w:val="00654BC9"/>
    <w:rsid w:val="006552FD"/>
    <w:rsid w:val="00656733"/>
    <w:rsid w:val="00663AF3"/>
    <w:rsid w:val="00666B6C"/>
    <w:rsid w:val="00671B01"/>
    <w:rsid w:val="006768A5"/>
    <w:rsid w:val="006811E4"/>
    <w:rsid w:val="006820A0"/>
    <w:rsid w:val="00682682"/>
    <w:rsid w:val="00682702"/>
    <w:rsid w:val="00682CAE"/>
    <w:rsid w:val="00684DDF"/>
    <w:rsid w:val="00686616"/>
    <w:rsid w:val="00692368"/>
    <w:rsid w:val="00695750"/>
    <w:rsid w:val="00696014"/>
    <w:rsid w:val="006A15A6"/>
    <w:rsid w:val="006A1964"/>
    <w:rsid w:val="006A2EBC"/>
    <w:rsid w:val="006A5EA0"/>
    <w:rsid w:val="006A783B"/>
    <w:rsid w:val="006A7B33"/>
    <w:rsid w:val="006B4E13"/>
    <w:rsid w:val="006B75DD"/>
    <w:rsid w:val="006C138D"/>
    <w:rsid w:val="006C67E0"/>
    <w:rsid w:val="006C7ABA"/>
    <w:rsid w:val="006D0D60"/>
    <w:rsid w:val="006D1122"/>
    <w:rsid w:val="006D3C00"/>
    <w:rsid w:val="006D6CF4"/>
    <w:rsid w:val="006D7739"/>
    <w:rsid w:val="006E3675"/>
    <w:rsid w:val="006E4A7F"/>
    <w:rsid w:val="006E7F01"/>
    <w:rsid w:val="006F47FE"/>
    <w:rsid w:val="00704DF6"/>
    <w:rsid w:val="0070651C"/>
    <w:rsid w:val="007132A3"/>
    <w:rsid w:val="00716421"/>
    <w:rsid w:val="00721E76"/>
    <w:rsid w:val="00724EFB"/>
    <w:rsid w:val="007261D0"/>
    <w:rsid w:val="007419C3"/>
    <w:rsid w:val="00743F61"/>
    <w:rsid w:val="00744F22"/>
    <w:rsid w:val="007467A7"/>
    <w:rsid w:val="007469DD"/>
    <w:rsid w:val="0074741B"/>
    <w:rsid w:val="0074759E"/>
    <w:rsid w:val="007478EA"/>
    <w:rsid w:val="007502F5"/>
    <w:rsid w:val="0075415C"/>
    <w:rsid w:val="00754E53"/>
    <w:rsid w:val="00755550"/>
    <w:rsid w:val="00755C96"/>
    <w:rsid w:val="00761B76"/>
    <w:rsid w:val="00763502"/>
    <w:rsid w:val="00782483"/>
    <w:rsid w:val="007874A3"/>
    <w:rsid w:val="007913AB"/>
    <w:rsid w:val="007914F7"/>
    <w:rsid w:val="007B1625"/>
    <w:rsid w:val="007B5EF4"/>
    <w:rsid w:val="007B61E1"/>
    <w:rsid w:val="007B706E"/>
    <w:rsid w:val="007B71EB"/>
    <w:rsid w:val="007C1153"/>
    <w:rsid w:val="007C6205"/>
    <w:rsid w:val="007C686A"/>
    <w:rsid w:val="007C728E"/>
    <w:rsid w:val="007D2C53"/>
    <w:rsid w:val="007D3D60"/>
    <w:rsid w:val="007E1980"/>
    <w:rsid w:val="007E4B76"/>
    <w:rsid w:val="007E5EA8"/>
    <w:rsid w:val="007F0539"/>
    <w:rsid w:val="007F0CF1"/>
    <w:rsid w:val="007F12A5"/>
    <w:rsid w:val="007F4CF1"/>
    <w:rsid w:val="007F758D"/>
    <w:rsid w:val="007F7D52"/>
    <w:rsid w:val="008043BE"/>
    <w:rsid w:val="008057C4"/>
    <w:rsid w:val="0080654C"/>
    <w:rsid w:val="008071C6"/>
    <w:rsid w:val="00807410"/>
    <w:rsid w:val="00811EF3"/>
    <w:rsid w:val="00814699"/>
    <w:rsid w:val="00816603"/>
    <w:rsid w:val="00817A00"/>
    <w:rsid w:val="00817F5F"/>
    <w:rsid w:val="00823A8E"/>
    <w:rsid w:val="008265E2"/>
    <w:rsid w:val="008301BF"/>
    <w:rsid w:val="00832779"/>
    <w:rsid w:val="00835D8A"/>
    <w:rsid w:val="00835DB3"/>
    <w:rsid w:val="0083617B"/>
    <w:rsid w:val="008371BD"/>
    <w:rsid w:val="00844D53"/>
    <w:rsid w:val="00845125"/>
    <w:rsid w:val="008504A8"/>
    <w:rsid w:val="008512D3"/>
    <w:rsid w:val="0085282E"/>
    <w:rsid w:val="00856B3C"/>
    <w:rsid w:val="0086157D"/>
    <w:rsid w:val="00861BF7"/>
    <w:rsid w:val="0087198C"/>
    <w:rsid w:val="00872C1F"/>
    <w:rsid w:val="00873B42"/>
    <w:rsid w:val="008856D8"/>
    <w:rsid w:val="00886728"/>
    <w:rsid w:val="0089071D"/>
    <w:rsid w:val="00892E82"/>
    <w:rsid w:val="008A52CA"/>
    <w:rsid w:val="008A7952"/>
    <w:rsid w:val="008B5745"/>
    <w:rsid w:val="008B7676"/>
    <w:rsid w:val="008C1B58"/>
    <w:rsid w:val="008C39AE"/>
    <w:rsid w:val="008C590D"/>
    <w:rsid w:val="008D5119"/>
    <w:rsid w:val="008E031B"/>
    <w:rsid w:val="008E4F4E"/>
    <w:rsid w:val="008E7029"/>
    <w:rsid w:val="008E7EF6"/>
    <w:rsid w:val="008F0DA3"/>
    <w:rsid w:val="008F1F98"/>
    <w:rsid w:val="008F6758"/>
    <w:rsid w:val="009040DD"/>
    <w:rsid w:val="00905B47"/>
    <w:rsid w:val="0091331C"/>
    <w:rsid w:val="009279DE"/>
    <w:rsid w:val="00930116"/>
    <w:rsid w:val="00930944"/>
    <w:rsid w:val="0094212C"/>
    <w:rsid w:val="00945A0C"/>
    <w:rsid w:val="00947AB9"/>
    <w:rsid w:val="0095134F"/>
    <w:rsid w:val="00954641"/>
    <w:rsid w:val="00954689"/>
    <w:rsid w:val="009617C9"/>
    <w:rsid w:val="00961C93"/>
    <w:rsid w:val="009635F3"/>
    <w:rsid w:val="00965324"/>
    <w:rsid w:val="0097091E"/>
    <w:rsid w:val="009721CA"/>
    <w:rsid w:val="009760D3"/>
    <w:rsid w:val="00977132"/>
    <w:rsid w:val="00981A4B"/>
    <w:rsid w:val="00982501"/>
    <w:rsid w:val="00986F0C"/>
    <w:rsid w:val="009877D3"/>
    <w:rsid w:val="00994E8F"/>
    <w:rsid w:val="009951DC"/>
    <w:rsid w:val="009959BB"/>
    <w:rsid w:val="00997158"/>
    <w:rsid w:val="009A1E83"/>
    <w:rsid w:val="009A3A7C"/>
    <w:rsid w:val="009B04BA"/>
    <w:rsid w:val="009B0D00"/>
    <w:rsid w:val="009B2ADB"/>
    <w:rsid w:val="009B603A"/>
    <w:rsid w:val="009C2D0E"/>
    <w:rsid w:val="009C3DAC"/>
    <w:rsid w:val="009C42E0"/>
    <w:rsid w:val="009C617B"/>
    <w:rsid w:val="009D5362"/>
    <w:rsid w:val="009E0D8E"/>
    <w:rsid w:val="009E1415"/>
    <w:rsid w:val="009E5057"/>
    <w:rsid w:val="009E6116"/>
    <w:rsid w:val="009F03D7"/>
    <w:rsid w:val="009F5ADC"/>
    <w:rsid w:val="009F75C7"/>
    <w:rsid w:val="00A02E43"/>
    <w:rsid w:val="00A065F9"/>
    <w:rsid w:val="00A07F34"/>
    <w:rsid w:val="00A12BA7"/>
    <w:rsid w:val="00A13B0D"/>
    <w:rsid w:val="00A170DE"/>
    <w:rsid w:val="00A217C1"/>
    <w:rsid w:val="00A22154"/>
    <w:rsid w:val="00A25C38"/>
    <w:rsid w:val="00A3342F"/>
    <w:rsid w:val="00A36BBE"/>
    <w:rsid w:val="00A4096D"/>
    <w:rsid w:val="00A40C15"/>
    <w:rsid w:val="00A4307A"/>
    <w:rsid w:val="00A4342B"/>
    <w:rsid w:val="00A47EBB"/>
    <w:rsid w:val="00A51395"/>
    <w:rsid w:val="00A51CDD"/>
    <w:rsid w:val="00A52BA9"/>
    <w:rsid w:val="00A62CCB"/>
    <w:rsid w:val="00A6730D"/>
    <w:rsid w:val="00A71625"/>
    <w:rsid w:val="00A71B9B"/>
    <w:rsid w:val="00A751C7"/>
    <w:rsid w:val="00A75BE6"/>
    <w:rsid w:val="00A77498"/>
    <w:rsid w:val="00A843EC"/>
    <w:rsid w:val="00A84931"/>
    <w:rsid w:val="00A87225"/>
    <w:rsid w:val="00A87844"/>
    <w:rsid w:val="00A97A33"/>
    <w:rsid w:val="00A97F84"/>
    <w:rsid w:val="00AA038C"/>
    <w:rsid w:val="00AA26BF"/>
    <w:rsid w:val="00AA7A09"/>
    <w:rsid w:val="00AA7DCE"/>
    <w:rsid w:val="00AB3B50"/>
    <w:rsid w:val="00AC05B1"/>
    <w:rsid w:val="00AC2960"/>
    <w:rsid w:val="00AD356C"/>
    <w:rsid w:val="00AE15E2"/>
    <w:rsid w:val="00AE2914"/>
    <w:rsid w:val="00AE3D9D"/>
    <w:rsid w:val="00AE6D15"/>
    <w:rsid w:val="00B01FC7"/>
    <w:rsid w:val="00B036D4"/>
    <w:rsid w:val="00B04182"/>
    <w:rsid w:val="00B0447F"/>
    <w:rsid w:val="00B07AE3"/>
    <w:rsid w:val="00B11430"/>
    <w:rsid w:val="00B11A98"/>
    <w:rsid w:val="00B17C8C"/>
    <w:rsid w:val="00B17D0C"/>
    <w:rsid w:val="00B21A65"/>
    <w:rsid w:val="00B33F47"/>
    <w:rsid w:val="00B34B4F"/>
    <w:rsid w:val="00B353EB"/>
    <w:rsid w:val="00B416D4"/>
    <w:rsid w:val="00B42C54"/>
    <w:rsid w:val="00B439C4"/>
    <w:rsid w:val="00B4535E"/>
    <w:rsid w:val="00B52A8C"/>
    <w:rsid w:val="00B55086"/>
    <w:rsid w:val="00B6057E"/>
    <w:rsid w:val="00B636A8"/>
    <w:rsid w:val="00B665C6"/>
    <w:rsid w:val="00B6787A"/>
    <w:rsid w:val="00B70168"/>
    <w:rsid w:val="00B8059D"/>
    <w:rsid w:val="00B805AF"/>
    <w:rsid w:val="00B865EE"/>
    <w:rsid w:val="00B869EC"/>
    <w:rsid w:val="00B9397A"/>
    <w:rsid w:val="00B9633D"/>
    <w:rsid w:val="00BA0B75"/>
    <w:rsid w:val="00BA212A"/>
    <w:rsid w:val="00BA2EBE"/>
    <w:rsid w:val="00BB0479"/>
    <w:rsid w:val="00BB0F28"/>
    <w:rsid w:val="00BB458A"/>
    <w:rsid w:val="00BB4C87"/>
    <w:rsid w:val="00BC3280"/>
    <w:rsid w:val="00BD00D3"/>
    <w:rsid w:val="00BD1659"/>
    <w:rsid w:val="00BD216F"/>
    <w:rsid w:val="00BD3AA9"/>
    <w:rsid w:val="00BD4A18"/>
    <w:rsid w:val="00BD6DB2"/>
    <w:rsid w:val="00BE11CF"/>
    <w:rsid w:val="00BE21AB"/>
    <w:rsid w:val="00BE2E24"/>
    <w:rsid w:val="00BE55CB"/>
    <w:rsid w:val="00BF617A"/>
    <w:rsid w:val="00BF6FCE"/>
    <w:rsid w:val="00C0379D"/>
    <w:rsid w:val="00C03931"/>
    <w:rsid w:val="00C05FE3"/>
    <w:rsid w:val="00C12F1B"/>
    <w:rsid w:val="00C2136D"/>
    <w:rsid w:val="00C214EE"/>
    <w:rsid w:val="00C2314B"/>
    <w:rsid w:val="00C239F7"/>
    <w:rsid w:val="00C24971"/>
    <w:rsid w:val="00C26BE5"/>
    <w:rsid w:val="00C26E4D"/>
    <w:rsid w:val="00C27909"/>
    <w:rsid w:val="00C27B03"/>
    <w:rsid w:val="00C27B79"/>
    <w:rsid w:val="00C314E1"/>
    <w:rsid w:val="00C33137"/>
    <w:rsid w:val="00C34397"/>
    <w:rsid w:val="00C3788B"/>
    <w:rsid w:val="00C4095D"/>
    <w:rsid w:val="00C4748C"/>
    <w:rsid w:val="00C50D00"/>
    <w:rsid w:val="00C51599"/>
    <w:rsid w:val="00C52329"/>
    <w:rsid w:val="00C5256A"/>
    <w:rsid w:val="00C601D2"/>
    <w:rsid w:val="00C65149"/>
    <w:rsid w:val="00C65BCC"/>
    <w:rsid w:val="00C65F72"/>
    <w:rsid w:val="00C66970"/>
    <w:rsid w:val="00C77392"/>
    <w:rsid w:val="00C8691C"/>
    <w:rsid w:val="00CA168A"/>
    <w:rsid w:val="00CA357E"/>
    <w:rsid w:val="00CA44F9"/>
    <w:rsid w:val="00CA4A69"/>
    <w:rsid w:val="00CB7032"/>
    <w:rsid w:val="00CB7F66"/>
    <w:rsid w:val="00CC3E0C"/>
    <w:rsid w:val="00CC58D3"/>
    <w:rsid w:val="00CC784D"/>
    <w:rsid w:val="00CD34F6"/>
    <w:rsid w:val="00CD5415"/>
    <w:rsid w:val="00CD6E84"/>
    <w:rsid w:val="00CE5B53"/>
    <w:rsid w:val="00CE60F6"/>
    <w:rsid w:val="00CF14D6"/>
    <w:rsid w:val="00CF4949"/>
    <w:rsid w:val="00D0337B"/>
    <w:rsid w:val="00D046D6"/>
    <w:rsid w:val="00D04918"/>
    <w:rsid w:val="00D079B2"/>
    <w:rsid w:val="00D11376"/>
    <w:rsid w:val="00D114E9"/>
    <w:rsid w:val="00D1171B"/>
    <w:rsid w:val="00D20B92"/>
    <w:rsid w:val="00D22C02"/>
    <w:rsid w:val="00D27745"/>
    <w:rsid w:val="00D373C6"/>
    <w:rsid w:val="00D429C6"/>
    <w:rsid w:val="00D44B8E"/>
    <w:rsid w:val="00D4601E"/>
    <w:rsid w:val="00D469FD"/>
    <w:rsid w:val="00D47748"/>
    <w:rsid w:val="00D4775A"/>
    <w:rsid w:val="00D54CC3"/>
    <w:rsid w:val="00D6041A"/>
    <w:rsid w:val="00D62313"/>
    <w:rsid w:val="00D633EB"/>
    <w:rsid w:val="00D6692A"/>
    <w:rsid w:val="00D70B86"/>
    <w:rsid w:val="00D713FB"/>
    <w:rsid w:val="00D769C4"/>
    <w:rsid w:val="00D81B4F"/>
    <w:rsid w:val="00D82FF7"/>
    <w:rsid w:val="00D83F5F"/>
    <w:rsid w:val="00D847FE"/>
    <w:rsid w:val="00D964EA"/>
    <w:rsid w:val="00D966D0"/>
    <w:rsid w:val="00DA0C59"/>
    <w:rsid w:val="00DA34F6"/>
    <w:rsid w:val="00DA3991"/>
    <w:rsid w:val="00DA573F"/>
    <w:rsid w:val="00DA6FD5"/>
    <w:rsid w:val="00DB0990"/>
    <w:rsid w:val="00DB7E6C"/>
    <w:rsid w:val="00DC0838"/>
    <w:rsid w:val="00DC43B1"/>
    <w:rsid w:val="00DC796C"/>
    <w:rsid w:val="00DD5A29"/>
    <w:rsid w:val="00DD5D9D"/>
    <w:rsid w:val="00DE039E"/>
    <w:rsid w:val="00DE35CB"/>
    <w:rsid w:val="00DE4F83"/>
    <w:rsid w:val="00DF21E9"/>
    <w:rsid w:val="00DF59F3"/>
    <w:rsid w:val="00DF6F35"/>
    <w:rsid w:val="00E00224"/>
    <w:rsid w:val="00E0033D"/>
    <w:rsid w:val="00E00F14"/>
    <w:rsid w:val="00E025AA"/>
    <w:rsid w:val="00E06212"/>
    <w:rsid w:val="00E06386"/>
    <w:rsid w:val="00E07879"/>
    <w:rsid w:val="00E1340E"/>
    <w:rsid w:val="00E16CE9"/>
    <w:rsid w:val="00E2056E"/>
    <w:rsid w:val="00E21373"/>
    <w:rsid w:val="00E24EB4"/>
    <w:rsid w:val="00E26045"/>
    <w:rsid w:val="00E320ED"/>
    <w:rsid w:val="00E32A3E"/>
    <w:rsid w:val="00E33AFB"/>
    <w:rsid w:val="00E34218"/>
    <w:rsid w:val="00E43514"/>
    <w:rsid w:val="00E46282"/>
    <w:rsid w:val="00E47761"/>
    <w:rsid w:val="00E47D9C"/>
    <w:rsid w:val="00E5216E"/>
    <w:rsid w:val="00E82344"/>
    <w:rsid w:val="00E82D9F"/>
    <w:rsid w:val="00E84C82"/>
    <w:rsid w:val="00E84D64"/>
    <w:rsid w:val="00E85D61"/>
    <w:rsid w:val="00E865F1"/>
    <w:rsid w:val="00E87408"/>
    <w:rsid w:val="00E914C4"/>
    <w:rsid w:val="00E934F5"/>
    <w:rsid w:val="00E966CE"/>
    <w:rsid w:val="00E96961"/>
    <w:rsid w:val="00EA15C2"/>
    <w:rsid w:val="00EA5124"/>
    <w:rsid w:val="00EA72EC"/>
    <w:rsid w:val="00EB11CB"/>
    <w:rsid w:val="00EB275A"/>
    <w:rsid w:val="00EB6259"/>
    <w:rsid w:val="00EB786A"/>
    <w:rsid w:val="00EC1578"/>
    <w:rsid w:val="00EC1C72"/>
    <w:rsid w:val="00EC3CC9"/>
    <w:rsid w:val="00EC680A"/>
    <w:rsid w:val="00ED111F"/>
    <w:rsid w:val="00ED7835"/>
    <w:rsid w:val="00EE2BED"/>
    <w:rsid w:val="00EE374B"/>
    <w:rsid w:val="00EE375D"/>
    <w:rsid w:val="00EE510D"/>
    <w:rsid w:val="00EF43CB"/>
    <w:rsid w:val="00EF5CBE"/>
    <w:rsid w:val="00F010DC"/>
    <w:rsid w:val="00F0185D"/>
    <w:rsid w:val="00F11BB5"/>
    <w:rsid w:val="00F1417B"/>
    <w:rsid w:val="00F16602"/>
    <w:rsid w:val="00F2084F"/>
    <w:rsid w:val="00F21378"/>
    <w:rsid w:val="00F2314D"/>
    <w:rsid w:val="00F243C3"/>
    <w:rsid w:val="00F34B99"/>
    <w:rsid w:val="00F40D16"/>
    <w:rsid w:val="00F50909"/>
    <w:rsid w:val="00F50BA7"/>
    <w:rsid w:val="00F52DAB"/>
    <w:rsid w:val="00F52E71"/>
    <w:rsid w:val="00F543F0"/>
    <w:rsid w:val="00F72B6D"/>
    <w:rsid w:val="00F81D29"/>
    <w:rsid w:val="00F91C4D"/>
    <w:rsid w:val="00F92FD9"/>
    <w:rsid w:val="00FA0524"/>
    <w:rsid w:val="00FA6684"/>
    <w:rsid w:val="00FA731E"/>
    <w:rsid w:val="00FB2B38"/>
    <w:rsid w:val="00FB6E38"/>
    <w:rsid w:val="00FC10D3"/>
    <w:rsid w:val="00FC6358"/>
    <w:rsid w:val="00FD01CF"/>
    <w:rsid w:val="00FD0F8C"/>
    <w:rsid w:val="00FD320D"/>
    <w:rsid w:val="00FD38E3"/>
    <w:rsid w:val="00FE23DE"/>
    <w:rsid w:val="00FE2DE6"/>
    <w:rsid w:val="00FE5D24"/>
    <w:rsid w:val="00FF5608"/>
    <w:rsid w:val="00FF6CE0"/>
    <w:rsid w:val="018D3836"/>
    <w:rsid w:val="02A613F0"/>
    <w:rsid w:val="032D2D12"/>
    <w:rsid w:val="058D28EE"/>
    <w:rsid w:val="065A6AD7"/>
    <w:rsid w:val="07724E37"/>
    <w:rsid w:val="0AAD3932"/>
    <w:rsid w:val="0AC266F3"/>
    <w:rsid w:val="0BF0281F"/>
    <w:rsid w:val="0CA16050"/>
    <w:rsid w:val="0F295B07"/>
    <w:rsid w:val="0F3E62EF"/>
    <w:rsid w:val="0F455900"/>
    <w:rsid w:val="0F476BAA"/>
    <w:rsid w:val="127609E0"/>
    <w:rsid w:val="147D65FF"/>
    <w:rsid w:val="14E86D3B"/>
    <w:rsid w:val="15E07831"/>
    <w:rsid w:val="15F75C3D"/>
    <w:rsid w:val="16105A11"/>
    <w:rsid w:val="173F5A6C"/>
    <w:rsid w:val="18C52241"/>
    <w:rsid w:val="1BC7354C"/>
    <w:rsid w:val="1CA60DA2"/>
    <w:rsid w:val="1D313E3D"/>
    <w:rsid w:val="1E2C048B"/>
    <w:rsid w:val="1E732AF4"/>
    <w:rsid w:val="1EAE7303"/>
    <w:rsid w:val="1ED41189"/>
    <w:rsid w:val="1EDF506D"/>
    <w:rsid w:val="1F81045F"/>
    <w:rsid w:val="1F9550D1"/>
    <w:rsid w:val="1FE11AB9"/>
    <w:rsid w:val="20224592"/>
    <w:rsid w:val="21433E94"/>
    <w:rsid w:val="21540E0D"/>
    <w:rsid w:val="22CA43A4"/>
    <w:rsid w:val="2395785D"/>
    <w:rsid w:val="23FA7D8F"/>
    <w:rsid w:val="2423553B"/>
    <w:rsid w:val="249918FF"/>
    <w:rsid w:val="2508631D"/>
    <w:rsid w:val="25827095"/>
    <w:rsid w:val="27CA5DD5"/>
    <w:rsid w:val="28011B94"/>
    <w:rsid w:val="2967011C"/>
    <w:rsid w:val="2A837561"/>
    <w:rsid w:val="2CA14EF3"/>
    <w:rsid w:val="2D5957DF"/>
    <w:rsid w:val="2DF25308"/>
    <w:rsid w:val="2E4722CA"/>
    <w:rsid w:val="2EB41E2C"/>
    <w:rsid w:val="30111E78"/>
    <w:rsid w:val="317B2030"/>
    <w:rsid w:val="320F1A10"/>
    <w:rsid w:val="34BF5FD9"/>
    <w:rsid w:val="358F4CB9"/>
    <w:rsid w:val="361F20FD"/>
    <w:rsid w:val="368932D2"/>
    <w:rsid w:val="371F2036"/>
    <w:rsid w:val="3A5B6580"/>
    <w:rsid w:val="3BE879E9"/>
    <w:rsid w:val="3E1401AA"/>
    <w:rsid w:val="40287F9D"/>
    <w:rsid w:val="41524DB6"/>
    <w:rsid w:val="421C7F9A"/>
    <w:rsid w:val="42C158EA"/>
    <w:rsid w:val="44572793"/>
    <w:rsid w:val="459A4B34"/>
    <w:rsid w:val="461B165F"/>
    <w:rsid w:val="474F4272"/>
    <w:rsid w:val="4778513B"/>
    <w:rsid w:val="48B3542E"/>
    <w:rsid w:val="48DE5AD3"/>
    <w:rsid w:val="49422C03"/>
    <w:rsid w:val="495C16CF"/>
    <w:rsid w:val="49617426"/>
    <w:rsid w:val="4A4A313D"/>
    <w:rsid w:val="4DC75CA6"/>
    <w:rsid w:val="4E4D423E"/>
    <w:rsid w:val="50B65FA7"/>
    <w:rsid w:val="541945A4"/>
    <w:rsid w:val="542A748C"/>
    <w:rsid w:val="54C92BF9"/>
    <w:rsid w:val="55181EAC"/>
    <w:rsid w:val="558531FF"/>
    <w:rsid w:val="56CB6587"/>
    <w:rsid w:val="595F5340"/>
    <w:rsid w:val="5A99259E"/>
    <w:rsid w:val="5D4A0CB1"/>
    <w:rsid w:val="5D815299"/>
    <w:rsid w:val="5E1C0BF9"/>
    <w:rsid w:val="5E1E0A72"/>
    <w:rsid w:val="5E7B3C23"/>
    <w:rsid w:val="5F1F40D2"/>
    <w:rsid w:val="6137403E"/>
    <w:rsid w:val="633F25A3"/>
    <w:rsid w:val="644A3BE4"/>
    <w:rsid w:val="65FF26B7"/>
    <w:rsid w:val="6734285B"/>
    <w:rsid w:val="67D87514"/>
    <w:rsid w:val="6D1A7871"/>
    <w:rsid w:val="6D541970"/>
    <w:rsid w:val="6FF253A5"/>
    <w:rsid w:val="707E4B3B"/>
    <w:rsid w:val="720A3C6B"/>
    <w:rsid w:val="720C108F"/>
    <w:rsid w:val="72794213"/>
    <w:rsid w:val="72802E45"/>
    <w:rsid w:val="72B33057"/>
    <w:rsid w:val="743E1047"/>
    <w:rsid w:val="765608C9"/>
    <w:rsid w:val="79875090"/>
    <w:rsid w:val="7ACD4B53"/>
    <w:rsid w:val="7AFE4C0C"/>
    <w:rsid w:val="7BF02C26"/>
    <w:rsid w:val="7CB77AF2"/>
    <w:rsid w:val="7CE84F77"/>
    <w:rsid w:val="7D985929"/>
    <w:rsid w:val="7F2C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eastAsia="黑体"/>
      <w:b/>
      <w:bCs/>
      <w:kern w:val="44"/>
      <w:szCs w:val="44"/>
    </w:rPr>
  </w:style>
  <w:style w:type="paragraph" w:styleId="4">
    <w:name w:val="heading 3"/>
    <w:basedOn w:val="1"/>
    <w:next w:val="1"/>
    <w:link w:val="4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b/>
      <w:bCs/>
      <w:kern w:val="0"/>
      <w:sz w:val="28"/>
    </w:r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46"/>
    <w:semiHidden/>
    <w:qFormat/>
    <w:uiPriority w:val="99"/>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semiHidden/>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qFormat/>
    <w:uiPriority w:val="0"/>
    <w:rPr>
      <w:sz w:val="24"/>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10"/>
    <w:next w:val="10"/>
    <w:link w:val="48"/>
    <w:semiHidden/>
    <w:qFormat/>
    <w:uiPriority w:val="99"/>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qFormat/>
    <w:uiPriority w:val="99"/>
    <w:rPr>
      <w:color w:val="0000FF"/>
      <w:spacing w:val="0"/>
      <w:w w:val="100"/>
      <w:szCs w:val="21"/>
      <w:u w:val="single"/>
    </w:rPr>
  </w:style>
  <w:style w:type="character" w:styleId="42">
    <w:name w:val="annotation reference"/>
    <w:semiHidden/>
    <w:qFormat/>
    <w:uiPriority w:val="99"/>
    <w:rPr>
      <w:sz w:val="21"/>
      <w:szCs w:val="21"/>
    </w:rPr>
  </w:style>
  <w:style w:type="character" w:styleId="43">
    <w:name w:val="footnote reference"/>
    <w:semiHidden/>
    <w:qFormat/>
    <w:uiPriority w:val="0"/>
    <w:rPr>
      <w:vertAlign w:val="superscript"/>
    </w:rPr>
  </w:style>
  <w:style w:type="character" w:customStyle="1" w:styleId="44">
    <w:name w:val="标题 1 字符"/>
    <w:link w:val="3"/>
    <w:qFormat/>
    <w:uiPriority w:val="0"/>
    <w:rPr>
      <w:rFonts w:eastAsia="黑体"/>
      <w:b/>
      <w:bCs/>
      <w:kern w:val="44"/>
      <w:sz w:val="21"/>
      <w:szCs w:val="44"/>
    </w:rPr>
  </w:style>
  <w:style w:type="character" w:customStyle="1" w:styleId="45">
    <w:name w:val="标题 3 字符"/>
    <w:link w:val="4"/>
    <w:qFormat/>
    <w:uiPriority w:val="9"/>
    <w:rPr>
      <w:rFonts w:ascii="宋体" w:hAnsi="宋体" w:cs="宋体"/>
      <w:b/>
      <w:bCs/>
      <w:sz w:val="27"/>
      <w:szCs w:val="27"/>
    </w:rPr>
  </w:style>
  <w:style w:type="character" w:customStyle="1" w:styleId="46">
    <w:name w:val="批注文字 字符"/>
    <w:link w:val="10"/>
    <w:semiHidden/>
    <w:qFormat/>
    <w:uiPriority w:val="99"/>
    <w:rPr>
      <w:kern w:val="2"/>
      <w:sz w:val="21"/>
      <w:szCs w:val="24"/>
    </w:rPr>
  </w:style>
  <w:style w:type="character" w:customStyle="1" w:styleId="47">
    <w:name w:val="段 Char"/>
    <w:link w:val="25"/>
    <w:qFormat/>
    <w:uiPriority w:val="0"/>
    <w:rPr>
      <w:rFonts w:ascii="宋体"/>
      <w:sz w:val="21"/>
      <w:lang w:val="en-US" w:eastAsia="zh-CN" w:bidi="ar-SA"/>
    </w:rPr>
  </w:style>
  <w:style w:type="character" w:customStyle="1" w:styleId="48">
    <w:name w:val="批注主题 字符"/>
    <w:link w:val="34"/>
    <w:semiHidden/>
    <w:qFormat/>
    <w:uiPriority w:val="99"/>
    <w:rPr>
      <w:b/>
      <w:bCs/>
      <w:kern w:val="2"/>
      <w:sz w:val="21"/>
      <w:szCs w:val="24"/>
    </w:rPr>
  </w:style>
  <w:style w:type="character" w:customStyle="1" w:styleId="49">
    <w:name w:val="发布"/>
    <w:qFormat/>
    <w:uiPriority w:val="0"/>
    <w:rPr>
      <w:rFonts w:ascii="黑体" w:eastAsia="黑体"/>
      <w:spacing w:val="85"/>
      <w:w w:val="100"/>
      <w:position w:val="3"/>
      <w:sz w:val="28"/>
      <w:szCs w:val="28"/>
    </w:rPr>
  </w:style>
  <w:style w:type="character" w:customStyle="1" w:styleId="50">
    <w:name w:val="首示例 Char"/>
    <w:link w:val="51"/>
    <w:qFormat/>
    <w:uiPriority w:val="0"/>
    <w:rPr>
      <w:rFonts w:ascii="宋体" w:hAnsi="宋体"/>
      <w:kern w:val="2"/>
      <w:sz w:val="18"/>
      <w:szCs w:val="18"/>
    </w:rPr>
  </w:style>
  <w:style w:type="paragraph" w:customStyle="1" w:styleId="51">
    <w:name w:val="首示例"/>
    <w:next w:val="25"/>
    <w:link w:val="50"/>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2">
    <w:name w:val="附录公式 Char"/>
    <w:basedOn w:val="47"/>
    <w:link w:val="53"/>
    <w:qFormat/>
    <w:uiPriority w:val="0"/>
    <w:rPr>
      <w:rFonts w:ascii="宋体"/>
      <w:sz w:val="21"/>
      <w:lang w:val="en-US" w:eastAsia="zh-CN" w:bidi="ar-SA"/>
    </w:rPr>
  </w:style>
  <w:style w:type="paragraph" w:customStyle="1" w:styleId="53">
    <w:name w:val="附录公式"/>
    <w:basedOn w:val="25"/>
    <w:next w:val="25"/>
    <w:link w:val="52"/>
    <w:qFormat/>
    <w:uiPriority w:val="0"/>
  </w:style>
  <w:style w:type="paragraph" w:customStyle="1" w:styleId="54">
    <w:name w:val="附录章标题"/>
    <w:next w:val="25"/>
    <w:qFormat/>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5">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6">
    <w:name w:val="封面标准文稿编辑信息"/>
    <w:basedOn w:val="57"/>
    <w:qFormat/>
    <w:uiPriority w:val="0"/>
    <w:pPr>
      <w:framePr w:wrap="around"/>
      <w:spacing w:before="180" w:line="180" w:lineRule="exact"/>
    </w:pPr>
    <w:rPr>
      <w:sz w:val="21"/>
    </w:rPr>
  </w:style>
  <w:style w:type="paragraph" w:customStyle="1" w:styleId="57">
    <w:name w:val="封面标准文稿类别"/>
    <w:basedOn w:val="58"/>
    <w:qFormat/>
    <w:uiPriority w:val="0"/>
    <w:pPr>
      <w:framePr w:wrap="around"/>
      <w:spacing w:after="160" w:line="240" w:lineRule="auto"/>
    </w:pPr>
    <w:rPr>
      <w:sz w:val="24"/>
    </w:rPr>
  </w:style>
  <w:style w:type="paragraph" w:customStyle="1" w:styleId="58">
    <w:name w:val="封面一致性程度标识"/>
    <w:basedOn w:val="59"/>
    <w:qFormat/>
    <w:uiPriority w:val="0"/>
    <w:pPr>
      <w:framePr w:wrap="around"/>
      <w:spacing w:before="440"/>
    </w:pPr>
    <w:rPr>
      <w:rFonts w:ascii="宋体" w:eastAsia="宋体"/>
    </w:rPr>
  </w:style>
  <w:style w:type="paragraph" w:customStyle="1" w:styleId="59">
    <w:name w:val="封面标准英文名称"/>
    <w:basedOn w:val="60"/>
    <w:qFormat/>
    <w:uiPriority w:val="0"/>
    <w:pPr>
      <w:framePr w:wrap="around"/>
      <w:spacing w:before="370" w:line="400" w:lineRule="exact"/>
    </w:pPr>
    <w:rPr>
      <w:rFonts w:ascii="Times New Roman"/>
      <w:sz w:val="28"/>
      <w:szCs w:val="28"/>
    </w:rPr>
  </w:style>
  <w:style w:type="paragraph" w:customStyle="1" w:styleId="6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2">
    <w:name w:val="封面标准文稿编辑信息2"/>
    <w:basedOn w:val="56"/>
    <w:qFormat/>
    <w:uiPriority w:val="0"/>
    <w:pPr>
      <w:framePr w:wrap="around" w:y="4469"/>
    </w:pPr>
  </w:style>
  <w:style w:type="paragraph" w:customStyle="1" w:styleId="63">
    <w:name w:val="附录四级条标题"/>
    <w:basedOn w:val="64"/>
    <w:next w:val="25"/>
    <w:qFormat/>
    <w:uiPriority w:val="0"/>
    <w:pPr>
      <w:numPr>
        <w:ilvl w:val="5"/>
      </w:numPr>
      <w:tabs>
        <w:tab w:val="left" w:pos="360"/>
      </w:tabs>
      <w:outlineLvl w:val="5"/>
    </w:pPr>
  </w:style>
  <w:style w:type="paragraph" w:customStyle="1" w:styleId="64">
    <w:name w:val="附录三级条标题"/>
    <w:basedOn w:val="65"/>
    <w:next w:val="25"/>
    <w:qFormat/>
    <w:uiPriority w:val="0"/>
    <w:pPr>
      <w:numPr>
        <w:ilvl w:val="4"/>
      </w:numPr>
      <w:tabs>
        <w:tab w:val="left" w:pos="360"/>
      </w:tabs>
      <w:outlineLvl w:val="4"/>
    </w:pPr>
  </w:style>
  <w:style w:type="paragraph" w:customStyle="1" w:styleId="65">
    <w:name w:val="附录二级条标题"/>
    <w:basedOn w:val="1"/>
    <w:next w:val="25"/>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67">
    <w:name w:val="标准书眉_偶数页"/>
    <w:basedOn w:val="68"/>
    <w:next w:val="1"/>
    <w:qFormat/>
    <w:uiPriority w:val="0"/>
    <w:pPr>
      <w:tabs>
        <w:tab w:val="center" w:pos="4154"/>
        <w:tab w:val="right" w:pos="8306"/>
      </w:tabs>
      <w:jc w:val="left"/>
    </w:pPr>
  </w:style>
  <w:style w:type="paragraph" w:customStyle="1" w:styleId="6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9">
    <w:name w:val="附录标识"/>
    <w:basedOn w:val="1"/>
    <w:next w:val="25"/>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0">
    <w:name w:val="四级条标题"/>
    <w:basedOn w:val="71"/>
    <w:next w:val="25"/>
    <w:qFormat/>
    <w:uiPriority w:val="0"/>
    <w:pPr>
      <w:numPr>
        <w:ilvl w:val="4"/>
        <w:numId w:val="4"/>
      </w:numPr>
      <w:outlineLvl w:val="5"/>
    </w:pPr>
  </w:style>
  <w:style w:type="paragraph" w:customStyle="1" w:styleId="71">
    <w:name w:val="三级条标题"/>
    <w:basedOn w:val="72"/>
    <w:next w:val="25"/>
    <w:qFormat/>
    <w:uiPriority w:val="0"/>
    <w:pPr>
      <w:numPr>
        <w:ilvl w:val="0"/>
        <w:numId w:val="0"/>
      </w:numPr>
      <w:outlineLvl w:val="4"/>
    </w:pPr>
  </w:style>
  <w:style w:type="paragraph" w:customStyle="1" w:styleId="72">
    <w:name w:val="二级条标题"/>
    <w:basedOn w:val="73"/>
    <w:next w:val="25"/>
    <w:qFormat/>
    <w:uiPriority w:val="0"/>
    <w:pPr>
      <w:numPr>
        <w:ilvl w:val="2"/>
      </w:numPr>
      <w:spacing w:before="50" w:after="50"/>
      <w:outlineLvl w:val="3"/>
    </w:pPr>
  </w:style>
  <w:style w:type="paragraph" w:customStyle="1" w:styleId="73">
    <w:name w:val="一级条标题"/>
    <w:next w:val="25"/>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4">
    <w:name w:val="一级无"/>
    <w:basedOn w:val="73"/>
    <w:qFormat/>
    <w:uiPriority w:val="0"/>
    <w:pPr>
      <w:spacing w:before="0" w:beforeLines="0" w:after="0" w:afterLines="0"/>
    </w:pPr>
    <w:rPr>
      <w:rFonts w:ascii="宋体" w:eastAsia="宋体"/>
    </w:rPr>
  </w:style>
  <w:style w:type="paragraph" w:customStyle="1" w:styleId="75">
    <w:name w:val="示例×："/>
    <w:basedOn w:val="76"/>
    <w:qFormat/>
    <w:uiPriority w:val="0"/>
    <w:pPr>
      <w:numPr>
        <w:numId w:val="5"/>
      </w:numPr>
      <w:spacing w:before="0" w:beforeLines="0" w:after="0" w:afterLines="0"/>
      <w:outlineLvl w:val="9"/>
    </w:pPr>
    <w:rPr>
      <w:rFonts w:ascii="宋体" w:eastAsia="宋体"/>
      <w:sz w:val="18"/>
      <w:szCs w:val="18"/>
    </w:rPr>
  </w:style>
  <w:style w:type="paragraph" w:customStyle="1" w:styleId="76">
    <w:name w:val="章标题"/>
    <w:next w:val="25"/>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7">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8">
    <w:name w:val="封面标准英文名称2"/>
    <w:basedOn w:val="59"/>
    <w:qFormat/>
    <w:uiPriority w:val="0"/>
    <w:pPr>
      <w:framePr w:wrap="around" w:y="4469"/>
    </w:pPr>
  </w:style>
  <w:style w:type="paragraph" w:customStyle="1" w:styleId="79">
    <w:name w:val="三级无"/>
    <w:basedOn w:val="71"/>
    <w:qFormat/>
    <w:uiPriority w:val="0"/>
    <w:pPr>
      <w:spacing w:before="0" w:beforeLines="0" w:after="0" w:afterLines="0"/>
    </w:pPr>
    <w:rPr>
      <w:rFonts w:ascii="宋体" w:eastAsia="宋体"/>
    </w:rPr>
  </w:style>
  <w:style w:type="paragraph" w:customStyle="1" w:styleId="80">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81">
    <w:name w:val="封面一致性程度标识2"/>
    <w:basedOn w:val="58"/>
    <w:qFormat/>
    <w:uiPriority w:val="0"/>
    <w:pPr>
      <w:framePr w:wrap="around" w:y="4469"/>
    </w:pPr>
  </w:style>
  <w:style w:type="paragraph" w:customStyle="1" w:styleId="82">
    <w:name w:val="其他发布部门"/>
    <w:basedOn w:val="83"/>
    <w:qFormat/>
    <w:uiPriority w:val="0"/>
    <w:pPr>
      <w:framePr w:wrap="around" w:y="15310"/>
      <w:spacing w:line="0" w:lineRule="atLeast"/>
    </w:pPr>
    <w:rPr>
      <w:rFonts w:ascii="黑体" w:eastAsia="黑体"/>
      <w:b w:val="0"/>
    </w:rPr>
  </w:style>
  <w:style w:type="paragraph" w:customStyle="1" w:styleId="83">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4">
    <w:name w:val="五级条标题"/>
    <w:basedOn w:val="70"/>
    <w:next w:val="25"/>
    <w:qFormat/>
    <w:uiPriority w:val="0"/>
    <w:pPr>
      <w:numPr>
        <w:ilvl w:val="5"/>
      </w:numPr>
      <w:outlineLvl w:val="6"/>
    </w:pPr>
  </w:style>
  <w:style w:type="paragraph" w:customStyle="1" w:styleId="85">
    <w:name w:val="附录数字编号列项（二级）"/>
    <w:qFormat/>
    <w:uiPriority w:val="0"/>
    <w:pPr>
      <w:numPr>
        <w:ilvl w:val="1"/>
        <w:numId w:val="7"/>
      </w:numPr>
    </w:pPr>
    <w:rPr>
      <w:rFonts w:ascii="宋体" w:hAnsi="Times New Roman" w:eastAsia="宋体" w:cs="Times New Roman"/>
      <w:sz w:val="21"/>
      <w:lang w:val="en-US" w:eastAsia="zh-CN" w:bidi="ar-SA"/>
    </w:rPr>
  </w:style>
  <w:style w:type="paragraph" w:customStyle="1" w:styleId="86">
    <w:name w:val="附录一级条标题"/>
    <w:basedOn w:val="54"/>
    <w:next w:val="25"/>
    <w:qFormat/>
    <w:uiPriority w:val="0"/>
    <w:pPr>
      <w:numPr>
        <w:ilvl w:val="2"/>
      </w:numPr>
      <w:autoSpaceDN w:val="0"/>
      <w:spacing w:before="50" w:beforeLines="50" w:after="50" w:afterLines="50"/>
      <w:outlineLvl w:val="2"/>
    </w:pPr>
  </w:style>
  <w:style w:type="paragraph" w:customStyle="1" w:styleId="87">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88">
    <w:name w:val="终结线"/>
    <w:basedOn w:val="1"/>
    <w:qFormat/>
    <w:uiPriority w:val="0"/>
    <w:pPr>
      <w:framePr w:hSpace="181" w:vSpace="181" w:wrap="around" w:vAnchor="text" w:hAnchor="margin" w:xAlign="center" w:y="285"/>
    </w:pPr>
  </w:style>
  <w:style w:type="paragraph" w:customStyle="1" w:styleId="89">
    <w:name w:val="附录五级无"/>
    <w:basedOn w:val="90"/>
    <w:qFormat/>
    <w:uiPriority w:val="0"/>
    <w:pPr>
      <w:tabs>
        <w:tab w:val="left" w:pos="360"/>
      </w:tabs>
      <w:spacing w:before="0" w:beforeLines="0" w:after="0" w:afterLines="0"/>
    </w:pPr>
    <w:rPr>
      <w:rFonts w:ascii="宋体" w:eastAsia="宋体"/>
      <w:szCs w:val="21"/>
    </w:rPr>
  </w:style>
  <w:style w:type="paragraph" w:customStyle="1" w:styleId="90">
    <w:name w:val="附录五级条标题"/>
    <w:basedOn w:val="63"/>
    <w:next w:val="25"/>
    <w:qFormat/>
    <w:uiPriority w:val="0"/>
    <w:pPr>
      <w:numPr>
        <w:ilvl w:val="6"/>
      </w:numPr>
      <w:outlineLvl w:val="6"/>
    </w:pPr>
  </w:style>
  <w:style w:type="paragraph" w:customStyle="1" w:styleId="9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2">
    <w:name w:val="附录四级无"/>
    <w:basedOn w:val="63"/>
    <w:qFormat/>
    <w:uiPriority w:val="0"/>
    <w:pPr>
      <w:tabs>
        <w:tab w:val="clear" w:pos="360"/>
      </w:tabs>
      <w:spacing w:before="0" w:beforeLines="0" w:after="0" w:afterLines="0"/>
    </w:pPr>
    <w:rPr>
      <w:rFonts w:ascii="宋体" w:eastAsia="宋体"/>
      <w:szCs w:val="21"/>
    </w:rPr>
  </w:style>
  <w:style w:type="paragraph" w:customStyle="1" w:styleId="9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4">
    <w:name w:val="附录表标号"/>
    <w:basedOn w:val="1"/>
    <w:next w:val="25"/>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95">
    <w:name w:val="实施日期"/>
    <w:basedOn w:val="91"/>
    <w:qFormat/>
    <w:uiPriority w:val="0"/>
    <w:pPr>
      <w:framePr w:wrap="around" w:vAnchor="page" w:hAnchor="text"/>
      <w:jc w:val="right"/>
    </w:pPr>
  </w:style>
  <w:style w:type="paragraph" w:customStyle="1" w:styleId="96">
    <w:name w:val="正文公式编号制表符"/>
    <w:basedOn w:val="25"/>
    <w:next w:val="25"/>
    <w:qFormat/>
    <w:uiPriority w:val="0"/>
    <w:pPr>
      <w:ind w:firstLine="0" w:firstLineChars="0"/>
    </w:p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其他发布日期"/>
    <w:basedOn w:val="91"/>
    <w:qFormat/>
    <w:uiPriority w:val="0"/>
    <w:pPr>
      <w:framePr w:wrap="around" w:vAnchor="page" w:hAnchor="text" w:x="1419"/>
    </w:pPr>
  </w:style>
  <w:style w:type="paragraph" w:customStyle="1" w:styleId="99">
    <w:name w:val="附录表标题"/>
    <w:basedOn w:val="1"/>
    <w:next w:val="25"/>
    <w:qFormat/>
    <w:uiPriority w:val="0"/>
    <w:pPr>
      <w:numPr>
        <w:ilvl w:val="1"/>
        <w:numId w:val="8"/>
      </w:numPr>
      <w:tabs>
        <w:tab w:val="left" w:pos="180"/>
      </w:tabs>
      <w:spacing w:before="50" w:beforeLines="50" w:after="50" w:afterLines="50"/>
      <w:ind w:left="0" w:firstLine="0"/>
      <w:jc w:val="center"/>
    </w:pPr>
    <w:rPr>
      <w:rFonts w:ascii="黑体" w:eastAsia="黑体"/>
      <w:szCs w:val="21"/>
    </w:rPr>
  </w:style>
  <w:style w:type="paragraph" w:customStyle="1" w:styleId="100">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1">
    <w:name w:val="封面正文"/>
    <w:qFormat/>
    <w:uiPriority w:val="0"/>
    <w:pPr>
      <w:jc w:val="both"/>
    </w:pPr>
    <w:rPr>
      <w:rFonts w:ascii="Times New Roman" w:hAnsi="Times New Roman" w:eastAsia="宋体" w:cs="Times New Roman"/>
      <w:lang w:val="en-US" w:eastAsia="zh-CN" w:bidi="ar-SA"/>
    </w:rPr>
  </w:style>
  <w:style w:type="paragraph" w:customStyle="1" w:styleId="102">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03">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10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5">
    <w:name w:val="列项◆（三级）"/>
    <w:basedOn w:val="1"/>
    <w:qFormat/>
    <w:uiPriority w:val="0"/>
    <w:pPr>
      <w:numPr>
        <w:ilvl w:val="2"/>
        <w:numId w:val="10"/>
      </w:numPr>
    </w:pPr>
    <w:rPr>
      <w:rFonts w:ascii="宋体"/>
      <w:szCs w:val="21"/>
    </w:rPr>
  </w:style>
  <w:style w:type="paragraph" w:customStyle="1" w:styleId="106">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107">
    <w:name w:val="其他标准标志"/>
    <w:basedOn w:val="108"/>
    <w:qFormat/>
    <w:uiPriority w:val="0"/>
    <w:pPr>
      <w:framePr w:w="6101" w:wrap="around" w:vAnchor="page" w:hAnchor="page" w:x="4673" w:y="942"/>
    </w:pPr>
    <w:rPr>
      <w:w w:val="130"/>
    </w:rPr>
  </w:style>
  <w:style w:type="paragraph" w:customStyle="1" w:styleId="10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0">
    <w:name w:val="条文脚注"/>
    <w:basedOn w:val="26"/>
    <w:qFormat/>
    <w:uiPriority w:val="0"/>
    <w:pPr>
      <w:numPr>
        <w:numId w:val="0"/>
      </w:numPr>
      <w:jc w:val="both"/>
    </w:pPr>
  </w:style>
  <w:style w:type="paragraph" w:customStyle="1" w:styleId="111">
    <w:name w:val="四级无"/>
    <w:basedOn w:val="70"/>
    <w:qFormat/>
    <w:uiPriority w:val="0"/>
    <w:pPr>
      <w:spacing w:before="0" w:beforeLines="0" w:after="0" w:afterLines="0"/>
    </w:pPr>
    <w:rPr>
      <w:rFonts w:ascii="宋体" w:eastAsia="宋体"/>
    </w:rPr>
  </w:style>
  <w:style w:type="paragraph" w:customStyle="1" w:styleId="112">
    <w:name w:val="注×："/>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1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4">
    <w:name w:val="示例后文字"/>
    <w:basedOn w:val="25"/>
    <w:next w:val="25"/>
    <w:qFormat/>
    <w:uiPriority w:val="0"/>
    <w:pPr>
      <w:ind w:firstLine="360"/>
    </w:pPr>
    <w:rPr>
      <w:sz w:val="18"/>
    </w:rPr>
  </w:style>
  <w:style w:type="paragraph" w:customStyle="1" w:styleId="11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6">
    <w:name w:val="图表脚注说明"/>
    <w:basedOn w:val="1"/>
    <w:qFormat/>
    <w:uiPriority w:val="0"/>
    <w:pPr>
      <w:numPr>
        <w:ilvl w:val="0"/>
        <w:numId w:val="12"/>
      </w:numPr>
    </w:pPr>
    <w:rPr>
      <w:rFonts w:ascii="宋体"/>
      <w:sz w:val="18"/>
      <w:szCs w:val="18"/>
    </w:rPr>
  </w:style>
  <w:style w:type="paragraph" w:customStyle="1" w:styleId="11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8">
    <w:name w:val="标准书眉一"/>
    <w:qFormat/>
    <w:uiPriority w:val="0"/>
    <w:pPr>
      <w:jc w:val="both"/>
    </w:pPr>
    <w:rPr>
      <w:rFonts w:ascii="Times New Roman" w:hAnsi="Times New Roman" w:eastAsia="宋体" w:cs="Times New Roman"/>
      <w:lang w:val="en-US" w:eastAsia="zh-CN" w:bidi="ar-SA"/>
    </w:rPr>
  </w:style>
  <w:style w:type="paragraph" w:customStyle="1" w:styleId="119">
    <w:name w:val="编号列项（三级）"/>
    <w:qFormat/>
    <w:uiPriority w:val="0"/>
    <w:rPr>
      <w:rFonts w:ascii="宋体" w:hAnsi="Times New Roman" w:eastAsia="宋体" w:cs="Times New Roman"/>
      <w:sz w:val="21"/>
      <w:lang w:val="en-US" w:eastAsia="zh-CN" w:bidi="ar-SA"/>
    </w:rPr>
  </w:style>
  <w:style w:type="paragraph" w:customStyle="1" w:styleId="120">
    <w:name w:val="注：（正文）"/>
    <w:basedOn w:val="121"/>
    <w:next w:val="25"/>
    <w:qFormat/>
    <w:uiPriority w:val="0"/>
    <w:pPr>
      <w:numPr>
        <w:ilvl w:val="0"/>
        <w:numId w:val="13"/>
      </w:numPr>
    </w:pPr>
  </w:style>
  <w:style w:type="paragraph" w:customStyle="1" w:styleId="121">
    <w:name w:val="注："/>
    <w:next w:val="25"/>
    <w:qFormat/>
    <w:uiPriority w:val="0"/>
    <w:pPr>
      <w:widowControl w:val="0"/>
      <w:numPr>
        <w:ilvl w:val="0"/>
        <w:numId w:val="14"/>
      </w:numPr>
      <w:autoSpaceDE w:val="0"/>
      <w:autoSpaceDN w:val="0"/>
      <w:jc w:val="both"/>
    </w:pPr>
    <w:rPr>
      <w:rFonts w:ascii="宋体" w:hAnsi="Times New Roman" w:eastAsia="宋体" w:cs="Times New Roman"/>
      <w:sz w:val="18"/>
      <w:szCs w:val="18"/>
      <w:lang w:val="en-US" w:eastAsia="zh-CN" w:bidi="ar-SA"/>
    </w:rPr>
  </w:style>
  <w:style w:type="paragraph" w:customStyle="1" w:styleId="122">
    <w:name w:val="封面标准文稿类别2"/>
    <w:basedOn w:val="57"/>
    <w:qFormat/>
    <w:uiPriority w:val="0"/>
    <w:pPr>
      <w:framePr w:wrap="around" w:y="4469"/>
    </w:pPr>
  </w:style>
  <w:style w:type="paragraph" w:customStyle="1" w:styleId="123">
    <w:name w:val="附录三级无"/>
    <w:basedOn w:val="64"/>
    <w:qFormat/>
    <w:uiPriority w:val="0"/>
    <w:pPr>
      <w:tabs>
        <w:tab w:val="clear" w:pos="360"/>
      </w:tabs>
      <w:spacing w:before="0" w:beforeLines="0" w:after="0" w:afterLines="0"/>
    </w:pPr>
    <w:rPr>
      <w:rFonts w:ascii="宋体" w:eastAsia="宋体"/>
      <w:szCs w:val="21"/>
    </w:rPr>
  </w:style>
  <w:style w:type="paragraph" w:customStyle="1" w:styleId="124">
    <w:name w:val="附录二级无"/>
    <w:basedOn w:val="65"/>
    <w:qFormat/>
    <w:uiPriority w:val="0"/>
    <w:pPr>
      <w:tabs>
        <w:tab w:val="clear" w:pos="360"/>
      </w:tabs>
      <w:spacing w:before="0" w:beforeLines="0" w:after="0" w:afterLines="0"/>
    </w:pPr>
    <w:rPr>
      <w:rFonts w:ascii="宋体" w:eastAsia="宋体"/>
      <w:szCs w:val="21"/>
    </w:rPr>
  </w:style>
  <w:style w:type="paragraph" w:customStyle="1" w:styleId="125">
    <w:name w:val="附录一级无"/>
    <w:basedOn w:val="86"/>
    <w:qFormat/>
    <w:uiPriority w:val="0"/>
    <w:pPr>
      <w:tabs>
        <w:tab w:val="clear" w:pos="360"/>
      </w:tabs>
      <w:spacing w:before="0" w:beforeLines="0" w:after="0" w:afterLines="0"/>
    </w:pPr>
    <w:rPr>
      <w:rFonts w:ascii="宋体" w:eastAsia="宋体"/>
      <w:szCs w:val="21"/>
    </w:rPr>
  </w:style>
  <w:style w:type="paragraph" w:customStyle="1" w:styleId="126">
    <w:name w:val="封面标准名称2"/>
    <w:basedOn w:val="60"/>
    <w:qFormat/>
    <w:uiPriority w:val="0"/>
    <w:pPr>
      <w:framePr w:wrap="around" w:y="4469"/>
      <w:spacing w:before="630" w:beforeLines="630"/>
    </w:pPr>
  </w:style>
  <w:style w:type="paragraph" w:customStyle="1" w:styleId="127">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128">
    <w:name w:val="_Style 126"/>
    <w:basedOn w:val="3"/>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129">
    <w:name w:val="附录图标题"/>
    <w:basedOn w:val="1"/>
    <w:next w:val="25"/>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30">
    <w:name w:val="附录标题"/>
    <w:basedOn w:val="25"/>
    <w:next w:val="25"/>
    <w:qFormat/>
    <w:uiPriority w:val="0"/>
    <w:pPr>
      <w:ind w:firstLine="0" w:firstLineChars="0"/>
      <w:jc w:val="center"/>
    </w:pPr>
    <w:rPr>
      <w:rFonts w:ascii="黑体" w:eastAsia="黑体"/>
    </w:rPr>
  </w:style>
  <w:style w:type="paragraph" w:customStyle="1" w:styleId="131">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132">
    <w:name w:val="示例"/>
    <w:next w:val="109"/>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3">
    <w:name w:val="其他实施日期"/>
    <w:basedOn w:val="95"/>
    <w:qFormat/>
    <w:uiPriority w:val="0"/>
    <w:pPr>
      <w:framePr w:wrap="around"/>
    </w:pPr>
  </w:style>
  <w:style w:type="paragraph" w:customStyle="1" w:styleId="13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5">
    <w:name w:val="二级无"/>
    <w:basedOn w:val="72"/>
    <w:qFormat/>
    <w:uiPriority w:val="0"/>
    <w:pPr>
      <w:spacing w:before="0" w:beforeLines="0" w:after="0" w:afterLines="0"/>
    </w:pPr>
    <w:rPr>
      <w:rFonts w:ascii="宋体" w:eastAsia="宋体"/>
    </w:rPr>
  </w:style>
  <w:style w:type="paragraph" w:customStyle="1" w:styleId="136">
    <w:name w:val="正文图标题"/>
    <w:next w:val="25"/>
    <w:qFormat/>
    <w:uiPriority w:val="0"/>
    <w:pPr>
      <w:numPr>
        <w:ilvl w:val="0"/>
        <w:numId w:val="16"/>
      </w:numPr>
      <w:spacing w:before="156" w:beforeLines="50" w:after="156" w:afterLines="50"/>
      <w:jc w:val="center"/>
    </w:pPr>
    <w:rPr>
      <w:rFonts w:ascii="黑体" w:hAnsi="Times New Roman" w:eastAsia="黑体" w:cs="Times New Roman"/>
      <w:sz w:val="21"/>
      <w:lang w:val="en-US" w:eastAsia="zh-CN" w:bidi="ar-SA"/>
    </w:rPr>
  </w:style>
  <w:style w:type="paragraph" w:customStyle="1" w:styleId="137">
    <w:name w:val="五级无"/>
    <w:basedOn w:val="84"/>
    <w:qFormat/>
    <w:uiPriority w:val="0"/>
    <w:pPr>
      <w:spacing w:before="0" w:beforeLines="0" w:after="0" w:afterLines="0"/>
    </w:pPr>
    <w:rPr>
      <w:rFonts w:ascii="宋体" w:eastAsia="宋体"/>
    </w:rPr>
  </w:style>
  <w:style w:type="paragraph" w:customStyle="1" w:styleId="138">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9">
    <w:name w:val="正文表标题"/>
    <w:next w:val="25"/>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0">
    <w:name w:val="图标脚注说明"/>
    <w:basedOn w:val="25"/>
    <w:qFormat/>
    <w:uiPriority w:val="0"/>
    <w:pPr>
      <w:ind w:left="840" w:hanging="420" w:firstLineChars="0"/>
    </w:pPr>
    <w:rPr>
      <w:sz w:val="18"/>
      <w:szCs w:val="18"/>
    </w:rPr>
  </w:style>
  <w:style w:type="paragraph" w:customStyle="1" w:styleId="141">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2">
    <w:name w:val="注×：（正文）"/>
    <w:qFormat/>
    <w:uiPriority w:val="0"/>
    <w:pPr>
      <w:numPr>
        <w:ilvl w:val="0"/>
        <w:numId w:val="18"/>
      </w:numPr>
      <w:jc w:val="both"/>
    </w:pPr>
    <w:rPr>
      <w:rFonts w:ascii="宋体" w:hAnsi="Times New Roman" w:eastAsia="宋体" w:cs="Times New Roman"/>
      <w:sz w:val="18"/>
      <w:szCs w:val="18"/>
      <w:lang w:val="en-US" w:eastAsia="zh-CN" w:bidi="ar-SA"/>
    </w:rPr>
  </w:style>
  <w:style w:type="paragraph" w:customStyle="1" w:styleId="14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5">
    <w:name w:val="WPSOffice手动目录 1"/>
    <w:qFormat/>
    <w:uiPriority w:val="0"/>
    <w:rPr>
      <w:rFonts w:ascii="Times New Roman" w:hAnsi="Times New Roman" w:eastAsia="宋体" w:cs="Times New Roman"/>
      <w:lang w:val="en-US" w:eastAsia="zh-CN" w:bidi="ar-SA"/>
    </w:rPr>
  </w:style>
  <w:style w:type="paragraph" w:customStyle="1" w:styleId="14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7">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9</Pages>
  <Words>826</Words>
  <Characters>4711</Characters>
  <Lines>39</Lines>
  <Paragraphs>11</Paragraphs>
  <TotalTime>2</TotalTime>
  <ScaleCrop>false</ScaleCrop>
  <LinksUpToDate>false</LinksUpToDate>
  <CharactersWithSpaces>5526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2023-11-13T02:12:00Z</dcterms:created>
  <dc:creator>CNIS</dc:creator>
  <cp:lastModifiedBy>In G Major</cp:lastModifiedBy>
  <cp:lastPrinted>2019-11-26T03:11:00Z</cp:lastPrinted>
  <dcterms:modified xsi:type="dcterms:W3CDTF">2023-11-22T07:55:02Z</dcterms:modified>
  <dc:title>标准名称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B69159CA94B04495842E79DE839B1B94_13</vt:lpwstr>
  </property>
</Properties>
</file>