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9"/>
        <w:framePr w:wrap="around"/>
      </w:pPr>
      <w:r>
        <w:rPr>
          <w:rFonts w:ascii="Times New Roman"/>
        </w:rPr>
        <w:t>ICS</w:t>
      </w:r>
      <w:r>
        <w:rPr>
          <w:rFonts w:hint="eastAsia" w:ascii="MS Mincho" w:hAnsi="MS Mincho" w:eastAsia="MS Mincho" w:cs="MS Mincho"/>
        </w:rPr>
        <w:t> 67.080.10</w:t>
      </w:r>
    </w:p>
    <w:tbl>
      <w:tblPr>
        <w:tblStyle w:val="31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99"/>
              <w:framePr w:wrap="around"/>
            </w:pPr>
            <w:r>
              <w:rPr>
                <w:rFonts w:ascii="Times New Roman"/>
              </w:rPr>
              <w:t>CCS</w:t>
            </w:r>
            <w:r>
              <w:rPr>
                <w:rFonts w:hint="eastAsia"/>
              </w:rPr>
              <w:t xml:space="preserve"> B 31</w:t>
            </w:r>
            <w:r>
              <w:pict>
                <v:rect id="BAH" o:spid="_x0000_s1039" o:spt="1" style="position:absolute;left:0pt;margin-left:-5.25pt;margin-top:0pt;height:15.6pt;width:68.25pt;z-index:-251656192;mso-width-relative:page;mso-height-relative:page;" stroked="f" coordsize="21600,21600">
                  <v:path/>
                  <v:fill focussize="0,0"/>
                  <v:stroke on="f"/>
                  <v:imagedata o:title=""/>
                  <o:lock v:ext="edit"/>
                  <v:textbox>
                    <w:txbxContent>
                      <w:p/>
                    </w:txbxContent>
                  </v:textbox>
                </v:rect>
              </w:pict>
            </w:r>
          </w:p>
        </w:tc>
      </w:tr>
    </w:tbl>
    <w:p>
      <w:pPr>
        <w:pStyle w:val="109"/>
        <w:framePr w:wrap="around"/>
      </w:pPr>
      <w:r>
        <w:t>DB</w:t>
      </w:r>
      <w:bookmarkStart w:id="0" w:name="c3"/>
      <w:r>
        <w:fldChar w:fldCharType="begin">
          <w:ffData>
            <w:name w:val="c3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t>61</w:t>
      </w:r>
      <w:r>
        <w:fldChar w:fldCharType="end"/>
      </w:r>
      <w:bookmarkEnd w:id="0"/>
    </w:p>
    <w:p>
      <w:pPr>
        <w:pStyle w:val="66"/>
        <w:framePr w:wrap="around"/>
      </w:pPr>
      <w:bookmarkStart w:id="1" w:name="c4"/>
      <w:r>
        <w:fldChar w:fldCharType="begin">
          <w:ffData>
            <w:name w:val="c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陕</w:t>
      </w:r>
      <w:r>
        <w:rPr>
          <w:rFonts w:hint="eastAsia"/>
        </w:rPr>
        <w:t>西省</w:t>
      </w:r>
      <w:r>
        <w:fldChar w:fldCharType="end"/>
      </w:r>
      <w:bookmarkEnd w:id="1"/>
      <w:r>
        <w:rPr>
          <w:rFonts w:hint="eastAsia"/>
        </w:rPr>
        <w:t>地方标准</w:t>
      </w:r>
    </w:p>
    <w:p>
      <w:pPr>
        <w:pStyle w:val="68"/>
        <w:framePr w:wrap="around"/>
        <w:rPr>
          <w:rFonts w:hAnsi="黑体"/>
        </w:rPr>
      </w:pPr>
      <w:r>
        <w:rPr>
          <w:rFonts w:ascii="Times New Roman"/>
        </w:rPr>
        <w:t xml:space="preserve">DB </w:t>
      </w:r>
      <w:bookmarkStart w:id="2" w:name="StdNo0"/>
      <w:r>
        <w:rPr>
          <w:rFonts w:hAnsi="黑体"/>
        </w:rPr>
        <w:fldChar w:fldCharType="begin">
          <w:ffData>
            <w:name w:val="StdNo0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  <w:fldChar w:fldCharType="separate"/>
      </w:r>
      <w:r>
        <w:rPr>
          <w:rFonts w:hAnsi="黑体"/>
        </w:rPr>
        <w:t>61</w:t>
      </w:r>
      <w:r>
        <w:rPr>
          <w:rFonts w:hAnsi="黑体"/>
        </w:rPr>
        <w:fldChar w:fldCharType="end"/>
      </w:r>
      <w:bookmarkEnd w:id="2"/>
      <w:r>
        <w:rPr>
          <w:rFonts w:hAnsi="黑体"/>
        </w:rPr>
        <w:t>/</w:t>
      </w:r>
      <w:r>
        <w:rPr>
          <w:rFonts w:hint="eastAsia" w:hAnsi="黑体"/>
        </w:rPr>
        <w:t>T</w:t>
      </w:r>
      <w:r>
        <w:rPr>
          <w:rFonts w:hAnsi="黑体"/>
        </w:rPr>
        <w:t xml:space="preserve"> </w:t>
      </w:r>
      <w:bookmarkStart w:id="3" w:name="StdNo1"/>
      <w:r>
        <w:rPr>
          <w:rFonts w:hAnsi="黑体"/>
        </w:rPr>
        <w:fldChar w:fldCharType="begin">
          <w:ffData>
            <w:name w:val="StdNo1"/>
            <w:enabled/>
            <w:calcOnExit w:val="0"/>
            <w:textInput>
              <w:default w:val="XXXXX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  <w:fldChar w:fldCharType="separate"/>
      </w:r>
      <w:r>
        <w:rPr>
          <w:rFonts w:hAnsi="黑体"/>
        </w:rPr>
        <w:t>XXXXX</w:t>
      </w:r>
      <w:r>
        <w:rPr>
          <w:rFonts w:hAnsi="黑体"/>
        </w:rPr>
        <w:fldChar w:fldCharType="end"/>
      </w:r>
      <w:bookmarkEnd w:id="3"/>
      <w:r>
        <w:rPr>
          <w:rFonts w:hAnsi="黑体"/>
        </w:rPr>
        <w:t>—</w:t>
      </w:r>
      <w:bookmarkStart w:id="4" w:name="StdNo2"/>
      <w:r>
        <w:rPr>
          <w:rFonts w:hAnsi="黑体"/>
        </w:rPr>
        <w:fldChar w:fldCharType="begin">
          <w:ffData>
            <w:name w:val="StdNo2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  <w:fldChar w:fldCharType="separate"/>
      </w:r>
      <w:r>
        <w:rPr>
          <w:rFonts w:hAnsi="黑体"/>
        </w:rPr>
        <w:t>XXXX</w:t>
      </w:r>
      <w:r>
        <w:rPr>
          <w:rFonts w:hAnsi="黑体"/>
        </w:rPr>
        <w:fldChar w:fldCharType="end"/>
      </w:r>
      <w:bookmarkEnd w:id="4"/>
    </w:p>
    <w:tbl>
      <w:tblPr>
        <w:tblStyle w:val="31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87"/>
              <w:framePr w:wrap="around"/>
            </w:pPr>
            <w:bookmarkStart w:id="5" w:name="DT"/>
            <w:r>
              <w:pict>
                <v:rect id="DT" o:spid="_x0000_s1036" o:spt="1" style="position:absolute;left:0pt;margin-left:372.8pt;margin-top:2.7pt;height:18pt;width:90pt;z-index:-251657216;mso-width-relative:page;mso-height-relative:page;" stroked="f" coordsize="21600,21600">
                  <v:path/>
                  <v:fill focussize="0,0"/>
                  <v:stroke on="f"/>
                  <v:imagedata o:title=""/>
                  <o:lock v:ext="edit"/>
                  <v:textbox>
                    <w:txbxContent>
                      <w:p/>
                    </w:txbxContent>
                  </v:textbox>
                </v:rect>
              </w:pict>
            </w:r>
            <w:r>
              <w:fldChar w:fldCharType="begin">
                <w:ffData>
                  <w:name w:val="DT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5"/>
          </w:p>
        </w:tc>
      </w:tr>
    </w:tbl>
    <w:p>
      <w:pPr>
        <w:pStyle w:val="68"/>
        <w:framePr w:wrap="around"/>
        <w:rPr>
          <w:rFonts w:hAnsi="黑体"/>
        </w:rPr>
      </w:pPr>
    </w:p>
    <w:p>
      <w:pPr>
        <w:pStyle w:val="68"/>
        <w:framePr w:wrap="around"/>
        <w:rPr>
          <w:rFonts w:hAnsi="黑体"/>
        </w:rPr>
      </w:pPr>
    </w:p>
    <w:p>
      <w:pPr>
        <w:pStyle w:val="75"/>
        <w:framePr w:wrap="around" w:x="1596" w:y="6898"/>
      </w:pPr>
      <w:bookmarkStart w:id="6" w:name="StdName"/>
      <w:r>
        <w:rPr>
          <w:rFonts w:hint="eastAsia" w:ascii="黑体" w:hAnsi="Times New Roman" w:eastAsia="黑体" w:cs="Times New Roman"/>
          <w:sz w:val="52"/>
          <w:lang w:val="en-US" w:eastAsia="zh-CN" w:bidi="ar-SA"/>
        </w:rPr>
        <w:fldChar w:fldCharType="begin">
          <w:ffData>
            <w:name w:val="StdName"/>
            <w:enabled/>
            <w:calcOnExit w:val="0"/>
            <w:textInput>
              <w:default w:val="地理标志产品  吴堡青梨"/>
            </w:textInput>
          </w:ffData>
        </w:fldChar>
      </w:r>
      <w:r>
        <w:rPr>
          <w:rFonts w:hint="eastAsia" w:ascii="黑体" w:hAnsi="Times New Roman" w:eastAsia="黑体" w:cs="Times New Roman"/>
          <w:sz w:val="52"/>
          <w:lang w:val="en-US" w:eastAsia="zh-CN" w:bidi="ar-SA"/>
        </w:rPr>
        <w:instrText xml:space="preserve">FORMTEXT</w:instrText>
      </w:r>
      <w:r>
        <w:rPr>
          <w:rFonts w:hint="eastAsia" w:ascii="黑体" w:hAnsi="Times New Roman" w:eastAsia="黑体" w:cs="Times New Roman"/>
          <w:sz w:val="52"/>
          <w:lang w:val="en-US" w:eastAsia="zh-CN" w:bidi="ar-SA"/>
        </w:rPr>
        <w:fldChar w:fldCharType="separate"/>
      </w:r>
      <w:r>
        <w:rPr>
          <w:rFonts w:hint="eastAsia" w:ascii="黑体" w:hAnsi="Times New Roman" w:eastAsia="黑体" w:cs="Times New Roman"/>
          <w:sz w:val="52"/>
          <w:lang w:val="en-US" w:eastAsia="zh-CN" w:bidi="ar-SA"/>
        </w:rPr>
        <w:t>地理标志产品  吴堡青梨</w:t>
      </w:r>
      <w:r>
        <w:rPr>
          <w:rFonts w:hint="eastAsia" w:ascii="黑体" w:hAnsi="Times New Roman" w:eastAsia="黑体" w:cs="Times New Roman"/>
          <w:sz w:val="52"/>
          <w:lang w:val="en-US" w:eastAsia="zh-CN" w:bidi="ar-SA"/>
        </w:rPr>
        <w:fldChar w:fldCharType="end"/>
      </w:r>
      <w:bookmarkEnd w:id="6"/>
    </w:p>
    <w:p>
      <w:pPr>
        <w:pStyle w:val="74"/>
        <w:framePr w:wrap="around" w:x="1596" w:y="6898"/>
      </w:pPr>
      <w:r>
        <w:rPr>
          <w:rFonts w:ascii="Times New Roman" w:hAnsi="Times New Roman" w:eastAsia="黑体" w:cs="Times New Roman"/>
          <w:sz w:val="28"/>
          <w:szCs w:val="28"/>
          <w:lang w:val="en-US" w:eastAsia="zh-CN" w:bidi="ar-SA"/>
        </w:rPr>
        <w:fldChar w:fldCharType="begin">
          <w:ffData>
            <w:name w:val="Text1"/>
            <w:enabled/>
            <w:calcOnExit w:val="0"/>
            <w:textInput>
              <w:default w:val="Product of geographical indication—WuBu Green pear"/>
            </w:textInput>
          </w:ffData>
        </w:fldChar>
      </w:r>
      <w:r>
        <w:rPr>
          <w:rFonts w:ascii="Times New Roman" w:hAnsi="Times New Roman" w:eastAsia="黑体" w:cs="Times New Roman"/>
          <w:sz w:val="28"/>
          <w:szCs w:val="28"/>
          <w:lang w:val="en-US" w:eastAsia="zh-CN" w:bidi="ar-SA"/>
        </w:rPr>
        <w:instrText xml:space="preserve">FORMTEXT</w:instrText>
      </w:r>
      <w:r>
        <w:rPr>
          <w:rFonts w:ascii="Times New Roman" w:hAnsi="Times New Roman" w:eastAsia="黑体" w:cs="Times New Roman"/>
          <w:sz w:val="28"/>
          <w:szCs w:val="28"/>
          <w:lang w:val="en-US" w:eastAsia="zh-CN" w:bidi="ar-SA"/>
        </w:rPr>
        <w:fldChar w:fldCharType="separate"/>
      </w:r>
      <w:r>
        <w:rPr>
          <w:rFonts w:ascii="Times New Roman" w:hAnsi="Times New Roman" w:eastAsia="黑体" w:cs="Times New Roman"/>
          <w:sz w:val="28"/>
          <w:szCs w:val="28"/>
          <w:lang w:val="en-US" w:eastAsia="zh-CN" w:bidi="ar-SA"/>
        </w:rPr>
        <w:t>Product of geographical indication—WuBu Green pear</w:t>
      </w:r>
      <w:r>
        <w:rPr>
          <w:rFonts w:ascii="Times New Roman" w:hAnsi="Times New Roman" w:eastAsia="黑体" w:cs="Times New Roman"/>
          <w:sz w:val="28"/>
          <w:szCs w:val="28"/>
          <w:lang w:val="en-US" w:eastAsia="zh-CN" w:bidi="ar-SA"/>
        </w:rPr>
        <w:fldChar w:fldCharType="end"/>
      </w:r>
    </w:p>
    <w:p>
      <w:pPr>
        <w:pStyle w:val="73"/>
        <w:framePr w:wrap="around" w:x="1596" w:y="6898"/>
      </w:pPr>
    </w:p>
    <w:p>
      <w:pPr>
        <w:pStyle w:val="73"/>
        <w:framePr w:wrap="around" w:x="1596" w:y="6898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(征求意见稿)</w:t>
      </w:r>
    </w:p>
    <w:p>
      <w:pPr>
        <w:pStyle w:val="95"/>
        <w:framePr w:wrap="around" w:hAnchor="page" w:x="1390" w:y="13947"/>
      </w:pPr>
      <w:bookmarkStart w:id="7" w:name="FY"/>
      <w:r>
        <w:rPr>
          <w:rFonts w:ascii="黑体"/>
        </w:rPr>
        <w:fldChar w:fldCharType="begin">
          <w:ffData>
            <w:name w:val="FY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  <w:fldChar w:fldCharType="separate"/>
      </w:r>
      <w:r>
        <w:rPr>
          <w:rFonts w:ascii="黑体"/>
        </w:rPr>
        <w:t>XXXX</w:t>
      </w:r>
      <w:r>
        <w:rPr>
          <w:rFonts w:ascii="黑体"/>
        </w:rPr>
        <w:fldChar w:fldCharType="end"/>
      </w:r>
      <w:bookmarkEnd w:id="7"/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ascii="黑体"/>
        </w:rPr>
        <w:fldChar w:fldCharType="begin">
          <w:ffData>
            <w:name w:val="FM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8" w:name="FD"/>
      <w:r>
        <w:rPr>
          <w:rFonts w:ascii="黑体"/>
        </w:rPr>
        <w:fldChar w:fldCharType="begin">
          <w:ffData>
            <w:name w:val="FD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8"/>
      <w:r>
        <w:rPr>
          <w:rFonts w:hint="eastAsia"/>
        </w:rPr>
        <w:t>发布</w:t>
      </w:r>
      <w:r>
        <w:pict>
          <v:line id="_x0000_s1034" o:spid="_x0000_s1034" o:spt="20" style="position:absolute;left:0pt;margin-left:-0.05pt;margin-top:728.5pt;height:0pt;width:481.9pt;mso-position-vertical-relative:page;z-index:251662336;mso-width-relative:page;mso-height-relative:page;" coordsize="21600,21600">
            <v:path arrowok="t"/>
            <v:fill focussize="0,0"/>
            <v:stroke/>
            <v:imagedata o:title=""/>
            <o:lock v:ext="edit"/>
            <w10:anchorlock/>
          </v:line>
        </w:pict>
      </w:r>
    </w:p>
    <w:p>
      <w:pPr>
        <w:pStyle w:val="114"/>
        <w:framePr w:wrap="around" w:hAnchor="page" w:x="7531" w:y="13979"/>
      </w:pPr>
      <w:bookmarkStart w:id="9" w:name="SY"/>
      <w:r>
        <w:rPr>
          <w:rFonts w:ascii="黑体"/>
        </w:rPr>
        <w:fldChar w:fldCharType="begin">
          <w:ffData>
            <w:name w:val="SY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  <w:fldChar w:fldCharType="separate"/>
      </w:r>
      <w:r>
        <w:rPr>
          <w:rFonts w:ascii="黑体"/>
        </w:rPr>
        <w:t>XXXX</w:t>
      </w:r>
      <w:r>
        <w:rPr>
          <w:rFonts w:ascii="黑体"/>
        </w:rPr>
        <w:fldChar w:fldCharType="end"/>
      </w:r>
      <w:bookmarkEnd w:id="9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0" w:name="SM"/>
      <w:r>
        <w:rPr>
          <w:rFonts w:ascii="黑体"/>
        </w:rPr>
        <w:fldChar w:fldCharType="begin">
          <w:ffData>
            <w:name w:val="SM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0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1" w:name="SD"/>
      <w:r>
        <w:rPr>
          <w:rFonts w:ascii="黑体"/>
        </w:rPr>
        <w:fldChar w:fldCharType="begin">
          <w:ffData>
            <w:name w:val="SD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1"/>
      <w:r>
        <w:rPr>
          <w:rFonts w:hint="eastAsia"/>
        </w:rPr>
        <w:t>实施</w:t>
      </w:r>
    </w:p>
    <w:p>
      <w:pPr>
        <w:pStyle w:val="102"/>
        <w:framePr w:wrap="around"/>
      </w:pPr>
      <w:bookmarkStart w:id="12" w:name="fm"/>
      <w:r>
        <w:fldChar w:fldCharType="begin">
          <w:ffData>
            <w:name w:val="fm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陕</w:t>
      </w:r>
      <w:r>
        <w:rPr>
          <w:rFonts w:hint="eastAsia"/>
        </w:rPr>
        <w:t>西省市场监督管理局</w:t>
      </w:r>
      <w:r>
        <w:fldChar w:fldCharType="end"/>
      </w:r>
      <w:bookmarkEnd w:id="12"/>
      <w:r>
        <w:rPr>
          <w:rFonts w:hint="eastAsia" w:ascii="MS Mincho" w:hAnsi="MS Mincho" w:eastAsia="MS Mincho" w:cs="MS Mincho"/>
        </w:rPr>
        <w:t>   </w:t>
      </w:r>
      <w:r>
        <w:rPr>
          <w:rStyle w:val="41"/>
          <w:rFonts w:hint="eastAsia"/>
        </w:rPr>
        <w:t>发布</w:t>
      </w:r>
    </w:p>
    <w:tbl>
      <w:tblPr>
        <w:tblStyle w:val="31"/>
        <w:tblpPr w:leftFromText="180" w:rightFromText="180" w:vertAnchor="text" w:horzAnchor="page" w:tblpX="1653" w:tblpY="4759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2"/>
              <w:framePr w:wrap="auto" w:vAnchor="margin" w:hAnchor="text" w:yAlign="inline"/>
            </w:pPr>
            <w:r>
              <w:pict>
                <v:rect id="RQ" o:spid="_x0000_s1040" o:spt="1" style="position:absolute;left:0pt;margin-left:173.3pt;margin-top:45.15pt;height:20pt;width:150pt;z-index:-251654144;mso-width-relative:page;mso-height-relative:page;" stroked="f" coordsize="21600,21600">
                  <v:path/>
                  <v:fill focussize="0,0"/>
                  <v:stroke on="f"/>
                  <v:imagedata o:title=""/>
                  <o:lock v:ext="edit"/>
                  <v:textbox>
                    <w:txbxContent>
                      <w:p/>
                    </w:txbxContent>
                  </v:textbox>
                  <w10:anchorlock/>
                </v:rect>
              </w:pict>
            </w:r>
            <w:r>
              <w:pict>
                <v:rect id="LB" o:spid="_x0000_s1041" o:spt="1" style="position:absolute;left:0pt;margin-left:193.3pt;margin-top:20.15pt;height:24pt;width:100pt;z-index:-251655168;mso-width-relative:page;mso-height-relative:page;" stroked="f" coordsize="21600,21600">
                  <v:path/>
                  <v:fill focussize="0,0"/>
                  <v:stroke on="f"/>
                  <v:imagedata o:title=""/>
                  <o:lock v:ext="edit"/>
                  <v:textbox>
                    <w:txbxContent>
                      <w:p/>
                    </w:txbxContent>
                  </v:textbox>
                </v:rect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80"/>
              <w:framePr w:wrap="auto" w:vAnchor="margin" w:hAnchor="text" w:yAlign="inline"/>
            </w:pPr>
          </w:p>
        </w:tc>
      </w:tr>
    </w:tbl>
    <w:p>
      <w:pPr>
        <w:pStyle w:val="22"/>
        <w:sectPr>
          <w:pgSz w:w="11906" w:h="16838"/>
          <w:pgMar w:top="567" w:right="850" w:bottom="1134" w:left="1418" w:header="0" w:footer="0" w:gutter="0"/>
          <w:pgNumType w:start="1"/>
          <w:cols w:space="720" w:num="1"/>
          <w:docGrid w:type="lines" w:linePitch="312" w:charSpace="0"/>
        </w:sectPr>
      </w:pPr>
      <w:r>
        <w:pict>
          <v:line id="_x0000_s1035" o:spid="_x0000_s1035" o:spt="20" style="position:absolute;left:0pt;margin-left:-0.05pt;margin-top:184.25pt;height:0pt;width:481.9pt;z-index:251663360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</w:p>
    <w:p>
      <w:pPr>
        <w:pStyle w:val="126"/>
      </w:pPr>
      <w:r>
        <w:rPr>
          <w:rFonts w:hint="eastAsia"/>
        </w:rPr>
        <w:t xml:space="preserve"> 前</w:t>
      </w:r>
      <w:bookmarkStart w:id="13" w:name="BKQY"/>
      <w:r>
        <w:rPr>
          <w:rFonts w:hint="eastAsia" w:ascii="MS Mincho" w:hAnsi="MS Mincho" w:eastAsia="MS Mincho" w:cs="MS Mincho"/>
        </w:rPr>
        <w:t>  </w:t>
      </w:r>
      <w:r>
        <w:rPr>
          <w:rFonts w:hint="eastAsia"/>
        </w:rPr>
        <w:t>言</w:t>
      </w:r>
      <w:bookmarkEnd w:id="13"/>
    </w:p>
    <w:p>
      <w:pPr>
        <w:pStyle w:val="22"/>
      </w:pPr>
      <w:r>
        <w:rPr>
          <w:rFonts w:hint="eastAsia"/>
        </w:rPr>
        <w:t xml:space="preserve">本文件按照GB/T  1.1—2020《标准化工作导则 第1部分：标准化文件的结构和起草规则》的规定起草。 </w:t>
      </w:r>
    </w:p>
    <w:p>
      <w:pPr>
        <w:pStyle w:val="22"/>
      </w:pPr>
      <w:r>
        <w:rPr>
          <w:rFonts w:hint="eastAsia"/>
        </w:rPr>
        <w:t>本文件由吴堡县果业协会提出。</w:t>
      </w:r>
    </w:p>
    <w:p>
      <w:pPr>
        <w:pStyle w:val="22"/>
      </w:pPr>
      <w:r>
        <w:rPr>
          <w:rFonts w:hint="eastAsia"/>
        </w:rPr>
        <w:t xml:space="preserve">本文件由陕西省知识产权局归口。 </w:t>
      </w:r>
    </w:p>
    <w:p>
      <w:pPr>
        <w:pStyle w:val="22"/>
      </w:pPr>
      <w:r>
        <w:rPr>
          <w:rFonts w:hint="eastAsia"/>
        </w:rPr>
        <w:t>本文件起草单位：吴堡县农村农业局</w:t>
      </w:r>
      <w:r>
        <w:rPr>
          <w:rFonts w:hint="eastAsia"/>
          <w:lang w:eastAsia="zh-CN"/>
        </w:rPr>
        <w:t>、</w:t>
      </w:r>
      <w:r>
        <w:rPr>
          <w:rFonts w:hint="eastAsia"/>
        </w:rPr>
        <w:t>吴堡县农产品质量安全中心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吴堡县市场监督管理局、</w:t>
      </w:r>
      <w:r>
        <w:rPr>
          <w:rFonts w:hint="eastAsia"/>
        </w:rPr>
        <w:t>西北农林科技大学园艺学院</w:t>
      </w:r>
      <w:r>
        <w:rPr>
          <w:rFonts w:hint="eastAsia"/>
          <w:lang w:eastAsia="zh-CN"/>
        </w:rPr>
        <w:t>、</w:t>
      </w:r>
      <w:r>
        <w:rPr>
          <w:rFonts w:hint="eastAsia"/>
        </w:rPr>
        <w:t>吴堡县丰润现代农业开发有限公司。</w:t>
      </w:r>
    </w:p>
    <w:p>
      <w:pPr>
        <w:pStyle w:val="22"/>
        <w:ind w:left="2310" w:leftChars="200" w:hanging="1890" w:hangingChars="900"/>
      </w:pPr>
      <w:r>
        <w:rPr>
          <w:rFonts w:hint="eastAsia"/>
        </w:rPr>
        <w:t>本文件主要起草人：王彦龙、吴瑞琴、尚彩林、贾建强、冯娟、张琎、薛小青、李秀兵、徐凌飞、王志刚、张建军、李万成、贾艳升、霍强强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王苹</w:t>
      </w:r>
      <w:bookmarkStart w:id="24" w:name="_GoBack"/>
      <w:bookmarkEnd w:id="24"/>
      <w:r>
        <w:rPr>
          <w:rFonts w:hint="eastAsia"/>
        </w:rPr>
        <w:t>。</w:t>
      </w:r>
    </w:p>
    <w:p>
      <w:pPr>
        <w:pStyle w:val="22"/>
      </w:pPr>
      <w:r>
        <w:rPr>
          <w:rFonts w:hint="eastAsia"/>
        </w:rPr>
        <w:t xml:space="preserve">本文件由吴堡县果业协会负责解释。 </w:t>
      </w:r>
    </w:p>
    <w:p>
      <w:pPr>
        <w:pStyle w:val="22"/>
      </w:pPr>
      <w:r>
        <w:rPr>
          <w:rFonts w:hint="eastAsia"/>
        </w:rPr>
        <w:t xml:space="preserve">本文件首次发布。 </w:t>
      </w:r>
    </w:p>
    <w:p>
      <w:pPr>
        <w:pStyle w:val="22"/>
      </w:pPr>
      <w:r>
        <w:rPr>
          <w:rFonts w:hint="eastAsia"/>
        </w:rPr>
        <w:t xml:space="preserve">联系信息如下： </w:t>
      </w:r>
    </w:p>
    <w:p>
      <w:pPr>
        <w:pStyle w:val="22"/>
      </w:pPr>
      <w:r>
        <w:rPr>
          <w:rFonts w:hint="eastAsia"/>
        </w:rPr>
        <w:t>单位： 吴堡县果业协会</w:t>
      </w:r>
    </w:p>
    <w:p>
      <w:pPr>
        <w:pStyle w:val="22"/>
        <w:rPr>
          <w:rFonts w:hint="eastAsia"/>
        </w:rPr>
      </w:pPr>
      <w:r>
        <w:rPr>
          <w:rFonts w:hint="eastAsia"/>
        </w:rPr>
        <w:t>电话： 15691199999</w:t>
      </w:r>
    </w:p>
    <w:p>
      <w:pPr>
        <w:pStyle w:val="22"/>
        <w:rPr>
          <w:rFonts w:hint="eastAsia"/>
        </w:rPr>
      </w:pPr>
      <w:r>
        <w:rPr>
          <w:rFonts w:hint="eastAsia"/>
        </w:rPr>
        <w:t>地址：陕西省榆林市吴堡县</w:t>
      </w:r>
    </w:p>
    <w:p>
      <w:pPr>
        <w:pStyle w:val="22"/>
        <w:rPr>
          <w:rFonts w:hint="default" w:eastAsia="宋体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1134" w:bottom="1134" w:left="1418" w:header="1418" w:footer="1134" w:gutter="0"/>
          <w:pgNumType w:fmt="upperRoman" w:start="1"/>
          <w:cols w:space="720" w:num="1"/>
          <w:formProt w:val="0"/>
          <w:docGrid w:type="lines" w:linePitch="312" w:charSpace="0"/>
        </w:sectPr>
      </w:pPr>
      <w:r>
        <w:rPr>
          <w:rFonts w:hint="eastAsia"/>
        </w:rPr>
        <w:t>邮编：7</w:t>
      </w:r>
      <w:r>
        <w:rPr>
          <w:rFonts w:hint="eastAsia"/>
          <w:lang w:val="en-US" w:eastAsia="zh-CN"/>
        </w:rPr>
        <w:t>18200</w:t>
      </w:r>
    </w:p>
    <w:p>
      <w:pPr>
        <w:pStyle w:val="124"/>
        <w:rPr>
          <w:color w:val="1F497D"/>
        </w:rPr>
      </w:pPr>
      <w:bookmarkStart w:id="14" w:name="OLE_LINK1"/>
      <w:r>
        <w:rPr>
          <w:rFonts w:hint="eastAsia"/>
        </w:rPr>
        <w:t>地</w:t>
      </w:r>
      <w:bookmarkStart w:id="15" w:name="StandardName"/>
      <w:r>
        <w:rPr>
          <w:rFonts w:hint="eastAsia"/>
        </w:rPr>
        <w:t xml:space="preserve">理标志产品  </w:t>
      </w:r>
      <w:bookmarkEnd w:id="15"/>
      <w:r>
        <w:rPr>
          <w:rFonts w:hint="eastAsia"/>
          <w:lang w:val="en-US" w:eastAsia="zh-CN"/>
        </w:rPr>
        <w:t>吴堡青梨</w:t>
      </w:r>
    </w:p>
    <w:bookmarkEnd w:id="14"/>
    <w:p>
      <w:pPr>
        <w:pStyle w:val="55"/>
        <w:spacing w:before="312" w:after="312"/>
      </w:pPr>
      <w:r>
        <w:rPr>
          <w:rFonts w:hint="eastAsia"/>
        </w:rPr>
        <w:t>范围</w:t>
      </w:r>
    </w:p>
    <w:p>
      <w:pPr>
        <w:pStyle w:val="22"/>
        <w:rPr>
          <w:rFonts w:ascii="Times New Roman"/>
        </w:rPr>
      </w:pPr>
      <w:r>
        <w:rPr>
          <w:rFonts w:ascii="Times New Roman"/>
        </w:rPr>
        <w:t>本文件规定了</w:t>
      </w:r>
      <w:r>
        <w:rPr>
          <w:rFonts w:hint="eastAsia" w:ascii="Times New Roman"/>
        </w:rPr>
        <w:t>经国家市场监管总局第1777期商标公告批准</w:t>
      </w:r>
      <w:r>
        <w:rPr>
          <w:rFonts w:ascii="Times New Roman"/>
        </w:rPr>
        <w:t>的地理标志产品</w:t>
      </w:r>
      <w:r>
        <w:rPr>
          <w:rFonts w:hint="eastAsia" w:ascii="Times New Roman"/>
        </w:rPr>
        <w:t>吴堡青梨</w:t>
      </w:r>
      <w:r>
        <w:rPr>
          <w:rFonts w:ascii="Times New Roman"/>
        </w:rPr>
        <w:t>的术语和定义、保护范围、</w:t>
      </w:r>
      <w:r>
        <w:rPr>
          <w:rFonts w:hint="eastAsia" w:ascii="Times New Roman"/>
        </w:rPr>
        <w:t>产地环境</w:t>
      </w:r>
      <w:r>
        <w:rPr>
          <w:rFonts w:ascii="Times New Roman"/>
        </w:rPr>
        <w:t>、</w:t>
      </w:r>
      <w:r>
        <w:rPr>
          <w:rFonts w:hint="eastAsia" w:ascii="Times New Roman"/>
          <w:lang w:val="en-US" w:eastAsia="zh-CN"/>
        </w:rPr>
        <w:t>质量要求、</w:t>
      </w:r>
      <w:r>
        <w:rPr>
          <w:rFonts w:hint="eastAsia" w:ascii="Times New Roman"/>
        </w:rPr>
        <w:t>检验</w:t>
      </w:r>
      <w:r>
        <w:rPr>
          <w:rFonts w:ascii="Times New Roman"/>
        </w:rPr>
        <w:t>方法、检验规则</w:t>
      </w:r>
      <w:r>
        <w:rPr>
          <w:rFonts w:hint="eastAsia" w:ascii="Times New Roman"/>
          <w:lang w:eastAsia="zh-CN"/>
        </w:rPr>
        <w:t>，</w:t>
      </w:r>
      <w:r>
        <w:rPr>
          <w:rFonts w:ascii="Times New Roman"/>
        </w:rPr>
        <w:t>标志、</w:t>
      </w:r>
      <w:r>
        <w:rPr>
          <w:rFonts w:hint="eastAsia" w:ascii="Times New Roman"/>
          <w:lang w:val="en-US" w:eastAsia="zh-CN"/>
        </w:rPr>
        <w:t>标签、</w:t>
      </w:r>
      <w:r>
        <w:rPr>
          <w:rFonts w:ascii="Times New Roman"/>
        </w:rPr>
        <w:t>包装、运输和</w:t>
      </w:r>
      <w:r>
        <w:rPr>
          <w:rFonts w:hint="eastAsia" w:ascii="Times New Roman"/>
        </w:rPr>
        <w:t>贮藏</w:t>
      </w:r>
      <w:r>
        <w:rPr>
          <w:rFonts w:hint="eastAsia" w:ascii="Times New Roman"/>
          <w:lang w:val="en-US" w:eastAsia="zh-CN"/>
        </w:rPr>
        <w:t>的要求</w:t>
      </w:r>
      <w:r>
        <w:rPr>
          <w:rFonts w:ascii="Times New Roman"/>
        </w:rPr>
        <w:t xml:space="preserve">。 </w:t>
      </w:r>
    </w:p>
    <w:p>
      <w:pPr>
        <w:pStyle w:val="22"/>
        <w:rPr>
          <w:rFonts w:ascii="Times New Roman"/>
        </w:rPr>
      </w:pPr>
      <w:r>
        <w:rPr>
          <w:rFonts w:ascii="Times New Roman"/>
        </w:rPr>
        <w:t>本文件适用于</w:t>
      </w:r>
      <w:r>
        <w:rPr>
          <w:rFonts w:hint="eastAsia" w:ascii="Times New Roman"/>
        </w:rPr>
        <w:t>核准</w:t>
      </w:r>
      <w:r>
        <w:rPr>
          <w:rFonts w:hint="eastAsia" w:ascii="Times New Roman"/>
          <w:lang w:val="en-US" w:eastAsia="zh-CN"/>
        </w:rPr>
        <w:t>地理标志保护范围内生产的</w:t>
      </w:r>
      <w:r>
        <w:rPr>
          <w:rFonts w:hint="eastAsia" w:ascii="Times New Roman"/>
        </w:rPr>
        <w:t>吴堡青梨</w:t>
      </w:r>
      <w:r>
        <w:rPr>
          <w:rFonts w:ascii="Times New Roman"/>
        </w:rPr>
        <w:t>。</w:t>
      </w:r>
    </w:p>
    <w:p>
      <w:pPr>
        <w:pStyle w:val="55"/>
        <w:spacing w:before="312" w:after="312"/>
      </w:pPr>
      <w:r>
        <w:rPr>
          <w:rFonts w:hint="eastAsia"/>
        </w:rPr>
        <w:t>规范性引用文件</w:t>
      </w:r>
    </w:p>
    <w:p>
      <w:pPr>
        <w:pStyle w:val="22"/>
      </w:pPr>
      <w:r>
        <w:rPr>
          <w:rFonts w:hint="eastAsia"/>
        </w:rPr>
        <w:t>下列文件内容通过文中的规范性引用而构成本文件必不可少的条款。其中，注日期的引用文件，仅该日期对应的版本适用于本文件。不注日期的引用文件，其最新版本（包括所有的修改单）适用于本文件。</w:t>
      </w:r>
    </w:p>
    <w:p>
      <w:pPr>
        <w:pStyle w:val="22"/>
        <w:rPr>
          <w:rFonts w:ascii="Times New Roman"/>
        </w:rPr>
      </w:pPr>
      <w:bookmarkStart w:id="16" w:name="OLE_LINK82"/>
      <w:r>
        <w:rPr>
          <w:rFonts w:ascii="Times New Roman"/>
        </w:rPr>
        <w:t>GB/T</w:t>
      </w:r>
      <w:r>
        <w:rPr>
          <w:rFonts w:hint="eastAsia" w:ascii="Times New Roman"/>
        </w:rPr>
        <w:t xml:space="preserve"> 191</w:t>
      </w:r>
      <w:r>
        <w:rPr>
          <w:rFonts w:ascii="Times New Roman"/>
        </w:rPr>
        <w:t xml:space="preserve"> </w:t>
      </w:r>
      <w:r>
        <w:rPr>
          <w:rFonts w:hint="eastAsia" w:ascii="Times New Roman"/>
        </w:rPr>
        <w:t xml:space="preserve"> 包装储运图示标志</w:t>
      </w:r>
    </w:p>
    <w:p>
      <w:pPr>
        <w:pStyle w:val="22"/>
        <w:rPr>
          <w:rFonts w:hint="eastAsia" w:ascii="Times New Roman"/>
        </w:rPr>
      </w:pPr>
      <w:bookmarkStart w:id="17" w:name="OLE_LINK6"/>
      <w:r>
        <w:rPr>
          <w:rFonts w:ascii="Times New Roman"/>
        </w:rPr>
        <w:t xml:space="preserve">GB </w:t>
      </w:r>
      <w:r>
        <w:rPr>
          <w:rFonts w:hint="eastAsia" w:ascii="Times New Roman"/>
        </w:rPr>
        <w:t xml:space="preserve">2762 </w:t>
      </w:r>
      <w:r>
        <w:rPr>
          <w:rFonts w:ascii="Times New Roman"/>
        </w:rPr>
        <w:t xml:space="preserve"> </w:t>
      </w:r>
      <w:r>
        <w:rPr>
          <w:rFonts w:hint="eastAsia" w:ascii="Times New Roman"/>
        </w:rPr>
        <w:t>食品安全国家标准 食品中污染物限量</w:t>
      </w:r>
    </w:p>
    <w:p>
      <w:pPr>
        <w:pStyle w:val="22"/>
        <w:rPr>
          <w:rFonts w:ascii="Times New Roman"/>
          <w:szCs w:val="22"/>
        </w:rPr>
      </w:pPr>
      <w:r>
        <w:rPr>
          <w:rFonts w:ascii="Times New Roman"/>
        </w:rPr>
        <w:t xml:space="preserve">GB </w:t>
      </w:r>
      <w:r>
        <w:rPr>
          <w:rFonts w:hint="eastAsia" w:ascii="Times New Roman"/>
        </w:rPr>
        <w:t>2763</w:t>
      </w:r>
      <w:r>
        <w:rPr>
          <w:rFonts w:ascii="Times New Roman"/>
        </w:rPr>
        <w:t xml:space="preserve"> </w:t>
      </w:r>
      <w:r>
        <w:rPr>
          <w:rFonts w:hint="eastAsia" w:ascii="Times New Roman"/>
        </w:rPr>
        <w:t xml:space="preserve"> 食品安全国家标准 食品中农药最大残留限量</w:t>
      </w:r>
    </w:p>
    <w:p>
      <w:pPr>
        <w:pStyle w:val="22"/>
        <w:rPr>
          <w:rFonts w:hint="eastAsia" w:ascii="Times New Roman"/>
          <w:highlight w:val="none"/>
        </w:rPr>
      </w:pPr>
      <w:r>
        <w:rPr>
          <w:rFonts w:ascii="Times New Roman"/>
          <w:highlight w:val="none"/>
        </w:rPr>
        <w:t>GB/T</w:t>
      </w:r>
      <w:r>
        <w:rPr>
          <w:rFonts w:hint="eastAsia" w:ascii="Times New Roman"/>
          <w:highlight w:val="none"/>
        </w:rPr>
        <w:t xml:space="preserve"> 5009.7  食品中还原糖的测定</w:t>
      </w:r>
    </w:p>
    <w:p>
      <w:pPr>
        <w:pStyle w:val="22"/>
        <w:rPr>
          <w:rFonts w:hint="eastAsia" w:ascii="Times New Roman"/>
          <w:highlight w:val="none"/>
        </w:rPr>
      </w:pPr>
      <w:r>
        <w:rPr>
          <w:rFonts w:hint="eastAsia" w:ascii="Times New Roman"/>
          <w:highlight w:val="none"/>
        </w:rPr>
        <w:t xml:space="preserve">GB 5009.86 </w:t>
      </w:r>
      <w:r>
        <w:rPr>
          <w:rFonts w:hint="eastAsia" w:ascii="Times New Roman"/>
          <w:highlight w:val="none"/>
          <w:lang w:val="en-US" w:eastAsia="zh-CN"/>
        </w:rPr>
        <w:t xml:space="preserve">  </w:t>
      </w:r>
      <w:r>
        <w:rPr>
          <w:rFonts w:hint="eastAsia" w:ascii="Times New Roman"/>
          <w:highlight w:val="none"/>
        </w:rPr>
        <w:t>食品安全国家标准 食品中抗坏血酸的测定</w:t>
      </w:r>
    </w:p>
    <w:p>
      <w:pPr>
        <w:pStyle w:val="22"/>
        <w:rPr>
          <w:rFonts w:hint="eastAsia" w:ascii="Times New Roman"/>
          <w:highlight w:val="none"/>
        </w:rPr>
      </w:pPr>
      <w:r>
        <w:rPr>
          <w:rFonts w:hint="eastAsia" w:ascii="Times New Roman"/>
          <w:highlight w:val="none"/>
        </w:rPr>
        <w:t>GB/T 6543 运输包装用单瓦楞纸箱和双瓦楞纸箱</w:t>
      </w:r>
    </w:p>
    <w:p>
      <w:pPr>
        <w:pStyle w:val="22"/>
        <w:rPr>
          <w:rFonts w:hint="eastAsia" w:ascii="Times New Roman"/>
          <w:highlight w:val="none"/>
        </w:rPr>
      </w:pPr>
      <w:r>
        <w:rPr>
          <w:rFonts w:ascii="Times New Roman"/>
          <w:highlight w:val="none"/>
        </w:rPr>
        <w:t xml:space="preserve">GB </w:t>
      </w:r>
      <w:r>
        <w:rPr>
          <w:rFonts w:hint="eastAsia" w:ascii="Times New Roman"/>
          <w:highlight w:val="none"/>
        </w:rPr>
        <w:t>7718</w:t>
      </w:r>
      <w:r>
        <w:rPr>
          <w:rFonts w:ascii="Times New Roman"/>
          <w:highlight w:val="none"/>
        </w:rPr>
        <w:t xml:space="preserve"> </w:t>
      </w:r>
      <w:r>
        <w:rPr>
          <w:rFonts w:hint="eastAsia" w:ascii="Times New Roman"/>
          <w:highlight w:val="none"/>
        </w:rPr>
        <w:t xml:space="preserve"> 食品安全国家标准 预包装食品标签通则</w:t>
      </w:r>
    </w:p>
    <w:p>
      <w:pPr>
        <w:pStyle w:val="22"/>
        <w:rPr>
          <w:rFonts w:ascii="Times New Roman"/>
          <w:highlight w:val="none"/>
        </w:rPr>
      </w:pPr>
      <w:r>
        <w:rPr>
          <w:rFonts w:hint="eastAsia" w:ascii="Times New Roman"/>
          <w:highlight w:val="none"/>
        </w:rPr>
        <w:t>GB/T 8321（所有部分） 农药合理使用准则</w:t>
      </w:r>
    </w:p>
    <w:p>
      <w:pPr>
        <w:pStyle w:val="22"/>
        <w:rPr>
          <w:rFonts w:hint="eastAsia" w:ascii="Times New Roman"/>
        </w:rPr>
      </w:pPr>
      <w:r>
        <w:rPr>
          <w:rFonts w:hint="eastAsia" w:ascii="Times New Roman"/>
        </w:rPr>
        <w:t xml:space="preserve">GB/T 10650 </w:t>
      </w:r>
      <w:r>
        <w:rPr>
          <w:rFonts w:hint="eastAsia" w:ascii="Times New Roman"/>
          <w:lang w:val="en-US" w:eastAsia="zh-CN"/>
        </w:rPr>
        <w:t xml:space="preserve"> </w:t>
      </w:r>
      <w:r>
        <w:rPr>
          <w:rFonts w:hint="eastAsia" w:ascii="Times New Roman"/>
        </w:rPr>
        <w:t>鲜梨</w:t>
      </w:r>
    </w:p>
    <w:p>
      <w:pPr>
        <w:pStyle w:val="22"/>
        <w:rPr>
          <w:rFonts w:ascii="Times New Roman"/>
        </w:rPr>
      </w:pPr>
      <w:r>
        <w:rPr>
          <w:rFonts w:ascii="Times New Roman"/>
        </w:rPr>
        <w:t>GB/T</w:t>
      </w:r>
      <w:r>
        <w:rPr>
          <w:rFonts w:hint="eastAsia" w:ascii="Times New Roman"/>
        </w:rPr>
        <w:t xml:space="preserve"> 12456</w:t>
      </w:r>
      <w:r>
        <w:rPr>
          <w:rFonts w:ascii="Times New Roman"/>
        </w:rPr>
        <w:t xml:space="preserve"> </w:t>
      </w:r>
      <w:r>
        <w:rPr>
          <w:rFonts w:hint="eastAsia" w:ascii="Times New Roman"/>
        </w:rPr>
        <w:t xml:space="preserve"> 食品中总酸的测定</w:t>
      </w:r>
    </w:p>
    <w:p>
      <w:pPr>
        <w:pStyle w:val="22"/>
        <w:rPr>
          <w:rFonts w:hint="eastAsia" w:ascii="Times New Roman"/>
          <w:highlight w:val="none"/>
        </w:rPr>
      </w:pPr>
      <w:r>
        <w:rPr>
          <w:rFonts w:ascii="Times New Roman"/>
          <w:highlight w:val="none"/>
        </w:rPr>
        <w:t>GB/T</w:t>
      </w:r>
      <w:r>
        <w:rPr>
          <w:rFonts w:hint="eastAsia" w:ascii="Times New Roman"/>
          <w:highlight w:val="none"/>
        </w:rPr>
        <w:t xml:space="preserve"> 17924</w:t>
      </w:r>
      <w:r>
        <w:rPr>
          <w:rFonts w:ascii="Times New Roman"/>
          <w:highlight w:val="none"/>
        </w:rPr>
        <w:t xml:space="preserve"> </w:t>
      </w:r>
      <w:r>
        <w:rPr>
          <w:rFonts w:hint="eastAsia" w:ascii="Times New Roman"/>
          <w:highlight w:val="none"/>
        </w:rPr>
        <w:t xml:space="preserve"> 地理标志产品标准通用要求</w:t>
      </w:r>
    </w:p>
    <w:p>
      <w:pPr>
        <w:pStyle w:val="22"/>
        <w:rPr>
          <w:rFonts w:ascii="Times New Roman"/>
        </w:rPr>
      </w:pPr>
      <w:bookmarkStart w:id="18" w:name="OLE_LINK2"/>
      <w:r>
        <w:rPr>
          <w:rFonts w:hint="eastAsia" w:ascii="Times New Roman"/>
        </w:rPr>
        <w:t>N</w:t>
      </w:r>
      <w:r>
        <w:rPr>
          <w:rFonts w:ascii="Times New Roman"/>
        </w:rPr>
        <w:t>Y/T 17</w:t>
      </w:r>
      <w:r>
        <w:rPr>
          <w:rFonts w:hint="eastAsia" w:ascii="Times New Roman"/>
        </w:rPr>
        <w:t>78</w:t>
      </w:r>
      <w:bookmarkEnd w:id="18"/>
      <w:r>
        <w:rPr>
          <w:rFonts w:hint="eastAsia" w:ascii="Times New Roman"/>
        </w:rPr>
        <w:t xml:space="preserve"> </w:t>
      </w:r>
      <w:r>
        <w:rPr>
          <w:rFonts w:ascii="Times New Roman"/>
        </w:rPr>
        <w:t xml:space="preserve"> </w:t>
      </w:r>
      <w:r>
        <w:rPr>
          <w:rFonts w:hint="eastAsia" w:ascii="Times New Roman"/>
          <w:lang w:val="en-US" w:eastAsia="zh-CN"/>
        </w:rPr>
        <w:t xml:space="preserve"> </w:t>
      </w:r>
      <w:r>
        <w:rPr>
          <w:rFonts w:hint="eastAsia" w:ascii="Times New Roman"/>
        </w:rPr>
        <w:t>新鲜水果包装标识  通则</w:t>
      </w:r>
    </w:p>
    <w:bookmarkEnd w:id="16"/>
    <w:bookmarkEnd w:id="17"/>
    <w:p>
      <w:pPr>
        <w:pStyle w:val="55"/>
        <w:spacing w:before="312" w:after="312"/>
      </w:pPr>
      <w:r>
        <w:rPr>
          <w:rFonts w:hint="eastAsia"/>
        </w:rPr>
        <w:t>术语和定义</w:t>
      </w:r>
    </w:p>
    <w:p>
      <w:pPr>
        <w:ind w:firstLine="420" w:firstLineChars="200"/>
        <w:jc w:val="left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下列术语和定义适用于本文件。</w:t>
      </w:r>
    </w:p>
    <w:p>
      <w:pPr>
        <w:pStyle w:val="52"/>
        <w:spacing w:before="156" w:after="156"/>
      </w:pPr>
    </w:p>
    <w:p>
      <w:pPr>
        <w:pStyle w:val="22"/>
        <w:rPr>
          <w:rFonts w:ascii="黑体" w:hAnsi="黑体" w:eastAsia="黑体"/>
        </w:rPr>
      </w:pPr>
      <w:r>
        <w:rPr>
          <w:rFonts w:hint="eastAsia" w:ascii="黑体" w:hAnsi="黑体" w:eastAsia="黑体"/>
          <w:lang w:eastAsia="zh-CN"/>
        </w:rPr>
        <w:t>吴堡青梨</w:t>
      </w:r>
      <w:r>
        <w:rPr>
          <w:rFonts w:hint="eastAsia" w:ascii="黑体" w:hAnsi="黑体" w:eastAsia="黑体"/>
        </w:rPr>
        <w:t xml:space="preserve">  WuBu Green pear</w:t>
      </w:r>
    </w:p>
    <w:p>
      <w:pPr>
        <w:pStyle w:val="22"/>
        <w:rPr>
          <w:rFonts w:ascii="黑体" w:hAnsi="宋体" w:eastAsia="黑体"/>
          <w:szCs w:val="21"/>
        </w:rPr>
      </w:pPr>
      <w:r>
        <w:rPr>
          <w:rFonts w:hint="eastAsia"/>
        </w:rPr>
        <w:t>在</w:t>
      </w:r>
      <w:r>
        <w:rPr>
          <w:rFonts w:hint="eastAsia" w:ascii="Times New Roman"/>
        </w:rPr>
        <w:t>国家市场监管总局第1777期商标公告</w:t>
      </w:r>
      <w:r>
        <w:rPr>
          <w:rFonts w:hint="eastAsia"/>
          <w:lang w:val="en-US" w:eastAsia="zh-CN"/>
        </w:rPr>
        <w:t>批准</w:t>
      </w:r>
      <w:r>
        <w:rPr>
          <w:rFonts w:hint="eastAsia"/>
        </w:rPr>
        <w:t>的地理标志产品保护范围内，按规定的栽培技术种植的，具有</w:t>
      </w:r>
      <w:r>
        <w:rPr>
          <w:rFonts w:hint="eastAsia"/>
          <w:lang w:val="en-US" w:eastAsia="zh-CN"/>
        </w:rPr>
        <w:t>形似</w:t>
      </w:r>
      <w:r>
        <w:rPr>
          <w:rFonts w:hint="eastAsia"/>
        </w:rPr>
        <w:t>椭圆，果面有数条棱沟，果皮色泽绿黄，果皮上有果点，果肉白色，肉质致密，脆嫩多汁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清香味甜等特点的</w:t>
      </w:r>
      <w:r>
        <w:rPr>
          <w:rFonts w:hint="eastAsia"/>
          <w:lang w:val="en-US" w:eastAsia="zh-CN"/>
        </w:rPr>
        <w:t>青梨</w:t>
      </w:r>
      <w:r>
        <w:rPr>
          <w:rFonts w:hint="eastAsia"/>
        </w:rPr>
        <w:t>。</w:t>
      </w:r>
    </w:p>
    <w:p>
      <w:pPr>
        <w:pStyle w:val="55"/>
        <w:spacing w:before="312" w:after="312"/>
      </w:pPr>
      <w:r>
        <w:rPr>
          <w:rFonts w:hint="eastAsia"/>
        </w:rPr>
        <w:t>保护范围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  <w:lang w:val="en-US" w:eastAsia="zh-CN"/>
        </w:rPr>
        <w:t>仅</w:t>
      </w:r>
      <w:r>
        <w:rPr>
          <w:rFonts w:ascii="Times New Roman"/>
        </w:rPr>
        <w:t>限于</w:t>
      </w:r>
      <w:r>
        <w:rPr>
          <w:rFonts w:hint="eastAsia" w:ascii="Times New Roman"/>
        </w:rPr>
        <w:t>国家市场监管总局第1777期</w:t>
      </w:r>
      <w:r>
        <w:rPr>
          <w:rFonts w:hint="eastAsia" w:ascii="Times New Roman"/>
          <w:lang w:val="en-US" w:eastAsia="zh-CN"/>
        </w:rPr>
        <w:t>商标</w:t>
      </w:r>
      <w:r>
        <w:rPr>
          <w:rFonts w:hint="eastAsia" w:ascii="Times New Roman"/>
        </w:rPr>
        <w:t>公告</w:t>
      </w:r>
      <w:r>
        <w:rPr>
          <w:rFonts w:hint="eastAsia"/>
          <w:lang w:val="en-US" w:eastAsia="zh-CN"/>
        </w:rPr>
        <w:t>批准</w:t>
      </w:r>
      <w:r>
        <w:rPr>
          <w:rFonts w:ascii="Times New Roman" w:hAnsi="宋体"/>
        </w:rPr>
        <w:t>的</w:t>
      </w:r>
      <w:r>
        <w:rPr>
          <w:rFonts w:hint="eastAsia" w:ascii="Times New Roman" w:hAnsi="宋体"/>
        </w:rPr>
        <w:t>区域</w:t>
      </w:r>
      <w:r>
        <w:rPr>
          <w:rFonts w:ascii="Times New Roman" w:hAnsi="宋体"/>
          <w:szCs w:val="21"/>
        </w:rPr>
        <w:t>范围</w:t>
      </w:r>
      <w:r>
        <w:rPr>
          <w:rFonts w:ascii="Times New Roman"/>
        </w:rPr>
        <w:t>，</w:t>
      </w:r>
      <w:r>
        <w:rPr>
          <w:rFonts w:hint="eastAsia" w:ascii="Times New Roman"/>
        </w:rPr>
        <w:t>包括：陕西省榆林市吴堡县宋家川街道、辛家沟镇、郭家沟镇、寇家塬镇、张家山镇、岔上镇</w:t>
      </w:r>
      <w:r>
        <w:rPr>
          <w:rFonts w:hint="eastAsia" w:ascii="Times New Roman"/>
          <w:lang w:eastAsia="zh-CN"/>
        </w:rPr>
        <w:t>，</w:t>
      </w:r>
      <w:r>
        <w:rPr>
          <w:rFonts w:ascii="Times New Roman"/>
        </w:rPr>
        <w:t>见附录A。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产地环境</w:t>
      </w:r>
    </w:p>
    <w:p>
      <w:pPr>
        <w:pStyle w:val="22"/>
        <w:rPr>
          <w:rFonts w:ascii="Times New Roman"/>
        </w:rPr>
      </w:pPr>
      <w:r>
        <w:rPr>
          <w:rFonts w:ascii="Times New Roman"/>
        </w:rPr>
        <w:t>产区范围内</w:t>
      </w:r>
      <w:r>
        <w:rPr>
          <w:rFonts w:hint="eastAsia" w:ascii="Times New Roman"/>
          <w:lang w:val="en-US" w:eastAsia="zh-CN"/>
        </w:rPr>
        <w:t>海拔627m~1204m,pH在7.5~8.0，</w:t>
      </w:r>
      <w:r>
        <w:rPr>
          <w:rFonts w:ascii="Times New Roman"/>
        </w:rPr>
        <w:t>适宜</w:t>
      </w:r>
      <w:r>
        <w:rPr>
          <w:rFonts w:hint="eastAsia" w:ascii="Times New Roman"/>
        </w:rPr>
        <w:t>年平均气温1</w:t>
      </w:r>
      <w:r>
        <w:rPr>
          <w:rFonts w:hint="eastAsia" w:ascii="Times New Roman"/>
          <w:lang w:val="en-US" w:eastAsia="zh-CN"/>
        </w:rPr>
        <w:t>1</w:t>
      </w:r>
      <w:r>
        <w:rPr>
          <w:rFonts w:hint="eastAsia" w:ascii="Times New Roman"/>
        </w:rPr>
        <w:t>.3℃，</w:t>
      </w:r>
      <w:r>
        <w:rPr>
          <w:rFonts w:hint="eastAsia" w:ascii="Times New Roman"/>
          <w:lang w:val="en-US" w:eastAsia="zh-CN"/>
        </w:rPr>
        <w:t>日温差10.4</w:t>
      </w:r>
      <w:r>
        <w:rPr>
          <w:rFonts w:hint="eastAsia" w:ascii="Times New Roman"/>
        </w:rPr>
        <w:t>℃</w:t>
      </w:r>
      <w:r>
        <w:rPr>
          <w:rFonts w:hint="eastAsia" w:ascii="Times New Roman"/>
          <w:lang w:val="en-US" w:eastAsia="zh-CN"/>
        </w:rPr>
        <w:t>~14.9</w:t>
      </w:r>
      <w:r>
        <w:rPr>
          <w:rFonts w:hint="eastAsia" w:ascii="Times New Roman"/>
        </w:rPr>
        <w:t>℃</w:t>
      </w:r>
      <w:r>
        <w:rPr>
          <w:rFonts w:hint="eastAsia" w:ascii="Times New Roman"/>
          <w:lang w:eastAsia="zh-CN"/>
        </w:rPr>
        <w:t>，</w:t>
      </w:r>
      <w:bookmarkStart w:id="19" w:name="OLE_LINK9"/>
      <w:r>
        <w:rPr>
          <w:rFonts w:hint="eastAsia" w:ascii="Times New Roman"/>
        </w:rPr>
        <w:t>年平均日照时数</w:t>
      </w:r>
      <w:r>
        <w:rPr>
          <w:rFonts w:hint="eastAsia" w:ascii="Times New Roman"/>
          <w:lang w:val="en-US" w:eastAsia="zh-CN"/>
        </w:rPr>
        <w:t>2738</w:t>
      </w:r>
      <w:r>
        <w:rPr>
          <w:rFonts w:hint="eastAsia" w:ascii="Times New Roman"/>
        </w:rPr>
        <w:t>.0</w:t>
      </w:r>
      <w:r>
        <w:rPr>
          <w:rFonts w:hint="eastAsia" w:ascii="Times New Roman"/>
          <w:lang w:val="en-US" w:eastAsia="zh-CN"/>
        </w:rPr>
        <w:t>h,年平均降水量486mm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 栽培技术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6.1 </w:t>
      </w:r>
      <w:r>
        <w:rPr>
          <w:rFonts w:hint="eastAsia"/>
        </w:rPr>
        <w:t>品种选择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  <w:highlight w:val="none"/>
          <w:lang w:eastAsia="zh-CN"/>
        </w:rPr>
        <w:t>吴堡青梨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6.2 </w:t>
      </w:r>
      <w:r>
        <w:rPr>
          <w:rFonts w:hint="eastAsia"/>
        </w:rPr>
        <w:t>建园</w:t>
      </w:r>
    </w:p>
    <w:p>
      <w:pPr>
        <w:pStyle w:val="81"/>
        <w:numPr>
          <w:ilvl w:val="0"/>
          <w:numId w:val="0"/>
        </w:numPr>
        <w:ind w:firstLine="420" w:firstLineChars="200"/>
        <w:rPr>
          <w:rFonts w:ascii="Times New Roman"/>
        </w:rPr>
      </w:pPr>
      <w:r>
        <w:rPr>
          <w:rFonts w:hint="eastAsia" w:ascii="Times New Roman"/>
        </w:rPr>
        <w:t>栽植密度</w:t>
      </w:r>
      <w:r>
        <w:rPr>
          <w:rFonts w:hint="eastAsia" w:ascii="Times New Roman"/>
          <w:lang w:val="en-US" w:eastAsia="zh-CN"/>
        </w:rPr>
        <w:t>应结合</w:t>
      </w:r>
      <w:r>
        <w:rPr>
          <w:rFonts w:hint="eastAsia" w:ascii="Times New Roman"/>
        </w:rPr>
        <w:t>建园位置和土壤肥力</w:t>
      </w:r>
      <w:r>
        <w:rPr>
          <w:rFonts w:hint="eastAsia" w:ascii="Times New Roman"/>
          <w:lang w:val="en-US" w:eastAsia="zh-CN"/>
        </w:rPr>
        <w:t>确</w:t>
      </w:r>
      <w:r>
        <w:rPr>
          <w:rFonts w:hint="eastAsia" w:ascii="Times New Roman"/>
        </w:rPr>
        <w:t>定，平地行株距4</w:t>
      </w:r>
      <w:r>
        <w:rPr>
          <w:rFonts w:hint="eastAsia" w:ascii="Times New Roman"/>
          <w:lang w:val="en-US" w:eastAsia="zh-CN"/>
        </w:rPr>
        <w:t>m</w:t>
      </w:r>
      <w:r>
        <w:rPr>
          <w:rFonts w:hint="default" w:ascii="Arial" w:hAnsi="Arial" w:cs="Arial"/>
        </w:rPr>
        <w:t>×</w:t>
      </w:r>
      <w:r>
        <w:rPr>
          <w:rFonts w:hint="eastAsia" w:ascii="Times New Roman"/>
        </w:rPr>
        <w:t>2</w:t>
      </w:r>
      <w:r>
        <w:rPr>
          <w:rFonts w:hint="eastAsia" w:ascii="Times New Roman"/>
          <w:lang w:val="en-US" w:eastAsia="zh-CN"/>
        </w:rPr>
        <w:t>m</w:t>
      </w:r>
      <w:r>
        <w:rPr>
          <w:rFonts w:hint="eastAsia" w:ascii="Times New Roman"/>
        </w:rPr>
        <w:t>，山坡地和瘠薄地行株距3</w:t>
      </w:r>
      <w:r>
        <w:rPr>
          <w:rFonts w:hint="eastAsia" w:ascii="Times New Roman"/>
          <w:lang w:val="en-US" w:eastAsia="zh-CN"/>
        </w:rPr>
        <w:t>m</w:t>
      </w:r>
      <w:r>
        <w:rPr>
          <w:rFonts w:hint="default" w:ascii="Arial" w:hAnsi="Arial" w:cs="Arial"/>
        </w:rPr>
        <w:t>×</w:t>
      </w:r>
      <w:r>
        <w:rPr>
          <w:rFonts w:hint="eastAsia" w:ascii="Times New Roman"/>
        </w:rPr>
        <w:t>1.5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/>
        </w:rPr>
        <w:t>2</w:t>
      </w:r>
      <w:r>
        <w:rPr>
          <w:rFonts w:hint="eastAsia" w:ascii="Times New Roman"/>
          <w:lang w:val="en-US" w:eastAsia="zh-CN"/>
        </w:rPr>
        <w:t>m</w:t>
      </w:r>
      <w:r>
        <w:rPr>
          <w:rFonts w:hint="eastAsia" w:ascii="Times New Roman"/>
        </w:rPr>
        <w:t>，苗木栽后8年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/>
        </w:rPr>
        <w:t>10年生梨园开始郁闭时再进行间伐或回缩修剪。</w:t>
      </w:r>
    </w:p>
    <w:bookmarkEnd w:id="19"/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6.3 </w:t>
      </w:r>
      <w:r>
        <w:rPr>
          <w:rFonts w:hint="eastAsia"/>
        </w:rPr>
        <w:t>肥水管理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</w:rPr>
        <w:t>施有机肥为主，一般株施猪粪或牛粪50kg，或鸡粪25kg</w:t>
      </w:r>
      <w:r>
        <w:rPr>
          <w:rFonts w:hint="eastAsia" w:ascii="Times New Roman"/>
          <w:lang w:eastAsia="zh-CN"/>
        </w:rPr>
        <w:t>，</w:t>
      </w:r>
      <w:r>
        <w:rPr>
          <w:rFonts w:hint="eastAsia" w:ascii="Times New Roman"/>
        </w:rPr>
        <w:t>或菜饼肥2.5kg加钙镁磷肥或过磷酸钙1kg，基肥在秋末施入。生长季节追施磷钾肥，并喷布0.2%磷酸二氢钾。灌水应视土壤旱情而定。</w:t>
      </w:r>
    </w:p>
    <w:p>
      <w:pPr>
        <w:pStyle w:val="52"/>
        <w:numPr>
          <w:ilvl w:val="1"/>
          <w:numId w:val="0"/>
        </w:numPr>
        <w:spacing w:before="156" w:after="156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6.4 </w:t>
      </w:r>
      <w:r>
        <w:rPr>
          <w:rFonts w:hint="eastAsia"/>
        </w:rPr>
        <w:t>整形修剪</w:t>
      </w:r>
    </w:p>
    <w:p>
      <w:pPr>
        <w:pStyle w:val="52"/>
        <w:numPr>
          <w:ilvl w:val="0"/>
          <w:numId w:val="0"/>
        </w:numPr>
        <w:spacing w:before="156" w:after="156"/>
        <w:ind w:firstLine="420" w:firstLineChars="200"/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树形</w:t>
      </w:r>
      <w:r>
        <w:rPr>
          <w:rFonts w:hint="eastAsia" w:ascii="Times New Roman" w:eastAsia="宋体" w:cs="Times New Roman"/>
          <w:sz w:val="21"/>
          <w:szCs w:val="21"/>
          <w:lang w:val="en-US" w:eastAsia="zh-CN" w:bidi="ar-SA"/>
        </w:rPr>
        <w:t>宜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采用单干形变开心形。苗木定干高度35cm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50cm，苗木栽后第2年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5年留1个中央领导干，第一层培养3个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4个侧枝，第二层有2个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3个侧枝，层间距100cm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120cm，树高</w:t>
      </w:r>
      <w:r>
        <w:rPr>
          <w:rFonts w:hint="eastAsia" w:ascii="Times New Roman" w:eastAsia="宋体" w:cs="Times New Roman"/>
          <w:sz w:val="21"/>
          <w:szCs w:val="21"/>
          <w:lang w:val="en-US" w:eastAsia="zh-CN" w:bidi="ar-SA"/>
        </w:rPr>
        <w:t>宜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控制在2</w:t>
      </w:r>
      <w:r>
        <w:rPr>
          <w:rFonts w:hint="eastAsia" w:ascii="Times New Roman" w:eastAsia="宋体" w:cs="Times New Roman"/>
          <w:sz w:val="21"/>
          <w:szCs w:val="21"/>
          <w:lang w:val="en-US" w:eastAsia="zh-CN" w:bidi="ar-SA"/>
        </w:rPr>
        <w:t>m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。侧枝开张角度45</w:t>
      </w:r>
      <w:r>
        <w:rPr>
          <w:rFonts w:hint="eastAsia" w:ascii="Times New Roman" w:eastAsia="宋体" w:cs="Times New Roman"/>
          <w:sz w:val="21"/>
          <w:szCs w:val="21"/>
          <w:lang w:val="en-US" w:eastAsia="zh-CN" w:bidi="ar-SA"/>
        </w:rPr>
        <w:t>°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50</w:t>
      </w:r>
      <w:r>
        <w:rPr>
          <w:rFonts w:hint="eastAsia" w:ascii="Times New Roman" w:eastAsia="宋体" w:cs="Times New Roman"/>
          <w:sz w:val="21"/>
          <w:szCs w:val="21"/>
          <w:lang w:val="en-US" w:eastAsia="zh-CN" w:bidi="ar-SA"/>
        </w:rPr>
        <w:t>°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，以轻剪长放为主。第6年以后，侧枝加粗，分枝增多，对中央领导干采用回缩修剪，直至疏除中央领导干，使树形变为开心形。</w:t>
      </w:r>
    </w:p>
    <w:p>
      <w:pPr>
        <w:pStyle w:val="52"/>
        <w:numPr>
          <w:ilvl w:val="1"/>
          <w:numId w:val="0"/>
        </w:numPr>
        <w:spacing w:before="156" w:after="156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6.5 </w:t>
      </w:r>
      <w:r>
        <w:rPr>
          <w:rFonts w:hint="eastAsia"/>
        </w:rPr>
        <w:t>疏果套袋</w:t>
      </w:r>
    </w:p>
    <w:p>
      <w:pPr>
        <w:pStyle w:val="52"/>
        <w:numPr>
          <w:ilvl w:val="0"/>
          <w:numId w:val="0"/>
        </w:numPr>
        <w:spacing w:before="156" w:after="156"/>
        <w:ind w:firstLine="420" w:firstLineChars="200"/>
        <w:rPr>
          <w:rFonts w:hint="eastAsia"/>
          <w:lang w:val="en-US" w:eastAsia="zh-CN"/>
        </w:rPr>
      </w:pPr>
      <w:r>
        <w:rPr>
          <w:rFonts w:hint="eastAsia" w:ascii="Times New Roman" w:eastAsia="宋体"/>
          <w:szCs w:val="20"/>
        </w:rPr>
        <w:t>疏果应适当提早，</w:t>
      </w:r>
      <w:r>
        <w:rPr>
          <w:rFonts w:hint="eastAsia" w:ascii="Times New Roman" w:eastAsia="宋体"/>
          <w:szCs w:val="20"/>
          <w:lang w:val="en-US" w:eastAsia="zh-CN"/>
        </w:rPr>
        <w:t>宜</w:t>
      </w:r>
      <w:r>
        <w:rPr>
          <w:rFonts w:hint="eastAsia" w:ascii="Times New Roman" w:eastAsia="宋体"/>
          <w:szCs w:val="20"/>
        </w:rPr>
        <w:t>进行两次</w:t>
      </w:r>
      <w:r>
        <w:rPr>
          <w:rFonts w:hint="eastAsia" w:ascii="Times New Roman" w:eastAsia="宋体"/>
          <w:szCs w:val="20"/>
          <w:lang w:eastAsia="zh-CN"/>
        </w:rPr>
        <w:t>，</w:t>
      </w:r>
      <w:r>
        <w:rPr>
          <w:rFonts w:hint="eastAsia" w:ascii="Times New Roman" w:eastAsia="宋体"/>
          <w:szCs w:val="20"/>
        </w:rPr>
        <w:t>第一次初疏，在谢花后20</w:t>
      </w:r>
      <w:r>
        <w:rPr>
          <w:rFonts w:hint="eastAsia" w:ascii="Times New Roman" w:eastAsia="宋体"/>
          <w:szCs w:val="20"/>
          <w:lang w:val="en-US" w:eastAsia="zh-CN"/>
        </w:rPr>
        <w:t>d</w:t>
      </w:r>
      <w:r>
        <w:rPr>
          <w:rFonts w:hint="eastAsia" w:ascii="Times New Roman" w:eastAsia="宋体"/>
          <w:szCs w:val="20"/>
        </w:rPr>
        <w:t>，大小果分明时，选花序上3节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eastAsia="宋体"/>
          <w:szCs w:val="20"/>
        </w:rPr>
        <w:t>4节幼果；第二次复疏定果，在5月上旬，每花序留1果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eastAsia="宋体"/>
          <w:szCs w:val="20"/>
        </w:rPr>
        <w:t>2果，花序之闻相距15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cm</w:t>
      </w:r>
      <w:r>
        <w:rPr>
          <w:rFonts w:hint="eastAsia" w:ascii="Times New Roman"/>
          <w:lang w:val="en-US" w:eastAsia="zh-CN"/>
        </w:rPr>
        <w:t>~</w:t>
      </w:r>
      <w:r>
        <w:rPr>
          <w:rFonts w:hint="eastAsia" w:ascii="Times New Roman" w:eastAsia="宋体"/>
          <w:szCs w:val="20"/>
        </w:rPr>
        <w:t>20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-SA"/>
        </w:rPr>
        <w:t>cm</w:t>
      </w:r>
      <w:r>
        <w:rPr>
          <w:rFonts w:hint="eastAsia" w:ascii="Times New Roman" w:eastAsia="宋体"/>
          <w:szCs w:val="20"/>
        </w:rPr>
        <w:t>留一果</w:t>
      </w:r>
      <w:r>
        <w:rPr>
          <w:rFonts w:ascii="Times New Roman" w:eastAsia="宋体"/>
          <w:szCs w:val="20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6.5 </w:t>
      </w:r>
      <w:r>
        <w:rPr>
          <w:rFonts w:hint="eastAsia"/>
        </w:rPr>
        <w:t>病虫害防治</w:t>
      </w:r>
    </w:p>
    <w:p>
      <w:pPr>
        <w:pStyle w:val="52"/>
        <w:numPr>
          <w:ilvl w:val="0"/>
          <w:numId w:val="0"/>
        </w:numPr>
        <w:spacing w:before="156" w:after="156"/>
        <w:ind w:firstLine="420" w:firstLineChars="200"/>
        <w:rPr>
          <w:rFonts w:hint="eastAsia" w:ascii="Times New Roman" w:eastAsia="宋体"/>
          <w:szCs w:val="20"/>
        </w:rPr>
      </w:pPr>
      <w:r>
        <w:rPr>
          <w:rFonts w:hint="eastAsia" w:ascii="Times New Roman" w:eastAsia="宋体"/>
          <w:szCs w:val="20"/>
        </w:rPr>
        <w:t>采用</w:t>
      </w:r>
      <w:r>
        <w:rPr>
          <w:rFonts w:hint="eastAsia" w:ascii="Times New Roman" w:eastAsia="宋体"/>
          <w:szCs w:val="20"/>
          <w:lang w:val="en-US" w:eastAsia="zh-CN"/>
        </w:rPr>
        <w:t>农业结合化学</w:t>
      </w:r>
      <w:r>
        <w:rPr>
          <w:rFonts w:hint="eastAsia" w:ascii="Times New Roman" w:eastAsia="宋体"/>
          <w:szCs w:val="20"/>
        </w:rPr>
        <w:t>防治</w:t>
      </w:r>
      <w:r>
        <w:rPr>
          <w:rFonts w:hint="eastAsia" w:ascii="Times New Roman" w:eastAsia="宋体"/>
          <w:szCs w:val="20"/>
          <w:lang w:val="en-US" w:eastAsia="zh-CN"/>
        </w:rPr>
        <w:t>方法</w:t>
      </w:r>
      <w:r>
        <w:rPr>
          <w:rFonts w:hint="eastAsia" w:ascii="Times New Roman" w:eastAsia="宋体"/>
          <w:szCs w:val="20"/>
        </w:rPr>
        <w:t>，农药等的使用应符合GB/T 8321</w:t>
      </w:r>
      <w:r>
        <w:rPr>
          <w:rFonts w:hint="eastAsia" w:ascii="Times New Roman" w:eastAsia="宋体"/>
          <w:szCs w:val="20"/>
          <w:lang w:val="en-US" w:eastAsia="zh-CN"/>
        </w:rPr>
        <w:t>的规定</w:t>
      </w:r>
      <w:r>
        <w:rPr>
          <w:rFonts w:ascii="Times New Roman" w:eastAsia="宋体"/>
          <w:szCs w:val="20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6.6 </w:t>
      </w:r>
      <w:r>
        <w:rPr>
          <w:rFonts w:hint="eastAsia"/>
        </w:rPr>
        <w:t>采收</w:t>
      </w:r>
    </w:p>
    <w:p>
      <w:pPr>
        <w:pStyle w:val="52"/>
        <w:numPr>
          <w:ilvl w:val="0"/>
          <w:numId w:val="0"/>
        </w:numPr>
        <w:spacing w:before="156" w:after="156"/>
        <w:ind w:firstLine="420" w:firstLineChars="200"/>
      </w:pPr>
      <w:bookmarkStart w:id="20" w:name="OLE_LINK14"/>
      <w:r>
        <w:rPr>
          <w:rFonts w:hint="eastAsia" w:ascii="Times New Roman" w:eastAsia="宋体"/>
          <w:szCs w:val="20"/>
          <w:lang w:val="en-US" w:eastAsia="zh-CN"/>
        </w:rPr>
        <w:t>宜在</w:t>
      </w:r>
      <w:r>
        <w:rPr>
          <w:rFonts w:hint="eastAsia" w:ascii="Times New Roman" w:eastAsia="宋体"/>
          <w:szCs w:val="20"/>
          <w:highlight w:val="none"/>
          <w:lang w:val="en-US" w:eastAsia="zh-CN"/>
        </w:rPr>
        <w:t>9</w:t>
      </w:r>
      <w:r>
        <w:rPr>
          <w:rFonts w:hint="eastAsia" w:ascii="Times New Roman" w:eastAsia="宋体"/>
          <w:szCs w:val="20"/>
          <w:highlight w:val="none"/>
        </w:rPr>
        <w:t>月~</w:t>
      </w:r>
      <w:r>
        <w:rPr>
          <w:rFonts w:hint="eastAsia" w:ascii="Times New Roman" w:eastAsia="宋体"/>
          <w:szCs w:val="20"/>
          <w:highlight w:val="none"/>
          <w:lang w:val="en-US" w:eastAsia="zh-CN"/>
        </w:rPr>
        <w:t>10</w:t>
      </w:r>
      <w:r>
        <w:rPr>
          <w:rFonts w:hint="eastAsia" w:ascii="Times New Roman" w:eastAsia="宋体"/>
          <w:szCs w:val="20"/>
          <w:highlight w:val="none"/>
        </w:rPr>
        <w:t>月，</w:t>
      </w:r>
      <w:r>
        <w:rPr>
          <w:rFonts w:hint="eastAsia" w:ascii="Times New Roman" w:eastAsia="宋体"/>
          <w:szCs w:val="20"/>
        </w:rPr>
        <w:t>达到</w:t>
      </w:r>
      <w:r>
        <w:rPr>
          <w:rFonts w:hint="eastAsia" w:ascii="Times New Roman" w:eastAsia="宋体"/>
          <w:szCs w:val="20"/>
          <w:lang w:val="en-US" w:eastAsia="zh-CN"/>
        </w:rPr>
        <w:t>八成熟</w:t>
      </w:r>
      <w:r>
        <w:rPr>
          <w:rFonts w:hint="eastAsia" w:ascii="Times New Roman" w:eastAsia="宋体"/>
          <w:szCs w:val="20"/>
        </w:rPr>
        <w:t>时即可采收</w:t>
      </w:r>
      <w:r>
        <w:t>。</w:t>
      </w:r>
    </w:p>
    <w:p>
      <w:pPr>
        <w:pStyle w:val="51"/>
        <w:numPr>
          <w:ilvl w:val="2"/>
          <w:numId w:val="0"/>
        </w:numPr>
        <w:spacing w:before="156" w:after="156"/>
        <w:ind w:leftChars="0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7 质量要求</w:t>
      </w:r>
    </w:p>
    <w:p>
      <w:pPr>
        <w:pStyle w:val="51"/>
        <w:numPr>
          <w:ilvl w:val="2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7.1 </w:t>
      </w:r>
      <w:r>
        <w:rPr>
          <w:rFonts w:hint="eastAsia"/>
        </w:rPr>
        <w:t>感官指标</w:t>
      </w:r>
      <w:bookmarkEnd w:id="20"/>
    </w:p>
    <w:p>
      <w:pPr>
        <w:pStyle w:val="22"/>
        <w:rPr>
          <w:rFonts w:ascii="Times New Roman"/>
        </w:rPr>
      </w:pPr>
      <w:r>
        <w:rPr>
          <w:rFonts w:ascii="Times New Roman"/>
        </w:rPr>
        <w:t>感官指标应符合表1规定。</w:t>
      </w:r>
    </w:p>
    <w:p>
      <w:pPr>
        <w:pStyle w:val="70"/>
        <w:spacing w:before="156" w:after="156"/>
        <w:rPr>
          <w:rFonts w:hint="eastAsia"/>
        </w:rPr>
      </w:pPr>
    </w:p>
    <w:p>
      <w:pPr>
        <w:pStyle w:val="70"/>
        <w:spacing w:before="156" w:after="156"/>
        <w:rPr>
          <w:rFonts w:hint="eastAsia"/>
        </w:rPr>
      </w:pPr>
    </w:p>
    <w:p>
      <w:pPr>
        <w:pStyle w:val="70"/>
        <w:spacing w:before="156" w:after="156"/>
      </w:pPr>
      <w:r>
        <w:rPr>
          <w:rFonts w:hint="eastAsia"/>
        </w:rPr>
        <w:t>表1</w:t>
      </w:r>
      <w:r>
        <w:t xml:space="preserve"> </w:t>
      </w:r>
      <w:r>
        <w:rPr>
          <w:rFonts w:hint="eastAsia"/>
        </w:rPr>
        <w:t>感官指标</w:t>
      </w:r>
    </w:p>
    <w:tbl>
      <w:tblPr>
        <w:tblStyle w:val="31"/>
        <w:tblW w:w="9571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810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项    目</w:t>
            </w:r>
          </w:p>
        </w:tc>
        <w:tc>
          <w:tcPr>
            <w:tcW w:w="7470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autoSpaceDE w:val="0"/>
              <w:autoSpaceDN w:val="0"/>
              <w:ind w:firstLine="360" w:firstLineChars="2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指     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ascii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  <w:szCs w:val="18"/>
              </w:rPr>
              <w:t>成品特征</w:t>
            </w:r>
          </w:p>
        </w:tc>
        <w:tc>
          <w:tcPr>
            <w:tcW w:w="7470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</w:rPr>
              <w:t>果实呈椭圆形，果面有棱沟数条，果皮上有果点，小而密切明显，果肉致密，脆嫩多汁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ascii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  <w:szCs w:val="18"/>
              </w:rPr>
              <w:t>色泽</w:t>
            </w:r>
          </w:p>
        </w:tc>
        <w:tc>
          <w:tcPr>
            <w:tcW w:w="7470" w:type="dxa"/>
            <w:vAlign w:val="center"/>
          </w:tcPr>
          <w:p>
            <w:pPr>
              <w:pStyle w:val="22"/>
              <w:ind w:firstLine="0" w:firstLineChars="0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</w:rPr>
              <w:t>果皮色泽绿黄，果肉白色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ascii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  <w:szCs w:val="18"/>
              </w:rPr>
              <w:t>滋味</w:t>
            </w:r>
          </w:p>
        </w:tc>
        <w:tc>
          <w:tcPr>
            <w:tcW w:w="7470" w:type="dxa"/>
            <w:vAlign w:val="center"/>
          </w:tcPr>
          <w:p>
            <w:pPr>
              <w:pStyle w:val="22"/>
              <w:ind w:firstLine="0" w:firstLineChars="0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</w:rPr>
              <w:t>清香味甜</w:t>
            </w:r>
          </w:p>
        </w:tc>
      </w:tr>
    </w:tbl>
    <w:p>
      <w:pPr>
        <w:pStyle w:val="51"/>
        <w:numPr>
          <w:ilvl w:val="2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7.2 </w:t>
      </w:r>
      <w:r>
        <w:rPr>
          <w:rFonts w:hint="eastAsia"/>
        </w:rPr>
        <w:t>理化指标</w:t>
      </w:r>
    </w:p>
    <w:p>
      <w:pPr>
        <w:pStyle w:val="22"/>
      </w:pPr>
      <w:r>
        <w:rPr>
          <w:rFonts w:hint="eastAsia"/>
        </w:rPr>
        <w:t>理化指标应符合表</w:t>
      </w:r>
      <w:r>
        <w:t>2</w:t>
      </w:r>
      <w:r>
        <w:rPr>
          <w:rFonts w:hint="eastAsia"/>
        </w:rPr>
        <w:t>规定。</w:t>
      </w:r>
    </w:p>
    <w:p>
      <w:pPr>
        <w:pStyle w:val="70"/>
        <w:spacing w:before="156" w:after="156"/>
      </w:pPr>
      <w:r>
        <w:rPr>
          <w:rFonts w:hint="eastAsia"/>
        </w:rPr>
        <w:t>表2 理化指标</w:t>
      </w:r>
    </w:p>
    <w:tbl>
      <w:tblPr>
        <w:tblStyle w:val="31"/>
        <w:tblW w:w="9571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5"/>
        <w:gridCol w:w="487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ascii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  <w:szCs w:val="18"/>
              </w:rPr>
              <w:t>项     目</w:t>
            </w:r>
          </w:p>
        </w:tc>
        <w:tc>
          <w:tcPr>
            <w:tcW w:w="4876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ascii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  <w:szCs w:val="18"/>
              </w:rPr>
              <w:t>指     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left="3960" w:hanging="3960" w:hangingChars="2200"/>
              <w:jc w:val="left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</w:rPr>
              <w:t>总糖（以还原糖计），</w:t>
            </w:r>
            <w:r>
              <w:rPr>
                <w:rFonts w:ascii="Times New Roman"/>
                <w:sz w:val="18"/>
                <w:szCs w:val="18"/>
              </w:rPr>
              <w:t>%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      </w:t>
            </w:r>
            <w:r>
              <w:rPr>
                <w:rFonts w:ascii="Times New Roman"/>
                <w:sz w:val="18"/>
                <w:szCs w:val="18"/>
              </w:rPr>
              <w:t>≥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</w:t>
            </w:r>
          </w:p>
        </w:tc>
        <w:tc>
          <w:tcPr>
            <w:tcW w:w="4876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hint="default" w:asci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/>
                <w:sz w:val="18"/>
                <w:szCs w:val="18"/>
                <w:lang w:val="en-US" w:eastAsia="zh-CN"/>
              </w:rPr>
              <w:t>8.13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left="3960" w:hanging="3960" w:hangingChars="2200"/>
              <w:jc w:val="left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</w:rPr>
              <w:t>总酸，</w:t>
            </w:r>
            <w:r>
              <w:rPr>
                <w:rFonts w:ascii="Times New Roman"/>
                <w:sz w:val="18"/>
                <w:szCs w:val="18"/>
              </w:rPr>
              <w:t>%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                   </w:t>
            </w:r>
            <w:r>
              <w:rPr>
                <w:sz w:val="18"/>
                <w:szCs w:val="18"/>
              </w:rPr>
              <w:t>≤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</w:t>
            </w:r>
          </w:p>
        </w:tc>
        <w:tc>
          <w:tcPr>
            <w:tcW w:w="4876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hint="default" w:asci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/>
                <w:sz w:val="18"/>
                <w:szCs w:val="18"/>
                <w:lang w:val="en-US" w:eastAsia="zh-CN"/>
              </w:rPr>
              <w:t>0.17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left="3960" w:hanging="3960" w:hangingChars="2200"/>
              <w:jc w:val="left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</w:rPr>
              <w:t>可溶性固形物，</w:t>
            </w:r>
            <w:r>
              <w:rPr>
                <w:rFonts w:ascii="Times New Roman"/>
                <w:sz w:val="18"/>
                <w:szCs w:val="18"/>
              </w:rPr>
              <w:t>%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           </w:t>
            </w:r>
            <w:r>
              <w:rPr>
                <w:rFonts w:ascii="Times New Roman"/>
                <w:sz w:val="18"/>
                <w:szCs w:val="18"/>
              </w:rPr>
              <w:t>≥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</w:t>
            </w:r>
          </w:p>
        </w:tc>
        <w:tc>
          <w:tcPr>
            <w:tcW w:w="4876" w:type="dxa"/>
            <w:tcBorders>
              <w:top w:val="single" w:color="auto" w:sz="8" w:space="0"/>
            </w:tcBorders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hint="default" w:asci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/>
                <w:sz w:val="18"/>
                <w:szCs w:val="18"/>
                <w:lang w:val="en-US" w:eastAsia="zh-CN"/>
              </w:rPr>
              <w:t>16.9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vAlign w:val="center"/>
          </w:tcPr>
          <w:p>
            <w:pPr>
              <w:pStyle w:val="22"/>
              <w:ind w:firstLine="0" w:firstLineChars="0"/>
              <w:jc w:val="left"/>
              <w:rPr>
                <w:rFonts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  <w:lang w:val="en-US" w:eastAsia="zh-CN"/>
              </w:rPr>
              <w:t>维生素</w:t>
            </w:r>
            <w:r>
              <w:rPr>
                <w:rFonts w:hint="eastAsia" w:ascii="Times New Roman"/>
                <w:sz w:val="18"/>
                <w:szCs w:val="18"/>
              </w:rPr>
              <w:t>，</w:t>
            </w:r>
            <w:r>
              <w:rPr>
                <w:rFonts w:ascii="Times New Roman"/>
                <w:sz w:val="18"/>
                <w:szCs w:val="18"/>
              </w:rPr>
              <w:t>%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                 </w:t>
            </w:r>
            <w:r>
              <w:rPr>
                <w:rFonts w:ascii="Times New Roman"/>
                <w:sz w:val="18"/>
                <w:szCs w:val="18"/>
              </w:rPr>
              <w:t>≥</w:t>
            </w:r>
            <w:r>
              <w:rPr>
                <w:rFonts w:hint="eastAsia" w:ascii="Times New Roman"/>
                <w:sz w:val="18"/>
                <w:szCs w:val="18"/>
              </w:rPr>
              <w:t xml:space="preserve">                       </w:t>
            </w:r>
          </w:p>
        </w:tc>
        <w:tc>
          <w:tcPr>
            <w:tcW w:w="4876" w:type="dxa"/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hint="default" w:asci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/>
                <w:sz w:val="18"/>
                <w:szCs w:val="18"/>
                <w:lang w:val="en-US" w:eastAsia="zh-CN"/>
              </w:rPr>
              <w:t>2.7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95" w:type="dxa"/>
            <w:vAlign w:val="center"/>
          </w:tcPr>
          <w:p>
            <w:pPr>
              <w:pStyle w:val="22"/>
              <w:ind w:firstLine="0" w:firstLineChars="0"/>
              <w:jc w:val="left"/>
              <w:rPr>
                <w:rFonts w:hint="eastAsia" w:ascii="Times New Roman"/>
                <w:sz w:val="18"/>
                <w:szCs w:val="18"/>
              </w:rPr>
            </w:pPr>
            <w:r>
              <w:rPr>
                <w:rFonts w:hint="eastAsia" w:ascii="Times New Roman"/>
                <w:sz w:val="18"/>
                <w:szCs w:val="18"/>
                <w:lang w:val="en-US" w:eastAsia="zh-CN"/>
              </w:rPr>
              <w:t>单果</w:t>
            </w:r>
            <w:r>
              <w:rPr>
                <w:rFonts w:hint="eastAsia" w:ascii="Times New Roman"/>
                <w:sz w:val="18"/>
                <w:szCs w:val="18"/>
              </w:rPr>
              <w:t xml:space="preserve">重，g </w:t>
            </w:r>
          </w:p>
        </w:tc>
        <w:tc>
          <w:tcPr>
            <w:tcW w:w="4876" w:type="dxa"/>
            <w:vAlign w:val="center"/>
          </w:tcPr>
          <w:p>
            <w:pPr>
              <w:pStyle w:val="22"/>
              <w:ind w:firstLine="0" w:firstLineChars="0"/>
              <w:jc w:val="center"/>
              <w:rPr>
                <w:rFonts w:hint="default" w:ascii="Times New Roman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/>
                <w:sz w:val="18"/>
                <w:szCs w:val="16"/>
                <w:highlight w:val="none"/>
                <w:lang w:val="en-US" w:eastAsia="zh-CN"/>
              </w:rPr>
              <w:t>240</w:t>
            </w:r>
            <w:r>
              <w:rPr>
                <w:rFonts w:hint="eastAsia" w:ascii="Times New Roman"/>
                <w:highlight w:val="none"/>
                <w:lang w:val="en-US" w:eastAsia="zh-CN"/>
              </w:rPr>
              <w:t>~</w:t>
            </w:r>
            <w:r>
              <w:rPr>
                <w:rFonts w:hint="eastAsia" w:ascii="Times New Roman"/>
                <w:sz w:val="18"/>
                <w:szCs w:val="18"/>
                <w:highlight w:val="none"/>
                <w:lang w:val="en-US" w:eastAsia="zh-CN"/>
              </w:rPr>
              <w:t>260</w:t>
            </w:r>
          </w:p>
        </w:tc>
      </w:tr>
    </w:tbl>
    <w:p>
      <w:pPr>
        <w:pStyle w:val="51"/>
        <w:numPr>
          <w:ilvl w:val="2"/>
          <w:numId w:val="0"/>
        </w:numPr>
        <w:spacing w:before="156" w:after="156"/>
        <w:ind w:leftChars="0"/>
      </w:pPr>
      <w:bookmarkStart w:id="21" w:name="OLE_LINK16"/>
      <w:bookmarkStart w:id="22" w:name="OLE_LINK18"/>
      <w:bookmarkStart w:id="23" w:name="OLE_LINK17"/>
      <w:r>
        <w:rPr>
          <w:rFonts w:hint="eastAsia"/>
          <w:lang w:val="en-US" w:eastAsia="zh-CN"/>
        </w:rPr>
        <w:t xml:space="preserve">7.3 </w:t>
      </w:r>
      <w:r>
        <w:rPr>
          <w:rFonts w:hint="eastAsia"/>
        </w:rPr>
        <w:t>安全指标</w:t>
      </w:r>
    </w:p>
    <w:p>
      <w:pPr>
        <w:pStyle w:val="55"/>
        <w:numPr>
          <w:ilvl w:val="0"/>
          <w:numId w:val="0"/>
        </w:numPr>
        <w:spacing w:before="312" w:after="312"/>
        <w:ind w:firstLine="420" w:firstLineChars="200"/>
        <w:rPr>
          <w:rFonts w:hint="eastAsia" w:ascii="宋体" w:eastAsia="宋体"/>
        </w:rPr>
      </w:pPr>
      <w:r>
        <w:rPr>
          <w:rFonts w:hint="eastAsia" w:ascii="宋体" w:eastAsia="宋体"/>
        </w:rPr>
        <w:t>应符合GB 2762和GB 2763的规定。</w:t>
      </w:r>
    </w:p>
    <w:bookmarkEnd w:id="21"/>
    <w:p>
      <w:pPr>
        <w:pStyle w:val="55"/>
        <w:numPr>
          <w:ilvl w:val="0"/>
          <w:numId w:val="0"/>
        </w:numPr>
        <w:spacing w:before="312" w:after="312"/>
        <w:ind w:leftChars="0"/>
      </w:pP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检验</w:t>
      </w:r>
      <w:bookmarkEnd w:id="22"/>
      <w:r>
        <w:rPr>
          <w:rFonts w:hint="eastAsia"/>
        </w:rPr>
        <w:t>方法</w:t>
      </w:r>
      <w:bookmarkEnd w:id="23"/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8.1 </w:t>
      </w:r>
      <w:r>
        <w:rPr>
          <w:rFonts w:hint="eastAsia"/>
        </w:rPr>
        <w:t>感官</w:t>
      </w:r>
    </w:p>
    <w:p>
      <w:pPr>
        <w:pStyle w:val="22"/>
      </w:pPr>
      <w:r>
        <w:rPr>
          <w:rFonts w:hint="eastAsia"/>
          <w:lang w:val="en-US" w:eastAsia="zh-CN"/>
        </w:rPr>
        <w:t>应按照</w:t>
      </w:r>
      <w:r>
        <w:rPr>
          <w:rFonts w:hint="eastAsia"/>
          <w:lang w:eastAsia="zh-CN"/>
        </w:rPr>
        <w:t>GB/T 10650的规定，</w:t>
      </w:r>
      <w:r>
        <w:rPr>
          <w:rFonts w:hint="eastAsia"/>
          <w:lang w:val="en-US" w:eastAsia="zh-CN"/>
        </w:rPr>
        <w:t>可采用</w:t>
      </w:r>
      <w:r>
        <w:rPr>
          <w:rFonts w:hint="eastAsia"/>
        </w:rPr>
        <w:t>目测、鼻嗅、手感和品尝等方法</w:t>
      </w:r>
      <w:r>
        <w:rPr>
          <w:rFonts w:hint="eastAsia"/>
          <w:lang w:val="en-US" w:eastAsia="zh-CN"/>
        </w:rPr>
        <w:t>检验</w:t>
      </w:r>
      <w:r>
        <w:rPr>
          <w:rFonts w:hint="eastAsia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8.2 </w:t>
      </w:r>
      <w:r>
        <w:rPr>
          <w:rFonts w:hint="eastAsia"/>
        </w:rPr>
        <w:t>总糖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</w:rPr>
        <w:t>按照</w:t>
      </w:r>
      <w:r>
        <w:rPr>
          <w:rFonts w:ascii="Times New Roman"/>
        </w:rPr>
        <w:t>GB/T</w:t>
      </w:r>
      <w:r>
        <w:rPr>
          <w:rFonts w:hint="eastAsia" w:ascii="Times New Roman"/>
        </w:rPr>
        <w:t xml:space="preserve"> 5009.7的规定执行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8.3 </w:t>
      </w:r>
      <w:r>
        <w:rPr>
          <w:rFonts w:hint="eastAsia"/>
        </w:rPr>
        <w:t>总酸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</w:rPr>
        <w:t>按照</w:t>
      </w:r>
      <w:r>
        <w:rPr>
          <w:rFonts w:ascii="Times New Roman"/>
        </w:rPr>
        <w:t>GB/T</w:t>
      </w:r>
      <w:r>
        <w:rPr>
          <w:rFonts w:hint="eastAsia" w:ascii="Times New Roman"/>
        </w:rPr>
        <w:t xml:space="preserve"> 12456的规定执行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8.4 </w:t>
      </w:r>
      <w:r>
        <w:rPr>
          <w:rFonts w:hint="eastAsia"/>
        </w:rPr>
        <w:t>可溶性固形物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</w:rPr>
        <w:t>按照GB/T 10650中附录B的规定执行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8.5 </w:t>
      </w:r>
      <w:r>
        <w:rPr>
          <w:rFonts w:hint="eastAsia"/>
        </w:rPr>
        <w:t>维生素</w:t>
      </w:r>
    </w:p>
    <w:p>
      <w:pPr>
        <w:pStyle w:val="22"/>
        <w:rPr>
          <w:rFonts w:hint="eastAsia" w:ascii="Times New Roman"/>
        </w:rPr>
      </w:pPr>
      <w:r>
        <w:rPr>
          <w:rFonts w:hint="eastAsia" w:ascii="Times New Roman"/>
        </w:rPr>
        <w:t>按照按GB 5009.86</w:t>
      </w:r>
      <w:r>
        <w:rPr>
          <w:rFonts w:hint="eastAsia" w:ascii="Times New Roman"/>
          <w:lang w:val="en-US" w:eastAsia="zh-CN"/>
        </w:rPr>
        <w:t>的</w:t>
      </w:r>
      <w:r>
        <w:rPr>
          <w:rFonts w:hint="eastAsia" w:ascii="Times New Roman"/>
        </w:rPr>
        <w:t>规定执行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>8.6 单果</w:t>
      </w:r>
      <w:r>
        <w:rPr>
          <w:rFonts w:hint="eastAsia"/>
        </w:rPr>
        <w:t>重</w:t>
      </w:r>
    </w:p>
    <w:p>
      <w:pPr>
        <w:pStyle w:val="22"/>
        <w:rPr>
          <w:rFonts w:ascii="Times New Roman"/>
        </w:rPr>
      </w:pPr>
      <w:r>
        <w:rPr>
          <w:rFonts w:hint="eastAsia" w:ascii="Times New Roman"/>
        </w:rPr>
        <w:t>用感量0.2 g台秤测定。</w:t>
      </w:r>
    </w:p>
    <w:p>
      <w:pPr>
        <w:pStyle w:val="55"/>
        <w:numPr>
          <w:ilvl w:val="0"/>
          <w:numId w:val="0"/>
        </w:numPr>
        <w:spacing w:before="312" w:after="312"/>
        <w:ind w:leftChars="0"/>
      </w:pPr>
      <w:r>
        <w:rPr>
          <w:rFonts w:hint="eastAsia"/>
          <w:lang w:val="en-US" w:eastAsia="zh-CN"/>
        </w:rPr>
        <w:t xml:space="preserve">9 </w:t>
      </w:r>
      <w:r>
        <w:rPr>
          <w:rFonts w:hint="eastAsia"/>
        </w:rPr>
        <w:t>检验规则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9.1 </w:t>
      </w:r>
      <w:r>
        <w:rPr>
          <w:rFonts w:hint="eastAsia"/>
        </w:rPr>
        <w:t>组批</w:t>
      </w:r>
    </w:p>
    <w:p>
      <w:pPr>
        <w:pStyle w:val="22"/>
        <w:rPr>
          <w:rFonts w:ascii="Times New Roman"/>
          <w:kern w:val="2"/>
        </w:rPr>
      </w:pPr>
      <w:r>
        <w:rPr>
          <w:rFonts w:hint="eastAsia" w:ascii="Times New Roman"/>
          <w:kern w:val="2"/>
        </w:rPr>
        <w:t>同一生产基地、同一成熟度、同一批采收的产品为一个批次</w:t>
      </w:r>
      <w:r>
        <w:rPr>
          <w:rFonts w:ascii="Times New Roman"/>
          <w:kern w:val="2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9.2 </w:t>
      </w:r>
      <w:r>
        <w:rPr>
          <w:rFonts w:hint="eastAsia"/>
        </w:rPr>
        <w:t>抽样</w:t>
      </w:r>
    </w:p>
    <w:p>
      <w:pPr>
        <w:pStyle w:val="52"/>
        <w:numPr>
          <w:ilvl w:val="0"/>
          <w:numId w:val="0"/>
        </w:numPr>
        <w:spacing w:beforeLines="0" w:afterLines="0"/>
        <w:ind w:firstLine="420" w:firstLineChars="200"/>
        <w:outlineLvl w:val="9"/>
        <w:rPr>
          <w:rFonts w:ascii="Times New Roman" w:eastAsia="宋体"/>
          <w:kern w:val="2"/>
          <w:szCs w:val="20"/>
        </w:rPr>
      </w:pPr>
      <w:r>
        <w:rPr>
          <w:rFonts w:hint="eastAsia" w:ascii="Times New Roman" w:eastAsia="宋体"/>
          <w:kern w:val="2"/>
          <w:szCs w:val="20"/>
        </w:rPr>
        <w:t>按</w:t>
      </w:r>
      <w:r>
        <w:rPr>
          <w:rFonts w:hint="eastAsia" w:ascii="Times New Roman" w:eastAsia="宋体"/>
          <w:kern w:val="2"/>
          <w:szCs w:val="20"/>
          <w:lang w:val="en-US" w:eastAsia="zh-CN"/>
        </w:rPr>
        <w:t>照</w:t>
      </w:r>
      <w:r>
        <w:rPr>
          <w:rFonts w:hint="eastAsia" w:ascii="Times New Roman" w:eastAsia="宋体"/>
          <w:kern w:val="2"/>
          <w:szCs w:val="20"/>
        </w:rPr>
        <w:t>GB/T 10650规定的方法执行</w:t>
      </w:r>
      <w:r>
        <w:rPr>
          <w:rFonts w:ascii="Times New Roman" w:eastAsia="宋体"/>
          <w:kern w:val="2"/>
          <w:szCs w:val="20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>9.3 交收</w:t>
      </w:r>
      <w:r>
        <w:rPr>
          <w:rFonts w:hint="eastAsia"/>
        </w:rPr>
        <w:t>检验</w:t>
      </w:r>
    </w:p>
    <w:p>
      <w:pPr>
        <w:pStyle w:val="22"/>
        <w:rPr>
          <w:rFonts w:hint="eastAsia" w:ascii="Times New Roman" w:eastAsia="宋体"/>
          <w:kern w:val="2"/>
          <w:lang w:eastAsia="zh-CN"/>
        </w:rPr>
      </w:pPr>
      <w:r>
        <w:rPr>
          <w:rFonts w:hint="eastAsia" w:ascii="Times New Roman"/>
          <w:kern w:val="2"/>
        </w:rPr>
        <w:t>每批产品交收前应进行交收检验，交收检验项目包括包装、标志、标签、感官要求及可溶性固形物， 检验合格方可交收</w:t>
      </w:r>
      <w:r>
        <w:rPr>
          <w:rFonts w:hint="eastAsia" w:ascii="Times New Roman"/>
          <w:kern w:val="2"/>
          <w:lang w:eastAsia="zh-C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9.4 </w:t>
      </w:r>
      <w:r>
        <w:rPr>
          <w:rFonts w:hint="eastAsia"/>
        </w:rPr>
        <w:t>型式检验</w:t>
      </w:r>
    </w:p>
    <w:p>
      <w:pPr>
        <w:pStyle w:val="22"/>
      </w:pPr>
      <w:r>
        <w:rPr>
          <w:rFonts w:hint="eastAsia"/>
          <w:kern w:val="2"/>
        </w:rPr>
        <w:t>型式检验项目为本文件规定的全部指标。</w:t>
      </w:r>
      <w:r>
        <w:rPr>
          <w:rFonts w:hint="eastAsia"/>
        </w:rPr>
        <w:t>有下列情形之一时，应进行型式检验：</w:t>
      </w:r>
    </w:p>
    <w:p>
      <w:pPr>
        <w:pStyle w:val="123"/>
        <w:numPr>
          <w:ilvl w:val="0"/>
          <w:numId w:val="10"/>
        </w:numPr>
        <w:rPr>
          <w:rFonts w:ascii="Times New Roman"/>
        </w:rPr>
      </w:pPr>
      <w:r>
        <w:rPr>
          <w:rFonts w:hint="eastAsia" w:ascii="Times New Roman"/>
        </w:rPr>
        <w:t>每年采摘初期</w:t>
      </w:r>
      <w:r>
        <w:rPr>
          <w:rFonts w:hint="eastAsia" w:ascii="Times New Roman"/>
          <w:lang w:eastAsia="zh-CN"/>
        </w:rPr>
        <w:t>；</w:t>
      </w:r>
    </w:p>
    <w:p>
      <w:pPr>
        <w:pStyle w:val="123"/>
        <w:numPr>
          <w:ilvl w:val="0"/>
          <w:numId w:val="10"/>
        </w:numPr>
        <w:rPr>
          <w:rFonts w:ascii="Times New Roman"/>
        </w:rPr>
      </w:pPr>
      <w:r>
        <w:rPr>
          <w:rFonts w:ascii="Times New Roman"/>
        </w:rPr>
        <w:t>前后两次抽样检验结果差异较大；</w:t>
      </w:r>
    </w:p>
    <w:p>
      <w:pPr>
        <w:pStyle w:val="123"/>
        <w:numPr>
          <w:ilvl w:val="0"/>
          <w:numId w:val="10"/>
        </w:numPr>
        <w:rPr>
          <w:rFonts w:ascii="Times New Roman"/>
        </w:rPr>
      </w:pPr>
      <w:r>
        <w:rPr>
          <w:rFonts w:ascii="Times New Roman"/>
        </w:rPr>
        <w:t>人为或自然因素造成生产环境发生较大变化；</w:t>
      </w:r>
    </w:p>
    <w:p>
      <w:pPr>
        <w:pStyle w:val="123"/>
        <w:numPr>
          <w:ilvl w:val="0"/>
          <w:numId w:val="10"/>
        </w:numPr>
        <w:rPr>
          <w:rFonts w:ascii="Times New Roman"/>
        </w:rPr>
      </w:pPr>
      <w:r>
        <w:t>监管机构或主管部门提出型式检验要求。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9.5 </w:t>
      </w:r>
      <w:r>
        <w:rPr>
          <w:rFonts w:hint="eastAsia"/>
        </w:rPr>
        <w:t>判定规则</w:t>
      </w:r>
    </w:p>
    <w:p>
      <w:pPr>
        <w:pStyle w:val="81"/>
        <w:numPr>
          <w:ilvl w:val="2"/>
          <w:numId w:val="0"/>
        </w:numPr>
        <w:ind w:leftChars="0"/>
        <w:rPr>
          <w:rFonts w:ascii="Times New Roman"/>
        </w:rPr>
      </w:pPr>
      <w:r>
        <w:rPr>
          <w:rFonts w:hint="eastAsia" w:ascii="黑体" w:hAnsi="黑体" w:eastAsia="黑体" w:cs="黑体"/>
          <w:lang w:val="en-US" w:eastAsia="zh-CN"/>
        </w:rPr>
        <w:t>9.5.1</w:t>
      </w:r>
      <w:r>
        <w:rPr>
          <w:rFonts w:hint="eastAsia" w:ascii="Times New Roman"/>
          <w:lang w:val="en-US" w:eastAsia="zh-CN"/>
        </w:rPr>
        <w:t xml:space="preserve"> </w:t>
      </w:r>
      <w:r>
        <w:rPr>
          <w:rFonts w:ascii="Times New Roman"/>
        </w:rPr>
        <w:t>本文件</w:t>
      </w:r>
      <w:r>
        <w:rPr>
          <w:rFonts w:hint="eastAsia" w:ascii="Times New Roman"/>
          <w:lang w:val="en-US" w:eastAsia="zh-CN"/>
        </w:rPr>
        <w:t>7</w:t>
      </w:r>
      <w:r>
        <w:rPr>
          <w:rFonts w:ascii="Times New Roman"/>
        </w:rPr>
        <w:t>所规定的质量要求全部项目</w:t>
      </w:r>
      <w:r>
        <w:rPr>
          <w:rFonts w:hint="eastAsia" w:ascii="Times New Roman"/>
        </w:rPr>
        <w:t>符合要求</w:t>
      </w:r>
      <w:r>
        <w:rPr>
          <w:rFonts w:ascii="Times New Roman"/>
        </w:rPr>
        <w:t>，</w:t>
      </w:r>
      <w:r>
        <w:rPr>
          <w:rFonts w:hint="eastAsia" w:ascii="Times New Roman"/>
        </w:rPr>
        <w:t>则判定</w:t>
      </w:r>
      <w:r>
        <w:rPr>
          <w:rFonts w:ascii="Times New Roman"/>
        </w:rPr>
        <w:t>为合格。</w:t>
      </w:r>
    </w:p>
    <w:p>
      <w:pPr>
        <w:pStyle w:val="81"/>
        <w:numPr>
          <w:ilvl w:val="2"/>
          <w:numId w:val="0"/>
        </w:numPr>
        <w:ind w:leftChars="0"/>
        <w:rPr>
          <w:rFonts w:ascii="Times New Roman"/>
        </w:rPr>
      </w:pPr>
      <w:r>
        <w:rPr>
          <w:rFonts w:hint="eastAsia" w:ascii="黑体" w:hAnsi="黑体" w:eastAsia="黑体" w:cs="黑体"/>
          <w:lang w:val="en-US" w:eastAsia="zh-CN"/>
        </w:rPr>
        <w:t>9.5.2</w:t>
      </w:r>
      <w:r>
        <w:rPr>
          <w:rFonts w:hint="eastAsia" w:ascii="Times New Roman"/>
          <w:lang w:val="en-US" w:eastAsia="zh-CN"/>
        </w:rPr>
        <w:t xml:space="preserve"> </w:t>
      </w:r>
      <w:r>
        <w:rPr>
          <w:rFonts w:hint="eastAsia" w:ascii="Times New Roman"/>
        </w:rPr>
        <w:t>安全指标有一项不合格，则判定为不合格，</w:t>
      </w:r>
      <w:r>
        <w:rPr>
          <w:rFonts w:hint="eastAsia" w:ascii="Times New Roman"/>
          <w:lang w:val="en-US" w:eastAsia="zh-CN"/>
        </w:rPr>
        <w:t>且</w:t>
      </w:r>
      <w:r>
        <w:rPr>
          <w:rFonts w:hint="eastAsia" w:ascii="Times New Roman"/>
        </w:rPr>
        <w:t>不得复检</w:t>
      </w:r>
      <w:r>
        <w:rPr>
          <w:rFonts w:ascii="Times New Roman"/>
        </w:rPr>
        <w:t>。</w:t>
      </w:r>
    </w:p>
    <w:p>
      <w:pPr>
        <w:pStyle w:val="81"/>
        <w:numPr>
          <w:ilvl w:val="2"/>
          <w:numId w:val="0"/>
        </w:numPr>
        <w:ind w:leftChars="0"/>
        <w:rPr>
          <w:rFonts w:ascii="Times New Roman"/>
        </w:rPr>
      </w:pPr>
      <w:r>
        <w:rPr>
          <w:rFonts w:hint="eastAsia" w:ascii="黑体" w:hAnsi="黑体" w:eastAsia="黑体" w:cs="黑体"/>
          <w:lang w:val="en-US" w:eastAsia="zh-CN"/>
        </w:rPr>
        <w:t xml:space="preserve">9.5.3 </w:t>
      </w:r>
      <w:r>
        <w:rPr>
          <w:rFonts w:ascii="Times New Roman"/>
        </w:rPr>
        <w:t>本文件</w:t>
      </w:r>
      <w:r>
        <w:rPr>
          <w:rFonts w:hint="eastAsia" w:ascii="Times New Roman"/>
          <w:lang w:val="en-US" w:eastAsia="zh-CN"/>
        </w:rPr>
        <w:t>7.1和7.2</w:t>
      </w:r>
      <w:r>
        <w:rPr>
          <w:rFonts w:ascii="Times New Roman"/>
        </w:rPr>
        <w:t>中的任一项目不合格，允许在同批产品中加倍抽样复检，以复检结果为准。</w:t>
      </w:r>
    </w:p>
    <w:p>
      <w:pPr>
        <w:pStyle w:val="55"/>
        <w:numPr>
          <w:ilvl w:val="0"/>
          <w:numId w:val="0"/>
        </w:numPr>
        <w:spacing w:before="312" w:after="312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10 </w:t>
      </w:r>
      <w:r>
        <w:rPr>
          <w:rFonts w:hint="eastAsia"/>
        </w:rPr>
        <w:t>标志、</w:t>
      </w:r>
      <w:r>
        <w:rPr>
          <w:rFonts w:hint="eastAsia"/>
          <w:lang w:val="en-US" w:eastAsia="zh-CN"/>
        </w:rPr>
        <w:t>标签、</w:t>
      </w:r>
      <w:r>
        <w:rPr>
          <w:rFonts w:hint="eastAsia"/>
        </w:rPr>
        <w:t>包装、运输和贮藏</w:t>
      </w:r>
    </w:p>
    <w:p>
      <w:pPr>
        <w:pStyle w:val="52"/>
        <w:numPr>
          <w:ilvl w:val="1"/>
          <w:numId w:val="0"/>
        </w:numPr>
        <w:spacing w:before="156" w:after="156"/>
        <w:ind w:leftChars="0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 xml:space="preserve">10.1 </w:t>
      </w:r>
      <w:r>
        <w:rPr>
          <w:rFonts w:hint="eastAsia"/>
        </w:rPr>
        <w:t>标志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标签</w:t>
      </w:r>
    </w:p>
    <w:p>
      <w:pPr>
        <w:pStyle w:val="22"/>
        <w:rPr>
          <w:rFonts w:ascii="Times New Roman"/>
        </w:rPr>
      </w:pPr>
      <w:r>
        <w:rPr>
          <w:rFonts w:ascii="Times New Roman"/>
        </w:rPr>
        <w:t>获准使用地理标志产品专用标志的生产者，应按照《地理标志专用标志使用管理办法》</w:t>
      </w:r>
      <w:r>
        <w:rPr>
          <w:rFonts w:hint="eastAsia" w:ascii="Times New Roman"/>
        </w:rPr>
        <w:t>和</w:t>
      </w:r>
      <w:r>
        <w:rPr>
          <w:rFonts w:ascii="Times New Roman"/>
        </w:rPr>
        <w:t>GB/T</w:t>
      </w:r>
      <w:r>
        <w:rPr>
          <w:rFonts w:hint="eastAsia" w:ascii="Times New Roman"/>
        </w:rPr>
        <w:t xml:space="preserve"> 17924</w:t>
      </w:r>
      <w:r>
        <w:rPr>
          <w:rFonts w:ascii="Times New Roman"/>
        </w:rPr>
        <w:t>的</w:t>
      </w:r>
      <w:r>
        <w:rPr>
          <w:rFonts w:hint="eastAsia" w:ascii="Times New Roman"/>
          <w:lang w:val="en-US" w:eastAsia="zh-CN"/>
        </w:rPr>
        <w:t>规定</w:t>
      </w:r>
      <w:r>
        <w:rPr>
          <w:rFonts w:ascii="Times New Roman"/>
        </w:rPr>
        <w:t>使用地理标志专用标志。</w:t>
      </w:r>
      <w:r>
        <w:rPr>
          <w:rFonts w:hint="eastAsia" w:ascii="Times New Roman"/>
          <w:lang w:val="en-US" w:eastAsia="zh-CN"/>
        </w:rPr>
        <w:t>标签</w:t>
      </w:r>
      <w:r>
        <w:rPr>
          <w:rFonts w:hint="eastAsia" w:ascii="Times New Roman"/>
        </w:rPr>
        <w:t>应符合GB/T 191</w:t>
      </w:r>
      <w:r>
        <w:rPr>
          <w:rFonts w:hint="eastAsia" w:ascii="Times New Roman"/>
          <w:lang w:eastAsia="zh-CN"/>
        </w:rPr>
        <w:t>、</w:t>
      </w:r>
      <w:r>
        <w:rPr>
          <w:rFonts w:ascii="Times New Roman"/>
        </w:rPr>
        <w:t xml:space="preserve">GB </w:t>
      </w:r>
      <w:r>
        <w:rPr>
          <w:rFonts w:hint="eastAsia" w:ascii="Times New Roman"/>
        </w:rPr>
        <w:t>7718</w:t>
      </w:r>
      <w:r>
        <w:rPr>
          <w:rFonts w:hint="eastAsia" w:ascii="Times New Roman"/>
          <w:lang w:val="en-US" w:eastAsia="zh-CN"/>
        </w:rPr>
        <w:t>和</w:t>
      </w:r>
      <w:r>
        <w:rPr>
          <w:rFonts w:hint="eastAsia" w:ascii="Times New Roman"/>
        </w:rPr>
        <w:t>N</w:t>
      </w:r>
      <w:r>
        <w:rPr>
          <w:rFonts w:ascii="Times New Roman"/>
        </w:rPr>
        <w:t>Y/T 17</w:t>
      </w:r>
      <w:r>
        <w:rPr>
          <w:rFonts w:hint="eastAsia" w:ascii="Times New Roman"/>
        </w:rPr>
        <w:t>78的规定</w:t>
      </w:r>
      <w:r>
        <w:rPr>
          <w:rFonts w:ascii="Times New Roman"/>
        </w:rPr>
        <w:t>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10.2 </w:t>
      </w:r>
      <w:r>
        <w:rPr>
          <w:rFonts w:hint="eastAsia"/>
        </w:rPr>
        <w:t>包装</w:t>
      </w:r>
    </w:p>
    <w:p>
      <w:pPr>
        <w:pStyle w:val="22"/>
        <w:ind w:left="0" w:leftChars="0" w:firstLine="420" w:firstLineChars="200"/>
        <w:rPr>
          <w:rFonts w:ascii="Times New Roman"/>
        </w:rPr>
      </w:pPr>
      <w:r>
        <w:rPr>
          <w:rFonts w:hint="eastAsia" w:ascii="Times New Roman"/>
          <w:lang w:val="en-US" w:eastAsia="zh-CN"/>
        </w:rPr>
        <w:t>应在青梨表面套上塑料泡沫网袋，用纸箱包装，包装箱上留通气孔。用于产品包装的容器应整洁、干燥、牢固、透气、无污染、无异味，内壁无尖突物。包装纸箱应符合GB/T 6543要求。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10.3 </w:t>
      </w:r>
      <w:r>
        <w:rPr>
          <w:rFonts w:hint="eastAsia"/>
        </w:rPr>
        <w:t>运输</w:t>
      </w:r>
    </w:p>
    <w:p>
      <w:pPr>
        <w:pStyle w:val="22"/>
        <w:ind w:left="0" w:leftChars="0" w:firstLine="420" w:firstLineChars="200"/>
      </w:pPr>
      <w:r>
        <w:rPr>
          <w:rFonts w:hint="eastAsia"/>
        </w:rPr>
        <w:t>运输应快捷，装卸时应轻拿轻放</w:t>
      </w:r>
      <w:r>
        <w:rPr>
          <w:rFonts w:hint="eastAsia"/>
          <w:lang w:eastAsia="zh-CN"/>
        </w:rPr>
        <w:t>。</w:t>
      </w:r>
      <w:r>
        <w:rPr>
          <w:rFonts w:hint="eastAsia"/>
        </w:rPr>
        <w:t>运输设备应清洁卫生、无异味，有防雨、防晒、防高温和防冻害设施。不应与有毒、有异味物品混 装、混运。长途运输时宜使用具冷藏条件的设备。</w:t>
      </w:r>
    </w:p>
    <w:p>
      <w:pPr>
        <w:pStyle w:val="52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 xml:space="preserve">10.4 </w:t>
      </w:r>
      <w:r>
        <w:rPr>
          <w:rFonts w:hint="eastAsia"/>
        </w:rPr>
        <w:t>贮藏</w:t>
      </w:r>
    </w:p>
    <w:p>
      <w:pPr>
        <w:pStyle w:val="22"/>
        <w:rPr>
          <w:rFonts w:hint="eastAsia"/>
        </w:rPr>
      </w:pPr>
      <w:r>
        <w:rPr>
          <w:rFonts w:hint="eastAsia" w:hAnsi="宋体" w:cs="宋体"/>
        </w:rPr>
        <w:t>贮藏</w:t>
      </w:r>
      <w:r>
        <w:rPr>
          <w:rFonts w:hint="eastAsia"/>
        </w:rPr>
        <w:t>场所应清洁、</w:t>
      </w:r>
      <w:r>
        <w:rPr>
          <w:rFonts w:hint="eastAsia" w:ascii="Times New Roman"/>
        </w:rPr>
        <w:t>卫生、</w:t>
      </w:r>
      <w:r>
        <w:rPr>
          <w:rFonts w:hint="eastAsia"/>
        </w:rPr>
        <w:t>通风、干燥、无异味</w:t>
      </w:r>
      <w:r>
        <w:rPr>
          <w:rFonts w:hint="eastAsia"/>
          <w:lang w:eastAsia="zh-CN"/>
        </w:rPr>
        <w:t>，</w:t>
      </w:r>
      <w:r>
        <w:rPr>
          <w:rFonts w:hint="eastAsia" w:ascii="Times New Roman"/>
        </w:rPr>
        <w:t>有通风换气条件</w:t>
      </w:r>
      <w:r>
        <w:rPr>
          <w:rFonts w:hint="eastAsia"/>
        </w:rPr>
        <w:t>。产品不应与有毒、有害和易于传播病虫的物品混合存放。入库产品应批次分明，堆码整齐。</w:t>
      </w:r>
    </w:p>
    <w:p>
      <w:pPr>
        <w:pStyle w:val="22"/>
        <w:ind w:left="0" w:leftChars="0" w:firstLine="0" w:firstLineChars="0"/>
      </w:pPr>
    </w:p>
    <w:p>
      <w:pPr>
        <w:pStyle w:val="106"/>
      </w:pPr>
      <w:r>
        <w:br w:type="textWrapping"/>
      </w:r>
      <w:r>
        <w:rPr>
          <w:rFonts w:hint="eastAsia"/>
        </w:rPr>
        <w:t>（规范性）</w:t>
      </w:r>
      <w:r>
        <w:br w:type="textWrapping"/>
      </w:r>
      <w:r>
        <w:rPr>
          <w:rFonts w:hint="eastAsia"/>
        </w:rPr>
        <w:t>地理标志产品</w:t>
      </w:r>
      <w:r>
        <w:rPr>
          <w:rFonts w:hint="eastAsia"/>
          <w:lang w:eastAsia="zh-CN"/>
        </w:rPr>
        <w:t>吴堡青梨</w:t>
      </w:r>
      <w:r>
        <w:rPr>
          <w:rFonts w:hint="eastAsia"/>
        </w:rPr>
        <w:t>保护范围图</w:t>
      </w:r>
    </w:p>
    <w:p>
      <w:pPr>
        <w:pStyle w:val="22"/>
        <w:ind w:firstLine="630" w:firstLineChars="300"/>
        <w:jc w:val="left"/>
        <w:rPr>
          <w:rFonts w:ascii="Times New Roman"/>
        </w:rPr>
      </w:pPr>
      <w:r>
        <w:rPr>
          <w:rFonts w:ascii="Times New Roman"/>
        </w:rPr>
        <w:t>地理标志产品</w:t>
      </w:r>
      <w:r>
        <w:rPr>
          <w:rFonts w:hint="eastAsia" w:ascii="Times New Roman"/>
        </w:rPr>
        <w:t>吴堡青梨</w:t>
      </w:r>
      <w:r>
        <w:rPr>
          <w:rFonts w:ascii="Times New Roman"/>
        </w:rPr>
        <w:t>保护范围见图A.1</w:t>
      </w:r>
    </w:p>
    <w:p>
      <w:pPr>
        <w:pStyle w:val="22"/>
        <w:ind w:firstLine="0" w:firstLineChars="0"/>
        <w:jc w:val="center"/>
      </w:pPr>
    </w:p>
    <w:p>
      <w:pPr>
        <w:pStyle w:val="22"/>
        <w:ind w:firstLine="0" w:firstLineChars="0"/>
        <w:jc w:val="center"/>
      </w:pPr>
    </w:p>
    <w:p>
      <w:pPr>
        <w:pStyle w:val="22"/>
        <w:ind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33440" cy="3335655"/>
            <wp:effectExtent l="0" t="0" r="10160" b="4445"/>
            <wp:docPr id="1" name="图片 1" descr="d2bb29a33ed9d23c63da65388cec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bb29a33ed9d23c63da65388cec7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</w:pPr>
    </w:p>
    <w:p>
      <w:pPr>
        <w:pStyle w:val="22"/>
        <w:ind w:firstLine="0" w:firstLineChars="0"/>
        <w:jc w:val="center"/>
      </w:pPr>
    </w:p>
    <w:p>
      <w:pPr>
        <w:pStyle w:val="22"/>
        <w:ind w:firstLine="0" w:firstLineChars="0"/>
        <w:jc w:val="center"/>
      </w:pPr>
    </w:p>
    <w:p>
      <w:pPr>
        <w:pStyle w:val="115"/>
        <w:numPr>
          <w:ilvl w:val="0"/>
          <w:numId w:val="0"/>
        </w:numPr>
        <w:spacing w:before="156" w:after="156"/>
        <w:ind w:firstLine="2730" w:firstLineChars="1300"/>
        <w:jc w:val="both"/>
      </w:pPr>
      <w:r>
        <w:rPr>
          <w:rFonts w:hint="eastAsia"/>
        </w:rPr>
        <w:t>图A.1  地理标志产品</w:t>
      </w:r>
      <w:r>
        <w:rPr>
          <w:rFonts w:hint="eastAsia"/>
          <w:lang w:val="en-US" w:eastAsia="zh-CN"/>
        </w:rPr>
        <w:t>吴堡青梨</w:t>
      </w:r>
      <w:r>
        <w:rPr>
          <w:rFonts w:hint="eastAsia"/>
        </w:rPr>
        <w:t>保护范围</w:t>
      </w:r>
    </w:p>
    <w:p>
      <w:pPr>
        <w:pStyle w:val="22"/>
        <w:ind w:firstLine="1260" w:firstLineChars="600"/>
      </w:pPr>
      <w:r>
        <w:pict>
          <v:line id="_x0000_s1042" o:spid="_x0000_s1042" o:spt="20" style="position:absolute;left:0pt;margin-left:157.5pt;margin-top:17.95pt;height:0.9pt;width:164.4pt;z-index:251664384;mso-width-relative:page;mso-height-relative:page;" filled="t" coordsize="21600,21600">
            <v:path arrowok="t"/>
            <v:fill on="t" focussize="0,0"/>
            <v:stroke/>
            <v:imagedata o:title=""/>
            <o:lock v:ext="edit"/>
          </v:line>
        </w:pict>
      </w:r>
    </w:p>
    <w:sectPr>
      <w:pgSz w:w="11906" w:h="16838"/>
      <w:pgMar w:top="567" w:right="1134" w:bottom="1134" w:left="1418" w:header="1418" w:footer="1134" w:gutter="0"/>
      <w:pgNumType w:start="1"/>
      <w:cols w:space="720" w:num="1"/>
      <w:formProt w:val="0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D3C3E8D-F1EC-4416-8F2A-A99E430ADDC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95E3B16-A6B5-44BF-AA6C-9F17FF62C4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CA0E5C2-403A-47CB-A79C-1E448882A3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72E9A63-AD90-4D56-96B4-F7EBAF5843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C532933-D21B-49DB-8A76-C01CEB6600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5B39B56-BA26-4672-A2CF-98ED26F512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F29ED52-75E1-48FF-9802-53DC112A78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7EC1B5DD-C64A-4AB4-A50C-84656A178E3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  <w:embedRegular r:id="rId9" w:fontKey="{B58B1D10-5F05-48E9-AC78-B38650D751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3"/>
    </w:pPr>
    <w:r>
      <w:fldChar w:fldCharType="begin"/>
    </w:r>
    <w:r>
      <w:instrText xml:space="preserve"> PAGE  \* MERGEFORMAT </w:instrText>
    </w:r>
    <w:r>
      <w:fldChar w:fldCharType="separate"/>
    </w:r>
    <w:r>
      <w:t>I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7"/>
    </w:pPr>
    <w:r>
      <w:t>DB61/</w:t>
    </w:r>
    <w:r>
      <w:rPr>
        <w:rFonts w:hint="eastAsia"/>
      </w:rPr>
      <w:t>T</w:t>
    </w:r>
    <w:r>
      <w:t xml:space="preserve"> XXXXX—XXXX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167087"/>
    <w:multiLevelType w:val="multilevel"/>
    <w:tmpl w:val="FA167087"/>
    <w:lvl w:ilvl="0" w:tentative="0">
      <w:start w:val="1"/>
      <w:numFmt w:val="lowerLetter"/>
      <w:pStyle w:val="123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pStyle w:val="91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pStyle w:val="107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">
    <w:nsid w:val="1DBF583A"/>
    <w:multiLevelType w:val="multilevel"/>
    <w:tmpl w:val="1DBF583A"/>
    <w:lvl w:ilvl="0" w:tentative="0">
      <w:start w:val="1"/>
      <w:numFmt w:val="decimal"/>
      <w:pStyle w:val="100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2">
    <w:nsid w:val="1F3032EE"/>
    <w:multiLevelType w:val="multilevel"/>
    <w:tmpl w:val="1F3032EE"/>
    <w:lvl w:ilvl="0" w:tentative="0">
      <w:start w:val="1"/>
      <w:numFmt w:val="lowerLetter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3">
    <w:nsid w:val="1FC91163"/>
    <w:multiLevelType w:val="multilevel"/>
    <w:tmpl w:val="1FC91163"/>
    <w:lvl w:ilvl="0" w:tentative="0">
      <w:start w:val="1"/>
      <w:numFmt w:val="decimal"/>
      <w:pStyle w:val="55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52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51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78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82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93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4">
    <w:nsid w:val="2A8F7113"/>
    <w:multiLevelType w:val="multilevel"/>
    <w:tmpl w:val="2A8F7113"/>
    <w:lvl w:ilvl="0" w:tentative="0">
      <w:start w:val="1"/>
      <w:numFmt w:val="upperLetter"/>
      <w:pStyle w:val="113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115"/>
      <w:suff w:val="nothing"/>
      <w:lvlText w:val="图%1.%2　"/>
      <w:lvlJc w:val="left"/>
      <w:pPr>
        <w:ind w:left="67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5">
    <w:nsid w:val="2C5917C3"/>
    <w:multiLevelType w:val="multilevel"/>
    <w:tmpl w:val="2C5917C3"/>
    <w:lvl w:ilvl="0" w:tentative="0">
      <w:start w:val="1"/>
      <w:numFmt w:val="none"/>
      <w:pStyle w:val="84"/>
      <w:suff w:val="nothing"/>
      <w:lvlText w:val="%1——"/>
      <w:lvlJc w:val="left"/>
      <w:pPr>
        <w:ind w:left="833" w:hanging="408"/>
      </w:pPr>
      <w:rPr>
        <w:rFonts w:hint="eastAsia"/>
      </w:rPr>
    </w:lvl>
    <w:lvl w:ilvl="1" w:tentative="0">
      <w:start w:val="1"/>
      <w:numFmt w:val="bullet"/>
      <w:pStyle w:val="53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49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6">
    <w:nsid w:val="3D733618"/>
    <w:multiLevelType w:val="multilevel"/>
    <w:tmpl w:val="3D733618"/>
    <w:lvl w:ilvl="0" w:tentative="0">
      <w:start w:val="1"/>
      <w:numFmt w:val="decimal"/>
      <w:pStyle w:val="23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7">
    <w:nsid w:val="60B55DC2"/>
    <w:multiLevelType w:val="multilevel"/>
    <w:tmpl w:val="60B55DC2"/>
    <w:lvl w:ilvl="0" w:tentative="0">
      <w:start w:val="1"/>
      <w:numFmt w:val="upperLetter"/>
      <w:pStyle w:val="118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69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8">
    <w:nsid w:val="657D3FBC"/>
    <w:multiLevelType w:val="multilevel"/>
    <w:tmpl w:val="657D3FBC"/>
    <w:lvl w:ilvl="0" w:tentative="0">
      <w:start w:val="1"/>
      <w:numFmt w:val="upperLetter"/>
      <w:pStyle w:val="106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pStyle w:val="64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pStyle w:val="121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62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61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60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9">
    <w:nsid w:val="6D6C07CD"/>
    <w:multiLevelType w:val="multilevel"/>
    <w:tmpl w:val="6D6C07CD"/>
    <w:lvl w:ilvl="0" w:tentative="0">
      <w:start w:val="1"/>
      <w:numFmt w:val="lowerLetter"/>
      <w:pStyle w:val="110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76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A4NzIyN2MxYTlmMzQ1NGE2MjU5NWRkMjhlOGMxYTAifQ=="/>
  </w:docVars>
  <w:rsids>
    <w:rsidRoot w:val="00035925"/>
    <w:rsid w:val="00000244"/>
    <w:rsid w:val="00000301"/>
    <w:rsid w:val="0000185F"/>
    <w:rsid w:val="0000586F"/>
    <w:rsid w:val="0001047C"/>
    <w:rsid w:val="00012DA2"/>
    <w:rsid w:val="00013D86"/>
    <w:rsid w:val="00013E02"/>
    <w:rsid w:val="0002143C"/>
    <w:rsid w:val="00023A26"/>
    <w:rsid w:val="000253CA"/>
    <w:rsid w:val="00025A65"/>
    <w:rsid w:val="0002620F"/>
    <w:rsid w:val="00026C31"/>
    <w:rsid w:val="00027280"/>
    <w:rsid w:val="000320A7"/>
    <w:rsid w:val="000323DC"/>
    <w:rsid w:val="00035925"/>
    <w:rsid w:val="00042B11"/>
    <w:rsid w:val="00043438"/>
    <w:rsid w:val="00046889"/>
    <w:rsid w:val="00067CDF"/>
    <w:rsid w:val="00074FBE"/>
    <w:rsid w:val="00080C6E"/>
    <w:rsid w:val="00083A09"/>
    <w:rsid w:val="0009005E"/>
    <w:rsid w:val="00092857"/>
    <w:rsid w:val="00093F6F"/>
    <w:rsid w:val="00096FB4"/>
    <w:rsid w:val="00097041"/>
    <w:rsid w:val="000A0ED4"/>
    <w:rsid w:val="000A20A9"/>
    <w:rsid w:val="000A48B1"/>
    <w:rsid w:val="000B0BDE"/>
    <w:rsid w:val="000B3143"/>
    <w:rsid w:val="000B4362"/>
    <w:rsid w:val="000B741C"/>
    <w:rsid w:val="000C6B05"/>
    <w:rsid w:val="000C6DD6"/>
    <w:rsid w:val="000C73D4"/>
    <w:rsid w:val="000D3D4C"/>
    <w:rsid w:val="000D49BF"/>
    <w:rsid w:val="000D4F51"/>
    <w:rsid w:val="000D718B"/>
    <w:rsid w:val="000E0C46"/>
    <w:rsid w:val="000F0213"/>
    <w:rsid w:val="000F030C"/>
    <w:rsid w:val="000F129C"/>
    <w:rsid w:val="00100904"/>
    <w:rsid w:val="001056DE"/>
    <w:rsid w:val="001061C4"/>
    <w:rsid w:val="001124C0"/>
    <w:rsid w:val="00117568"/>
    <w:rsid w:val="0012285C"/>
    <w:rsid w:val="0013175F"/>
    <w:rsid w:val="00137377"/>
    <w:rsid w:val="00146694"/>
    <w:rsid w:val="0014759F"/>
    <w:rsid w:val="001512B4"/>
    <w:rsid w:val="001620A5"/>
    <w:rsid w:val="00162796"/>
    <w:rsid w:val="00164E53"/>
    <w:rsid w:val="0016699D"/>
    <w:rsid w:val="001724B9"/>
    <w:rsid w:val="00172B2C"/>
    <w:rsid w:val="00175159"/>
    <w:rsid w:val="00175D61"/>
    <w:rsid w:val="00176208"/>
    <w:rsid w:val="0018211B"/>
    <w:rsid w:val="001840D3"/>
    <w:rsid w:val="001900F8"/>
    <w:rsid w:val="00191258"/>
    <w:rsid w:val="00192680"/>
    <w:rsid w:val="00193037"/>
    <w:rsid w:val="00193A2C"/>
    <w:rsid w:val="001A1846"/>
    <w:rsid w:val="001A288E"/>
    <w:rsid w:val="001B3BD6"/>
    <w:rsid w:val="001B6DC2"/>
    <w:rsid w:val="001C0292"/>
    <w:rsid w:val="001C149C"/>
    <w:rsid w:val="001C21AC"/>
    <w:rsid w:val="001C47BA"/>
    <w:rsid w:val="001C59EA"/>
    <w:rsid w:val="001D406C"/>
    <w:rsid w:val="001D41EE"/>
    <w:rsid w:val="001D6822"/>
    <w:rsid w:val="001E0380"/>
    <w:rsid w:val="001E13B1"/>
    <w:rsid w:val="001E7411"/>
    <w:rsid w:val="001F3A19"/>
    <w:rsid w:val="001F55D1"/>
    <w:rsid w:val="00202199"/>
    <w:rsid w:val="00203D77"/>
    <w:rsid w:val="002106B9"/>
    <w:rsid w:val="00210C33"/>
    <w:rsid w:val="00212600"/>
    <w:rsid w:val="00224921"/>
    <w:rsid w:val="00234467"/>
    <w:rsid w:val="00237D8D"/>
    <w:rsid w:val="00241028"/>
    <w:rsid w:val="00241DA2"/>
    <w:rsid w:val="0024624F"/>
    <w:rsid w:val="00247FEE"/>
    <w:rsid w:val="00250E7D"/>
    <w:rsid w:val="00253FBA"/>
    <w:rsid w:val="002565D5"/>
    <w:rsid w:val="0025737D"/>
    <w:rsid w:val="002622C0"/>
    <w:rsid w:val="00265531"/>
    <w:rsid w:val="002658A0"/>
    <w:rsid w:val="002738F3"/>
    <w:rsid w:val="00276FF9"/>
    <w:rsid w:val="002778AE"/>
    <w:rsid w:val="0028269A"/>
    <w:rsid w:val="00283590"/>
    <w:rsid w:val="00286973"/>
    <w:rsid w:val="00290080"/>
    <w:rsid w:val="00294E70"/>
    <w:rsid w:val="002A1924"/>
    <w:rsid w:val="002A2F3B"/>
    <w:rsid w:val="002A30D5"/>
    <w:rsid w:val="002A594F"/>
    <w:rsid w:val="002A7420"/>
    <w:rsid w:val="002B0F12"/>
    <w:rsid w:val="002B1308"/>
    <w:rsid w:val="002B4554"/>
    <w:rsid w:val="002C72D8"/>
    <w:rsid w:val="002D02F9"/>
    <w:rsid w:val="002D11FA"/>
    <w:rsid w:val="002D4CE3"/>
    <w:rsid w:val="002E0DDF"/>
    <w:rsid w:val="002E2906"/>
    <w:rsid w:val="002E49E3"/>
    <w:rsid w:val="002E5635"/>
    <w:rsid w:val="002E64C3"/>
    <w:rsid w:val="002E6A2C"/>
    <w:rsid w:val="002F1D8C"/>
    <w:rsid w:val="002F21DA"/>
    <w:rsid w:val="00301D97"/>
    <w:rsid w:val="00301F39"/>
    <w:rsid w:val="00302196"/>
    <w:rsid w:val="00305794"/>
    <w:rsid w:val="00306849"/>
    <w:rsid w:val="00307BE7"/>
    <w:rsid w:val="003140D7"/>
    <w:rsid w:val="003220CB"/>
    <w:rsid w:val="0032482B"/>
    <w:rsid w:val="00325926"/>
    <w:rsid w:val="00327A8A"/>
    <w:rsid w:val="00330ED6"/>
    <w:rsid w:val="00332745"/>
    <w:rsid w:val="00336610"/>
    <w:rsid w:val="00343F73"/>
    <w:rsid w:val="00345060"/>
    <w:rsid w:val="00346FB7"/>
    <w:rsid w:val="003478DB"/>
    <w:rsid w:val="00347B81"/>
    <w:rsid w:val="00352860"/>
    <w:rsid w:val="0035323B"/>
    <w:rsid w:val="003609D2"/>
    <w:rsid w:val="00363F22"/>
    <w:rsid w:val="003656B5"/>
    <w:rsid w:val="00366D11"/>
    <w:rsid w:val="00373653"/>
    <w:rsid w:val="00375564"/>
    <w:rsid w:val="00383191"/>
    <w:rsid w:val="00385A72"/>
    <w:rsid w:val="00386DED"/>
    <w:rsid w:val="003912E7"/>
    <w:rsid w:val="00393947"/>
    <w:rsid w:val="003945FD"/>
    <w:rsid w:val="00396642"/>
    <w:rsid w:val="003A2275"/>
    <w:rsid w:val="003A5588"/>
    <w:rsid w:val="003A6A4F"/>
    <w:rsid w:val="003A7088"/>
    <w:rsid w:val="003B00DF"/>
    <w:rsid w:val="003B1275"/>
    <w:rsid w:val="003B1778"/>
    <w:rsid w:val="003B1B5E"/>
    <w:rsid w:val="003B43A2"/>
    <w:rsid w:val="003B4A01"/>
    <w:rsid w:val="003C054F"/>
    <w:rsid w:val="003C11CB"/>
    <w:rsid w:val="003C60E8"/>
    <w:rsid w:val="003C6C09"/>
    <w:rsid w:val="003C75F3"/>
    <w:rsid w:val="003C78A3"/>
    <w:rsid w:val="003E1867"/>
    <w:rsid w:val="003E5729"/>
    <w:rsid w:val="003E58F7"/>
    <w:rsid w:val="003F4D42"/>
    <w:rsid w:val="003F4EE0"/>
    <w:rsid w:val="003F64B2"/>
    <w:rsid w:val="00402153"/>
    <w:rsid w:val="00402FC1"/>
    <w:rsid w:val="00410982"/>
    <w:rsid w:val="00410BDF"/>
    <w:rsid w:val="00414DBD"/>
    <w:rsid w:val="004151AF"/>
    <w:rsid w:val="004203EE"/>
    <w:rsid w:val="00425082"/>
    <w:rsid w:val="004252CB"/>
    <w:rsid w:val="00431DEB"/>
    <w:rsid w:val="00442556"/>
    <w:rsid w:val="004442E4"/>
    <w:rsid w:val="00444C9E"/>
    <w:rsid w:val="00446343"/>
    <w:rsid w:val="00446B29"/>
    <w:rsid w:val="00453F9A"/>
    <w:rsid w:val="0045484D"/>
    <w:rsid w:val="00471E91"/>
    <w:rsid w:val="00474675"/>
    <w:rsid w:val="0047470C"/>
    <w:rsid w:val="0048064B"/>
    <w:rsid w:val="004854C6"/>
    <w:rsid w:val="004A35F9"/>
    <w:rsid w:val="004B24C1"/>
    <w:rsid w:val="004B5560"/>
    <w:rsid w:val="004B77C4"/>
    <w:rsid w:val="004C135A"/>
    <w:rsid w:val="004C292F"/>
    <w:rsid w:val="004D14E1"/>
    <w:rsid w:val="004D2C9E"/>
    <w:rsid w:val="004E2319"/>
    <w:rsid w:val="00507CBD"/>
    <w:rsid w:val="00510280"/>
    <w:rsid w:val="00513D73"/>
    <w:rsid w:val="00514A43"/>
    <w:rsid w:val="005151C3"/>
    <w:rsid w:val="005174E5"/>
    <w:rsid w:val="00522393"/>
    <w:rsid w:val="00522620"/>
    <w:rsid w:val="00525656"/>
    <w:rsid w:val="00525EAA"/>
    <w:rsid w:val="0053097C"/>
    <w:rsid w:val="00534C02"/>
    <w:rsid w:val="0053663C"/>
    <w:rsid w:val="0054264B"/>
    <w:rsid w:val="00543786"/>
    <w:rsid w:val="005533D7"/>
    <w:rsid w:val="00561E11"/>
    <w:rsid w:val="00565C01"/>
    <w:rsid w:val="005702CB"/>
    <w:rsid w:val="005703DE"/>
    <w:rsid w:val="0057580D"/>
    <w:rsid w:val="0058464E"/>
    <w:rsid w:val="0058741C"/>
    <w:rsid w:val="005A01CB"/>
    <w:rsid w:val="005A58FF"/>
    <w:rsid w:val="005A5EAF"/>
    <w:rsid w:val="005A64C0"/>
    <w:rsid w:val="005B27ED"/>
    <w:rsid w:val="005B3C11"/>
    <w:rsid w:val="005C0682"/>
    <w:rsid w:val="005C1C28"/>
    <w:rsid w:val="005C50D1"/>
    <w:rsid w:val="005C6DB5"/>
    <w:rsid w:val="005D379D"/>
    <w:rsid w:val="005E19E7"/>
    <w:rsid w:val="006000EC"/>
    <w:rsid w:val="006116A3"/>
    <w:rsid w:val="00611BD0"/>
    <w:rsid w:val="006120BA"/>
    <w:rsid w:val="006147FC"/>
    <w:rsid w:val="00616EE7"/>
    <w:rsid w:val="0061716C"/>
    <w:rsid w:val="00622C38"/>
    <w:rsid w:val="006243A1"/>
    <w:rsid w:val="00632E56"/>
    <w:rsid w:val="00635CBA"/>
    <w:rsid w:val="0064338B"/>
    <w:rsid w:val="00646542"/>
    <w:rsid w:val="006504F4"/>
    <w:rsid w:val="00652614"/>
    <w:rsid w:val="0065430B"/>
    <w:rsid w:val="00654BC9"/>
    <w:rsid w:val="006552FD"/>
    <w:rsid w:val="00663AF3"/>
    <w:rsid w:val="00665897"/>
    <w:rsid w:val="00666B6C"/>
    <w:rsid w:val="00671A25"/>
    <w:rsid w:val="00682682"/>
    <w:rsid w:val="00682702"/>
    <w:rsid w:val="00692368"/>
    <w:rsid w:val="006924FB"/>
    <w:rsid w:val="00692673"/>
    <w:rsid w:val="006A195F"/>
    <w:rsid w:val="006A2EBC"/>
    <w:rsid w:val="006A323D"/>
    <w:rsid w:val="006A5EA0"/>
    <w:rsid w:val="006A758C"/>
    <w:rsid w:val="006A783B"/>
    <w:rsid w:val="006A7B33"/>
    <w:rsid w:val="006B3B5C"/>
    <w:rsid w:val="006B4E13"/>
    <w:rsid w:val="006B6A8B"/>
    <w:rsid w:val="006B75DD"/>
    <w:rsid w:val="006C3AEF"/>
    <w:rsid w:val="006C4476"/>
    <w:rsid w:val="006C46B2"/>
    <w:rsid w:val="006C5CDE"/>
    <w:rsid w:val="006C67E0"/>
    <w:rsid w:val="006C7ABA"/>
    <w:rsid w:val="006D0D60"/>
    <w:rsid w:val="006D1122"/>
    <w:rsid w:val="006D1EB6"/>
    <w:rsid w:val="006D3C00"/>
    <w:rsid w:val="006E106D"/>
    <w:rsid w:val="006E3675"/>
    <w:rsid w:val="006E4A7F"/>
    <w:rsid w:val="006F1FF3"/>
    <w:rsid w:val="00704DF6"/>
    <w:rsid w:val="0070651C"/>
    <w:rsid w:val="007074B4"/>
    <w:rsid w:val="007132A3"/>
    <w:rsid w:val="00716421"/>
    <w:rsid w:val="00724EFB"/>
    <w:rsid w:val="00726C74"/>
    <w:rsid w:val="007274A9"/>
    <w:rsid w:val="007419C3"/>
    <w:rsid w:val="007467A7"/>
    <w:rsid w:val="007469DD"/>
    <w:rsid w:val="0074741B"/>
    <w:rsid w:val="0074759E"/>
    <w:rsid w:val="007478EA"/>
    <w:rsid w:val="007506FB"/>
    <w:rsid w:val="0075415C"/>
    <w:rsid w:val="00757385"/>
    <w:rsid w:val="00757E0D"/>
    <w:rsid w:val="0076261D"/>
    <w:rsid w:val="00763502"/>
    <w:rsid w:val="00767E7B"/>
    <w:rsid w:val="00780F1C"/>
    <w:rsid w:val="0078363C"/>
    <w:rsid w:val="007913AB"/>
    <w:rsid w:val="007914F7"/>
    <w:rsid w:val="00796907"/>
    <w:rsid w:val="007B0D02"/>
    <w:rsid w:val="007B1625"/>
    <w:rsid w:val="007B3D36"/>
    <w:rsid w:val="007B706E"/>
    <w:rsid w:val="007B71EB"/>
    <w:rsid w:val="007C6205"/>
    <w:rsid w:val="007C686A"/>
    <w:rsid w:val="007C728E"/>
    <w:rsid w:val="007D2C53"/>
    <w:rsid w:val="007D3D60"/>
    <w:rsid w:val="007D416D"/>
    <w:rsid w:val="007E1980"/>
    <w:rsid w:val="007E1EE0"/>
    <w:rsid w:val="007E4B76"/>
    <w:rsid w:val="007E4CA2"/>
    <w:rsid w:val="007E5EA8"/>
    <w:rsid w:val="007E5FB4"/>
    <w:rsid w:val="007F0CF1"/>
    <w:rsid w:val="007F12A5"/>
    <w:rsid w:val="007F43A2"/>
    <w:rsid w:val="007F4CF1"/>
    <w:rsid w:val="007F5A92"/>
    <w:rsid w:val="007F758D"/>
    <w:rsid w:val="007F7D52"/>
    <w:rsid w:val="008005B3"/>
    <w:rsid w:val="008062F1"/>
    <w:rsid w:val="0080654C"/>
    <w:rsid w:val="008071C6"/>
    <w:rsid w:val="0081667E"/>
    <w:rsid w:val="00817A00"/>
    <w:rsid w:val="00822FD6"/>
    <w:rsid w:val="008239D7"/>
    <w:rsid w:val="00826DAD"/>
    <w:rsid w:val="00832C58"/>
    <w:rsid w:val="008330CE"/>
    <w:rsid w:val="00835DB3"/>
    <w:rsid w:val="0083617B"/>
    <w:rsid w:val="008371BD"/>
    <w:rsid w:val="0083747E"/>
    <w:rsid w:val="008504A8"/>
    <w:rsid w:val="0085282E"/>
    <w:rsid w:val="00853092"/>
    <w:rsid w:val="0085366A"/>
    <w:rsid w:val="0087198C"/>
    <w:rsid w:val="00872C1F"/>
    <w:rsid w:val="00873B42"/>
    <w:rsid w:val="00876DB6"/>
    <w:rsid w:val="008805C0"/>
    <w:rsid w:val="008856D8"/>
    <w:rsid w:val="00892E82"/>
    <w:rsid w:val="008A25B5"/>
    <w:rsid w:val="008B3A86"/>
    <w:rsid w:val="008B5CC2"/>
    <w:rsid w:val="008B6D94"/>
    <w:rsid w:val="008B6F64"/>
    <w:rsid w:val="008C1B58"/>
    <w:rsid w:val="008C39AE"/>
    <w:rsid w:val="008C590D"/>
    <w:rsid w:val="008C7FDE"/>
    <w:rsid w:val="008E031B"/>
    <w:rsid w:val="008E37A8"/>
    <w:rsid w:val="008E7029"/>
    <w:rsid w:val="008E75F4"/>
    <w:rsid w:val="008E7EF6"/>
    <w:rsid w:val="008F1F98"/>
    <w:rsid w:val="008F249F"/>
    <w:rsid w:val="008F6758"/>
    <w:rsid w:val="008F7D6B"/>
    <w:rsid w:val="009040DD"/>
    <w:rsid w:val="00905B47"/>
    <w:rsid w:val="00911D4C"/>
    <w:rsid w:val="009127B5"/>
    <w:rsid w:val="0091331C"/>
    <w:rsid w:val="00922DF0"/>
    <w:rsid w:val="00922E12"/>
    <w:rsid w:val="00923A4F"/>
    <w:rsid w:val="00923BA7"/>
    <w:rsid w:val="00924E86"/>
    <w:rsid w:val="009279DE"/>
    <w:rsid w:val="00930116"/>
    <w:rsid w:val="009324F6"/>
    <w:rsid w:val="009417E2"/>
    <w:rsid w:val="0094212C"/>
    <w:rsid w:val="009449C7"/>
    <w:rsid w:val="00954689"/>
    <w:rsid w:val="009617C9"/>
    <w:rsid w:val="00961C93"/>
    <w:rsid w:val="00964953"/>
    <w:rsid w:val="00965324"/>
    <w:rsid w:val="0097091E"/>
    <w:rsid w:val="009760D3"/>
    <w:rsid w:val="00977132"/>
    <w:rsid w:val="00980FFE"/>
    <w:rsid w:val="00981A4B"/>
    <w:rsid w:val="00982501"/>
    <w:rsid w:val="00986158"/>
    <w:rsid w:val="009877D3"/>
    <w:rsid w:val="00994E8F"/>
    <w:rsid w:val="009951DC"/>
    <w:rsid w:val="009959BB"/>
    <w:rsid w:val="00997158"/>
    <w:rsid w:val="009A0EF0"/>
    <w:rsid w:val="009A115D"/>
    <w:rsid w:val="009A3A7C"/>
    <w:rsid w:val="009A3CDD"/>
    <w:rsid w:val="009A711F"/>
    <w:rsid w:val="009B2ADB"/>
    <w:rsid w:val="009B603A"/>
    <w:rsid w:val="009C10C5"/>
    <w:rsid w:val="009C2D0E"/>
    <w:rsid w:val="009C3DAC"/>
    <w:rsid w:val="009C42E0"/>
    <w:rsid w:val="009C7428"/>
    <w:rsid w:val="009C7476"/>
    <w:rsid w:val="009D5362"/>
    <w:rsid w:val="009D6850"/>
    <w:rsid w:val="009E1415"/>
    <w:rsid w:val="009E6116"/>
    <w:rsid w:val="00A02E43"/>
    <w:rsid w:val="00A065F9"/>
    <w:rsid w:val="00A07F34"/>
    <w:rsid w:val="00A125F2"/>
    <w:rsid w:val="00A153DE"/>
    <w:rsid w:val="00A22154"/>
    <w:rsid w:val="00A25C38"/>
    <w:rsid w:val="00A26DF1"/>
    <w:rsid w:val="00A35BFF"/>
    <w:rsid w:val="00A36BBE"/>
    <w:rsid w:val="00A4307A"/>
    <w:rsid w:val="00A47C45"/>
    <w:rsid w:val="00A47EBB"/>
    <w:rsid w:val="00A51CDD"/>
    <w:rsid w:val="00A54AFA"/>
    <w:rsid w:val="00A63816"/>
    <w:rsid w:val="00A6730D"/>
    <w:rsid w:val="00A67964"/>
    <w:rsid w:val="00A71625"/>
    <w:rsid w:val="00A71714"/>
    <w:rsid w:val="00A71B9B"/>
    <w:rsid w:val="00A751C7"/>
    <w:rsid w:val="00A75697"/>
    <w:rsid w:val="00A83004"/>
    <w:rsid w:val="00A87844"/>
    <w:rsid w:val="00A91DEE"/>
    <w:rsid w:val="00AA038C"/>
    <w:rsid w:val="00AA7A09"/>
    <w:rsid w:val="00AB3B50"/>
    <w:rsid w:val="00AB4291"/>
    <w:rsid w:val="00AC05B1"/>
    <w:rsid w:val="00AC2BBB"/>
    <w:rsid w:val="00AD1270"/>
    <w:rsid w:val="00AD356C"/>
    <w:rsid w:val="00AD6685"/>
    <w:rsid w:val="00AE2914"/>
    <w:rsid w:val="00AE6D15"/>
    <w:rsid w:val="00AF2B80"/>
    <w:rsid w:val="00AF485A"/>
    <w:rsid w:val="00B04182"/>
    <w:rsid w:val="00B04EEA"/>
    <w:rsid w:val="00B070AD"/>
    <w:rsid w:val="00B07AE3"/>
    <w:rsid w:val="00B11430"/>
    <w:rsid w:val="00B153DD"/>
    <w:rsid w:val="00B20DB5"/>
    <w:rsid w:val="00B22406"/>
    <w:rsid w:val="00B30B27"/>
    <w:rsid w:val="00B353EB"/>
    <w:rsid w:val="00B36A1B"/>
    <w:rsid w:val="00B439C4"/>
    <w:rsid w:val="00B44BED"/>
    <w:rsid w:val="00B4535E"/>
    <w:rsid w:val="00B51265"/>
    <w:rsid w:val="00B52A8C"/>
    <w:rsid w:val="00B636A8"/>
    <w:rsid w:val="00B665C6"/>
    <w:rsid w:val="00B724C9"/>
    <w:rsid w:val="00B7282A"/>
    <w:rsid w:val="00B805AF"/>
    <w:rsid w:val="00B817DF"/>
    <w:rsid w:val="00B869EC"/>
    <w:rsid w:val="00B9397A"/>
    <w:rsid w:val="00B94F88"/>
    <w:rsid w:val="00B96071"/>
    <w:rsid w:val="00B9633D"/>
    <w:rsid w:val="00B96F24"/>
    <w:rsid w:val="00BA1362"/>
    <w:rsid w:val="00BA2EBE"/>
    <w:rsid w:val="00BB0F28"/>
    <w:rsid w:val="00BB4222"/>
    <w:rsid w:val="00BB458A"/>
    <w:rsid w:val="00BC5772"/>
    <w:rsid w:val="00BD00D3"/>
    <w:rsid w:val="00BD1659"/>
    <w:rsid w:val="00BD3AA9"/>
    <w:rsid w:val="00BD4A18"/>
    <w:rsid w:val="00BD6DB2"/>
    <w:rsid w:val="00BE0A12"/>
    <w:rsid w:val="00BE11CF"/>
    <w:rsid w:val="00BE21AB"/>
    <w:rsid w:val="00BE3E6F"/>
    <w:rsid w:val="00BE55CB"/>
    <w:rsid w:val="00BF14CB"/>
    <w:rsid w:val="00BF390E"/>
    <w:rsid w:val="00BF617A"/>
    <w:rsid w:val="00BF6DB0"/>
    <w:rsid w:val="00BF7599"/>
    <w:rsid w:val="00C0379D"/>
    <w:rsid w:val="00C03931"/>
    <w:rsid w:val="00C04467"/>
    <w:rsid w:val="00C05FE3"/>
    <w:rsid w:val="00C2136D"/>
    <w:rsid w:val="00C214EE"/>
    <w:rsid w:val="00C2314B"/>
    <w:rsid w:val="00C24971"/>
    <w:rsid w:val="00C26BE5"/>
    <w:rsid w:val="00C26E4D"/>
    <w:rsid w:val="00C27909"/>
    <w:rsid w:val="00C27B03"/>
    <w:rsid w:val="00C314E1"/>
    <w:rsid w:val="00C34397"/>
    <w:rsid w:val="00C3659C"/>
    <w:rsid w:val="00C4095D"/>
    <w:rsid w:val="00C40C50"/>
    <w:rsid w:val="00C42784"/>
    <w:rsid w:val="00C46A8D"/>
    <w:rsid w:val="00C46EB0"/>
    <w:rsid w:val="00C51E38"/>
    <w:rsid w:val="00C548B4"/>
    <w:rsid w:val="00C601D2"/>
    <w:rsid w:val="00C657AB"/>
    <w:rsid w:val="00C65BCC"/>
    <w:rsid w:val="00C65CD7"/>
    <w:rsid w:val="00C66970"/>
    <w:rsid w:val="00C76055"/>
    <w:rsid w:val="00C84597"/>
    <w:rsid w:val="00C84C98"/>
    <w:rsid w:val="00C85701"/>
    <w:rsid w:val="00C867E3"/>
    <w:rsid w:val="00C8691C"/>
    <w:rsid w:val="00C90360"/>
    <w:rsid w:val="00C91EA7"/>
    <w:rsid w:val="00CA168A"/>
    <w:rsid w:val="00CA357E"/>
    <w:rsid w:val="00CA44F9"/>
    <w:rsid w:val="00CA4A69"/>
    <w:rsid w:val="00CB72F5"/>
    <w:rsid w:val="00CC3E0C"/>
    <w:rsid w:val="00CC4294"/>
    <w:rsid w:val="00CC58D3"/>
    <w:rsid w:val="00CC7170"/>
    <w:rsid w:val="00CC784D"/>
    <w:rsid w:val="00CD443D"/>
    <w:rsid w:val="00CE1D79"/>
    <w:rsid w:val="00D0180A"/>
    <w:rsid w:val="00D0337B"/>
    <w:rsid w:val="00D079B2"/>
    <w:rsid w:val="00D114E9"/>
    <w:rsid w:val="00D1623B"/>
    <w:rsid w:val="00D17126"/>
    <w:rsid w:val="00D2260A"/>
    <w:rsid w:val="00D429C6"/>
    <w:rsid w:val="00D47748"/>
    <w:rsid w:val="00D539D8"/>
    <w:rsid w:val="00D54CC3"/>
    <w:rsid w:val="00D570F3"/>
    <w:rsid w:val="00D6041A"/>
    <w:rsid w:val="00D61CB9"/>
    <w:rsid w:val="00D633EB"/>
    <w:rsid w:val="00D64DAD"/>
    <w:rsid w:val="00D8066C"/>
    <w:rsid w:val="00D82FF7"/>
    <w:rsid w:val="00D847FE"/>
    <w:rsid w:val="00D87DD0"/>
    <w:rsid w:val="00D964EA"/>
    <w:rsid w:val="00D966D0"/>
    <w:rsid w:val="00DA0C59"/>
    <w:rsid w:val="00DA1673"/>
    <w:rsid w:val="00DA3991"/>
    <w:rsid w:val="00DB0356"/>
    <w:rsid w:val="00DB2AFD"/>
    <w:rsid w:val="00DB5084"/>
    <w:rsid w:val="00DB7E6C"/>
    <w:rsid w:val="00DC3928"/>
    <w:rsid w:val="00DD3870"/>
    <w:rsid w:val="00DD5A29"/>
    <w:rsid w:val="00DD5D9D"/>
    <w:rsid w:val="00DD6063"/>
    <w:rsid w:val="00DD7044"/>
    <w:rsid w:val="00DE0C45"/>
    <w:rsid w:val="00DE35CB"/>
    <w:rsid w:val="00DE65CC"/>
    <w:rsid w:val="00DF21E9"/>
    <w:rsid w:val="00DF6AA6"/>
    <w:rsid w:val="00E00F14"/>
    <w:rsid w:val="00E02FC8"/>
    <w:rsid w:val="00E06386"/>
    <w:rsid w:val="00E10810"/>
    <w:rsid w:val="00E109E8"/>
    <w:rsid w:val="00E13429"/>
    <w:rsid w:val="00E24EB4"/>
    <w:rsid w:val="00E3031C"/>
    <w:rsid w:val="00E320ED"/>
    <w:rsid w:val="00E33AFB"/>
    <w:rsid w:val="00E34218"/>
    <w:rsid w:val="00E41129"/>
    <w:rsid w:val="00E46282"/>
    <w:rsid w:val="00E5216E"/>
    <w:rsid w:val="00E82344"/>
    <w:rsid w:val="00E82F35"/>
    <w:rsid w:val="00E84C82"/>
    <w:rsid w:val="00E84D64"/>
    <w:rsid w:val="00E85CF4"/>
    <w:rsid w:val="00E87408"/>
    <w:rsid w:val="00E87CAE"/>
    <w:rsid w:val="00E914C4"/>
    <w:rsid w:val="00E934F5"/>
    <w:rsid w:val="00E96961"/>
    <w:rsid w:val="00EA5FDB"/>
    <w:rsid w:val="00EA72EC"/>
    <w:rsid w:val="00EB11CB"/>
    <w:rsid w:val="00EB275A"/>
    <w:rsid w:val="00EB786A"/>
    <w:rsid w:val="00EC14BD"/>
    <w:rsid w:val="00EC1578"/>
    <w:rsid w:val="00EC1C72"/>
    <w:rsid w:val="00EC3CC9"/>
    <w:rsid w:val="00EC6246"/>
    <w:rsid w:val="00EC680A"/>
    <w:rsid w:val="00EE0711"/>
    <w:rsid w:val="00EE2BED"/>
    <w:rsid w:val="00EE374B"/>
    <w:rsid w:val="00EE38CD"/>
    <w:rsid w:val="00EE7B9D"/>
    <w:rsid w:val="00F018F9"/>
    <w:rsid w:val="00F01C41"/>
    <w:rsid w:val="00F04F7C"/>
    <w:rsid w:val="00F11BB5"/>
    <w:rsid w:val="00F11E6E"/>
    <w:rsid w:val="00F1417B"/>
    <w:rsid w:val="00F14881"/>
    <w:rsid w:val="00F2133F"/>
    <w:rsid w:val="00F30EB8"/>
    <w:rsid w:val="00F34B99"/>
    <w:rsid w:val="00F34BCE"/>
    <w:rsid w:val="00F52DAB"/>
    <w:rsid w:val="00F543F0"/>
    <w:rsid w:val="00F60D34"/>
    <w:rsid w:val="00F753AC"/>
    <w:rsid w:val="00F7722E"/>
    <w:rsid w:val="00F81D29"/>
    <w:rsid w:val="00F82406"/>
    <w:rsid w:val="00F836AC"/>
    <w:rsid w:val="00F848EB"/>
    <w:rsid w:val="00F91C4D"/>
    <w:rsid w:val="00F92FD9"/>
    <w:rsid w:val="00FA09D2"/>
    <w:rsid w:val="00FA52A4"/>
    <w:rsid w:val="00FA6684"/>
    <w:rsid w:val="00FA731E"/>
    <w:rsid w:val="00FA79CC"/>
    <w:rsid w:val="00FB130F"/>
    <w:rsid w:val="00FB2B38"/>
    <w:rsid w:val="00FC2870"/>
    <w:rsid w:val="00FC3A0D"/>
    <w:rsid w:val="00FC6358"/>
    <w:rsid w:val="00FD320D"/>
    <w:rsid w:val="00FE23DE"/>
    <w:rsid w:val="00FE772D"/>
    <w:rsid w:val="027619AC"/>
    <w:rsid w:val="04101965"/>
    <w:rsid w:val="08973DB8"/>
    <w:rsid w:val="0A952720"/>
    <w:rsid w:val="0B693BAE"/>
    <w:rsid w:val="0DD37B7E"/>
    <w:rsid w:val="14EF15BF"/>
    <w:rsid w:val="1B2F4023"/>
    <w:rsid w:val="1B433C45"/>
    <w:rsid w:val="1DB11690"/>
    <w:rsid w:val="1DFB03BD"/>
    <w:rsid w:val="1E3B6DD6"/>
    <w:rsid w:val="21306630"/>
    <w:rsid w:val="230C0A1E"/>
    <w:rsid w:val="230F4165"/>
    <w:rsid w:val="23420212"/>
    <w:rsid w:val="27062EA6"/>
    <w:rsid w:val="273079CC"/>
    <w:rsid w:val="2967428C"/>
    <w:rsid w:val="2AF1194E"/>
    <w:rsid w:val="2B496F15"/>
    <w:rsid w:val="2B77216D"/>
    <w:rsid w:val="2D4D3B60"/>
    <w:rsid w:val="2E1104BF"/>
    <w:rsid w:val="2EDA6C9B"/>
    <w:rsid w:val="2F15515C"/>
    <w:rsid w:val="2F7C3F10"/>
    <w:rsid w:val="32555897"/>
    <w:rsid w:val="34847998"/>
    <w:rsid w:val="34870D1A"/>
    <w:rsid w:val="34E26388"/>
    <w:rsid w:val="35EF127D"/>
    <w:rsid w:val="365E446B"/>
    <w:rsid w:val="36FD7435"/>
    <w:rsid w:val="38783ED0"/>
    <w:rsid w:val="391368FB"/>
    <w:rsid w:val="398227F2"/>
    <w:rsid w:val="3A3C4C02"/>
    <w:rsid w:val="3BC372D9"/>
    <w:rsid w:val="3C3C6A8B"/>
    <w:rsid w:val="40977C7B"/>
    <w:rsid w:val="441C6C9E"/>
    <w:rsid w:val="48346DA7"/>
    <w:rsid w:val="4A3F21E2"/>
    <w:rsid w:val="4B2F0D01"/>
    <w:rsid w:val="4C26417C"/>
    <w:rsid w:val="4C7E3A45"/>
    <w:rsid w:val="4C8A113C"/>
    <w:rsid w:val="5096466E"/>
    <w:rsid w:val="523C6EA6"/>
    <w:rsid w:val="5350469E"/>
    <w:rsid w:val="56AB2932"/>
    <w:rsid w:val="579A1053"/>
    <w:rsid w:val="5B013CD6"/>
    <w:rsid w:val="61243DBE"/>
    <w:rsid w:val="6174098A"/>
    <w:rsid w:val="635A0498"/>
    <w:rsid w:val="64021243"/>
    <w:rsid w:val="69670B4F"/>
    <w:rsid w:val="6BBA4B0F"/>
    <w:rsid w:val="6C063EFC"/>
    <w:rsid w:val="6DA65BC8"/>
    <w:rsid w:val="6DF65DBC"/>
    <w:rsid w:val="70B21AE3"/>
    <w:rsid w:val="74CC5794"/>
    <w:rsid w:val="758545C4"/>
    <w:rsid w:val="78AB0911"/>
    <w:rsid w:val="79D00658"/>
    <w:rsid w:val="7A1F1351"/>
    <w:rsid w:val="7BA504EE"/>
    <w:rsid w:val="7BA668EE"/>
    <w:rsid w:val="7C09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semiHidden/>
    <w:qFormat/>
    <w:uiPriority w:val="0"/>
    <w:pPr>
      <w:tabs>
        <w:tab w:val="right" w:leader="dot" w:pos="9241"/>
      </w:tabs>
      <w:ind w:firstLine="500" w:firstLineChars="500"/>
      <w:jc w:val="left"/>
    </w:pPr>
    <w:rPr>
      <w:rFonts w:ascii="宋体"/>
      <w:szCs w:val="21"/>
    </w:rPr>
  </w:style>
  <w:style w:type="paragraph" w:styleId="3">
    <w:name w:val="index 8"/>
    <w:basedOn w:val="1"/>
    <w:next w:val="1"/>
    <w:qFormat/>
    <w:uiPriority w:val="0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4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5">
    <w:name w:val="index 5"/>
    <w:basedOn w:val="1"/>
    <w:next w:val="1"/>
    <w:qFormat/>
    <w:uiPriority w:val="0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">
    <w:name w:val="Document Map"/>
    <w:basedOn w:val="1"/>
    <w:semiHidden/>
    <w:qFormat/>
    <w:uiPriority w:val="0"/>
    <w:pPr>
      <w:shd w:val="clear" w:color="auto" w:fill="00008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index 6"/>
    <w:basedOn w:val="1"/>
    <w:next w:val="1"/>
    <w:qFormat/>
    <w:uiPriority w:val="0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9">
    <w:name w:val="index 4"/>
    <w:basedOn w:val="1"/>
    <w:next w:val="1"/>
    <w:qFormat/>
    <w:uiPriority w:val="0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10">
    <w:name w:val="toc 5"/>
    <w:basedOn w:val="1"/>
    <w:next w:val="1"/>
    <w:semiHidden/>
    <w:qFormat/>
    <w:uiPriority w:val="0"/>
    <w:pPr>
      <w:tabs>
        <w:tab w:val="right" w:leader="dot" w:pos="9241"/>
      </w:tabs>
      <w:ind w:firstLine="300" w:firstLineChars="300"/>
      <w:jc w:val="left"/>
    </w:pPr>
    <w:rPr>
      <w:rFonts w:ascii="宋体"/>
      <w:szCs w:val="21"/>
    </w:rPr>
  </w:style>
  <w:style w:type="paragraph" w:styleId="11">
    <w:name w:val="toc 3"/>
    <w:basedOn w:val="1"/>
    <w:next w:val="1"/>
    <w:semiHidden/>
    <w:qFormat/>
    <w:uiPriority w:val="0"/>
    <w:pPr>
      <w:tabs>
        <w:tab w:val="right" w:leader="dot" w:pos="9241"/>
      </w:tabs>
      <w:ind w:firstLine="100" w:firstLineChars="100"/>
      <w:jc w:val="left"/>
    </w:pPr>
    <w:rPr>
      <w:rFonts w:ascii="宋体"/>
      <w:szCs w:val="21"/>
    </w:rPr>
  </w:style>
  <w:style w:type="paragraph" w:styleId="12">
    <w:name w:val="toc 8"/>
    <w:basedOn w:val="1"/>
    <w:next w:val="1"/>
    <w:semiHidden/>
    <w:qFormat/>
    <w:uiPriority w:val="0"/>
    <w:pPr>
      <w:tabs>
        <w:tab w:val="right" w:leader="dot" w:pos="9241"/>
      </w:tabs>
      <w:ind w:firstLine="607" w:firstLineChars="600"/>
      <w:jc w:val="left"/>
    </w:pPr>
    <w:rPr>
      <w:rFonts w:ascii="宋体"/>
      <w:szCs w:val="21"/>
    </w:rPr>
  </w:style>
  <w:style w:type="paragraph" w:styleId="13">
    <w:name w:val="index 3"/>
    <w:basedOn w:val="1"/>
    <w:next w:val="1"/>
    <w:qFormat/>
    <w:uiPriority w:val="0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14">
    <w:name w:val="endnote text"/>
    <w:basedOn w:val="1"/>
    <w:semiHidden/>
    <w:qFormat/>
    <w:uiPriority w:val="0"/>
    <w:pPr>
      <w:snapToGrid w:val="0"/>
      <w:jc w:val="left"/>
    </w:pPr>
  </w:style>
  <w:style w:type="paragraph" w:styleId="15">
    <w:name w:val="Balloon Text"/>
    <w:basedOn w:val="1"/>
    <w:link w:val="44"/>
    <w:qFormat/>
    <w:uiPriority w:val="0"/>
    <w:rPr>
      <w:sz w:val="18"/>
      <w:szCs w:val="18"/>
    </w:rPr>
  </w:style>
  <w:style w:type="paragraph" w:styleId="16">
    <w:name w:val="footer"/>
    <w:basedOn w:val="1"/>
    <w:qFormat/>
    <w:uiPriority w:val="0"/>
    <w:pPr>
      <w:snapToGrid w:val="0"/>
      <w:ind w:right="210" w:rightChars="100"/>
      <w:jc w:val="right"/>
    </w:pPr>
    <w:rPr>
      <w:sz w:val="18"/>
      <w:szCs w:val="18"/>
    </w:rPr>
  </w:style>
  <w:style w:type="paragraph" w:styleId="17">
    <w:name w:val="header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18">
    <w:name w:val="toc 1"/>
    <w:basedOn w:val="1"/>
    <w:next w:val="1"/>
    <w:semiHidden/>
    <w:qFormat/>
    <w:uiPriority w:val="0"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19">
    <w:name w:val="toc 4"/>
    <w:basedOn w:val="1"/>
    <w:next w:val="1"/>
    <w:semiHidden/>
    <w:qFormat/>
    <w:uiPriority w:val="0"/>
    <w:pPr>
      <w:tabs>
        <w:tab w:val="right" w:leader="dot" w:pos="9241"/>
      </w:tabs>
      <w:ind w:firstLine="200" w:firstLineChars="200"/>
      <w:jc w:val="left"/>
    </w:pPr>
    <w:rPr>
      <w:rFonts w:ascii="宋体"/>
      <w:szCs w:val="21"/>
    </w:rPr>
  </w:style>
  <w:style w:type="paragraph" w:styleId="20">
    <w:name w:val="index heading"/>
    <w:basedOn w:val="1"/>
    <w:next w:val="21"/>
    <w:qFormat/>
    <w:uiPriority w:val="0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21">
    <w:name w:val="index 1"/>
    <w:basedOn w:val="1"/>
    <w:next w:val="22"/>
    <w:qFormat/>
    <w:uiPriority w:val="0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22">
    <w:name w:val="段"/>
    <w:link w:val="45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23">
    <w:name w:val="footnote text"/>
    <w:basedOn w:val="1"/>
    <w:qFormat/>
    <w:uiPriority w:val="0"/>
    <w:pPr>
      <w:numPr>
        <w:ilvl w:val="0"/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24">
    <w:name w:val="toc 6"/>
    <w:basedOn w:val="1"/>
    <w:next w:val="1"/>
    <w:semiHidden/>
    <w:qFormat/>
    <w:uiPriority w:val="0"/>
    <w:pPr>
      <w:tabs>
        <w:tab w:val="right" w:leader="dot" w:pos="9241"/>
      </w:tabs>
      <w:ind w:firstLine="400" w:firstLineChars="400"/>
      <w:jc w:val="left"/>
    </w:pPr>
    <w:rPr>
      <w:rFonts w:ascii="宋体"/>
      <w:szCs w:val="21"/>
    </w:rPr>
  </w:style>
  <w:style w:type="paragraph" w:styleId="25">
    <w:name w:val="index 7"/>
    <w:basedOn w:val="1"/>
    <w:next w:val="1"/>
    <w:qFormat/>
    <w:uiPriority w:val="0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26">
    <w:name w:val="index 9"/>
    <w:basedOn w:val="1"/>
    <w:next w:val="1"/>
    <w:qFormat/>
    <w:uiPriority w:val="0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7">
    <w:name w:val="toc 2"/>
    <w:basedOn w:val="1"/>
    <w:next w:val="1"/>
    <w:semiHidden/>
    <w:qFormat/>
    <w:uiPriority w:val="0"/>
    <w:pPr>
      <w:tabs>
        <w:tab w:val="right" w:leader="dot" w:pos="9242"/>
      </w:tabs>
    </w:pPr>
    <w:rPr>
      <w:rFonts w:ascii="宋体"/>
      <w:szCs w:val="21"/>
    </w:rPr>
  </w:style>
  <w:style w:type="paragraph" w:styleId="28">
    <w:name w:val="toc 9"/>
    <w:basedOn w:val="1"/>
    <w:next w:val="1"/>
    <w:semiHidden/>
    <w:qFormat/>
    <w:uiPriority w:val="0"/>
    <w:pPr>
      <w:ind w:left="1470"/>
      <w:jc w:val="left"/>
    </w:pPr>
    <w:rPr>
      <w:sz w:val="20"/>
      <w:szCs w:val="20"/>
    </w:rPr>
  </w:style>
  <w:style w:type="paragraph" w:styleId="29">
    <w:name w:val="index 2"/>
    <w:basedOn w:val="1"/>
    <w:next w:val="1"/>
    <w:qFormat/>
    <w:uiPriority w:val="0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0">
    <w:name w:val="annotation subject"/>
    <w:basedOn w:val="7"/>
    <w:next w:val="7"/>
    <w:semiHidden/>
    <w:qFormat/>
    <w:uiPriority w:val="0"/>
    <w:rPr>
      <w:b/>
      <w:bCs/>
    </w:rPr>
  </w:style>
  <w:style w:type="table" w:styleId="32">
    <w:name w:val="Table Grid"/>
    <w:basedOn w:val="31"/>
    <w:qFormat/>
    <w:uiPriority w:val="0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4">
    <w:name w:val="Strong"/>
    <w:qFormat/>
    <w:uiPriority w:val="22"/>
    <w:rPr>
      <w:b/>
      <w:bCs/>
    </w:rPr>
  </w:style>
  <w:style w:type="character" w:styleId="35">
    <w:name w:val="endnote reference"/>
    <w:semiHidden/>
    <w:qFormat/>
    <w:uiPriority w:val="0"/>
    <w:rPr>
      <w:vertAlign w:val="superscript"/>
    </w:rPr>
  </w:style>
  <w:style w:type="character" w:styleId="36">
    <w:name w:val="page number"/>
    <w:qFormat/>
    <w:uiPriority w:val="0"/>
    <w:rPr>
      <w:rFonts w:ascii="Times New Roman" w:hAnsi="Times New Roman" w:eastAsia="宋体"/>
      <w:sz w:val="18"/>
    </w:rPr>
  </w:style>
  <w:style w:type="character" w:styleId="37">
    <w:name w:val="FollowedHyperlink"/>
    <w:qFormat/>
    <w:uiPriority w:val="0"/>
    <w:rPr>
      <w:color w:val="800080"/>
      <w:u w:val="single"/>
    </w:rPr>
  </w:style>
  <w:style w:type="character" w:styleId="38">
    <w:name w:val="Hyperlink"/>
    <w:qFormat/>
    <w:uiPriority w:val="0"/>
    <w:rPr>
      <w:color w:val="0000FF"/>
      <w:spacing w:val="0"/>
      <w:w w:val="100"/>
      <w:szCs w:val="21"/>
      <w:u w:val="single"/>
      <w:lang w:val="en-US" w:eastAsia="zh-CN"/>
    </w:rPr>
  </w:style>
  <w:style w:type="character" w:styleId="39">
    <w:name w:val="annotation reference"/>
    <w:basedOn w:val="33"/>
    <w:semiHidden/>
    <w:qFormat/>
    <w:uiPriority w:val="0"/>
    <w:rPr>
      <w:sz w:val="21"/>
      <w:szCs w:val="21"/>
    </w:rPr>
  </w:style>
  <w:style w:type="character" w:styleId="40">
    <w:name w:val="footnote reference"/>
    <w:semiHidden/>
    <w:qFormat/>
    <w:uiPriority w:val="0"/>
    <w:rPr>
      <w:vertAlign w:val="superscript"/>
    </w:rPr>
  </w:style>
  <w:style w:type="character" w:customStyle="1" w:styleId="41">
    <w:name w:val="发布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character" w:customStyle="1" w:styleId="42">
    <w:name w:val="首示例 Char"/>
    <w:link w:val="43"/>
    <w:qFormat/>
    <w:uiPriority w:val="0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43">
    <w:name w:val="首示例"/>
    <w:next w:val="22"/>
    <w:link w:val="42"/>
    <w:qFormat/>
    <w:uiPriority w:val="0"/>
    <w:pPr>
      <w:tabs>
        <w:tab w:val="left" w:pos="360"/>
      </w:tabs>
    </w:pPr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character" w:customStyle="1" w:styleId="44">
    <w:name w:val="批注框文本 Char"/>
    <w:link w:val="15"/>
    <w:qFormat/>
    <w:uiPriority w:val="0"/>
    <w:rPr>
      <w:kern w:val="2"/>
      <w:sz w:val="18"/>
      <w:szCs w:val="18"/>
    </w:rPr>
  </w:style>
  <w:style w:type="character" w:customStyle="1" w:styleId="45">
    <w:name w:val="段 Char"/>
    <w:link w:val="22"/>
    <w:qFormat/>
    <w:uiPriority w:val="0"/>
    <w:rPr>
      <w:rFonts w:ascii="宋体"/>
      <w:sz w:val="21"/>
      <w:lang w:val="en-US" w:eastAsia="zh-CN" w:bidi="ar-SA"/>
    </w:rPr>
  </w:style>
  <w:style w:type="character" w:customStyle="1" w:styleId="46">
    <w:name w:val="附录公式 Char"/>
    <w:basedOn w:val="45"/>
    <w:link w:val="47"/>
    <w:qFormat/>
    <w:uiPriority w:val="0"/>
  </w:style>
  <w:style w:type="paragraph" w:customStyle="1" w:styleId="47">
    <w:name w:val="附录公式"/>
    <w:basedOn w:val="22"/>
    <w:next w:val="22"/>
    <w:link w:val="46"/>
    <w:qFormat/>
    <w:uiPriority w:val="0"/>
  </w:style>
  <w:style w:type="paragraph" w:customStyle="1" w:styleId="48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49">
    <w:name w:val="列项◆（三级）"/>
    <w:basedOn w:val="1"/>
    <w:qFormat/>
    <w:uiPriority w:val="0"/>
    <w:pPr>
      <w:numPr>
        <w:ilvl w:val="2"/>
        <w:numId w:val="2"/>
      </w:numPr>
    </w:pPr>
    <w:rPr>
      <w:rFonts w:ascii="宋体"/>
      <w:szCs w:val="21"/>
    </w:rPr>
  </w:style>
  <w:style w:type="paragraph" w:customStyle="1" w:styleId="50">
    <w:name w:val="附录标题"/>
    <w:basedOn w:val="22"/>
    <w:next w:val="22"/>
    <w:qFormat/>
    <w:uiPriority w:val="0"/>
    <w:pPr>
      <w:ind w:firstLine="0" w:firstLineChars="0"/>
      <w:jc w:val="center"/>
    </w:pPr>
    <w:rPr>
      <w:rFonts w:ascii="黑体" w:eastAsia="黑体"/>
    </w:rPr>
  </w:style>
  <w:style w:type="paragraph" w:customStyle="1" w:styleId="51">
    <w:name w:val="二级条标题"/>
    <w:basedOn w:val="52"/>
    <w:next w:val="22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52">
    <w:name w:val="一级条标题"/>
    <w:next w:val="22"/>
    <w:qFormat/>
    <w:uiPriority w:val="0"/>
    <w:pPr>
      <w:numPr>
        <w:ilvl w:val="1"/>
        <w:numId w:val="3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53">
    <w:name w:val="列项●（二级）"/>
    <w:qFormat/>
    <w:uiPriority w:val="0"/>
    <w:pPr>
      <w:numPr>
        <w:ilvl w:val="1"/>
        <w:numId w:val="2"/>
      </w:numPr>
      <w:tabs>
        <w:tab w:val="left" w:pos="840"/>
      </w:tabs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4">
    <w:name w:val="示例×："/>
    <w:basedOn w:val="55"/>
    <w:qFormat/>
    <w:uiPriority w:val="0"/>
    <w:pPr>
      <w:numPr>
        <w:numId w:val="0"/>
      </w:numPr>
      <w:spacing w:beforeLines="0" w:afterLines="0"/>
      <w:ind w:firstLine="363"/>
      <w:outlineLvl w:val="9"/>
    </w:pPr>
    <w:rPr>
      <w:rFonts w:ascii="宋体" w:eastAsia="宋体"/>
      <w:sz w:val="18"/>
      <w:szCs w:val="18"/>
    </w:rPr>
  </w:style>
  <w:style w:type="paragraph" w:customStyle="1" w:styleId="55">
    <w:name w:val="章标题"/>
    <w:next w:val="22"/>
    <w:qFormat/>
    <w:uiPriority w:val="0"/>
    <w:pPr>
      <w:numPr>
        <w:ilvl w:val="0"/>
        <w:numId w:val="3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56">
    <w:name w:val="发布日期"/>
    <w:qFormat/>
    <w:uiPriority w:val="0"/>
    <w:pPr>
      <w:framePr w:w="3997" w:h="471" w:hRule="exact" w:vSpace="181" w:wrap="around" w:vAnchor="margin" w:hAnchor="page" w:x="7089" w:y="14097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57">
    <w:name w:val="注×："/>
    <w:qFormat/>
    <w:uiPriority w:val="0"/>
    <w:pPr>
      <w:widowControl w:val="0"/>
      <w:autoSpaceDE w:val="0"/>
      <w:autoSpaceDN w:val="0"/>
      <w:ind w:left="811" w:hanging="448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8">
    <w:name w:val="封面正文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9">
    <w:name w:val="示例后文字"/>
    <w:basedOn w:val="22"/>
    <w:next w:val="22"/>
    <w:qFormat/>
    <w:uiPriority w:val="0"/>
    <w:pPr>
      <w:ind w:firstLine="360"/>
    </w:pPr>
    <w:rPr>
      <w:sz w:val="18"/>
    </w:rPr>
  </w:style>
  <w:style w:type="paragraph" w:customStyle="1" w:styleId="60">
    <w:name w:val="附录四级条标题"/>
    <w:basedOn w:val="61"/>
    <w:next w:val="22"/>
    <w:qFormat/>
    <w:uiPriority w:val="0"/>
    <w:pPr>
      <w:numPr>
        <w:ilvl w:val="5"/>
      </w:numPr>
      <w:tabs>
        <w:tab w:val="left" w:pos="360"/>
      </w:tabs>
      <w:outlineLvl w:val="5"/>
    </w:pPr>
  </w:style>
  <w:style w:type="paragraph" w:customStyle="1" w:styleId="61">
    <w:name w:val="附录三级条标题"/>
    <w:basedOn w:val="62"/>
    <w:next w:val="22"/>
    <w:qFormat/>
    <w:uiPriority w:val="0"/>
    <w:pPr>
      <w:numPr>
        <w:ilvl w:val="4"/>
      </w:numPr>
      <w:tabs>
        <w:tab w:val="left" w:pos="360"/>
      </w:tabs>
      <w:outlineLvl w:val="4"/>
    </w:pPr>
  </w:style>
  <w:style w:type="paragraph" w:customStyle="1" w:styleId="62">
    <w:name w:val="附录二级条标题"/>
    <w:basedOn w:val="1"/>
    <w:next w:val="22"/>
    <w:qFormat/>
    <w:uiPriority w:val="0"/>
    <w:pPr>
      <w:widowControl/>
      <w:numPr>
        <w:ilvl w:val="3"/>
        <w:numId w:val="4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63">
    <w:name w:val="条文脚注"/>
    <w:basedOn w:val="23"/>
    <w:qFormat/>
    <w:uiPriority w:val="0"/>
    <w:pPr>
      <w:numPr>
        <w:numId w:val="0"/>
      </w:numPr>
      <w:jc w:val="both"/>
    </w:pPr>
  </w:style>
  <w:style w:type="paragraph" w:customStyle="1" w:styleId="64">
    <w:name w:val="附录章标题"/>
    <w:next w:val="22"/>
    <w:qFormat/>
    <w:uiPriority w:val="0"/>
    <w:pPr>
      <w:numPr>
        <w:ilvl w:val="1"/>
        <w:numId w:val="4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65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6">
    <w:name w:val="其他标准称谓"/>
    <w:next w:val="1"/>
    <w:qFormat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 w:cs="Times New Roman"/>
      <w:spacing w:val="-40"/>
      <w:sz w:val="48"/>
      <w:szCs w:val="52"/>
      <w:lang w:val="en-US" w:eastAsia="zh-CN" w:bidi="ar-SA"/>
    </w:rPr>
  </w:style>
  <w:style w:type="paragraph" w:customStyle="1" w:styleId="67">
    <w:name w:val="参考文献"/>
    <w:basedOn w:val="1"/>
    <w:next w:val="22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68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paragraph" w:customStyle="1" w:styleId="69">
    <w:name w:val="附录表标题"/>
    <w:basedOn w:val="1"/>
    <w:next w:val="22"/>
    <w:qFormat/>
    <w:uiPriority w:val="0"/>
    <w:pPr>
      <w:numPr>
        <w:ilvl w:val="1"/>
        <w:numId w:val="5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70">
    <w:name w:val="正文表标题"/>
    <w:next w:val="22"/>
    <w:qFormat/>
    <w:uiPriority w:val="0"/>
    <w:pPr>
      <w:tabs>
        <w:tab w:val="left" w:pos="360"/>
      </w:tabs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1">
    <w:name w:val="封面标准文稿类别2"/>
    <w:basedOn w:val="72"/>
    <w:qFormat/>
    <w:uiPriority w:val="0"/>
    <w:pPr>
      <w:framePr w:wrap="around" w:y="4469"/>
    </w:pPr>
  </w:style>
  <w:style w:type="paragraph" w:customStyle="1" w:styleId="72">
    <w:name w:val="封面标准文稿类别"/>
    <w:basedOn w:val="73"/>
    <w:qFormat/>
    <w:uiPriority w:val="0"/>
    <w:pPr>
      <w:framePr w:wrap="around"/>
      <w:spacing w:after="160" w:line="240" w:lineRule="auto"/>
    </w:pPr>
    <w:rPr>
      <w:sz w:val="24"/>
    </w:rPr>
  </w:style>
  <w:style w:type="paragraph" w:customStyle="1" w:styleId="73">
    <w:name w:val="封面一致性程度标识"/>
    <w:basedOn w:val="74"/>
    <w:qFormat/>
    <w:uiPriority w:val="0"/>
    <w:pPr>
      <w:framePr w:wrap="around"/>
      <w:spacing w:before="440"/>
    </w:pPr>
    <w:rPr>
      <w:rFonts w:ascii="宋体" w:eastAsia="宋体"/>
    </w:rPr>
  </w:style>
  <w:style w:type="paragraph" w:customStyle="1" w:styleId="74">
    <w:name w:val="封面标准英文名称"/>
    <w:basedOn w:val="75"/>
    <w:qFormat/>
    <w:uiPriority w:val="0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75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76">
    <w:name w:val="附录数字编号列项（二级）"/>
    <w:qFormat/>
    <w:uiPriority w:val="0"/>
    <w:pPr>
      <w:numPr>
        <w:ilvl w:val="1"/>
        <w:numId w:val="6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7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78">
    <w:name w:val="三级条标题"/>
    <w:basedOn w:val="51"/>
    <w:next w:val="22"/>
    <w:qFormat/>
    <w:uiPriority w:val="0"/>
    <w:pPr>
      <w:numPr>
        <w:ilvl w:val="3"/>
      </w:numPr>
      <w:outlineLvl w:val="4"/>
    </w:pPr>
  </w:style>
  <w:style w:type="paragraph" w:customStyle="1" w:styleId="79">
    <w:name w:val="封面标准文稿编辑信息2"/>
    <w:basedOn w:val="80"/>
    <w:qFormat/>
    <w:uiPriority w:val="0"/>
    <w:pPr>
      <w:framePr w:wrap="around" w:y="4469"/>
    </w:pPr>
  </w:style>
  <w:style w:type="paragraph" w:customStyle="1" w:styleId="80">
    <w:name w:val="封面标准文稿编辑信息"/>
    <w:basedOn w:val="72"/>
    <w:qFormat/>
    <w:uiPriority w:val="0"/>
    <w:pPr>
      <w:framePr w:wrap="around"/>
      <w:spacing w:before="180" w:line="180" w:lineRule="exact"/>
    </w:pPr>
    <w:rPr>
      <w:sz w:val="21"/>
    </w:rPr>
  </w:style>
  <w:style w:type="paragraph" w:customStyle="1" w:styleId="81">
    <w:name w:val="二级无"/>
    <w:basedOn w:val="51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82">
    <w:name w:val="四级条标题"/>
    <w:basedOn w:val="78"/>
    <w:next w:val="22"/>
    <w:qFormat/>
    <w:uiPriority w:val="0"/>
    <w:pPr>
      <w:numPr>
        <w:ilvl w:val="4"/>
      </w:numPr>
      <w:outlineLvl w:val="5"/>
    </w:pPr>
  </w:style>
  <w:style w:type="paragraph" w:customStyle="1" w:styleId="83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84">
    <w:name w:val="列项——（一级）"/>
    <w:qFormat/>
    <w:uiPriority w:val="0"/>
    <w:pPr>
      <w:widowControl w:val="0"/>
      <w:numPr>
        <w:ilvl w:val="0"/>
        <w:numId w:val="2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5">
    <w:name w:val="附录二级无"/>
    <w:basedOn w:val="62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86">
    <w:name w:val="封面标准名称2"/>
    <w:basedOn w:val="75"/>
    <w:qFormat/>
    <w:uiPriority w:val="0"/>
    <w:pPr>
      <w:framePr w:wrap="around" w:y="4469"/>
      <w:spacing w:beforeLines="630"/>
    </w:pPr>
  </w:style>
  <w:style w:type="paragraph" w:customStyle="1" w:styleId="87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Times New Roman" w:eastAsia="宋体" w:cs="Times New Roman"/>
      <w:sz w:val="21"/>
      <w:szCs w:val="21"/>
      <w:lang w:val="en-US" w:eastAsia="zh-CN" w:bidi="ar-SA"/>
    </w:rPr>
  </w:style>
  <w:style w:type="paragraph" w:customStyle="1" w:styleId="88">
    <w:name w:val="附录五级无"/>
    <w:basedOn w:val="89"/>
    <w:qFormat/>
    <w:uiPriority w:val="0"/>
    <w:pPr>
      <w:tabs>
        <w:tab w:val="left" w:pos="360"/>
      </w:tabs>
      <w:spacing w:beforeLines="0" w:afterLines="0"/>
    </w:pPr>
    <w:rPr>
      <w:rFonts w:ascii="宋体" w:eastAsia="宋体"/>
      <w:szCs w:val="21"/>
    </w:rPr>
  </w:style>
  <w:style w:type="paragraph" w:customStyle="1" w:styleId="89">
    <w:name w:val="附录五级条标题"/>
    <w:basedOn w:val="60"/>
    <w:next w:val="22"/>
    <w:qFormat/>
    <w:uiPriority w:val="0"/>
    <w:pPr>
      <w:numPr>
        <w:ilvl w:val="0"/>
        <w:numId w:val="0"/>
      </w:numPr>
      <w:outlineLvl w:val="6"/>
    </w:pPr>
  </w:style>
  <w:style w:type="paragraph" w:customStyle="1" w:styleId="90">
    <w:name w:val="图的脚注"/>
    <w:next w:val="22"/>
    <w:qFormat/>
    <w:uiPriority w:val="0"/>
    <w:pPr>
      <w:widowControl w:val="0"/>
      <w:ind w:left="840" w:leftChars="200" w:hanging="420" w:hanging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1">
    <w:name w:val="数字编号列项（二级）"/>
    <w:qFormat/>
    <w:uiPriority w:val="0"/>
    <w:pPr>
      <w:numPr>
        <w:ilvl w:val="1"/>
        <w:numId w:val="7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附录四级无"/>
    <w:basedOn w:val="60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3">
    <w:name w:val="五级条标题"/>
    <w:basedOn w:val="82"/>
    <w:next w:val="22"/>
    <w:qFormat/>
    <w:uiPriority w:val="0"/>
    <w:pPr>
      <w:numPr>
        <w:ilvl w:val="5"/>
      </w:numPr>
      <w:outlineLvl w:val="6"/>
    </w:pPr>
  </w:style>
  <w:style w:type="paragraph" w:customStyle="1" w:styleId="94">
    <w:name w:val="标准书眉_偶数页"/>
    <w:basedOn w:val="77"/>
    <w:next w:val="1"/>
    <w:qFormat/>
    <w:uiPriority w:val="0"/>
    <w:pPr>
      <w:jc w:val="left"/>
    </w:pPr>
  </w:style>
  <w:style w:type="paragraph" w:customStyle="1" w:styleId="95">
    <w:name w:val="其他发布日期"/>
    <w:basedOn w:val="56"/>
    <w:qFormat/>
    <w:uiPriority w:val="0"/>
    <w:pPr>
      <w:framePr w:wrap="around" w:vAnchor="page" w:hAnchor="text" w:x="1419"/>
    </w:pPr>
  </w:style>
  <w:style w:type="paragraph" w:customStyle="1" w:styleId="96">
    <w:name w:val="标准标志"/>
    <w:next w:val="1"/>
    <w:qFormat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70"/>
      <w:sz w:val="96"/>
      <w:szCs w:val="96"/>
      <w:lang w:val="en-US" w:eastAsia="zh-CN" w:bidi="ar-SA"/>
    </w:rPr>
  </w:style>
  <w:style w:type="paragraph" w:customStyle="1" w:styleId="97">
    <w:name w:val="发布部门"/>
    <w:next w:val="22"/>
    <w:qFormat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Times New Roman" w:eastAsia="宋体" w:cs="Times New Roman"/>
      <w:b/>
      <w:spacing w:val="20"/>
      <w:w w:val="135"/>
      <w:sz w:val="28"/>
      <w:lang w:val="en-US" w:eastAsia="zh-CN" w:bidi="ar-SA"/>
    </w:rPr>
  </w:style>
  <w:style w:type="paragraph" w:customStyle="1" w:styleId="98">
    <w:name w:val="正文图标题"/>
    <w:next w:val="22"/>
    <w:qFormat/>
    <w:uiPriority w:val="0"/>
    <w:pPr>
      <w:tabs>
        <w:tab w:val="left" w:pos="360"/>
      </w:tabs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9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00">
    <w:name w:val="注×：（正文）"/>
    <w:qFormat/>
    <w:uiPriority w:val="0"/>
    <w:pPr>
      <w:numPr>
        <w:ilvl w:val="0"/>
        <w:numId w:val="8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01">
    <w:name w:val="封面标准英文名称2"/>
    <w:basedOn w:val="74"/>
    <w:qFormat/>
    <w:uiPriority w:val="0"/>
    <w:pPr>
      <w:framePr w:wrap="around" w:y="4469"/>
    </w:pPr>
  </w:style>
  <w:style w:type="paragraph" w:customStyle="1" w:styleId="102">
    <w:name w:val="其他发布部门"/>
    <w:basedOn w:val="97"/>
    <w:qFormat/>
    <w:uiPriority w:val="0"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103">
    <w:name w:val="示例"/>
    <w:next w:val="104"/>
    <w:qFormat/>
    <w:uiPriority w:val="0"/>
    <w:pPr>
      <w:widowControl w:val="0"/>
      <w:ind w:firstLine="363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04">
    <w:name w:val="示例内容"/>
    <w:qFormat/>
    <w:uiPriority w:val="0"/>
    <w:pPr>
      <w:ind w:firstLine="200" w:firstLineChars="200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05">
    <w:name w:val="附录公式编号制表符"/>
    <w:basedOn w:val="1"/>
    <w:next w:val="22"/>
    <w:qFormat/>
    <w:uiPriority w:val="0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106">
    <w:name w:val="附录标识"/>
    <w:basedOn w:val="1"/>
    <w:next w:val="22"/>
    <w:qFormat/>
    <w:uiPriority w:val="0"/>
    <w:pPr>
      <w:keepNext/>
      <w:widowControl/>
      <w:numPr>
        <w:ilvl w:val="0"/>
        <w:numId w:val="4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107">
    <w:name w:val="编号列项（三级）"/>
    <w:qFormat/>
    <w:uiPriority w:val="0"/>
    <w:pPr>
      <w:numPr>
        <w:ilvl w:val="2"/>
        <w:numId w:val="7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8">
    <w:name w:val="实施日期"/>
    <w:basedOn w:val="56"/>
    <w:qFormat/>
    <w:uiPriority w:val="0"/>
    <w:pPr>
      <w:framePr w:wrap="around" w:vAnchor="page" w:hAnchor="text"/>
      <w:jc w:val="right"/>
    </w:pPr>
  </w:style>
  <w:style w:type="paragraph" w:customStyle="1" w:styleId="109">
    <w:name w:val="其他标准标志"/>
    <w:basedOn w:val="96"/>
    <w:qFormat/>
    <w:uiPriority w:val="0"/>
    <w:pPr>
      <w:framePr w:w="6101" w:wrap="around" w:vAnchor="page" w:hAnchor="page" w:x="4673" w:y="942"/>
    </w:pPr>
    <w:rPr>
      <w:w w:val="130"/>
    </w:rPr>
  </w:style>
  <w:style w:type="paragraph" w:customStyle="1" w:styleId="110">
    <w:name w:val="附录字母编号列项（一级）"/>
    <w:qFormat/>
    <w:uiPriority w:val="0"/>
    <w:pPr>
      <w:numPr>
        <w:ilvl w:val="0"/>
        <w:numId w:val="6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1">
    <w:name w:val="图标脚注说明"/>
    <w:basedOn w:val="22"/>
    <w:qFormat/>
    <w:uiPriority w:val="0"/>
    <w:pPr>
      <w:ind w:left="840" w:hanging="420" w:firstLineChars="0"/>
    </w:pPr>
    <w:rPr>
      <w:sz w:val="18"/>
      <w:szCs w:val="18"/>
    </w:rPr>
  </w:style>
  <w:style w:type="paragraph" w:customStyle="1" w:styleId="112">
    <w:name w:val="一级无"/>
    <w:basedOn w:val="52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13">
    <w:name w:val="附录图标号"/>
    <w:basedOn w:val="1"/>
    <w:qFormat/>
    <w:uiPriority w:val="0"/>
    <w:pPr>
      <w:keepNext/>
      <w:pageBreakBefore/>
      <w:widowControl/>
      <w:numPr>
        <w:ilvl w:val="0"/>
        <w:numId w:val="9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114">
    <w:name w:val="其他实施日期"/>
    <w:basedOn w:val="108"/>
    <w:qFormat/>
    <w:uiPriority w:val="0"/>
    <w:pPr>
      <w:framePr w:wrap="around"/>
    </w:pPr>
  </w:style>
  <w:style w:type="paragraph" w:customStyle="1" w:styleId="115">
    <w:name w:val="附录图标题"/>
    <w:basedOn w:val="1"/>
    <w:next w:val="22"/>
    <w:qFormat/>
    <w:uiPriority w:val="0"/>
    <w:pPr>
      <w:numPr>
        <w:ilvl w:val="1"/>
        <w:numId w:val="9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116">
    <w:name w:val="图表脚注说明"/>
    <w:basedOn w:val="1"/>
    <w:qFormat/>
    <w:uiPriority w:val="0"/>
    <w:pPr>
      <w:ind w:left="544" w:hanging="181"/>
    </w:pPr>
    <w:rPr>
      <w:rFonts w:ascii="宋体"/>
      <w:sz w:val="18"/>
      <w:szCs w:val="18"/>
    </w:rPr>
  </w:style>
  <w:style w:type="paragraph" w:styleId="117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</w:rPr>
  </w:style>
  <w:style w:type="paragraph" w:customStyle="1" w:styleId="118">
    <w:name w:val="附录表标号"/>
    <w:basedOn w:val="1"/>
    <w:next w:val="22"/>
    <w:qFormat/>
    <w:uiPriority w:val="0"/>
    <w:pPr>
      <w:numPr>
        <w:ilvl w:val="0"/>
        <w:numId w:val="5"/>
      </w:num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119">
    <w:name w:val="注："/>
    <w:next w:val="22"/>
    <w:qFormat/>
    <w:uiPriority w:val="0"/>
    <w:pPr>
      <w:widowControl w:val="0"/>
      <w:autoSpaceDE w:val="0"/>
      <w:autoSpaceDN w:val="0"/>
      <w:ind w:left="726" w:hanging="363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20">
    <w:name w:val="注：（正文）"/>
    <w:basedOn w:val="119"/>
    <w:next w:val="22"/>
    <w:qFormat/>
    <w:uiPriority w:val="0"/>
  </w:style>
  <w:style w:type="paragraph" w:customStyle="1" w:styleId="121">
    <w:name w:val="附录一级条标题"/>
    <w:basedOn w:val="64"/>
    <w:next w:val="22"/>
    <w:qFormat/>
    <w:uiPriority w:val="0"/>
    <w:pPr>
      <w:numPr>
        <w:ilvl w:val="2"/>
      </w:numPr>
      <w:autoSpaceDN w:val="0"/>
      <w:spacing w:beforeLines="50" w:afterLines="50"/>
      <w:outlineLvl w:val="2"/>
    </w:pPr>
  </w:style>
  <w:style w:type="paragraph" w:customStyle="1" w:styleId="122">
    <w:name w:val="标准称谓"/>
    <w:next w:val="1"/>
    <w:qFormat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Times New Roman"/>
      <w:b/>
      <w:bCs/>
      <w:spacing w:val="20"/>
      <w:w w:val="148"/>
      <w:sz w:val="48"/>
      <w:lang w:val="en-US" w:eastAsia="zh-CN" w:bidi="ar-SA"/>
    </w:rPr>
  </w:style>
  <w:style w:type="paragraph" w:customStyle="1" w:styleId="123">
    <w:name w:val="字母编号列项（一级）"/>
    <w:qFormat/>
    <w:uiPriority w:val="0"/>
    <w:pPr>
      <w:numPr>
        <w:ilvl w:val="0"/>
        <w:numId w:val="7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24">
    <w:name w:val="目次、标准名称标题"/>
    <w:basedOn w:val="1"/>
    <w:next w:val="22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125">
    <w:name w:val="参考文献、索引标题"/>
    <w:basedOn w:val="1"/>
    <w:next w:val="22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126">
    <w:name w:val="前言、引言标题"/>
    <w:next w:val="22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27">
    <w:name w:val="五级无"/>
    <w:basedOn w:val="93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28">
    <w:name w:val="四级无"/>
    <w:basedOn w:val="82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29">
    <w:name w:val="封面一致性程度标识2"/>
    <w:basedOn w:val="73"/>
    <w:qFormat/>
    <w:uiPriority w:val="0"/>
    <w:pPr>
      <w:framePr w:wrap="around" w:y="4469"/>
    </w:pPr>
  </w:style>
  <w:style w:type="paragraph" w:customStyle="1" w:styleId="130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31">
    <w:name w:val="列项说明数字编号"/>
    <w:qFormat/>
    <w:uiPriority w:val="0"/>
    <w:pPr>
      <w:ind w:left="600" w:leftChars="4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32">
    <w:name w:val="三级无"/>
    <w:basedOn w:val="78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33">
    <w:name w:val="列项说明"/>
    <w:basedOn w:val="1"/>
    <w:qFormat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rFonts w:ascii="宋体"/>
      <w:kern w:val="0"/>
      <w:szCs w:val="20"/>
    </w:rPr>
  </w:style>
  <w:style w:type="paragraph" w:customStyle="1" w:styleId="134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35">
    <w:name w:val="附录一级无"/>
    <w:basedOn w:val="121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36">
    <w:name w:val="标准书脚_偶数页"/>
    <w:qFormat/>
    <w:uiPriority w:val="0"/>
    <w:pPr>
      <w:spacing w:before="120"/>
      <w:ind w:left="221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37">
    <w:name w:val="附录三级无"/>
    <w:basedOn w:val="61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38">
    <w:name w:val="正文公式编号制表符"/>
    <w:basedOn w:val="22"/>
    <w:next w:val="22"/>
    <w:qFormat/>
    <w:uiPriority w:val="0"/>
    <w:pPr>
      <w:ind w:firstLine="0" w:firstLineChars="0"/>
    </w:p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microsoft.com/office/2006/relationships/keyMapCustomizations" Target="customizations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39"/>
    <customShpInfo spid="_x0000_s1036"/>
    <customShpInfo spid="_x0000_s1034"/>
    <customShpInfo spid="_x0000_s1040"/>
    <customShpInfo spid="_x0000_s1041"/>
    <customShpInfo spid="_x0000_s1035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2315</Words>
  <Characters>2867</Characters>
  <Lines>10</Lines>
  <Paragraphs>6</Paragraphs>
  <TotalTime>0</TotalTime>
  <ScaleCrop>false</ScaleCrop>
  <LinksUpToDate>false</LinksUpToDate>
  <CharactersWithSpaces>3258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2021-01-20T14:40:00Z</dcterms:created>
  <dcterms:modified xsi:type="dcterms:W3CDTF">2023-10-26T02:07:05Z</dcterms:modified>
  <dc:title>标准名称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A8C188DB65AD4BFCB8B50078FA8EFF98</vt:lpwstr>
  </property>
</Properties>
</file>