
<file path=[Content_Types].xml><?xml version="1.0" encoding="utf-8"?>
<Types xmlns="http://schemas.openxmlformats.org/package/2006/content-types">
  <Default Extension="xml" ContentType="application/xml"/>
  <Default Extension="tiff" ContentType="image/tif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 </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28"/>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c>
          <w:tcPr>
            <w:tcW w:w="6407" w:type="dxa"/>
          </w:tcPr>
          <w:p>
            <w:pPr>
              <w:pStyle w:val="52"/>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     </w:t>
            </w:r>
            <w:r>
              <w:fldChar w:fldCharType="end"/>
            </w:r>
            <w:bookmarkEnd w:id="3"/>
          </w:p>
        </w:tc>
      </w:tr>
    </w:tbl>
    <w:p>
      <w:pPr>
        <w:pStyle w:val="53"/>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8"/>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en-US" w:eastAsia="zh-CN"/>
        </w:rPr>
        <w:t>61</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eastAsia="zh-CN"/>
        </w:rPr>
        <w:t>     </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rFonts w:hint="eastAsia"/>
          <w:lang w:val="fr-FR" w:eastAsia="zh-CN"/>
        </w:rPr>
        <w:t>2</w:t>
      </w:r>
      <w:r>
        <w:rPr>
          <w:rFonts w:hint="eastAsia"/>
          <w:lang w:val="en-US" w:eastAsia="zh-CN"/>
        </w:rPr>
        <w:t>024</w:t>
      </w:r>
      <w:r>
        <w:fldChar w:fldCharType="end"/>
      </w:r>
      <w:bookmarkEnd w:id="7"/>
    </w:p>
    <w:p>
      <w:pPr>
        <w:pStyle w:val="199"/>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3"/>
        <w:framePr w:w="9639" w:h="6976" w:hRule="exact" w:hSpace="0" w:vSpace="0" w:wrap="around" w:hAnchor="page" w:y="6408"/>
        <w:jc w:val="center"/>
        <w:rPr>
          <w:rFonts w:ascii="黑体" w:hAnsi="黑体" w:eastAsia="黑体"/>
          <w:b w:val="0"/>
          <w:bCs w:val="0"/>
          <w:w w:val="100"/>
        </w:rPr>
      </w:pPr>
    </w:p>
    <w:p>
      <w:pPr>
        <w:pStyle w:val="200"/>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高速公路绿色服务区评估</w:t>
      </w:r>
      <w:r>
        <w:rPr>
          <w:rFonts w:hint="eastAsia"/>
          <w:lang w:eastAsia="zh-CN"/>
        </w:rPr>
        <w:t>标准</w:t>
      </w:r>
      <w:r>
        <w:fldChar w:fldCharType="end"/>
      </w:r>
      <w:bookmarkEnd w:id="9"/>
    </w:p>
    <w:p>
      <w:pPr>
        <w:framePr w:w="9639" w:h="6974" w:hRule="exact" w:wrap="around" w:vAnchor="page" w:hAnchor="page" w:x="1419" w:y="6408" w:anchorLock="1"/>
        <w:ind w:left="-1418"/>
      </w:pPr>
    </w:p>
    <w:p>
      <w:pPr>
        <w:pStyle w:val="128"/>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hint="eastAsia" w:ascii="黑体" w:hAnsi="黑体" w:eastAsia="黑体"/>
          <w:szCs w:val="28"/>
        </w:rPr>
        <w:t>点击此处添加标准名称的英文译名</w:t>
      </w:r>
      <w:r>
        <w:rPr>
          <w:rFonts w:ascii="黑体" w:hAnsi="黑体" w:eastAsia="黑体"/>
          <w:szCs w:val="28"/>
        </w:rPr>
        <w:fldChar w:fldCharType="end"/>
      </w:r>
      <w:bookmarkEnd w:id="10"/>
    </w:p>
    <w:p>
      <w:pPr>
        <w:framePr w:w="9639" w:h="6974" w:hRule="exact" w:wrap="around" w:vAnchor="page" w:hAnchor="page" w:x="1419" w:y="6408" w:anchorLock="1"/>
        <w:spacing w:line="760" w:lineRule="exact"/>
        <w:ind w:left="-1418"/>
      </w:pPr>
    </w:p>
    <w:p>
      <w:pPr>
        <w:pStyle w:val="128"/>
        <w:framePr w:w="9639" w:h="6974" w:hRule="exact" w:wrap="around" w:vAnchor="page" w:hAnchor="page" w:x="1419" w:y="6408" w:anchorLock="1"/>
        <w:textAlignment w:val="bottom"/>
        <w:rPr>
          <w:rFonts w:eastAsia="黑体"/>
          <w:szCs w:val="28"/>
        </w:rPr>
      </w:pPr>
    </w:p>
    <w:p>
      <w:pPr>
        <w:pStyle w:val="12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1"/>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8"/>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6"/>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7"/>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4"/>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Ansi="黑体"/>
          <w:w w:val="100"/>
          <w:sz w:val="28"/>
        </w:rPr>
        <w:t>     </w:t>
      </w:r>
      <w:r>
        <w:rPr>
          <w:rFonts w:hAnsi="黑体"/>
          <w:w w:val="100"/>
          <w:sz w:val="28"/>
        </w:rPr>
        <w:fldChar w:fldCharType="end"/>
      </w:r>
      <w:bookmarkEnd w:id="20"/>
      <w:r>
        <w:rPr>
          <w:rFonts w:ascii="Times New Roman"/>
          <w:w w:val="100"/>
          <w:sz w:val="28"/>
        </w:rPr>
        <w:t>  </w:t>
      </w:r>
      <w:r>
        <w:rPr>
          <w:rStyle w:val="232"/>
          <w:rFonts w:hint="eastAsia" w:hAnsi="黑体"/>
          <w:position w:val="0"/>
        </w:rPr>
        <w:t>发</w:t>
      </w:r>
      <w:r>
        <w:rPr>
          <w:rStyle w:val="232"/>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2336"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2336;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4"/>
        <w:spacing w:after="468"/>
        <w:rPr>
          <w:rFonts w:hint="eastAsia"/>
        </w:rPr>
      </w:pPr>
      <w:bookmarkStart w:id="40" w:name="_GoBack"/>
      <w:bookmarkEnd w:id="40"/>
      <w:bookmarkStart w:id="21" w:name="BookMark1"/>
      <w:r>
        <w:rPr>
          <w:spacing w:val="320"/>
        </w:rPr>
        <w:t>目</w:t>
      </w:r>
      <w:r>
        <w:rPr>
          <w:rFonts w:hint="eastAsia"/>
        </w:rPr>
        <w:t>录</w:t>
      </w:r>
    </w:p>
    <w:p>
      <w:pPr>
        <w:pStyle w:val="19"/>
        <w:tabs>
          <w:tab w:val="right" w:leader="dot" w:pos="9344"/>
        </w:tabs>
        <w:spacing w:line="360" w:lineRule="auto"/>
        <w:rPr>
          <w:rFonts w:asciiTheme="minorHAnsi" w:hAnsiTheme="minorHAnsi" w:eastAsiaTheme="minorEastAsia" w:cstheme="minorBidi"/>
          <w:sz w:val="24"/>
          <w:szCs w:val="28"/>
          <w14:ligatures w14:val="standardContextual"/>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"_Toc155366868" </w:instrText>
      </w:r>
      <w:r>
        <w:fldChar w:fldCharType="separate"/>
      </w:r>
      <w:r>
        <w:rPr>
          <w:rStyle w:val="33"/>
          <w:sz w:val="24"/>
          <w:szCs w:val="24"/>
        </w:rPr>
        <w:t>1 标准基本情况</w:t>
      </w:r>
      <w:r>
        <w:rPr>
          <w:sz w:val="24"/>
          <w:szCs w:val="24"/>
        </w:rPr>
        <w:tab/>
      </w:r>
      <w:r>
        <w:rPr>
          <w:sz w:val="24"/>
          <w:szCs w:val="24"/>
        </w:rPr>
        <w:fldChar w:fldCharType="begin"/>
      </w:r>
      <w:r>
        <w:rPr>
          <w:sz w:val="24"/>
          <w:szCs w:val="24"/>
        </w:rPr>
        <w:instrText xml:space="preserve"> PAGEREF _Toc155366868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24"/>
        <w:spacing w:line="360" w:lineRule="auto"/>
        <w:rPr>
          <w:rFonts w:asciiTheme="minorHAnsi" w:hAnsiTheme="minorHAnsi" w:eastAsiaTheme="minorEastAsia" w:cstheme="minorBidi"/>
          <w:sz w:val="24"/>
          <w:szCs w:val="28"/>
          <w14:ligatures w14:val="standardContextual"/>
        </w:rPr>
      </w:pPr>
      <w:r>
        <w:fldChar w:fldCharType="begin"/>
      </w:r>
      <w:r>
        <w:instrText xml:space="preserve"> HYPERLINK \l "_Toc155366869" </w:instrText>
      </w:r>
      <w:r>
        <w:fldChar w:fldCharType="separate"/>
      </w:r>
      <w:r>
        <w:rPr>
          <w:rStyle w:val="33"/>
          <w:sz w:val="24"/>
          <w:szCs w:val="24"/>
          <w14:scene3d>
            <w14:lightRig w14:rig="threePt" w14:dir="t">
              <w14:rot w14:lat="0" w14:lon="0" w14:rev="0"/>
            </w14:lightRig>
          </w14:scene3d>
        </w:rPr>
        <w:t>1.1</w:t>
      </w:r>
      <w:r>
        <w:rPr>
          <w:rStyle w:val="33"/>
          <w:sz w:val="24"/>
          <w:szCs w:val="24"/>
        </w:rPr>
        <w:t xml:space="preserve"> 任务来源</w:t>
      </w:r>
      <w:r>
        <w:rPr>
          <w:sz w:val="24"/>
          <w:szCs w:val="24"/>
        </w:rPr>
        <w:tab/>
      </w:r>
      <w:r>
        <w:rPr>
          <w:sz w:val="24"/>
          <w:szCs w:val="24"/>
        </w:rPr>
        <w:fldChar w:fldCharType="begin"/>
      </w:r>
      <w:r>
        <w:rPr>
          <w:sz w:val="24"/>
          <w:szCs w:val="24"/>
        </w:rPr>
        <w:instrText xml:space="preserve"> PAGEREF _Toc155366869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24"/>
        <w:spacing w:line="360" w:lineRule="auto"/>
        <w:rPr>
          <w:rFonts w:asciiTheme="minorHAnsi" w:hAnsiTheme="minorHAnsi" w:eastAsiaTheme="minorEastAsia" w:cstheme="minorBidi"/>
          <w:sz w:val="24"/>
          <w:szCs w:val="28"/>
          <w14:ligatures w14:val="standardContextual"/>
        </w:rPr>
      </w:pPr>
      <w:r>
        <w:fldChar w:fldCharType="begin"/>
      </w:r>
      <w:r>
        <w:instrText xml:space="preserve"> HYPERLINK \l "_Toc155366870" </w:instrText>
      </w:r>
      <w:r>
        <w:fldChar w:fldCharType="separate"/>
      </w:r>
      <w:r>
        <w:rPr>
          <w:rStyle w:val="33"/>
          <w:sz w:val="24"/>
          <w:szCs w:val="24"/>
          <w14:scene3d>
            <w14:lightRig w14:rig="threePt" w14:dir="t">
              <w14:rot w14:lat="0" w14:lon="0" w14:rev="0"/>
            </w14:lightRig>
          </w14:scene3d>
        </w:rPr>
        <w:t>1.2</w:t>
      </w:r>
      <w:r>
        <w:rPr>
          <w:rStyle w:val="33"/>
          <w:sz w:val="24"/>
          <w:szCs w:val="24"/>
        </w:rPr>
        <w:t xml:space="preserve"> 工作过程</w:t>
      </w:r>
      <w:r>
        <w:rPr>
          <w:sz w:val="24"/>
          <w:szCs w:val="24"/>
        </w:rPr>
        <w:tab/>
      </w:r>
      <w:r>
        <w:rPr>
          <w:sz w:val="24"/>
          <w:szCs w:val="24"/>
        </w:rPr>
        <w:fldChar w:fldCharType="begin"/>
      </w:r>
      <w:r>
        <w:rPr>
          <w:sz w:val="24"/>
          <w:szCs w:val="24"/>
        </w:rPr>
        <w:instrText xml:space="preserve"> PAGEREF _Toc155366870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19"/>
        <w:tabs>
          <w:tab w:val="right" w:leader="dot" w:pos="9344"/>
        </w:tabs>
        <w:spacing w:line="360" w:lineRule="auto"/>
        <w:rPr>
          <w:rFonts w:asciiTheme="minorHAnsi" w:hAnsiTheme="minorHAnsi" w:eastAsiaTheme="minorEastAsia" w:cstheme="minorBidi"/>
          <w:sz w:val="24"/>
          <w:szCs w:val="28"/>
          <w14:ligatures w14:val="standardContextual"/>
        </w:rPr>
      </w:pPr>
      <w:r>
        <w:fldChar w:fldCharType="begin"/>
      </w:r>
      <w:r>
        <w:instrText xml:space="preserve"> HYPERLINK \l "_Toc155366871" </w:instrText>
      </w:r>
      <w:r>
        <w:fldChar w:fldCharType="separate"/>
      </w:r>
      <w:r>
        <w:rPr>
          <w:rStyle w:val="33"/>
          <w:sz w:val="24"/>
          <w:szCs w:val="24"/>
        </w:rPr>
        <w:t>2 陕西省标准编制的必要性和意义</w:t>
      </w:r>
      <w:r>
        <w:rPr>
          <w:sz w:val="24"/>
          <w:szCs w:val="24"/>
        </w:rPr>
        <w:tab/>
      </w:r>
      <w:r>
        <w:rPr>
          <w:sz w:val="24"/>
          <w:szCs w:val="24"/>
        </w:rPr>
        <w:fldChar w:fldCharType="begin"/>
      </w:r>
      <w:r>
        <w:rPr>
          <w:sz w:val="24"/>
          <w:szCs w:val="24"/>
        </w:rPr>
        <w:instrText xml:space="preserve"> PAGEREF _Toc155366871 \h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19"/>
        <w:tabs>
          <w:tab w:val="right" w:leader="dot" w:pos="9344"/>
        </w:tabs>
        <w:spacing w:line="360" w:lineRule="auto"/>
        <w:rPr>
          <w:rFonts w:asciiTheme="minorHAnsi" w:hAnsiTheme="minorHAnsi" w:eastAsiaTheme="minorEastAsia" w:cstheme="minorBidi"/>
          <w:sz w:val="24"/>
          <w:szCs w:val="28"/>
          <w14:ligatures w14:val="standardContextual"/>
        </w:rPr>
      </w:pPr>
      <w:r>
        <w:fldChar w:fldCharType="begin"/>
      </w:r>
      <w:r>
        <w:instrText xml:space="preserve"> HYPERLINK \l "_Toc155366872" </w:instrText>
      </w:r>
      <w:r>
        <w:fldChar w:fldCharType="separate"/>
      </w:r>
      <w:r>
        <w:rPr>
          <w:rStyle w:val="33"/>
          <w:sz w:val="24"/>
          <w:szCs w:val="24"/>
        </w:rPr>
        <w:t>3 制定标准的原则和依据</w:t>
      </w:r>
      <w:r>
        <w:rPr>
          <w:sz w:val="24"/>
          <w:szCs w:val="24"/>
        </w:rPr>
        <w:tab/>
      </w:r>
      <w:r>
        <w:rPr>
          <w:sz w:val="24"/>
          <w:szCs w:val="24"/>
        </w:rPr>
        <w:fldChar w:fldCharType="begin"/>
      </w:r>
      <w:r>
        <w:rPr>
          <w:sz w:val="24"/>
          <w:szCs w:val="24"/>
        </w:rPr>
        <w:instrText xml:space="preserve"> PAGEREF _Toc155366872 \h </w:instrText>
      </w:r>
      <w:r>
        <w:rPr>
          <w:sz w:val="24"/>
          <w:szCs w:val="24"/>
        </w:rPr>
        <w:fldChar w:fldCharType="separate"/>
      </w:r>
      <w:r>
        <w:rPr>
          <w:sz w:val="24"/>
          <w:szCs w:val="24"/>
        </w:rPr>
        <w:t>6</w:t>
      </w:r>
      <w:r>
        <w:rPr>
          <w:sz w:val="24"/>
          <w:szCs w:val="24"/>
        </w:rPr>
        <w:fldChar w:fldCharType="end"/>
      </w:r>
      <w:r>
        <w:rPr>
          <w:sz w:val="24"/>
          <w:szCs w:val="24"/>
        </w:rPr>
        <w:fldChar w:fldCharType="end"/>
      </w:r>
    </w:p>
    <w:p>
      <w:pPr>
        <w:pStyle w:val="24"/>
        <w:spacing w:line="360" w:lineRule="auto"/>
        <w:rPr>
          <w:rFonts w:asciiTheme="minorHAnsi" w:hAnsiTheme="minorHAnsi" w:eastAsiaTheme="minorEastAsia" w:cstheme="minorBidi"/>
          <w:sz w:val="24"/>
          <w:szCs w:val="28"/>
          <w14:ligatures w14:val="standardContextual"/>
        </w:rPr>
      </w:pPr>
      <w:r>
        <w:fldChar w:fldCharType="begin"/>
      </w:r>
      <w:r>
        <w:instrText xml:space="preserve"> HYPERLINK \l "_Toc155366873" </w:instrText>
      </w:r>
      <w:r>
        <w:fldChar w:fldCharType="separate"/>
      </w:r>
      <w:r>
        <w:rPr>
          <w:rStyle w:val="33"/>
          <w:sz w:val="24"/>
          <w:szCs w:val="24"/>
          <w14:scene3d>
            <w14:lightRig w14:rig="threePt" w14:dir="t">
              <w14:rot w14:lat="0" w14:lon="0" w14:rev="0"/>
            </w14:lightRig>
          </w14:scene3d>
        </w:rPr>
        <w:t>3.1</w:t>
      </w:r>
      <w:r>
        <w:rPr>
          <w:rStyle w:val="33"/>
          <w:sz w:val="24"/>
          <w:szCs w:val="24"/>
        </w:rPr>
        <w:t xml:space="preserve"> 制定标准的原则</w:t>
      </w:r>
      <w:r>
        <w:rPr>
          <w:sz w:val="24"/>
          <w:szCs w:val="24"/>
        </w:rPr>
        <w:tab/>
      </w:r>
      <w:r>
        <w:rPr>
          <w:sz w:val="24"/>
          <w:szCs w:val="24"/>
        </w:rPr>
        <w:fldChar w:fldCharType="begin"/>
      </w:r>
      <w:r>
        <w:rPr>
          <w:sz w:val="24"/>
          <w:szCs w:val="24"/>
        </w:rPr>
        <w:instrText xml:space="preserve"> PAGEREF _Toc155366873 \h </w:instrText>
      </w:r>
      <w:r>
        <w:rPr>
          <w:sz w:val="24"/>
          <w:szCs w:val="24"/>
        </w:rPr>
        <w:fldChar w:fldCharType="separate"/>
      </w:r>
      <w:r>
        <w:rPr>
          <w:sz w:val="24"/>
          <w:szCs w:val="24"/>
        </w:rPr>
        <w:t>6</w:t>
      </w:r>
      <w:r>
        <w:rPr>
          <w:sz w:val="24"/>
          <w:szCs w:val="24"/>
        </w:rPr>
        <w:fldChar w:fldCharType="end"/>
      </w:r>
      <w:r>
        <w:rPr>
          <w:sz w:val="24"/>
          <w:szCs w:val="24"/>
        </w:rPr>
        <w:fldChar w:fldCharType="end"/>
      </w:r>
    </w:p>
    <w:p>
      <w:pPr>
        <w:pStyle w:val="24"/>
        <w:spacing w:line="360" w:lineRule="auto"/>
        <w:rPr>
          <w:rFonts w:asciiTheme="minorHAnsi" w:hAnsiTheme="minorHAnsi" w:eastAsiaTheme="minorEastAsia" w:cstheme="minorBidi"/>
          <w:sz w:val="24"/>
          <w:szCs w:val="28"/>
          <w14:ligatures w14:val="standardContextual"/>
        </w:rPr>
      </w:pPr>
      <w:r>
        <w:fldChar w:fldCharType="begin"/>
      </w:r>
      <w:r>
        <w:instrText xml:space="preserve"> HYPERLINK \l "_Toc155366874" </w:instrText>
      </w:r>
      <w:r>
        <w:fldChar w:fldCharType="separate"/>
      </w:r>
      <w:r>
        <w:rPr>
          <w:rStyle w:val="33"/>
          <w:sz w:val="24"/>
          <w:szCs w:val="24"/>
          <w14:scene3d>
            <w14:lightRig w14:rig="threePt" w14:dir="t">
              <w14:rot w14:lat="0" w14:lon="0" w14:rev="0"/>
            </w14:lightRig>
          </w14:scene3d>
        </w:rPr>
        <w:t>3.2</w:t>
      </w:r>
      <w:r>
        <w:rPr>
          <w:rStyle w:val="33"/>
          <w:sz w:val="24"/>
          <w:szCs w:val="24"/>
        </w:rPr>
        <w:t xml:space="preserve"> 绿色服务区评级体系研究综述</w:t>
      </w:r>
      <w:r>
        <w:rPr>
          <w:sz w:val="24"/>
          <w:szCs w:val="24"/>
        </w:rPr>
        <w:tab/>
      </w:r>
      <w:r>
        <w:rPr>
          <w:sz w:val="24"/>
          <w:szCs w:val="24"/>
        </w:rPr>
        <w:fldChar w:fldCharType="begin"/>
      </w:r>
      <w:r>
        <w:rPr>
          <w:sz w:val="24"/>
          <w:szCs w:val="24"/>
        </w:rPr>
        <w:instrText xml:space="preserve"> PAGEREF _Toc155366874 \h </w:instrText>
      </w:r>
      <w:r>
        <w:rPr>
          <w:sz w:val="24"/>
          <w:szCs w:val="24"/>
        </w:rPr>
        <w:fldChar w:fldCharType="separate"/>
      </w:r>
      <w:r>
        <w:rPr>
          <w:sz w:val="24"/>
          <w:szCs w:val="24"/>
        </w:rPr>
        <w:t>6</w:t>
      </w:r>
      <w:r>
        <w:rPr>
          <w:sz w:val="24"/>
          <w:szCs w:val="24"/>
        </w:rPr>
        <w:fldChar w:fldCharType="end"/>
      </w:r>
      <w:r>
        <w:rPr>
          <w:sz w:val="24"/>
          <w:szCs w:val="24"/>
        </w:rPr>
        <w:fldChar w:fldCharType="end"/>
      </w:r>
    </w:p>
    <w:p>
      <w:pPr>
        <w:pStyle w:val="24"/>
        <w:spacing w:line="360" w:lineRule="auto"/>
        <w:rPr>
          <w:rFonts w:asciiTheme="minorHAnsi" w:hAnsiTheme="minorHAnsi" w:eastAsiaTheme="minorEastAsia" w:cstheme="minorBidi"/>
          <w:sz w:val="24"/>
          <w:szCs w:val="28"/>
          <w14:ligatures w14:val="standardContextual"/>
        </w:rPr>
      </w:pPr>
      <w:r>
        <w:fldChar w:fldCharType="begin"/>
      </w:r>
      <w:r>
        <w:instrText xml:space="preserve"> HYPERLINK \l "_Toc155366875" </w:instrText>
      </w:r>
      <w:r>
        <w:fldChar w:fldCharType="separate"/>
      </w:r>
      <w:r>
        <w:rPr>
          <w:rStyle w:val="33"/>
          <w:sz w:val="24"/>
          <w:szCs w:val="24"/>
          <w14:scene3d>
            <w14:lightRig w14:rig="threePt" w14:dir="t">
              <w14:rot w14:lat="0" w14:lon="0" w14:rev="0"/>
            </w14:lightRig>
          </w14:scene3d>
        </w:rPr>
        <w:t>3.3</w:t>
      </w:r>
      <w:r>
        <w:rPr>
          <w:rStyle w:val="33"/>
          <w:sz w:val="24"/>
          <w:szCs w:val="24"/>
        </w:rPr>
        <w:t xml:space="preserve"> 国内相关标准研究</w:t>
      </w:r>
      <w:r>
        <w:rPr>
          <w:sz w:val="24"/>
          <w:szCs w:val="24"/>
        </w:rPr>
        <w:tab/>
      </w:r>
      <w:r>
        <w:rPr>
          <w:sz w:val="24"/>
          <w:szCs w:val="24"/>
        </w:rPr>
        <w:fldChar w:fldCharType="begin"/>
      </w:r>
      <w:r>
        <w:rPr>
          <w:sz w:val="24"/>
          <w:szCs w:val="24"/>
        </w:rPr>
        <w:instrText xml:space="preserve"> PAGEREF _Toc155366875 \h </w:instrText>
      </w:r>
      <w:r>
        <w:rPr>
          <w:sz w:val="24"/>
          <w:szCs w:val="24"/>
        </w:rPr>
        <w:fldChar w:fldCharType="separate"/>
      </w:r>
      <w:r>
        <w:rPr>
          <w:sz w:val="24"/>
          <w:szCs w:val="24"/>
        </w:rPr>
        <w:t>7</w:t>
      </w:r>
      <w:r>
        <w:rPr>
          <w:sz w:val="24"/>
          <w:szCs w:val="24"/>
        </w:rPr>
        <w:fldChar w:fldCharType="end"/>
      </w:r>
      <w:r>
        <w:rPr>
          <w:sz w:val="24"/>
          <w:szCs w:val="24"/>
        </w:rPr>
        <w:fldChar w:fldCharType="end"/>
      </w:r>
    </w:p>
    <w:p>
      <w:pPr>
        <w:pStyle w:val="19"/>
        <w:tabs>
          <w:tab w:val="right" w:leader="dot" w:pos="9344"/>
        </w:tabs>
        <w:spacing w:line="360" w:lineRule="auto"/>
        <w:rPr>
          <w:rFonts w:asciiTheme="minorHAnsi" w:hAnsiTheme="minorHAnsi" w:eastAsiaTheme="minorEastAsia" w:cstheme="minorBidi"/>
          <w:sz w:val="24"/>
          <w:szCs w:val="28"/>
          <w14:ligatures w14:val="standardContextual"/>
        </w:rPr>
      </w:pPr>
      <w:r>
        <w:fldChar w:fldCharType="begin"/>
      </w:r>
      <w:r>
        <w:instrText xml:space="preserve"> HYPERLINK \l "_Toc155366876" </w:instrText>
      </w:r>
      <w:r>
        <w:fldChar w:fldCharType="separate"/>
      </w:r>
      <w:r>
        <w:rPr>
          <w:rStyle w:val="33"/>
          <w:sz w:val="24"/>
          <w:szCs w:val="24"/>
        </w:rPr>
        <w:t>4 主要内容说明</w:t>
      </w:r>
      <w:r>
        <w:rPr>
          <w:sz w:val="24"/>
          <w:szCs w:val="24"/>
        </w:rPr>
        <w:tab/>
      </w:r>
      <w:r>
        <w:rPr>
          <w:sz w:val="24"/>
          <w:szCs w:val="24"/>
        </w:rPr>
        <w:fldChar w:fldCharType="begin"/>
      </w:r>
      <w:r>
        <w:rPr>
          <w:sz w:val="24"/>
          <w:szCs w:val="24"/>
        </w:rPr>
        <w:instrText xml:space="preserve"> PAGEREF _Toc155366876 \h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19"/>
        <w:tabs>
          <w:tab w:val="right" w:leader="dot" w:pos="9344"/>
        </w:tabs>
        <w:spacing w:line="360" w:lineRule="auto"/>
        <w:rPr>
          <w:rFonts w:asciiTheme="minorHAnsi" w:hAnsiTheme="minorHAnsi" w:eastAsiaTheme="minorEastAsia" w:cstheme="minorBidi"/>
          <w:sz w:val="24"/>
          <w:szCs w:val="28"/>
          <w14:ligatures w14:val="standardContextual"/>
        </w:rPr>
      </w:pPr>
      <w:r>
        <w:fldChar w:fldCharType="begin"/>
      </w:r>
      <w:r>
        <w:instrText xml:space="preserve"> HYPERLINK \l "_Toc155366877" </w:instrText>
      </w:r>
      <w:r>
        <w:fldChar w:fldCharType="separate"/>
      </w:r>
      <w:r>
        <w:rPr>
          <w:rStyle w:val="33"/>
          <w:sz w:val="24"/>
          <w:szCs w:val="24"/>
        </w:rPr>
        <w:t>5 重大意见分歧的处理依据和结果</w:t>
      </w:r>
      <w:r>
        <w:rPr>
          <w:sz w:val="24"/>
          <w:szCs w:val="24"/>
        </w:rPr>
        <w:tab/>
      </w:r>
      <w:r>
        <w:rPr>
          <w:sz w:val="24"/>
          <w:szCs w:val="24"/>
        </w:rPr>
        <w:fldChar w:fldCharType="begin"/>
      </w:r>
      <w:r>
        <w:rPr>
          <w:sz w:val="24"/>
          <w:szCs w:val="24"/>
        </w:rPr>
        <w:instrText xml:space="preserve"> PAGEREF _Toc155366877 \h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19"/>
        <w:tabs>
          <w:tab w:val="right" w:leader="dot" w:pos="9344"/>
        </w:tabs>
        <w:spacing w:line="360" w:lineRule="auto"/>
        <w:rPr>
          <w:rFonts w:asciiTheme="minorHAnsi" w:hAnsiTheme="minorHAnsi" w:eastAsiaTheme="minorEastAsia" w:cstheme="minorBidi"/>
          <w:sz w:val="24"/>
          <w:szCs w:val="28"/>
          <w14:ligatures w14:val="standardContextual"/>
        </w:rPr>
      </w:pPr>
      <w:r>
        <w:fldChar w:fldCharType="begin"/>
      </w:r>
      <w:r>
        <w:instrText xml:space="preserve"> HYPERLINK \l "_Toc155366878" </w:instrText>
      </w:r>
      <w:r>
        <w:fldChar w:fldCharType="separate"/>
      </w:r>
      <w:r>
        <w:rPr>
          <w:rStyle w:val="33"/>
          <w:kern w:val="44"/>
          <w:sz w:val="24"/>
          <w:szCs w:val="24"/>
        </w:rPr>
        <w:t>6</w:t>
      </w:r>
      <w:r>
        <w:rPr>
          <w:rStyle w:val="33"/>
          <w:sz w:val="24"/>
          <w:szCs w:val="24"/>
        </w:rPr>
        <w:t xml:space="preserve"> 相关标准的引用</w:t>
      </w:r>
      <w:r>
        <w:rPr>
          <w:sz w:val="24"/>
          <w:szCs w:val="24"/>
        </w:rPr>
        <w:tab/>
      </w:r>
      <w:r>
        <w:rPr>
          <w:sz w:val="24"/>
          <w:szCs w:val="24"/>
        </w:rPr>
        <w:fldChar w:fldCharType="begin"/>
      </w:r>
      <w:r>
        <w:rPr>
          <w:sz w:val="24"/>
          <w:szCs w:val="24"/>
        </w:rPr>
        <w:instrText xml:space="preserve"> PAGEREF _Toc155366878 \h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24"/>
        <w:spacing w:line="360" w:lineRule="auto"/>
        <w:rPr>
          <w:rFonts w:asciiTheme="minorHAnsi" w:hAnsiTheme="minorHAnsi" w:eastAsiaTheme="minorEastAsia" w:cstheme="minorBidi"/>
          <w:sz w:val="24"/>
          <w:szCs w:val="28"/>
          <w14:ligatures w14:val="standardContextual"/>
        </w:rPr>
      </w:pPr>
      <w:r>
        <w:fldChar w:fldCharType="begin"/>
      </w:r>
      <w:r>
        <w:instrText xml:space="preserve"> HYPERLINK \l "_Toc155366879" </w:instrText>
      </w:r>
      <w:r>
        <w:fldChar w:fldCharType="separate"/>
      </w:r>
      <w:r>
        <w:rPr>
          <w:rStyle w:val="33"/>
          <w:sz w:val="24"/>
          <w:szCs w:val="24"/>
          <w14:scene3d>
            <w14:lightRig w14:rig="threePt" w14:dir="t">
              <w14:rot w14:lat="0" w14:lon="0" w14:rev="0"/>
            </w14:lightRig>
          </w14:scene3d>
        </w:rPr>
        <w:t>6.1</w:t>
      </w:r>
      <w:r>
        <w:rPr>
          <w:rStyle w:val="33"/>
          <w:sz w:val="24"/>
          <w:szCs w:val="24"/>
        </w:rPr>
        <w:t xml:space="preserve"> 基本要求章节引用标准</w:t>
      </w:r>
      <w:r>
        <w:rPr>
          <w:sz w:val="24"/>
          <w:szCs w:val="24"/>
        </w:rPr>
        <w:tab/>
      </w:r>
      <w:r>
        <w:rPr>
          <w:sz w:val="24"/>
          <w:szCs w:val="24"/>
        </w:rPr>
        <w:fldChar w:fldCharType="begin"/>
      </w:r>
      <w:r>
        <w:rPr>
          <w:sz w:val="24"/>
          <w:szCs w:val="24"/>
        </w:rPr>
        <w:instrText xml:space="preserve"> PAGEREF _Toc155366879 \h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24"/>
        <w:spacing w:line="360" w:lineRule="auto"/>
        <w:rPr>
          <w:rFonts w:asciiTheme="minorHAnsi" w:hAnsiTheme="minorHAnsi" w:eastAsiaTheme="minorEastAsia" w:cstheme="minorBidi"/>
          <w:sz w:val="24"/>
          <w:szCs w:val="28"/>
          <w14:ligatures w14:val="standardContextual"/>
        </w:rPr>
      </w:pPr>
      <w:r>
        <w:fldChar w:fldCharType="begin"/>
      </w:r>
      <w:r>
        <w:instrText xml:space="preserve"> HYPERLINK \l "_Toc155366880" </w:instrText>
      </w:r>
      <w:r>
        <w:fldChar w:fldCharType="separate"/>
      </w:r>
      <w:r>
        <w:rPr>
          <w:rStyle w:val="33"/>
          <w:sz w:val="24"/>
          <w:szCs w:val="24"/>
          <w14:scene3d>
            <w14:lightRig w14:rig="threePt" w14:dir="t">
              <w14:rot w14:lat="0" w14:lon="0" w14:rev="0"/>
            </w14:lightRig>
          </w14:scene3d>
        </w:rPr>
        <w:t>6.2</w:t>
      </w:r>
      <w:r>
        <w:rPr>
          <w:rStyle w:val="33"/>
          <w:sz w:val="24"/>
          <w:szCs w:val="24"/>
        </w:rPr>
        <w:t xml:space="preserve"> 评分标准章节引用标准</w:t>
      </w:r>
      <w:r>
        <w:rPr>
          <w:sz w:val="24"/>
          <w:szCs w:val="24"/>
        </w:rPr>
        <w:tab/>
      </w:r>
      <w:r>
        <w:rPr>
          <w:sz w:val="24"/>
          <w:szCs w:val="24"/>
        </w:rPr>
        <w:fldChar w:fldCharType="begin"/>
      </w:r>
      <w:r>
        <w:rPr>
          <w:sz w:val="24"/>
          <w:szCs w:val="24"/>
        </w:rPr>
        <w:instrText xml:space="preserve"> PAGEREF _Toc155366880 \h </w:instrText>
      </w:r>
      <w:r>
        <w:rPr>
          <w:sz w:val="24"/>
          <w:szCs w:val="24"/>
        </w:rPr>
        <w:fldChar w:fldCharType="separate"/>
      </w:r>
      <w:r>
        <w:rPr>
          <w:sz w:val="24"/>
          <w:szCs w:val="24"/>
        </w:rPr>
        <w:t>10</w:t>
      </w:r>
      <w:r>
        <w:rPr>
          <w:sz w:val="24"/>
          <w:szCs w:val="24"/>
        </w:rPr>
        <w:fldChar w:fldCharType="end"/>
      </w:r>
      <w:r>
        <w:rPr>
          <w:sz w:val="24"/>
          <w:szCs w:val="24"/>
        </w:rPr>
        <w:fldChar w:fldCharType="end"/>
      </w:r>
    </w:p>
    <w:p>
      <w:pPr>
        <w:pStyle w:val="19"/>
        <w:tabs>
          <w:tab w:val="right" w:leader="dot" w:pos="9344"/>
        </w:tabs>
        <w:spacing w:line="360" w:lineRule="auto"/>
        <w:rPr>
          <w:rFonts w:asciiTheme="minorHAnsi" w:hAnsiTheme="minorHAnsi" w:eastAsiaTheme="minorEastAsia" w:cstheme="minorBidi"/>
          <w:sz w:val="24"/>
          <w:szCs w:val="28"/>
          <w14:ligatures w14:val="standardContextual"/>
        </w:rPr>
      </w:pPr>
      <w:r>
        <w:fldChar w:fldCharType="begin"/>
      </w:r>
      <w:r>
        <w:instrText xml:space="preserve"> HYPERLINK \l "_Toc155366881" </w:instrText>
      </w:r>
      <w:r>
        <w:fldChar w:fldCharType="separate"/>
      </w:r>
      <w:r>
        <w:rPr>
          <w:rStyle w:val="33"/>
          <w:sz w:val="24"/>
          <w:szCs w:val="24"/>
        </w:rPr>
        <w:t>7 作为强制性标准的建议及理由</w:t>
      </w:r>
      <w:r>
        <w:rPr>
          <w:sz w:val="24"/>
          <w:szCs w:val="24"/>
        </w:rPr>
        <w:tab/>
      </w:r>
      <w:r>
        <w:rPr>
          <w:sz w:val="24"/>
          <w:szCs w:val="24"/>
        </w:rPr>
        <w:fldChar w:fldCharType="begin"/>
      </w:r>
      <w:r>
        <w:rPr>
          <w:sz w:val="24"/>
          <w:szCs w:val="24"/>
        </w:rPr>
        <w:instrText xml:space="preserve"> PAGEREF _Toc155366881 \h </w:instrText>
      </w:r>
      <w:r>
        <w:rPr>
          <w:sz w:val="24"/>
          <w:szCs w:val="24"/>
        </w:rPr>
        <w:fldChar w:fldCharType="separate"/>
      </w:r>
      <w:r>
        <w:rPr>
          <w:sz w:val="24"/>
          <w:szCs w:val="24"/>
        </w:rPr>
        <w:t>11</w:t>
      </w:r>
      <w:r>
        <w:rPr>
          <w:sz w:val="24"/>
          <w:szCs w:val="24"/>
        </w:rPr>
        <w:fldChar w:fldCharType="end"/>
      </w:r>
      <w:r>
        <w:rPr>
          <w:sz w:val="24"/>
          <w:szCs w:val="24"/>
        </w:rPr>
        <w:fldChar w:fldCharType="end"/>
      </w:r>
    </w:p>
    <w:p>
      <w:pPr>
        <w:pStyle w:val="19"/>
        <w:tabs>
          <w:tab w:val="right" w:leader="dot" w:pos="9344"/>
        </w:tabs>
        <w:spacing w:line="360" w:lineRule="auto"/>
        <w:rPr>
          <w:rFonts w:asciiTheme="minorHAnsi" w:hAnsiTheme="minorHAnsi" w:eastAsiaTheme="minorEastAsia" w:cstheme="minorBidi"/>
          <w:sz w:val="24"/>
          <w:szCs w:val="28"/>
          <w14:ligatures w14:val="standardContextual"/>
        </w:rPr>
      </w:pPr>
      <w:r>
        <w:fldChar w:fldCharType="begin"/>
      </w:r>
      <w:r>
        <w:instrText xml:space="preserve"> HYPERLINK \l "_Toc155366882" </w:instrText>
      </w:r>
      <w:r>
        <w:fldChar w:fldCharType="separate"/>
      </w:r>
      <w:r>
        <w:rPr>
          <w:rStyle w:val="33"/>
          <w:kern w:val="44"/>
          <w:sz w:val="24"/>
          <w:szCs w:val="24"/>
        </w:rPr>
        <w:t>8</w:t>
      </w:r>
      <w:r>
        <w:rPr>
          <w:rStyle w:val="33"/>
          <w:sz w:val="24"/>
          <w:szCs w:val="24"/>
        </w:rPr>
        <w:t xml:space="preserve"> 贯彻标准的措施建议</w:t>
      </w:r>
      <w:r>
        <w:rPr>
          <w:sz w:val="24"/>
          <w:szCs w:val="24"/>
        </w:rPr>
        <w:tab/>
      </w:r>
      <w:r>
        <w:rPr>
          <w:sz w:val="24"/>
          <w:szCs w:val="24"/>
        </w:rPr>
        <w:fldChar w:fldCharType="begin"/>
      </w:r>
      <w:r>
        <w:rPr>
          <w:sz w:val="24"/>
          <w:szCs w:val="24"/>
        </w:rPr>
        <w:instrText xml:space="preserve"> PAGEREF _Toc155366882 \h </w:instrText>
      </w:r>
      <w:r>
        <w:rPr>
          <w:sz w:val="24"/>
          <w:szCs w:val="24"/>
        </w:rPr>
        <w:fldChar w:fldCharType="separate"/>
      </w:r>
      <w:r>
        <w:rPr>
          <w:sz w:val="24"/>
          <w:szCs w:val="24"/>
        </w:rPr>
        <w:t>11</w:t>
      </w:r>
      <w:r>
        <w:rPr>
          <w:sz w:val="24"/>
          <w:szCs w:val="24"/>
        </w:rPr>
        <w:fldChar w:fldCharType="end"/>
      </w:r>
      <w:r>
        <w:rPr>
          <w:sz w:val="24"/>
          <w:szCs w:val="24"/>
        </w:rPr>
        <w:fldChar w:fldCharType="end"/>
      </w:r>
    </w:p>
    <w:p>
      <w:pPr>
        <w:pStyle w:val="19"/>
        <w:tabs>
          <w:tab w:val="right" w:leader="dot" w:pos="9344"/>
        </w:tabs>
        <w:spacing w:line="360" w:lineRule="auto"/>
        <w:rPr>
          <w:rFonts w:asciiTheme="minorHAnsi" w:hAnsiTheme="minorHAnsi" w:eastAsiaTheme="minorEastAsia" w:cstheme="minorBidi"/>
          <w:sz w:val="24"/>
          <w:szCs w:val="28"/>
          <w14:ligatures w14:val="standardContextual"/>
        </w:rPr>
      </w:pPr>
      <w:r>
        <w:fldChar w:fldCharType="begin"/>
      </w:r>
      <w:r>
        <w:instrText xml:space="preserve"> HYPERLINK \l "_Toc155366883" </w:instrText>
      </w:r>
      <w:r>
        <w:fldChar w:fldCharType="separate"/>
      </w:r>
      <w:r>
        <w:rPr>
          <w:rStyle w:val="33"/>
          <w:sz w:val="24"/>
          <w:szCs w:val="24"/>
        </w:rPr>
        <w:t>9 相关标准及参考文献</w:t>
      </w:r>
      <w:r>
        <w:rPr>
          <w:sz w:val="24"/>
          <w:szCs w:val="24"/>
        </w:rPr>
        <w:tab/>
      </w:r>
      <w:r>
        <w:rPr>
          <w:sz w:val="24"/>
          <w:szCs w:val="24"/>
        </w:rPr>
        <w:fldChar w:fldCharType="begin"/>
      </w:r>
      <w:r>
        <w:rPr>
          <w:sz w:val="24"/>
          <w:szCs w:val="24"/>
        </w:rPr>
        <w:instrText xml:space="preserve"> PAGEREF _Toc155366883 \h </w:instrText>
      </w:r>
      <w:r>
        <w:rPr>
          <w:sz w:val="24"/>
          <w:szCs w:val="24"/>
        </w:rPr>
        <w:fldChar w:fldCharType="separate"/>
      </w:r>
      <w:r>
        <w:rPr>
          <w:sz w:val="24"/>
          <w:szCs w:val="24"/>
        </w:rPr>
        <w:t>11</w:t>
      </w:r>
      <w:r>
        <w:rPr>
          <w:sz w:val="24"/>
          <w:szCs w:val="24"/>
        </w:rPr>
        <w:fldChar w:fldCharType="end"/>
      </w:r>
      <w:r>
        <w:rPr>
          <w:sz w:val="24"/>
          <w:szCs w:val="24"/>
        </w:rPr>
        <w:fldChar w:fldCharType="end"/>
      </w:r>
    </w:p>
    <w:p>
      <w:pPr>
        <w:pStyle w:val="94"/>
        <w:spacing w:after="468"/>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1"/>
    <w:p>
      <w:pPr>
        <w:spacing w:line="20" w:lineRule="exact"/>
        <w:jc w:val="center"/>
        <w:rPr>
          <w:rFonts w:ascii="黑体" w:hAnsi="黑体" w:eastAsia="黑体"/>
          <w:sz w:val="32"/>
          <w:szCs w:val="32"/>
        </w:rPr>
      </w:pPr>
      <w:bookmarkStart w:id="22" w:name="BookMark4"/>
    </w:p>
    <w:p>
      <w:pPr>
        <w:spacing w:line="20" w:lineRule="exact"/>
        <w:jc w:val="center"/>
        <w:rPr>
          <w:rFonts w:ascii="黑体" w:hAnsi="黑体" w:eastAsia="黑体"/>
          <w:sz w:val="32"/>
          <w:szCs w:val="32"/>
        </w:rPr>
      </w:pPr>
    </w:p>
    <w:sdt>
      <w:sdtPr>
        <w:tag w:val="NEW_STAND_NAME"/>
        <w:id w:val="595910757"/>
        <w:lock w:val="sdtLocked"/>
        <w:placeholder>
          <w:docPart w:val="C071333BE2B644C9B6014C0C8D76C996"/>
        </w:placeholder>
      </w:sdtPr>
      <w:sdtContent>
        <w:p>
          <w:pPr>
            <w:pStyle w:val="180"/>
            <w:spacing w:before="3" w:beforeLines="1" w:after="686" w:afterLines="220"/>
          </w:pPr>
          <w:bookmarkStart w:id="23" w:name="NEW_STAND_NAME"/>
          <w:r>
            <w:rPr>
              <w:rFonts w:hint="eastAsia"/>
            </w:rPr>
            <w:t>高速公路绿色服务区评估技术要求</w:t>
          </w:r>
        </w:p>
      </w:sdtContent>
    </w:sdt>
    <w:bookmarkEnd w:id="23"/>
    <w:p>
      <w:pPr>
        <w:pStyle w:val="107"/>
        <w:spacing w:before="312" w:after="312"/>
        <w:rPr>
          <w:rFonts w:hint="eastAsia"/>
          <w:sz w:val="24"/>
          <w:szCs w:val="22"/>
        </w:rPr>
      </w:pPr>
      <w:bookmarkStart w:id="24" w:name="_Toc155366868"/>
      <w:r>
        <w:rPr>
          <w:rFonts w:hint="eastAsia"/>
          <w:sz w:val="24"/>
          <w:szCs w:val="22"/>
        </w:rPr>
        <w:t>标准基本情况</w:t>
      </w:r>
      <w:bookmarkEnd w:id="24"/>
    </w:p>
    <w:p>
      <w:pPr>
        <w:pStyle w:val="108"/>
        <w:spacing w:before="156" w:after="156"/>
        <w:rPr>
          <w:sz w:val="24"/>
          <w:szCs w:val="22"/>
        </w:rPr>
      </w:pPr>
      <w:bookmarkStart w:id="25" w:name="_Toc155366869"/>
      <w:r>
        <w:rPr>
          <w:rFonts w:hint="eastAsia"/>
          <w:sz w:val="24"/>
          <w:szCs w:val="22"/>
        </w:rPr>
        <w:t>任务来源</w:t>
      </w:r>
      <w:bookmarkEnd w:id="25"/>
    </w:p>
    <w:p>
      <w:pPr>
        <w:pStyle w:val="59"/>
        <w:spacing w:line="360" w:lineRule="auto"/>
        <w:ind w:firstLine="480"/>
        <w:rPr>
          <w:rFonts w:hint="eastAsia"/>
          <w:sz w:val="24"/>
          <w:szCs w:val="24"/>
        </w:rPr>
      </w:pPr>
      <w:r>
        <w:rPr>
          <w:rFonts w:hint="eastAsia"/>
          <w:sz w:val="24"/>
          <w:szCs w:val="24"/>
        </w:rPr>
        <w:t>近几年，中省陆续出台推动公路既有设施的信息化、绿色化改造相关政策文件。《国务院2030年前碳达峰行动方案》《公路水路行业绿色低碳发展行动方案》中均提出将绿色低碳理念贯穿于交通基础设施规划、建设、运营和维护全过程，降低全生命周期能耗和碳排放。《公路水路行业绿色低碳发展行动方案》指出，到2030年交通基础设施建设领域全面采用节能环保低碳材料和工艺。“十四五”以来，国务院、交通运输部先后印发了系列规划，将推进交通绿色发展作为发展重点，全面推动交通运输规划、设计、建设、运营、养护全生命周期绿色低碳转型。2022年，国家发展改革委、国家能源局印发《关于完善能源绿色低碳转型体制机制和政策措施的意见》就推行绿色低碳交通设施装备方面提出明确要求：完善充换电、加氢、加气（LNG）站点布局及服务设施，降低交通运输领域清洁能源用能成本。对交通供能场站布局和建设在土地空间等方面予以支持，开展多能融合交通供能场站建设。今年3月，交通运输部、国家铁路局、中国民用航空局、国家邮政局、中国国家铁路集团有限公司联合印发《加快建设交通强国五年行动计划（2023—2027年）》，“交通运输绿色低碳转型行动”是十大行动之五，明确指出要推动综合交通基础设施建设统一规划、统一设计、统一建设、协调管理，节约集约循环利用资源；要加强交通运输污染防治生态环境保护，推动交通用能低碳多元发展。今年10月，交通运输部办公厅《关于开展绿色低碳交通强国建设专项试点工作的通知》明确提出，紧紧围绕国家碳达峰碳中和目标，以运输结构调整、绿色出行、资源节约集约利用、基础设施节能降碳、新能源和清洁能源车船推广应用为重点，开展绿色低碳交通强国建设专项试点工作，培育若干具有引领示范作用的试点企业及项目，形成一批可复制、可推广的先进经验和典型成果，出台一批推动交通运输行业绿色低碳发展的政策规划、标准规范、管理制度等，在交通强国建设绿色低碳领域取得显著成效。</w:t>
      </w:r>
    </w:p>
    <w:p>
      <w:pPr>
        <w:pStyle w:val="59"/>
        <w:spacing w:line="360" w:lineRule="auto"/>
        <w:ind w:firstLine="480"/>
        <w:rPr>
          <w:rFonts w:hint="eastAsia"/>
          <w:sz w:val="24"/>
          <w:szCs w:val="24"/>
        </w:rPr>
      </w:pPr>
      <w:r>
        <w:rPr>
          <w:rFonts w:hint="eastAsia"/>
          <w:sz w:val="24"/>
          <w:szCs w:val="24"/>
        </w:rPr>
        <w:t>省级层面，省委、省政府《关于完整准确全面贯彻新发展理念 做好碳达峰碳中和工作的实施意见》明确要求要发展壮大绿色低碳交通运输产业。在《陕西省碳达峰实施方案》中提出，推动公路既有设施的信息化、绿色化改造，提高废旧材料利用率。陕西省交通运输厅《陕西省公路水路绿色低碳发展实施方案》中提出，要建设近零碳交通示范区，完善绿色交通基础设施，推广应用节能环保新材料、新工艺，推动各类废料的资源化利用，加快建设续航充能设施。还提出要强化交通设施建设和运营用能管理，推动交通低碳科技研发与应用，加强绿色低碳发展规划引领和碳减排监测统计体系建设等内容。一系列政策的出台表明，推动公路既有设施的信息化、绿色化改造，加强交通运输行业绿色低碳发展政策规划、标准规范、管理制度引领，是交通强国建设绿色低碳领域的重要内容。</w:t>
      </w:r>
    </w:p>
    <w:p>
      <w:pPr>
        <w:pStyle w:val="59"/>
        <w:spacing w:line="360" w:lineRule="auto"/>
        <w:ind w:firstLine="480"/>
        <w:rPr>
          <w:rFonts w:hint="eastAsia"/>
          <w:sz w:val="24"/>
          <w:szCs w:val="24"/>
        </w:rPr>
      </w:pPr>
      <w:r>
        <w:rPr>
          <w:rFonts w:hint="eastAsia"/>
          <w:sz w:val="24"/>
          <w:szCs w:val="24"/>
        </w:rPr>
        <w:t>目前服务区绿色化改造正在面临严峻挑战。高速公路服务区作为高速公路污染排放的集中点和周边居民环保投诉的冲突点，其废气排放、生活污水、餐厨垃圾等污染问题日趋凸显，服务区绿色发展是实现交通领域“双碳”目标的关键抓手。对标“双碳”要求，制约服务区绿色、低碳发展，最根本的原因还是服务区全生命周期环保理念尚未形成。以污水处理为例，设计阶段，污水处理设施多由公路设计院承担，并未针对服务区特点研发，缺乏对应用场景的实用性调研及服务区环保增量的前瞻性分析，导致环保设施难以持续稳定地实现达标排放。建设阶段，污水处理工程通常包含在房建工程中，未单独招标，因合同额不高，关注度不大，往往存在分包后建设费用被挤压的情况，处理效果自然无法保证。运维阶段，服务区运营管理单位对绿色低碳运维管理重视度不够，观念守旧，依靠环保专业化服务机构开展专业化环保服务意愿极低。目前我国多数服务区污水处理系统运维依然采取传统人工方式，智能化、规范化的运维模式尚未成型，无法适应服务区污水处理站所点多线长的特点，难以快速响应，导致本就因设计施工而“先天不足”的处理设施更加捉襟见肘。随着环保意识的增强和监管力度的加大，各省每年都会重新对已开通服务区的污水处理设施进行改造，但因前述原因，新增投入并未带来处理效果的实质性改善。</w:t>
      </w:r>
    </w:p>
    <w:p>
      <w:pPr>
        <w:pStyle w:val="59"/>
        <w:spacing w:line="360" w:lineRule="auto"/>
        <w:ind w:firstLine="480"/>
        <w:rPr>
          <w:rFonts w:hint="eastAsia"/>
          <w:sz w:val="24"/>
          <w:szCs w:val="24"/>
        </w:rPr>
      </w:pPr>
      <w:r>
        <w:rPr>
          <w:rFonts w:hint="eastAsia"/>
          <w:sz w:val="24"/>
          <w:szCs w:val="24"/>
        </w:rPr>
        <w:t>高速公路绿色服务区相关标准在陕西省内尚属空白，省内有103处服务区，大多仅能满足司乘及工作人员的基本需求，最早建成服务区已投入使用20余年，前期服务区设计建设时多侧重于功能性保障，绿色建筑理念应用较少，对于服务性、智能化、生态环保、资源节约等方面考虑较少，基于经济性和实用性考虑，目前将绿色化改造工作重点放置于运维阶段更具有经济性。2018年，国内针对公路服务区的绿色水平评估标准颁布了《绿色交通设施评估技术要求第2部分：绿色服务区》（JT/T1199.2-2018），针对绿色服务区新建、改扩建提出了评估标准，对推动绿色服务区的发展起到了重要意义。在此基础上建立适用于公路服务区运营后的绿色评估体系，填充我省绿色服务区标准研究空白，指导我省服务区绿色低碳升级发展，具有实施的必要性与可行性。</w:t>
      </w:r>
    </w:p>
    <w:p>
      <w:pPr>
        <w:pStyle w:val="59"/>
        <w:spacing w:line="360" w:lineRule="auto"/>
        <w:ind w:firstLine="480"/>
        <w:rPr>
          <w:sz w:val="24"/>
          <w:szCs w:val="24"/>
          <w:highlight w:val="none"/>
        </w:rPr>
      </w:pPr>
      <w:r>
        <w:rPr>
          <w:rFonts w:hint="eastAsia"/>
          <w:sz w:val="24"/>
          <w:szCs w:val="24"/>
          <w:highlight w:val="none"/>
        </w:rPr>
        <w:t>202</w:t>
      </w:r>
      <w:r>
        <w:rPr>
          <w:rFonts w:hint="eastAsia"/>
          <w:sz w:val="24"/>
          <w:szCs w:val="24"/>
          <w:highlight w:val="none"/>
          <w:lang w:val="en-US" w:eastAsia="zh-CN"/>
        </w:rPr>
        <w:t>2</w:t>
      </w:r>
      <w:r>
        <w:rPr>
          <w:rFonts w:hint="eastAsia"/>
          <w:sz w:val="24"/>
          <w:szCs w:val="24"/>
          <w:highlight w:val="none"/>
        </w:rPr>
        <w:t>年5月1</w:t>
      </w:r>
      <w:r>
        <w:rPr>
          <w:rFonts w:hint="eastAsia"/>
          <w:sz w:val="24"/>
          <w:szCs w:val="24"/>
          <w:highlight w:val="none"/>
          <w:lang w:val="en-US" w:eastAsia="zh-CN"/>
        </w:rPr>
        <w:t>7</w:t>
      </w:r>
      <w:r>
        <w:rPr>
          <w:rFonts w:hint="eastAsia"/>
          <w:sz w:val="24"/>
          <w:szCs w:val="24"/>
          <w:highlight w:val="none"/>
        </w:rPr>
        <w:t>日，陕西省市场监督管理局印发《关于下达202</w:t>
      </w:r>
      <w:r>
        <w:rPr>
          <w:rFonts w:hint="eastAsia"/>
          <w:sz w:val="24"/>
          <w:szCs w:val="24"/>
          <w:highlight w:val="none"/>
          <w:lang w:val="en-US" w:eastAsia="zh-CN"/>
        </w:rPr>
        <w:t>2</w:t>
      </w:r>
      <w:r>
        <w:rPr>
          <w:rFonts w:hint="eastAsia"/>
          <w:sz w:val="24"/>
          <w:szCs w:val="24"/>
          <w:highlight w:val="none"/>
        </w:rPr>
        <w:t>年地方标准计划的</w:t>
      </w:r>
      <w:r>
        <w:rPr>
          <w:rFonts w:hint="eastAsia"/>
          <w:sz w:val="24"/>
          <w:szCs w:val="24"/>
          <w:highlight w:val="none"/>
          <w:lang w:val="en-US" w:eastAsia="zh-CN"/>
        </w:rPr>
        <w:t>通知</w:t>
      </w:r>
      <w:r>
        <w:rPr>
          <w:rFonts w:hint="eastAsia"/>
          <w:sz w:val="24"/>
          <w:szCs w:val="24"/>
          <w:highlight w:val="none"/>
        </w:rPr>
        <w:t>》（陕市监函〔202</w:t>
      </w:r>
      <w:r>
        <w:rPr>
          <w:rFonts w:hint="eastAsia"/>
          <w:sz w:val="24"/>
          <w:szCs w:val="24"/>
          <w:highlight w:val="none"/>
          <w:lang w:val="en-US" w:eastAsia="zh-CN"/>
        </w:rPr>
        <w:t>2</w:t>
      </w:r>
      <w:r>
        <w:rPr>
          <w:rFonts w:hint="eastAsia"/>
          <w:sz w:val="24"/>
          <w:szCs w:val="24"/>
          <w:highlight w:val="none"/>
        </w:rPr>
        <w:t>〕</w:t>
      </w:r>
      <w:r>
        <w:rPr>
          <w:rFonts w:hint="eastAsia"/>
          <w:sz w:val="24"/>
          <w:szCs w:val="24"/>
          <w:highlight w:val="none"/>
          <w:lang w:val="en-US" w:eastAsia="zh-CN"/>
        </w:rPr>
        <w:t>380</w:t>
      </w:r>
      <w:r>
        <w:rPr>
          <w:rFonts w:hint="eastAsia"/>
          <w:sz w:val="24"/>
          <w:szCs w:val="24"/>
          <w:highlight w:val="none"/>
        </w:rPr>
        <w:t>号），将《陕西省绿色服务区评估</w:t>
      </w:r>
      <w:r>
        <w:rPr>
          <w:rFonts w:hint="eastAsia"/>
          <w:sz w:val="24"/>
          <w:szCs w:val="24"/>
          <w:highlight w:val="none"/>
          <w:lang w:val="en-US" w:eastAsia="zh-CN"/>
        </w:rPr>
        <w:t>技术要求</w:t>
      </w:r>
      <w:r>
        <w:rPr>
          <w:rFonts w:hint="eastAsia"/>
          <w:sz w:val="24"/>
          <w:szCs w:val="24"/>
          <w:highlight w:val="none"/>
        </w:rPr>
        <w:t>》列入陕西省地方标准制修订计划，项目编号为“</w:t>
      </w:r>
      <w:r>
        <w:rPr>
          <w:rFonts w:hint="eastAsia"/>
          <w:sz w:val="24"/>
          <w:szCs w:val="24"/>
          <w:highlight w:val="none"/>
          <w:lang w:val="en-US" w:eastAsia="zh-CN"/>
        </w:rPr>
        <w:t>SDBXM067-2022</w:t>
      </w:r>
      <w:r>
        <w:rPr>
          <w:rFonts w:hint="eastAsia"/>
          <w:sz w:val="24"/>
          <w:szCs w:val="24"/>
          <w:highlight w:val="none"/>
        </w:rPr>
        <w:t>”，由</w:t>
      </w:r>
      <w:r>
        <w:rPr>
          <w:rFonts w:hint="eastAsia"/>
          <w:sz w:val="24"/>
          <w:szCs w:val="24"/>
          <w:highlight w:val="none"/>
          <w:lang w:val="en-US" w:eastAsia="zh-CN"/>
        </w:rPr>
        <w:t>陕西省交通环境监测中心站有限公司</w:t>
      </w:r>
      <w:r>
        <w:rPr>
          <w:rFonts w:hint="eastAsia"/>
          <w:sz w:val="24"/>
          <w:szCs w:val="24"/>
          <w:highlight w:val="none"/>
        </w:rPr>
        <w:t>负责相关研究和制定工作。</w:t>
      </w:r>
    </w:p>
    <w:p>
      <w:pPr>
        <w:pStyle w:val="108"/>
        <w:spacing w:before="156" w:after="156"/>
        <w:rPr>
          <w:sz w:val="24"/>
          <w:szCs w:val="24"/>
        </w:rPr>
      </w:pPr>
      <w:bookmarkStart w:id="26" w:name="_Toc155366870"/>
      <w:r>
        <w:rPr>
          <w:rFonts w:hint="eastAsia"/>
          <w:sz w:val="24"/>
          <w:szCs w:val="24"/>
        </w:rPr>
        <w:t>工作过程</w:t>
      </w:r>
      <w:bookmarkEnd w:id="26"/>
    </w:p>
    <w:p>
      <w:pPr>
        <w:pStyle w:val="59"/>
        <w:ind w:firstLine="480"/>
        <w:rPr>
          <w:sz w:val="24"/>
          <w:szCs w:val="24"/>
        </w:rPr>
      </w:pPr>
      <w:r>
        <w:rPr>
          <w:rFonts w:hint="eastAsia"/>
          <w:sz w:val="24"/>
          <w:szCs w:val="24"/>
        </w:rPr>
        <w:t>项目下达后，陕西省交通环境监测中心站有限公司成立了标准编制组，制定了评估标准制定的技术线路图，见图1。</w:t>
      </w:r>
    </w:p>
    <w:p>
      <w:pPr>
        <w:pStyle w:val="59"/>
        <w:ind w:firstLine="0" w:firstLineChars="0"/>
        <w:jc w:val="center"/>
        <w:rPr>
          <w:highlight w:val="yellow"/>
        </w:rPr>
      </w:pPr>
      <w:r>
        <w:drawing>
          <wp:inline distT="0" distB="0" distL="0" distR="0">
            <wp:extent cx="5862955" cy="5954395"/>
            <wp:effectExtent l="0" t="0" r="0" b="8255"/>
            <wp:docPr id="967721709" name="图片 967721709" descr="未命名文件(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721709" name="图片 967721709" descr="未命名文件(4)"/>
                    <pic:cNvPicPr>
                      <a:picLocks noChangeAspect="1"/>
                    </pic:cNvPicPr>
                  </pic:nvPicPr>
                  <pic:blipFill>
                    <a:blip r:embed="rId29"/>
                    <a:srcRect t="2639" b="2222"/>
                    <a:stretch>
                      <a:fillRect/>
                    </a:stretch>
                  </pic:blipFill>
                  <pic:spPr>
                    <a:xfrm>
                      <a:off x="0" y="0"/>
                      <a:ext cx="5875542" cy="5967514"/>
                    </a:xfrm>
                    <a:prstGeom prst="rect">
                      <a:avLst/>
                    </a:prstGeom>
                  </pic:spPr>
                </pic:pic>
              </a:graphicData>
            </a:graphic>
          </wp:inline>
        </w:drawing>
      </w:r>
    </w:p>
    <w:p>
      <w:pPr>
        <w:pStyle w:val="117"/>
        <w:spacing w:before="156" w:after="156"/>
        <w:rPr>
          <w:rFonts w:hint="eastAsia"/>
        </w:rPr>
      </w:pPr>
      <w:r>
        <w:rPr>
          <w:rFonts w:hint="eastAsia"/>
        </w:rPr>
        <w:t>技术路线图</w:t>
      </w:r>
    </w:p>
    <w:p>
      <w:pPr>
        <w:pStyle w:val="40"/>
        <w:kinsoku/>
        <w:ind w:firstLine="480"/>
        <w:jc w:val="both"/>
        <w:rPr>
          <w:rFonts w:ascii="Times New Roman" w:hAnsi="Times New Roman" w:cs="Times New Roman"/>
        </w:rPr>
      </w:pPr>
      <w:r>
        <w:rPr>
          <w:rFonts w:ascii="Times New Roman" w:hAnsi="Times New Roman" w:cs="Times New Roman"/>
        </w:rPr>
        <w:t>2022</w:t>
      </w:r>
      <w:r>
        <w:rPr>
          <w:rFonts w:ascii="宋体" w:hAnsi="宋体" w:cs="Times New Roman"/>
        </w:rPr>
        <w:t>年</w:t>
      </w:r>
      <w:r>
        <w:rPr>
          <w:rFonts w:ascii="Times New Roman" w:hAnsi="Times New Roman" w:cs="Times New Roman"/>
        </w:rPr>
        <w:t>1</w:t>
      </w:r>
      <w:r>
        <w:rPr>
          <w:rFonts w:ascii="宋体" w:hAnsi="宋体" w:cs="Times New Roman"/>
        </w:rPr>
        <w:t>月</w:t>
      </w:r>
      <w:r>
        <w:rPr>
          <w:rFonts w:ascii="Times New Roman" w:hAnsi="Times New Roman" w:cs="Times New Roman"/>
        </w:rPr>
        <w:t>15</w:t>
      </w:r>
      <w:r>
        <w:rPr>
          <w:rFonts w:ascii="宋体" w:hAnsi="宋体" w:cs="Times New Roman"/>
        </w:rPr>
        <w:t>日，陕西省交通环境监测中心站有限公司递交了陕西省地方标准修订立项申请书。</w:t>
      </w:r>
    </w:p>
    <w:p>
      <w:pPr>
        <w:pStyle w:val="40"/>
        <w:kinsoku/>
        <w:wordWrap w:val="0"/>
        <w:ind w:firstLine="480"/>
        <w:jc w:val="both"/>
        <w:rPr>
          <w:rFonts w:ascii="Times New Roman" w:hAnsi="Times New Roman" w:cs="Times New Roman"/>
        </w:rPr>
      </w:pPr>
      <w:r>
        <w:rPr>
          <w:rFonts w:ascii="Times New Roman" w:hAnsi="Times New Roman" w:cs="Times New Roman"/>
        </w:rPr>
        <w:t>2022</w:t>
      </w:r>
      <w:r>
        <w:rPr>
          <w:rFonts w:ascii="宋体" w:hAnsi="宋体" w:cs="Times New Roman"/>
        </w:rPr>
        <w:t>年</w:t>
      </w:r>
      <w:r>
        <w:rPr>
          <w:rFonts w:ascii="Times New Roman" w:hAnsi="Times New Roman" w:cs="Times New Roman"/>
        </w:rPr>
        <w:t>7</w:t>
      </w:r>
      <w:r>
        <w:rPr>
          <w:rFonts w:ascii="宋体" w:hAnsi="宋体" w:cs="Times New Roman"/>
        </w:rPr>
        <w:t>月，陕西省交通环境监测中心站有限公司通过省交通运输标准化委员会组织的</w:t>
      </w:r>
      <w:r>
        <w:rPr>
          <w:rFonts w:ascii="Times New Roman" w:hAnsi="Times New Roman" w:cs="Times New Roman"/>
        </w:rPr>
        <w:t>2022</w:t>
      </w:r>
      <w:r>
        <w:rPr>
          <w:rFonts w:ascii="宋体" w:hAnsi="宋体" w:cs="Times New Roman"/>
        </w:rPr>
        <w:t>年交通运输地方标准（编制大纲）评审会。</w:t>
      </w:r>
    </w:p>
    <w:p>
      <w:pPr>
        <w:pStyle w:val="40"/>
        <w:kinsoku/>
        <w:wordWrap w:val="0"/>
        <w:ind w:firstLine="480"/>
        <w:jc w:val="both"/>
        <w:rPr>
          <w:rFonts w:ascii="Times New Roman" w:hAnsi="Times New Roman" w:cs="Times New Roman"/>
        </w:rPr>
      </w:pPr>
      <w:r>
        <w:rPr>
          <w:rFonts w:ascii="Times New Roman" w:hAnsi="Times New Roman" w:cs="Times New Roman"/>
        </w:rPr>
        <w:t>2022</w:t>
      </w:r>
      <w:r>
        <w:rPr>
          <w:rFonts w:ascii="宋体" w:hAnsi="宋体" w:cs="Times New Roman"/>
        </w:rPr>
        <w:t>年</w:t>
      </w:r>
      <w:r>
        <w:rPr>
          <w:rFonts w:ascii="Times New Roman" w:hAnsi="Times New Roman" w:cs="Times New Roman"/>
        </w:rPr>
        <w:t>9</w:t>
      </w:r>
      <w:r>
        <w:rPr>
          <w:rFonts w:ascii="宋体" w:hAnsi="宋体" w:cs="Times New Roman"/>
        </w:rPr>
        <w:t>月，项目列入</w:t>
      </w:r>
      <w:r>
        <w:rPr>
          <w:rFonts w:ascii="Times New Roman" w:hAnsi="Times New Roman" w:cs="Times New Roman"/>
        </w:rPr>
        <w:t>2022</w:t>
      </w:r>
      <w:r>
        <w:rPr>
          <w:rFonts w:ascii="宋体" w:hAnsi="宋体" w:cs="Times New Roman"/>
        </w:rPr>
        <w:t>年地方标准计划中，陕西省交通环境监测中心站有限公司与陕西省交通运输厅签署合同。</w:t>
      </w:r>
    </w:p>
    <w:p>
      <w:pPr>
        <w:pStyle w:val="40"/>
        <w:kinsoku/>
        <w:wordWrap w:val="0"/>
        <w:ind w:firstLine="480"/>
        <w:jc w:val="both"/>
        <w:rPr>
          <w:rFonts w:ascii="Times New Roman" w:hAnsi="Times New Roman" w:cs="Times New Roman"/>
        </w:rPr>
      </w:pPr>
      <w:r>
        <w:rPr>
          <w:rFonts w:ascii="Times New Roman" w:hAnsi="Times New Roman" w:cs="Times New Roman"/>
        </w:rPr>
        <w:t>2022</w:t>
      </w:r>
      <w:r>
        <w:rPr>
          <w:rFonts w:ascii="宋体" w:hAnsi="宋体" w:cs="Times New Roman"/>
        </w:rPr>
        <w:t>年</w:t>
      </w:r>
      <w:r>
        <w:rPr>
          <w:rFonts w:ascii="Times New Roman" w:hAnsi="Times New Roman" w:cs="Times New Roman"/>
        </w:rPr>
        <w:t>10</w:t>
      </w:r>
      <w:r>
        <w:rPr>
          <w:rFonts w:ascii="宋体" w:hAnsi="宋体" w:cs="Times New Roman"/>
        </w:rPr>
        <w:t>月，公司成立地方标准编制项目组，正式启动规范编制工作，进行资料收集和整理。标准编制组查阅了我国现行及美国、欧盟、日本等国家对绿色服务区建设、运营方面的法规、标准和技术规范等，收集了国内山东、安徽、江西、四川等省高速公路服务区建设标准相关资料。讨论并确定了标准编制的技术路线。</w:t>
      </w:r>
    </w:p>
    <w:p>
      <w:pPr>
        <w:pStyle w:val="40"/>
        <w:kinsoku/>
        <w:wordWrap w:val="0"/>
        <w:ind w:firstLine="480"/>
        <w:jc w:val="both"/>
        <w:rPr>
          <w:rFonts w:ascii="Times New Roman" w:hAnsi="Times New Roman" w:cs="Times New Roman"/>
        </w:rPr>
      </w:pPr>
      <w:r>
        <w:rPr>
          <w:rFonts w:ascii="Times New Roman" w:hAnsi="Times New Roman" w:cs="Times New Roman"/>
        </w:rPr>
        <w:t>2022</w:t>
      </w:r>
      <w:r>
        <w:rPr>
          <w:rFonts w:ascii="宋体" w:hAnsi="宋体" w:cs="Times New Roman"/>
        </w:rPr>
        <w:t>年</w:t>
      </w:r>
      <w:r>
        <w:rPr>
          <w:rFonts w:ascii="Times New Roman" w:hAnsi="Times New Roman" w:cs="Times New Roman"/>
        </w:rPr>
        <w:t>11</w:t>
      </w:r>
      <w:r>
        <w:rPr>
          <w:rFonts w:ascii="宋体" w:hAnsi="宋体" w:cs="Times New Roman"/>
        </w:rPr>
        <w:t>月</w:t>
      </w:r>
      <w:r>
        <w:rPr>
          <w:rFonts w:ascii="Times New Roman" w:hAnsi="Times New Roman" w:cs="Times New Roman"/>
        </w:rPr>
        <w:t>-2022</w:t>
      </w:r>
      <w:r>
        <w:rPr>
          <w:rFonts w:ascii="宋体" w:hAnsi="宋体" w:cs="Times New Roman"/>
        </w:rPr>
        <w:t>年</w:t>
      </w:r>
      <w:r>
        <w:rPr>
          <w:rFonts w:ascii="Times New Roman" w:hAnsi="Times New Roman" w:cs="Times New Roman"/>
        </w:rPr>
        <w:t>12</w:t>
      </w:r>
      <w:r>
        <w:rPr>
          <w:rFonts w:ascii="宋体" w:hAnsi="宋体" w:cs="Times New Roman"/>
        </w:rPr>
        <w:t>月，地方标准编制项目组开展陕西省服务区调研，记录服务区运营相关情况，最终计划按照</w:t>
      </w:r>
      <w:r>
        <w:rPr>
          <w:rFonts w:ascii="Times New Roman" w:hAnsi="Times New Roman" w:cs="Times New Roman"/>
        </w:rPr>
        <w:t>“</w:t>
      </w:r>
      <w:r>
        <w:rPr>
          <w:rFonts w:ascii="宋体" w:hAnsi="宋体" w:cs="Times New Roman"/>
        </w:rPr>
        <w:t>不同规模，不同评价要求</w:t>
      </w:r>
      <w:r>
        <w:rPr>
          <w:rFonts w:ascii="Times New Roman" w:hAnsi="Times New Roman" w:cs="Times New Roman"/>
        </w:rPr>
        <w:t>”</w:t>
      </w:r>
      <w:r>
        <w:rPr>
          <w:rFonts w:ascii="宋体" w:hAnsi="宋体" w:cs="Times New Roman"/>
        </w:rPr>
        <w:t>的原则，将服务区先进行规模分级。</w:t>
      </w:r>
    </w:p>
    <w:p>
      <w:pPr>
        <w:pStyle w:val="40"/>
        <w:kinsoku/>
        <w:wordWrap w:val="0"/>
        <w:ind w:firstLine="480"/>
        <w:jc w:val="both"/>
        <w:rPr>
          <w:rFonts w:ascii="Times New Roman" w:hAnsi="Times New Roman" w:cs="Times New Roman"/>
        </w:rPr>
      </w:pPr>
      <w:r>
        <w:rPr>
          <w:rFonts w:ascii="Times New Roman" w:hAnsi="Times New Roman" w:cs="Times New Roman"/>
        </w:rPr>
        <w:t>2023</w:t>
      </w:r>
      <w:r>
        <w:rPr>
          <w:rFonts w:ascii="宋体" w:hAnsi="宋体" w:cs="Times New Roman"/>
        </w:rPr>
        <w:t>年</w:t>
      </w:r>
      <w:r>
        <w:rPr>
          <w:rFonts w:ascii="Times New Roman" w:hAnsi="Times New Roman" w:cs="Times New Roman"/>
        </w:rPr>
        <w:t>1</w:t>
      </w:r>
      <w:r>
        <w:rPr>
          <w:rFonts w:ascii="宋体" w:hAnsi="宋体" w:cs="Times New Roman"/>
        </w:rPr>
        <w:t>月</w:t>
      </w:r>
      <w:r>
        <w:rPr>
          <w:rFonts w:ascii="Times New Roman" w:hAnsi="Times New Roman" w:cs="Times New Roman"/>
        </w:rPr>
        <w:t>-3</w:t>
      </w:r>
      <w:r>
        <w:rPr>
          <w:rFonts w:ascii="宋体" w:hAnsi="宋体" w:cs="Times New Roman"/>
        </w:rPr>
        <w:t>月，地方标准编制项目组基于德尔菲法多次问询专家、一线工作人员，对分级指标的易获取程度、全面性、有效性等反复评估，最终确定目标</w:t>
      </w:r>
      <w:r>
        <w:rPr>
          <w:rFonts w:ascii="Times New Roman" w:hAnsi="Times New Roman" w:cs="Times New Roman"/>
        </w:rPr>
        <w:t>—</w:t>
      </w:r>
      <w:r>
        <w:rPr>
          <w:rFonts w:ascii="宋体" w:hAnsi="宋体" w:cs="Times New Roman"/>
        </w:rPr>
        <w:t>系统</w:t>
      </w:r>
      <w:r>
        <w:rPr>
          <w:rFonts w:ascii="Times New Roman" w:hAnsi="Times New Roman" w:cs="Times New Roman"/>
        </w:rPr>
        <w:t>—</w:t>
      </w:r>
      <w:r>
        <w:rPr>
          <w:rFonts w:ascii="宋体" w:hAnsi="宋体" w:cs="Times New Roman"/>
        </w:rPr>
        <w:t>指标逐层递进分级体系及分级依据。利用</w:t>
      </w:r>
      <w:r>
        <w:rPr>
          <w:rFonts w:ascii="Times New Roman" w:hAnsi="Times New Roman" w:cs="Times New Roman"/>
        </w:rPr>
        <w:t>103</w:t>
      </w:r>
      <w:r>
        <w:rPr>
          <w:rFonts w:ascii="宋体" w:hAnsi="宋体" w:cs="Times New Roman"/>
        </w:rPr>
        <w:t>处服务区的收集信息与资料，将陕西省</w:t>
      </w:r>
      <w:r>
        <w:rPr>
          <w:rFonts w:ascii="Times New Roman" w:hAnsi="Times New Roman" w:cs="Times New Roman"/>
        </w:rPr>
        <w:t>103</w:t>
      </w:r>
      <w:r>
        <w:rPr>
          <w:rFonts w:ascii="宋体" w:hAnsi="宋体" w:cs="Times New Roman"/>
        </w:rPr>
        <w:t>对服务区划分为三个规模类别。</w:t>
      </w:r>
    </w:p>
    <w:p>
      <w:pPr>
        <w:pStyle w:val="40"/>
        <w:kinsoku/>
        <w:wordWrap w:val="0"/>
        <w:ind w:firstLine="480"/>
        <w:jc w:val="both"/>
        <w:rPr>
          <w:rFonts w:ascii="Times New Roman" w:hAnsi="Times New Roman" w:cs="Times New Roman"/>
        </w:rPr>
      </w:pPr>
      <w:r>
        <w:rPr>
          <w:rFonts w:ascii="Times New Roman" w:hAnsi="Times New Roman" w:cs="Times New Roman"/>
        </w:rPr>
        <w:t>2023</w:t>
      </w:r>
      <w:r>
        <w:rPr>
          <w:rFonts w:ascii="宋体" w:hAnsi="宋体" w:cs="Times New Roman"/>
        </w:rPr>
        <w:t>年</w:t>
      </w:r>
      <w:r>
        <w:rPr>
          <w:rFonts w:ascii="Times New Roman" w:hAnsi="Times New Roman" w:cs="Times New Roman"/>
        </w:rPr>
        <w:t>3</w:t>
      </w:r>
      <w:r>
        <w:rPr>
          <w:rFonts w:ascii="宋体" w:hAnsi="宋体" w:cs="Times New Roman"/>
        </w:rPr>
        <w:t>月</w:t>
      </w:r>
      <w:r>
        <w:rPr>
          <w:rFonts w:ascii="Times New Roman" w:hAnsi="Times New Roman" w:cs="Times New Roman"/>
        </w:rPr>
        <w:t>-6</w:t>
      </w:r>
      <w:r>
        <w:rPr>
          <w:rFonts w:ascii="宋体" w:hAnsi="宋体" w:cs="Times New Roman"/>
        </w:rPr>
        <w:t>月，标准编制组基于收集资料，征集专家、一线工作人员相关意见，讨论并初步确定了绿色服务区评价指标体系，制作陕西省高速公路绿色服务区评价指标</w:t>
      </w:r>
      <w:r>
        <w:rPr>
          <w:rFonts w:ascii="Times New Roman" w:hAnsi="Times New Roman" w:cs="Times New Roman"/>
        </w:rPr>
        <w:t>AHP</w:t>
      </w:r>
      <w:r>
        <w:rPr>
          <w:rFonts w:ascii="宋体" w:hAnsi="宋体" w:cs="Times New Roman"/>
        </w:rPr>
        <w:t>（层次分析法）调研问卷。</w:t>
      </w:r>
    </w:p>
    <w:p>
      <w:pPr>
        <w:pStyle w:val="40"/>
        <w:kinsoku/>
        <w:wordWrap w:val="0"/>
        <w:ind w:firstLine="480"/>
        <w:jc w:val="both"/>
        <w:rPr>
          <w:rFonts w:ascii="Times New Roman" w:hAnsi="Times New Roman" w:cs="Times New Roman"/>
        </w:rPr>
      </w:pPr>
      <w:r>
        <w:rPr>
          <w:rFonts w:ascii="Times New Roman" w:hAnsi="Times New Roman" w:cs="Times New Roman"/>
        </w:rPr>
        <w:t>2023</w:t>
      </w:r>
      <w:r>
        <w:rPr>
          <w:rFonts w:ascii="宋体" w:hAnsi="宋体" w:cs="Times New Roman"/>
        </w:rPr>
        <w:t>年</w:t>
      </w:r>
      <w:r>
        <w:rPr>
          <w:rFonts w:ascii="Times New Roman" w:hAnsi="Times New Roman" w:cs="Times New Roman"/>
        </w:rPr>
        <w:t>6</w:t>
      </w:r>
      <w:r>
        <w:rPr>
          <w:rFonts w:ascii="宋体" w:hAnsi="宋体" w:cs="Times New Roman"/>
        </w:rPr>
        <w:t>月</w:t>
      </w:r>
      <w:r>
        <w:rPr>
          <w:rFonts w:ascii="Times New Roman" w:hAnsi="Times New Roman" w:cs="Times New Roman"/>
        </w:rPr>
        <w:t>-9</w:t>
      </w:r>
      <w:r>
        <w:rPr>
          <w:rFonts w:ascii="宋体" w:hAnsi="宋体" w:cs="Times New Roman"/>
        </w:rPr>
        <w:t>月，标准编制组邀请</w:t>
      </w:r>
      <w:r>
        <w:rPr>
          <w:rFonts w:ascii="Times New Roman" w:hAnsi="Times New Roman" w:cs="Times New Roman"/>
        </w:rPr>
        <w:t>50</w:t>
      </w:r>
      <w:r>
        <w:rPr>
          <w:rFonts w:ascii="宋体" w:hAnsi="宋体" w:cs="Times New Roman"/>
        </w:rPr>
        <w:t>余位专家、服务区管理人员、基层工作人员等填写调研问卷，分析问卷数据，计算绿色服务区评价指标权重。</w:t>
      </w:r>
    </w:p>
    <w:p>
      <w:pPr>
        <w:pStyle w:val="40"/>
        <w:kinsoku/>
        <w:wordWrap w:val="0"/>
        <w:ind w:firstLine="480"/>
        <w:jc w:val="both"/>
        <w:rPr>
          <w:rFonts w:ascii="Times New Roman" w:hAnsi="Times New Roman" w:cs="Times New Roman"/>
        </w:rPr>
      </w:pPr>
      <w:r>
        <w:rPr>
          <w:rFonts w:ascii="Times New Roman" w:hAnsi="Times New Roman" w:cs="Times New Roman"/>
        </w:rPr>
        <w:t>2023</w:t>
      </w:r>
      <w:r>
        <w:rPr>
          <w:rFonts w:ascii="宋体" w:hAnsi="宋体" w:cs="Times New Roman"/>
        </w:rPr>
        <w:t>年</w:t>
      </w:r>
      <w:r>
        <w:rPr>
          <w:rFonts w:ascii="Times New Roman" w:hAnsi="Times New Roman" w:cs="Times New Roman"/>
        </w:rPr>
        <w:t>9</w:t>
      </w:r>
      <w:r>
        <w:rPr>
          <w:rFonts w:ascii="宋体" w:hAnsi="宋体" w:cs="Times New Roman"/>
        </w:rPr>
        <w:t>月</w:t>
      </w:r>
      <w:r>
        <w:rPr>
          <w:rFonts w:ascii="Times New Roman" w:hAnsi="Times New Roman" w:cs="Times New Roman"/>
        </w:rPr>
        <w:t>-12</w:t>
      </w:r>
      <w:r>
        <w:rPr>
          <w:rFonts w:ascii="宋体" w:hAnsi="宋体" w:cs="Times New Roman"/>
        </w:rPr>
        <w:t>月，收集问卷中专家意见，形成地方标准（草案）及编制说明。</w:t>
      </w:r>
    </w:p>
    <w:p>
      <w:pPr>
        <w:pStyle w:val="40"/>
        <w:kinsoku/>
        <w:wordWrap w:val="0"/>
        <w:ind w:firstLine="480"/>
        <w:jc w:val="both"/>
        <w:rPr>
          <w:rFonts w:ascii="Times New Roman" w:hAnsi="Times New Roman" w:cs="Times New Roman"/>
        </w:rPr>
      </w:pPr>
      <w:r>
        <w:rPr>
          <w:rFonts w:ascii="Times New Roman" w:hAnsi="Times New Roman" w:cs="Times New Roman"/>
        </w:rPr>
        <w:t>2024</w:t>
      </w:r>
      <w:r>
        <w:rPr>
          <w:rFonts w:ascii="宋体" w:hAnsi="宋体" w:cs="Times New Roman"/>
        </w:rPr>
        <w:t>年</w:t>
      </w:r>
      <w:r>
        <w:rPr>
          <w:rFonts w:ascii="Times New Roman" w:hAnsi="Times New Roman" w:cs="Times New Roman"/>
        </w:rPr>
        <w:t>1</w:t>
      </w:r>
      <w:r>
        <w:rPr>
          <w:rFonts w:ascii="宋体" w:hAnsi="宋体" w:cs="Times New Roman"/>
        </w:rPr>
        <w:t>月，内部征求意见及修改，形成地方标准（讨论稿）及编制说明（讨论稿）。</w:t>
      </w:r>
    </w:p>
    <w:p>
      <w:pPr>
        <w:pStyle w:val="40"/>
        <w:kinsoku/>
        <w:wordWrap w:val="0"/>
        <w:ind w:firstLine="480"/>
        <w:jc w:val="both"/>
        <w:rPr>
          <w:rFonts w:ascii="宋体" w:hAnsi="宋体" w:cs="Times New Roman"/>
        </w:rPr>
      </w:pPr>
      <w:r>
        <w:rPr>
          <w:rFonts w:ascii="Times New Roman" w:hAnsi="Times New Roman" w:cs="Times New Roman"/>
        </w:rPr>
        <w:t>2024</w:t>
      </w:r>
      <w:r>
        <w:rPr>
          <w:rFonts w:ascii="宋体" w:hAnsi="宋体" w:cs="Times New Roman"/>
        </w:rPr>
        <w:t>年</w:t>
      </w:r>
      <w:r>
        <w:rPr>
          <w:rFonts w:ascii="Times New Roman" w:hAnsi="Times New Roman" w:cs="Times New Roman"/>
        </w:rPr>
        <w:t>3</w:t>
      </w:r>
      <w:r>
        <w:rPr>
          <w:rFonts w:ascii="宋体" w:hAnsi="宋体" w:cs="Times New Roman"/>
        </w:rPr>
        <w:t>月，由省交通运输厅委托陕西省交通运输标准委员会组织专家进行技术审查会，根据与会专家及相关管理部门的意见进行修改，形成技术规范（征 求意见稿）及编制说明（征求意见稿），报陕西省交通运输厅，在陕西省交通运输厅网站上公开征求意见。</w:t>
      </w:r>
    </w:p>
    <w:p>
      <w:pPr>
        <w:pStyle w:val="40"/>
        <w:ind w:firstLine="480"/>
        <w:rPr>
          <w:rFonts w:ascii="Times New Roman" w:hAnsi="Times New Roman" w:cs="Times New Roman"/>
        </w:rPr>
      </w:pPr>
      <w:r>
        <w:rPr>
          <w:rFonts w:ascii="Times New Roman" w:hAnsi="Times New Roman" w:cs="Times New Roman"/>
        </w:rPr>
        <w:t>2024</w:t>
      </w:r>
      <w:r>
        <w:rPr>
          <w:rFonts w:ascii="宋体" w:hAnsi="宋体" w:cs="Times New Roman"/>
        </w:rPr>
        <w:t>年</w:t>
      </w:r>
      <w:r>
        <w:rPr>
          <w:rFonts w:ascii="Times New Roman" w:hAnsi="Times New Roman" w:cs="Times New Roman"/>
        </w:rPr>
        <w:t>4</w:t>
      </w:r>
      <w:r>
        <w:rPr>
          <w:rFonts w:ascii="宋体" w:hAnsi="宋体" w:cs="Times New Roman"/>
        </w:rPr>
        <w:t>月，对收集的意见进行梳理，确定是否采纳并进行修改，形成技术规范（送审稿）及编制说明（送审稿），报省市场监督管理局法规与标准化处。</w:t>
      </w:r>
    </w:p>
    <w:p>
      <w:pPr>
        <w:pStyle w:val="40"/>
        <w:ind w:firstLine="480"/>
        <w:rPr>
          <w:rFonts w:ascii="Times New Roman" w:hAnsi="Times New Roman" w:cs="Times New Roman"/>
        </w:rPr>
      </w:pPr>
      <w:r>
        <w:rPr>
          <w:rFonts w:ascii="Times New Roman" w:hAnsi="Times New Roman" w:cs="Times New Roman"/>
        </w:rPr>
        <w:t>2024</w:t>
      </w:r>
      <w:r>
        <w:rPr>
          <w:rFonts w:ascii="宋体" w:hAnsi="宋体" w:cs="Times New Roman"/>
        </w:rPr>
        <w:t>年</w:t>
      </w:r>
      <w:r>
        <w:rPr>
          <w:rFonts w:ascii="Times New Roman" w:hAnsi="Times New Roman" w:cs="Times New Roman"/>
        </w:rPr>
        <w:t>5</w:t>
      </w:r>
      <w:r>
        <w:rPr>
          <w:rFonts w:ascii="宋体" w:hAnsi="宋体" w:cs="Times New Roman"/>
        </w:rPr>
        <w:t>月，由省市场监督管理局组织专家评审会，对此规范进行评审。</w:t>
      </w:r>
    </w:p>
    <w:p>
      <w:pPr>
        <w:pStyle w:val="40"/>
        <w:ind w:firstLine="480"/>
        <w:rPr>
          <w:rFonts w:ascii="Times New Roman" w:hAnsi="Times New Roman" w:cs="Times New Roman"/>
        </w:rPr>
      </w:pPr>
      <w:r>
        <w:rPr>
          <w:rFonts w:ascii="Times New Roman" w:hAnsi="Times New Roman" w:cs="Times New Roman"/>
        </w:rPr>
        <w:t>2024</w:t>
      </w:r>
      <w:r>
        <w:rPr>
          <w:rFonts w:ascii="宋体" w:hAnsi="宋体" w:cs="Times New Roman"/>
        </w:rPr>
        <w:t>年</w:t>
      </w:r>
      <w:r>
        <w:rPr>
          <w:rFonts w:ascii="Times New Roman" w:hAnsi="Times New Roman" w:cs="Times New Roman"/>
        </w:rPr>
        <w:t>5-6</w:t>
      </w:r>
      <w:r>
        <w:rPr>
          <w:rFonts w:ascii="宋体" w:hAnsi="宋体" w:cs="Times New Roman"/>
        </w:rPr>
        <w:t>月，形成技术规范（报批稿）及编制说明（报批稿），报省市场监督管理局。</w:t>
      </w:r>
    </w:p>
    <w:p>
      <w:pPr>
        <w:widowControl/>
        <w:adjustRightInd/>
        <w:spacing w:line="240" w:lineRule="auto"/>
        <w:jc w:val="left"/>
        <w:rPr>
          <w:rFonts w:ascii="宋体" w:hAnsi="宋体"/>
          <w:color w:val="000000"/>
          <w:kern w:val="0"/>
          <w:sz w:val="24"/>
          <w:szCs w:val="24"/>
        </w:rPr>
      </w:pPr>
    </w:p>
    <w:p>
      <w:pPr>
        <w:pStyle w:val="107"/>
        <w:spacing w:before="312" w:after="312"/>
        <w:rPr>
          <w:rFonts w:hint="eastAsia"/>
          <w:sz w:val="24"/>
          <w:szCs w:val="24"/>
        </w:rPr>
      </w:pPr>
      <w:bookmarkStart w:id="27" w:name="_Toc155366871"/>
      <w:r>
        <w:rPr>
          <w:rFonts w:hint="eastAsia"/>
          <w:sz w:val="24"/>
          <w:szCs w:val="24"/>
        </w:rPr>
        <w:t>陕西省标准编制的必要性和意义</w:t>
      </w:r>
      <w:bookmarkEnd w:id="27"/>
    </w:p>
    <w:p>
      <w:pPr>
        <w:pStyle w:val="59"/>
        <w:spacing w:line="360" w:lineRule="auto"/>
        <w:ind w:firstLine="480"/>
        <w:rPr>
          <w:rFonts w:hint="eastAsia"/>
          <w:sz w:val="24"/>
          <w:szCs w:val="24"/>
        </w:rPr>
      </w:pPr>
      <w:r>
        <w:rPr>
          <w:rFonts w:hint="eastAsia"/>
          <w:sz w:val="24"/>
          <w:szCs w:val="24"/>
        </w:rPr>
        <w:t>十四五以来，推动公路既有设施的信息化、绿色化改造，加强交通运输行业绿色低碳发展政策规划、标准规范、管理制度引领，是交通强国建设绿色低碳领域的重要内容。高速公路服务区作为高速公路的重要组成部分，其功能和作用日益凸显。然而，传统的高速服务区在环保方面存在诸多问题，如能源消耗大、环境污染严重等。目前服务区绿色化改造正在面临严峻挑战。高速公路服务区作为高速公路污染排放的集中点和周边居民环保投诉的冲突点，其废气排放、生活污水、餐厨垃圾等污染问题日趋凸显，服务区绿色发展是实现交通领域“低碳”目标的关键抓手。</w:t>
      </w:r>
    </w:p>
    <w:p>
      <w:pPr>
        <w:pStyle w:val="59"/>
        <w:spacing w:line="360" w:lineRule="auto"/>
        <w:ind w:firstLine="480"/>
        <w:rPr>
          <w:sz w:val="24"/>
          <w:szCs w:val="24"/>
        </w:rPr>
      </w:pPr>
      <w:r>
        <w:rPr>
          <w:rFonts w:hint="eastAsia"/>
          <w:sz w:val="24"/>
          <w:szCs w:val="24"/>
        </w:rPr>
        <w:t>高速公路绿色服务区相关标准在陕西省内尚属空白，省内有103处服务区，大多仅能满足司乘及工作人员的基本需求，最早建成服务区已投入使用20余年，前期服务区设计建设时多侧重于功能性保障，绿色建筑理念应用较少，对于服务性、智能化、生态环保、资源节约等方面考虑较少，基于经济性和实用性考虑，目前只能将绿色化改造工作重点放置于运维阶段。2018年，国内针对公路服务区的绿色水平评估标准颁布了《绿色交通设施评估技术要求第2部分：绿色服务区》（JT/T1199.2-2018），针对绿色服务区新建、改扩建提出了评估标准，对推动绿色服务区的发展起到了重要意义。在此基础上建立适用于公路服务区运营后的绿色评估体系，填充我省绿色服务区标准研究空白。通过提高服务区的环境友好性、规范服务区的设施配置及能源利用等方面，可以提升旅客的出行体验，指导我省服务区绿色低碳升级发展，落实国家交通强国战略，绿色发展、生态文明战略，编制《陕西省高速公路绿色服务区评估标准》具有现实必要性与重要意义。</w:t>
      </w:r>
    </w:p>
    <w:p>
      <w:pPr>
        <w:widowControl/>
        <w:adjustRightInd/>
        <w:spacing w:line="240" w:lineRule="auto"/>
        <w:jc w:val="left"/>
        <w:rPr>
          <w:rFonts w:ascii="宋体" w:hAnsi="Times New Roman"/>
          <w:kern w:val="0"/>
          <w:sz w:val="24"/>
          <w:szCs w:val="24"/>
        </w:rPr>
      </w:pPr>
      <w:r>
        <w:rPr>
          <w:sz w:val="24"/>
          <w:szCs w:val="24"/>
        </w:rPr>
        <w:br w:type="page"/>
      </w:r>
    </w:p>
    <w:p>
      <w:pPr>
        <w:pStyle w:val="107"/>
        <w:spacing w:before="312" w:after="312"/>
        <w:rPr>
          <w:sz w:val="24"/>
          <w:szCs w:val="24"/>
        </w:rPr>
      </w:pPr>
      <w:bookmarkStart w:id="28" w:name="_Toc155366872"/>
      <w:r>
        <w:rPr>
          <w:rFonts w:hint="eastAsia"/>
          <w:sz w:val="24"/>
          <w:szCs w:val="24"/>
        </w:rPr>
        <w:t>制定标准的原则和依据</w:t>
      </w:r>
      <w:bookmarkEnd w:id="28"/>
    </w:p>
    <w:p>
      <w:pPr>
        <w:pStyle w:val="108"/>
        <w:spacing w:before="156" w:after="156"/>
        <w:rPr>
          <w:sz w:val="24"/>
          <w:szCs w:val="24"/>
        </w:rPr>
      </w:pPr>
      <w:bookmarkStart w:id="29" w:name="_Toc155366873"/>
      <w:r>
        <w:rPr>
          <w:rFonts w:hint="eastAsia"/>
          <w:sz w:val="24"/>
          <w:szCs w:val="24"/>
        </w:rPr>
        <w:t>制定标准的原则</w:t>
      </w:r>
      <w:bookmarkEnd w:id="29"/>
    </w:p>
    <w:p>
      <w:pPr>
        <w:pStyle w:val="59"/>
        <w:spacing w:line="360" w:lineRule="auto"/>
        <w:ind w:firstLine="480"/>
        <w:rPr>
          <w:rFonts w:hint="eastAsia"/>
          <w:sz w:val="24"/>
          <w:szCs w:val="24"/>
        </w:rPr>
      </w:pPr>
      <w:r>
        <w:rPr>
          <w:rFonts w:hint="eastAsia"/>
          <w:sz w:val="24"/>
          <w:szCs w:val="24"/>
        </w:rPr>
        <w:t>本技术规范是为配合国家及地方相关排放标准实施，满足现阶段服务区管理需求而制定的，规范制订过程中充分参考了各类服务区设计、建设、运营的相关标准和技术规范，并结合低碳绿色发展背景，根据陕西省服务区运营现状及绿色管理需求而制订，遵循以下原则：</w:t>
      </w:r>
    </w:p>
    <w:p>
      <w:pPr>
        <w:pStyle w:val="59"/>
        <w:spacing w:line="360" w:lineRule="auto"/>
        <w:ind w:firstLine="480"/>
        <w:rPr>
          <w:rFonts w:hint="eastAsia"/>
          <w:sz w:val="24"/>
          <w:szCs w:val="24"/>
        </w:rPr>
      </w:pPr>
      <w:r>
        <w:rPr>
          <w:rFonts w:hint="eastAsia"/>
          <w:sz w:val="24"/>
          <w:szCs w:val="24"/>
        </w:rPr>
        <w:t>（1）配套与衔接原则。</w:t>
      </w:r>
    </w:p>
    <w:p>
      <w:pPr>
        <w:pStyle w:val="59"/>
        <w:spacing w:line="360" w:lineRule="auto"/>
        <w:ind w:firstLine="480"/>
        <w:rPr>
          <w:rFonts w:hint="eastAsia"/>
          <w:sz w:val="24"/>
          <w:szCs w:val="24"/>
        </w:rPr>
      </w:pPr>
      <w:r>
        <w:rPr>
          <w:rFonts w:hint="eastAsia"/>
          <w:sz w:val="24"/>
          <w:szCs w:val="24"/>
        </w:rPr>
        <w:t>本标准制定过程充分考虑与现行相关国家行业排放标准的配套性，充分考虑与现行监测技术规范及分析方法标准的衔接性。在编制过程中参考 等行业、地方及团体标准，引用 等国家、行业标准，做到有效衔接，有效补充。</w:t>
      </w:r>
    </w:p>
    <w:p>
      <w:pPr>
        <w:pStyle w:val="59"/>
        <w:spacing w:line="360" w:lineRule="auto"/>
        <w:ind w:firstLine="480"/>
        <w:rPr>
          <w:rFonts w:hint="eastAsia"/>
          <w:sz w:val="24"/>
          <w:szCs w:val="24"/>
        </w:rPr>
      </w:pPr>
      <w:r>
        <w:rPr>
          <w:rFonts w:hint="eastAsia"/>
          <w:sz w:val="24"/>
          <w:szCs w:val="24"/>
        </w:rPr>
        <w:t>（2）可行与可操作原则</w:t>
      </w:r>
    </w:p>
    <w:p>
      <w:pPr>
        <w:pStyle w:val="59"/>
        <w:spacing w:line="360" w:lineRule="auto"/>
        <w:ind w:firstLine="480"/>
        <w:rPr>
          <w:rFonts w:hint="eastAsia"/>
          <w:sz w:val="24"/>
          <w:szCs w:val="24"/>
        </w:rPr>
      </w:pPr>
      <w:r>
        <w:rPr>
          <w:rFonts w:hint="eastAsia"/>
          <w:sz w:val="24"/>
          <w:szCs w:val="24"/>
        </w:rPr>
        <w:t>本标准制定过程中充分调研了陕西省高速公路服务区的运营情况和绿色改造上限能力水平，以确保评价体系内指标准确性与代表性，提高评价体系有效性，力求满足日常监督管理的要求，力求使评估标准具有可操作性，评估结果符合服务区发展实际，对服务区绿色运营改造有现实指导意义。</w:t>
      </w:r>
    </w:p>
    <w:p>
      <w:pPr>
        <w:pStyle w:val="59"/>
        <w:spacing w:line="360" w:lineRule="auto"/>
        <w:ind w:firstLine="480"/>
        <w:rPr>
          <w:rFonts w:hint="eastAsia"/>
          <w:sz w:val="24"/>
          <w:szCs w:val="24"/>
        </w:rPr>
      </w:pPr>
      <w:r>
        <w:rPr>
          <w:rFonts w:hint="eastAsia"/>
          <w:sz w:val="24"/>
          <w:szCs w:val="24"/>
        </w:rPr>
        <w:t>（3）先进与前瞻性原则</w:t>
      </w:r>
    </w:p>
    <w:p>
      <w:pPr>
        <w:pStyle w:val="59"/>
        <w:spacing w:line="360" w:lineRule="auto"/>
        <w:ind w:firstLine="480"/>
        <w:rPr>
          <w:rFonts w:hint="eastAsia"/>
          <w:sz w:val="24"/>
          <w:szCs w:val="24"/>
        </w:rPr>
      </w:pPr>
      <w:r>
        <w:rPr>
          <w:rFonts w:hint="eastAsia"/>
          <w:sz w:val="24"/>
          <w:szCs w:val="24"/>
        </w:rPr>
        <w:t>本标准制定过程中充分调研了近几年各省绿色、低碳、零碳服务区建设情况，研究国家、行业政策指导方向，并充分考虑我省服务区发展水平和客观实际需要，力求具有前瞻性。</w:t>
      </w:r>
    </w:p>
    <w:p>
      <w:pPr>
        <w:pStyle w:val="59"/>
        <w:spacing w:line="360" w:lineRule="auto"/>
        <w:ind w:firstLine="480"/>
        <w:rPr>
          <w:rFonts w:hint="eastAsia"/>
          <w:sz w:val="24"/>
          <w:szCs w:val="24"/>
        </w:rPr>
      </w:pPr>
      <w:r>
        <w:rPr>
          <w:rFonts w:hint="eastAsia"/>
          <w:sz w:val="24"/>
          <w:szCs w:val="24"/>
        </w:rPr>
        <w:t>（4）规范性</w:t>
      </w:r>
    </w:p>
    <w:p>
      <w:pPr>
        <w:pStyle w:val="59"/>
        <w:spacing w:line="360" w:lineRule="auto"/>
        <w:ind w:firstLine="480"/>
        <w:rPr>
          <w:sz w:val="24"/>
          <w:szCs w:val="24"/>
        </w:rPr>
      </w:pPr>
      <w:r>
        <w:rPr>
          <w:rFonts w:hint="eastAsia"/>
          <w:sz w:val="24"/>
          <w:szCs w:val="24"/>
        </w:rPr>
        <w:t>按照GB/T 1. 1中格式的原则及要求进行编写。</w:t>
      </w:r>
    </w:p>
    <w:p>
      <w:pPr>
        <w:pStyle w:val="108"/>
        <w:spacing w:before="156" w:after="156"/>
        <w:rPr>
          <w:sz w:val="24"/>
          <w:szCs w:val="24"/>
        </w:rPr>
      </w:pPr>
      <w:bookmarkStart w:id="30" w:name="_Toc155366874"/>
      <w:r>
        <w:rPr>
          <w:rFonts w:hint="eastAsia"/>
          <w:sz w:val="24"/>
          <w:szCs w:val="24"/>
        </w:rPr>
        <w:t>绿色服务区评级体系研究综述</w:t>
      </w:r>
      <w:bookmarkEnd w:id="30"/>
    </w:p>
    <w:p>
      <w:pPr>
        <w:pStyle w:val="59"/>
        <w:spacing w:line="360" w:lineRule="auto"/>
        <w:ind w:firstLine="480"/>
        <w:rPr>
          <w:rFonts w:hint="eastAsia"/>
          <w:sz w:val="24"/>
          <w:szCs w:val="24"/>
        </w:rPr>
      </w:pPr>
      <w:r>
        <w:rPr>
          <w:rFonts w:hint="eastAsia"/>
          <w:sz w:val="24"/>
          <w:szCs w:val="24"/>
        </w:rPr>
        <w:t>国外发达国家的高速公路服务区多更注重人文关怀，建设多为开放式，与国内有很大不同，且国外没有明确的绿色服务区评级体系研究成果可参考。国内学者对我国绿色服务区评价体系开展了相关研究，如杨艳刚等将高速公路服务区解析为人工-自然复合生态系统，依据生态系统理论，应用层次分析法建立了绿色服务区评价指标体系。张海峰等结合天津市高速公路服务区的特征，探索研究了区域性高速公路绿色服务区评级指标体系，并选取现有服务区进行了评价应用。杨广宇以我国最新版《绿色建筑评价标准》为主要依据，结合对比分析获取的启示和借鉴，建立了高速公路绿色服务区评价体系，选取层次分析法（AHP）确定了指标权重，并对各指标的量分观测点进行了规定与说明。孟春麟针对江苏省高速公路绿色服务区的特点，对绿色服务区改造技术方案的总结，分别从节水、节地、节能、节材及环境保护等方面构建绿色服务区评价体系。王诚从资源能源节约、生态环境保护、场地环境、建筑环境等方面利用层次分析法建立了我国高速公路绿色服务区评价体系,并基于问卷调查的方式确定了体系中各指标的权重。除此之外，还有学者分析了绿色服务区的实现途径、绿色服务区建设方案研究、服务区低碳生态技术体系建设等。</w:t>
      </w:r>
    </w:p>
    <w:p>
      <w:pPr>
        <w:pStyle w:val="59"/>
        <w:spacing w:line="360" w:lineRule="auto"/>
        <w:ind w:firstLine="480"/>
        <w:rPr>
          <w:rFonts w:hint="eastAsia"/>
          <w:sz w:val="24"/>
          <w:szCs w:val="24"/>
        </w:rPr>
      </w:pPr>
      <w:r>
        <w:rPr>
          <w:rFonts w:hint="eastAsia"/>
          <w:sz w:val="24"/>
          <w:szCs w:val="24"/>
        </w:rPr>
        <w:t>综上所述，我国高速公路绿色服务区评估体系需要结合自身特点进行建设，指标体系多以我国现有评估标准为基础进行扩展，方法论上国内大多学者在构建评价指标体系时多采用层次分析法，但大多数研究一是未对建成运营后服务区进行绿色改造提供参考依据，二是未考虑服务区的差异性。</w:t>
      </w:r>
    </w:p>
    <w:p>
      <w:pPr>
        <w:pStyle w:val="59"/>
        <w:spacing w:line="360" w:lineRule="auto"/>
        <w:ind w:firstLine="480"/>
        <w:rPr>
          <w:rFonts w:hint="eastAsia"/>
          <w:sz w:val="24"/>
          <w:szCs w:val="24"/>
        </w:rPr>
      </w:pPr>
      <w:r>
        <w:rPr>
          <w:rFonts w:hint="eastAsia"/>
          <w:sz w:val="24"/>
          <w:szCs w:val="24"/>
        </w:rPr>
        <w:t>高速公路服务区主要为司乘人员提供在高速公路行驶期间的基本生理、车辆以及更高层面的需求，但因所处位置不同，面对的交通流量具有极大差异，其建设规模、功能规模均有显著区别，以四川省为例，在在《四川省高速公路服务区设计指南（试行）》中将按照服务区功能不同，将服务区设置等级A类服务区、B类服务区和C类服务区（停车区），使设计指南更贴合服务区实际定位。</w:t>
      </w:r>
    </w:p>
    <w:p>
      <w:pPr>
        <w:pStyle w:val="59"/>
        <w:spacing w:line="360" w:lineRule="auto"/>
        <w:ind w:firstLine="480"/>
        <w:rPr>
          <w:sz w:val="24"/>
          <w:szCs w:val="24"/>
        </w:rPr>
      </w:pPr>
      <w:r>
        <w:rPr>
          <w:rFonts w:hint="eastAsia"/>
          <w:sz w:val="24"/>
          <w:szCs w:val="24"/>
        </w:rPr>
        <w:t>因此为使构建的陕西省绿色服务区评价指标体系更具有实用性，标准编制组先对陕西省服务区现状进行调研，基于服务区功能特点、建筑规模、交通流量等因素对陕西省高速公路服务区进行规模分类，在依据分类结果构建绿色服务区评级指标体系，实现服务区本身规模直接与指标权重关联，不同规模的服务区在进行绿色服务区评估时能各有侧重。</w:t>
      </w:r>
    </w:p>
    <w:p>
      <w:pPr>
        <w:pStyle w:val="108"/>
        <w:spacing w:before="156" w:after="156"/>
        <w:rPr>
          <w:sz w:val="24"/>
          <w:szCs w:val="24"/>
        </w:rPr>
      </w:pPr>
      <w:bookmarkStart w:id="31" w:name="_Toc155366875"/>
      <w:r>
        <w:rPr>
          <w:rFonts w:hint="eastAsia"/>
          <w:sz w:val="24"/>
          <w:szCs w:val="24"/>
        </w:rPr>
        <w:t>国内相关标准研究</w:t>
      </w:r>
      <w:bookmarkEnd w:id="31"/>
    </w:p>
    <w:p>
      <w:pPr>
        <w:pStyle w:val="59"/>
        <w:spacing w:line="360" w:lineRule="auto"/>
        <w:ind w:firstLine="480"/>
        <w:rPr>
          <w:sz w:val="24"/>
          <w:szCs w:val="24"/>
        </w:rPr>
      </w:pPr>
      <w:r>
        <w:rPr>
          <w:rFonts w:hint="eastAsia"/>
          <w:sz w:val="24"/>
          <w:szCs w:val="24"/>
        </w:rPr>
        <w:t>本标准设立时参考调研的标准主要有五个，涵盖行业标准、地方标准和团体标准，详细内容见下表1：</w:t>
      </w:r>
    </w:p>
    <w:p>
      <w:pPr>
        <w:pStyle w:val="59"/>
        <w:spacing w:line="360" w:lineRule="auto"/>
        <w:ind w:firstLine="480"/>
        <w:rPr>
          <w:sz w:val="24"/>
          <w:szCs w:val="24"/>
        </w:rPr>
      </w:pPr>
    </w:p>
    <w:p>
      <w:pPr>
        <w:pStyle w:val="59"/>
        <w:spacing w:line="360" w:lineRule="auto"/>
        <w:ind w:firstLine="480"/>
        <w:rPr>
          <w:rFonts w:hint="eastAsia"/>
          <w:sz w:val="24"/>
          <w:szCs w:val="24"/>
        </w:rPr>
        <w:sectPr>
          <w:headerReference r:id="rId15" w:type="default"/>
          <w:footerReference r:id="rId17" w:type="default"/>
          <w:headerReference r:id="rId16" w:type="even"/>
          <w:footerReference r:id="rId18" w:type="even"/>
          <w:pgSz w:w="11906" w:h="16838"/>
          <w:pgMar w:top="1928" w:right="1134" w:bottom="1134" w:left="1134" w:header="1418" w:footer="1134" w:gutter="284"/>
          <w:pgNumType w:start="1"/>
          <w:cols w:space="425" w:num="1"/>
          <w:formProt w:val="0"/>
          <w:docGrid w:type="lines" w:linePitch="312" w:charSpace="0"/>
        </w:sectPr>
      </w:pPr>
    </w:p>
    <w:p>
      <w:pPr>
        <w:pStyle w:val="233"/>
        <w:spacing w:before="156" w:beforeLines="50" w:after="156" w:afterLines="50"/>
        <w:jc w:val="center"/>
        <w:rPr>
          <w:rFonts w:hint="eastAsia"/>
        </w:rPr>
      </w:pPr>
      <w:r>
        <w:rPr>
          <w:rFonts w:ascii="黑体" w:hAnsi="黑体" w:eastAsia="黑体" w:cs="Times New Roman"/>
        </w:rPr>
        <w:t>表</w:t>
      </w:r>
      <w:r>
        <w:rPr>
          <w:rFonts w:ascii="Times New Roman" w:hAnsi="Times New Roman" w:eastAsia="黑体" w:cs="Times New Roman"/>
        </w:rPr>
        <w:t xml:space="preserve">1 </w:t>
      </w:r>
      <w:r>
        <w:rPr>
          <w:rFonts w:ascii="黑体" w:hAnsi="黑体" w:eastAsia="黑体" w:cs="Times New Roman"/>
        </w:rPr>
        <w:t>参考标准情况表</w:t>
      </w:r>
    </w:p>
    <w:tbl>
      <w:tblPr>
        <w:tblStyle w:val="28"/>
        <w:tblW w:w="4996"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600"/>
        <w:gridCol w:w="1451"/>
        <w:gridCol w:w="3198"/>
        <w:gridCol w:w="3813"/>
        <w:gridCol w:w="278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939" w:type="pct"/>
            <w:tcBorders>
              <w:top w:val="single" w:color="auto" w:sz="8" w:space="0"/>
              <w:bottom w:val="single" w:color="auto" w:sz="8" w:space="0"/>
            </w:tcBorders>
            <w:shd w:val="clear" w:color="auto" w:fill="auto"/>
            <w:vAlign w:val="center"/>
          </w:tcPr>
          <w:p>
            <w:pPr>
              <w:pStyle w:val="40"/>
              <w:spacing w:line="240" w:lineRule="auto"/>
              <w:ind w:firstLine="0" w:firstLineChars="0"/>
              <w:jc w:val="center"/>
              <w:rPr>
                <w:rFonts w:ascii="Times New Roman" w:hAnsi="Times New Roman" w:cs="Times New Roman"/>
                <w:sz w:val="21"/>
                <w:szCs w:val="21"/>
              </w:rPr>
            </w:pPr>
            <w:r>
              <w:rPr>
                <w:rFonts w:ascii="宋体" w:hAnsi="宋体" w:cs="Times New Roman"/>
                <w:sz w:val="21"/>
                <w:szCs w:val="21"/>
              </w:rPr>
              <w:t>标准名称</w:t>
            </w:r>
          </w:p>
        </w:tc>
        <w:tc>
          <w:tcPr>
            <w:tcW w:w="524" w:type="pct"/>
            <w:tcBorders>
              <w:top w:val="single" w:color="auto" w:sz="8" w:space="0"/>
              <w:bottom w:val="single" w:color="auto" w:sz="8" w:space="0"/>
            </w:tcBorders>
            <w:shd w:val="clear" w:color="auto" w:fill="auto"/>
            <w:vAlign w:val="center"/>
          </w:tcPr>
          <w:p>
            <w:pPr>
              <w:pStyle w:val="40"/>
              <w:spacing w:line="240" w:lineRule="auto"/>
              <w:ind w:firstLine="0" w:firstLineChars="0"/>
              <w:jc w:val="center"/>
              <w:rPr>
                <w:rFonts w:ascii="Times New Roman" w:hAnsi="Times New Roman" w:cs="Times New Roman"/>
                <w:sz w:val="21"/>
                <w:szCs w:val="21"/>
              </w:rPr>
            </w:pPr>
            <w:r>
              <w:rPr>
                <w:rFonts w:ascii="宋体" w:hAnsi="宋体" w:cs="Times New Roman"/>
                <w:sz w:val="21"/>
                <w:szCs w:val="21"/>
              </w:rPr>
              <w:t>类别</w:t>
            </w:r>
          </w:p>
        </w:tc>
        <w:tc>
          <w:tcPr>
            <w:tcW w:w="1155" w:type="pct"/>
            <w:tcBorders>
              <w:top w:val="single" w:color="auto" w:sz="8" w:space="0"/>
              <w:bottom w:val="single" w:color="auto" w:sz="8" w:space="0"/>
            </w:tcBorders>
            <w:shd w:val="clear" w:color="auto" w:fill="auto"/>
            <w:vAlign w:val="center"/>
          </w:tcPr>
          <w:p>
            <w:pPr>
              <w:pStyle w:val="40"/>
              <w:spacing w:line="240" w:lineRule="auto"/>
              <w:ind w:firstLine="0" w:firstLineChars="0"/>
              <w:jc w:val="center"/>
              <w:rPr>
                <w:rFonts w:ascii="Times New Roman" w:hAnsi="Times New Roman" w:cs="Times New Roman"/>
                <w:sz w:val="21"/>
                <w:szCs w:val="21"/>
              </w:rPr>
            </w:pPr>
            <w:r>
              <w:rPr>
                <w:rFonts w:ascii="宋体" w:hAnsi="宋体" w:cs="Times New Roman"/>
                <w:sz w:val="21"/>
                <w:szCs w:val="21"/>
              </w:rPr>
              <w:t>起草</w:t>
            </w:r>
            <w:r>
              <w:rPr>
                <w:rFonts w:ascii="Times New Roman" w:hAnsi="Times New Roman" w:cs="Times New Roman"/>
                <w:sz w:val="21"/>
                <w:szCs w:val="21"/>
              </w:rPr>
              <w:t>/</w:t>
            </w:r>
            <w:r>
              <w:rPr>
                <w:rFonts w:ascii="宋体" w:hAnsi="宋体" w:cs="Times New Roman"/>
                <w:sz w:val="21"/>
                <w:szCs w:val="21"/>
              </w:rPr>
              <w:t>主编单位</w:t>
            </w:r>
          </w:p>
        </w:tc>
        <w:tc>
          <w:tcPr>
            <w:tcW w:w="1377" w:type="pct"/>
            <w:tcBorders>
              <w:top w:val="single" w:color="auto" w:sz="8" w:space="0"/>
              <w:bottom w:val="single" w:color="auto" w:sz="8" w:space="0"/>
            </w:tcBorders>
            <w:shd w:val="clear" w:color="auto" w:fill="auto"/>
            <w:vAlign w:val="center"/>
          </w:tcPr>
          <w:p>
            <w:pPr>
              <w:pStyle w:val="40"/>
              <w:spacing w:line="240" w:lineRule="auto"/>
              <w:ind w:firstLine="0" w:firstLineChars="0"/>
              <w:jc w:val="center"/>
              <w:rPr>
                <w:rFonts w:ascii="Times New Roman" w:hAnsi="Times New Roman" w:cs="Times New Roman"/>
                <w:sz w:val="21"/>
                <w:szCs w:val="21"/>
              </w:rPr>
            </w:pPr>
            <w:r>
              <w:rPr>
                <w:rFonts w:ascii="宋体" w:hAnsi="宋体" w:cs="Times New Roman"/>
                <w:sz w:val="21"/>
                <w:szCs w:val="21"/>
              </w:rPr>
              <w:t>主要内容</w:t>
            </w:r>
          </w:p>
        </w:tc>
        <w:tc>
          <w:tcPr>
            <w:tcW w:w="1004" w:type="pct"/>
            <w:tcBorders>
              <w:top w:val="single" w:color="auto" w:sz="8" w:space="0"/>
              <w:bottom w:val="single" w:color="auto" w:sz="8" w:space="0"/>
            </w:tcBorders>
            <w:shd w:val="clear" w:color="auto" w:fill="auto"/>
            <w:vAlign w:val="center"/>
          </w:tcPr>
          <w:p>
            <w:pPr>
              <w:pStyle w:val="40"/>
              <w:spacing w:line="240" w:lineRule="auto"/>
              <w:ind w:firstLine="0" w:firstLineChars="0"/>
              <w:jc w:val="center"/>
              <w:rPr>
                <w:rFonts w:ascii="Times New Roman" w:hAnsi="Times New Roman" w:cs="Times New Roman"/>
                <w:sz w:val="21"/>
                <w:szCs w:val="21"/>
              </w:rPr>
            </w:pPr>
            <w:r>
              <w:rPr>
                <w:rFonts w:ascii="宋体" w:hAnsi="宋体" w:cs="Times New Roman"/>
                <w:sz w:val="21"/>
                <w:szCs w:val="21"/>
              </w:rPr>
              <w:t>适用范围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434" w:hRule="atLeast"/>
        </w:trPr>
        <w:tc>
          <w:tcPr>
            <w:tcW w:w="939" w:type="pct"/>
            <w:tcBorders>
              <w:top w:val="single" w:color="auto" w:sz="8" w:space="0"/>
            </w:tcBorders>
            <w:shd w:val="clear" w:color="auto" w:fill="auto"/>
            <w:vAlign w:val="center"/>
          </w:tcPr>
          <w:p>
            <w:pPr>
              <w:pStyle w:val="40"/>
              <w:spacing w:line="240" w:lineRule="auto"/>
              <w:ind w:left="105" w:leftChars="50" w:right="105" w:rightChars="50" w:firstLine="0" w:firstLineChars="0"/>
              <w:jc w:val="center"/>
              <w:rPr>
                <w:rFonts w:ascii="Times New Roman" w:hAnsi="Times New Roman" w:cs="Times New Roman"/>
                <w:sz w:val="21"/>
                <w:szCs w:val="21"/>
              </w:rPr>
            </w:pPr>
            <w:r>
              <w:rPr>
                <w:rFonts w:ascii="宋体" w:hAnsi="宋体" w:cs="Times New Roman"/>
                <w:sz w:val="21"/>
                <w:szCs w:val="21"/>
              </w:rPr>
              <w:t>《绿色交通设施评估技术要求第</w:t>
            </w:r>
            <w:r>
              <w:rPr>
                <w:rFonts w:ascii="Times New Roman" w:hAnsi="Times New Roman" w:cs="Times New Roman"/>
                <w:sz w:val="21"/>
                <w:szCs w:val="21"/>
              </w:rPr>
              <w:t>2</w:t>
            </w:r>
            <w:r>
              <w:rPr>
                <w:rFonts w:ascii="宋体" w:hAnsi="宋体" w:cs="Times New Roman"/>
                <w:sz w:val="21"/>
                <w:szCs w:val="21"/>
              </w:rPr>
              <w:t>部分：绿色服务区》（</w:t>
            </w:r>
            <w:r>
              <w:rPr>
                <w:rFonts w:ascii="Times New Roman" w:hAnsi="Times New Roman" w:cs="Times New Roman"/>
                <w:sz w:val="21"/>
                <w:szCs w:val="21"/>
              </w:rPr>
              <w:t>JT/T1199.2-2018</w:t>
            </w:r>
            <w:r>
              <w:rPr>
                <w:rFonts w:ascii="宋体" w:hAnsi="宋体" w:cs="Times New Roman"/>
                <w:sz w:val="21"/>
                <w:szCs w:val="21"/>
              </w:rPr>
              <w:t>）</w:t>
            </w:r>
          </w:p>
        </w:tc>
        <w:tc>
          <w:tcPr>
            <w:tcW w:w="524" w:type="pct"/>
            <w:tcBorders>
              <w:top w:val="single" w:color="auto" w:sz="8" w:space="0"/>
            </w:tcBorders>
            <w:shd w:val="clear" w:color="auto" w:fill="auto"/>
            <w:vAlign w:val="center"/>
          </w:tcPr>
          <w:p>
            <w:pPr>
              <w:pStyle w:val="40"/>
              <w:spacing w:line="240" w:lineRule="auto"/>
              <w:ind w:firstLine="0" w:firstLineChars="0"/>
              <w:jc w:val="center"/>
              <w:rPr>
                <w:rFonts w:ascii="Times New Roman" w:hAnsi="Times New Roman" w:cs="Times New Roman"/>
                <w:sz w:val="21"/>
                <w:szCs w:val="21"/>
              </w:rPr>
            </w:pPr>
            <w:r>
              <w:rPr>
                <w:rFonts w:ascii="宋体" w:hAnsi="宋体" w:cs="Times New Roman"/>
                <w:sz w:val="21"/>
                <w:szCs w:val="21"/>
              </w:rPr>
              <w:t>行业标准</w:t>
            </w:r>
          </w:p>
        </w:tc>
        <w:tc>
          <w:tcPr>
            <w:tcW w:w="1155" w:type="pct"/>
            <w:tcBorders>
              <w:top w:val="single" w:color="auto" w:sz="8" w:space="0"/>
            </w:tcBorders>
            <w:shd w:val="clear" w:color="auto" w:fill="auto"/>
            <w:vAlign w:val="center"/>
          </w:tcPr>
          <w:p>
            <w:pPr>
              <w:pStyle w:val="40"/>
              <w:spacing w:line="240" w:lineRule="auto"/>
              <w:ind w:left="105" w:leftChars="50" w:right="105" w:rightChars="50" w:firstLine="315" w:firstLineChars="150"/>
              <w:jc w:val="both"/>
              <w:rPr>
                <w:rFonts w:ascii="Times New Roman" w:hAnsi="Times New Roman" w:cs="Times New Roman"/>
                <w:sz w:val="21"/>
                <w:szCs w:val="21"/>
              </w:rPr>
            </w:pPr>
            <w:r>
              <w:rPr>
                <w:rFonts w:ascii="宋体" w:hAnsi="宋体" w:cs="Times New Roman"/>
                <w:sz w:val="21"/>
                <w:szCs w:val="21"/>
              </w:rPr>
              <w:t>安徽省交通规划设计研究总院股份有限公司、交通运输部规划研究院、交通运输部公路科学研究院、交通运输部科学研究院</w:t>
            </w:r>
          </w:p>
        </w:tc>
        <w:tc>
          <w:tcPr>
            <w:tcW w:w="1377" w:type="pct"/>
            <w:tcBorders>
              <w:top w:val="single" w:color="auto" w:sz="8" w:space="0"/>
            </w:tcBorders>
            <w:shd w:val="clear" w:color="auto" w:fill="auto"/>
            <w:vAlign w:val="center"/>
          </w:tcPr>
          <w:p>
            <w:pPr>
              <w:pStyle w:val="40"/>
              <w:spacing w:line="240" w:lineRule="auto"/>
              <w:ind w:left="105" w:leftChars="50" w:right="105" w:rightChars="50" w:firstLine="315" w:firstLineChars="150"/>
              <w:jc w:val="both"/>
              <w:rPr>
                <w:rFonts w:ascii="Times New Roman" w:hAnsi="Times New Roman" w:cs="Times New Roman"/>
                <w:sz w:val="21"/>
                <w:szCs w:val="21"/>
              </w:rPr>
            </w:pPr>
            <w:r>
              <w:rPr>
                <w:rFonts w:ascii="宋体" w:hAnsi="宋体" w:cs="Times New Roman"/>
                <w:sz w:val="21"/>
                <w:szCs w:val="21"/>
              </w:rPr>
              <w:t>规定了绿色服务区评估的基本要求、评估指标体系和评估方法</w:t>
            </w:r>
          </w:p>
        </w:tc>
        <w:tc>
          <w:tcPr>
            <w:tcW w:w="1004" w:type="pct"/>
            <w:tcBorders>
              <w:top w:val="single" w:color="auto" w:sz="8" w:space="0"/>
            </w:tcBorders>
            <w:shd w:val="clear" w:color="auto" w:fill="auto"/>
            <w:vAlign w:val="center"/>
          </w:tcPr>
          <w:p>
            <w:pPr>
              <w:pStyle w:val="40"/>
              <w:spacing w:line="240" w:lineRule="auto"/>
              <w:ind w:left="105" w:leftChars="50" w:right="105" w:rightChars="50" w:firstLine="315" w:firstLineChars="150"/>
              <w:jc w:val="both"/>
              <w:rPr>
                <w:rFonts w:ascii="Times New Roman" w:hAnsi="Times New Roman" w:cs="Times New Roman"/>
                <w:sz w:val="21"/>
                <w:szCs w:val="21"/>
              </w:rPr>
            </w:pPr>
            <w:r>
              <w:rPr>
                <w:rFonts w:ascii="宋体" w:hAnsi="宋体" w:cs="Times New Roman"/>
                <w:sz w:val="21"/>
                <w:szCs w:val="21"/>
              </w:rPr>
              <w:t>国内首个针对公路服务区绿色水平评估标准，主要适用于新建、改扩建的服务区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469" w:hRule="atLeast"/>
        </w:trPr>
        <w:tc>
          <w:tcPr>
            <w:tcW w:w="939" w:type="pct"/>
            <w:shd w:val="clear" w:color="auto" w:fill="auto"/>
            <w:vAlign w:val="center"/>
          </w:tcPr>
          <w:p>
            <w:pPr>
              <w:pStyle w:val="40"/>
              <w:spacing w:line="240" w:lineRule="auto"/>
              <w:ind w:left="105" w:leftChars="50" w:right="105" w:rightChars="50" w:firstLine="0" w:firstLineChars="0"/>
              <w:jc w:val="center"/>
              <w:rPr>
                <w:rFonts w:ascii="Times New Roman" w:hAnsi="Times New Roman" w:cs="Times New Roman"/>
                <w:sz w:val="21"/>
                <w:szCs w:val="21"/>
              </w:rPr>
            </w:pPr>
            <w:r>
              <w:rPr>
                <w:rFonts w:ascii="宋体" w:hAnsi="宋体" w:cs="Times New Roman"/>
                <w:sz w:val="21"/>
                <w:szCs w:val="21"/>
              </w:rPr>
              <w:t>安徽省《高速公路绿色服务区建设指南》</w:t>
            </w:r>
            <w:r>
              <w:rPr>
                <w:rFonts w:ascii="Times New Roman" w:hAnsi="Times New Roman" w:cs="Times New Roman"/>
                <w:sz w:val="21"/>
                <w:szCs w:val="21"/>
              </w:rPr>
              <w:t>(DB34/T 3272-2018)</w:t>
            </w:r>
          </w:p>
        </w:tc>
        <w:tc>
          <w:tcPr>
            <w:tcW w:w="524" w:type="pct"/>
            <w:shd w:val="clear" w:color="auto" w:fill="auto"/>
            <w:vAlign w:val="center"/>
          </w:tcPr>
          <w:p>
            <w:pPr>
              <w:pStyle w:val="40"/>
              <w:spacing w:line="240" w:lineRule="auto"/>
              <w:ind w:firstLine="0" w:firstLineChars="0"/>
              <w:jc w:val="center"/>
              <w:rPr>
                <w:rFonts w:ascii="Times New Roman" w:hAnsi="Times New Roman" w:cs="Times New Roman"/>
                <w:sz w:val="21"/>
                <w:szCs w:val="21"/>
              </w:rPr>
            </w:pPr>
            <w:r>
              <w:rPr>
                <w:rFonts w:ascii="宋体" w:hAnsi="宋体" w:cs="Times New Roman"/>
                <w:sz w:val="21"/>
                <w:szCs w:val="21"/>
              </w:rPr>
              <w:t>地方标准</w:t>
            </w:r>
          </w:p>
        </w:tc>
        <w:tc>
          <w:tcPr>
            <w:tcW w:w="1155" w:type="pct"/>
            <w:shd w:val="clear" w:color="auto" w:fill="auto"/>
            <w:vAlign w:val="center"/>
          </w:tcPr>
          <w:p>
            <w:pPr>
              <w:pStyle w:val="40"/>
              <w:spacing w:line="240" w:lineRule="auto"/>
              <w:ind w:left="105" w:leftChars="50" w:right="105" w:rightChars="50" w:firstLine="315" w:firstLineChars="150"/>
              <w:jc w:val="both"/>
              <w:rPr>
                <w:rFonts w:ascii="Times New Roman" w:hAnsi="Times New Roman" w:cs="Times New Roman"/>
                <w:sz w:val="21"/>
                <w:szCs w:val="21"/>
              </w:rPr>
            </w:pPr>
            <w:r>
              <w:rPr>
                <w:rFonts w:ascii="宋体" w:hAnsi="宋体" w:cs="Times New Roman"/>
                <w:sz w:val="21"/>
                <w:szCs w:val="21"/>
              </w:rPr>
              <w:t>安徽省交通控股集团有限公司、交通运输部科学研究院、安徽省交通规划设计研究总院股份有限公司</w:t>
            </w:r>
          </w:p>
        </w:tc>
        <w:tc>
          <w:tcPr>
            <w:tcW w:w="1377" w:type="pct"/>
            <w:shd w:val="clear" w:color="auto" w:fill="auto"/>
            <w:vAlign w:val="center"/>
          </w:tcPr>
          <w:p>
            <w:pPr>
              <w:pStyle w:val="40"/>
              <w:spacing w:line="240" w:lineRule="auto"/>
              <w:ind w:left="105" w:leftChars="50" w:right="105" w:rightChars="50" w:firstLine="315" w:firstLineChars="150"/>
              <w:jc w:val="both"/>
              <w:rPr>
                <w:rFonts w:ascii="Times New Roman" w:hAnsi="Times New Roman" w:cs="Times New Roman"/>
                <w:sz w:val="21"/>
                <w:szCs w:val="21"/>
              </w:rPr>
            </w:pPr>
            <w:r>
              <w:rPr>
                <w:rFonts w:ascii="宋体" w:hAnsi="宋体" w:cs="Times New Roman"/>
                <w:sz w:val="21"/>
                <w:szCs w:val="21"/>
              </w:rPr>
              <w:t>规定了安徽省高速公路绿色服务区的选址与用地、场地规划、房屋建筑、节能系统、节水系统、环保设施、景观与绿化、绿色服务等建设要求</w:t>
            </w:r>
          </w:p>
        </w:tc>
        <w:tc>
          <w:tcPr>
            <w:tcW w:w="1004" w:type="pct"/>
            <w:shd w:val="clear" w:color="auto" w:fill="auto"/>
            <w:vAlign w:val="center"/>
          </w:tcPr>
          <w:p>
            <w:pPr>
              <w:pStyle w:val="40"/>
              <w:spacing w:line="240" w:lineRule="auto"/>
              <w:ind w:left="105" w:leftChars="50" w:right="105" w:rightChars="50" w:firstLine="315" w:firstLineChars="150"/>
              <w:jc w:val="both"/>
              <w:rPr>
                <w:rFonts w:ascii="Times New Roman" w:hAnsi="Times New Roman" w:cs="Times New Roman"/>
                <w:sz w:val="21"/>
                <w:szCs w:val="21"/>
              </w:rPr>
            </w:pPr>
            <w:r>
              <w:rPr>
                <w:rFonts w:ascii="宋体" w:hAnsi="宋体" w:cs="Times New Roman"/>
                <w:sz w:val="21"/>
                <w:szCs w:val="21"/>
              </w:rPr>
              <w:t>适用于安徽省高速公路服务区新建、改建和扩建的建设。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312" w:hRule="atLeast"/>
        </w:trPr>
        <w:tc>
          <w:tcPr>
            <w:tcW w:w="939" w:type="pct"/>
            <w:shd w:val="clear" w:color="auto" w:fill="auto"/>
            <w:vAlign w:val="center"/>
          </w:tcPr>
          <w:p>
            <w:pPr>
              <w:pStyle w:val="40"/>
              <w:spacing w:line="240" w:lineRule="auto"/>
              <w:ind w:left="105" w:leftChars="50" w:right="105" w:rightChars="50" w:firstLine="0" w:firstLineChars="0"/>
              <w:jc w:val="center"/>
              <w:rPr>
                <w:rFonts w:ascii="Times New Roman" w:hAnsi="Times New Roman" w:cs="Times New Roman"/>
                <w:sz w:val="21"/>
                <w:szCs w:val="21"/>
              </w:rPr>
            </w:pPr>
            <w:r>
              <w:rPr>
                <w:rFonts w:ascii="宋体" w:hAnsi="宋体" w:cs="Times New Roman"/>
                <w:sz w:val="21"/>
                <w:szCs w:val="21"/>
              </w:rPr>
              <w:t>《江苏省高速公路绿色服务区评估指南》（</w:t>
            </w:r>
            <w:r>
              <w:rPr>
                <w:rFonts w:ascii="Times New Roman" w:hAnsi="Times New Roman" w:cs="Times New Roman"/>
                <w:sz w:val="21"/>
                <w:szCs w:val="21"/>
              </w:rPr>
              <w:t>T/JSCTS12—2022</w:t>
            </w:r>
            <w:r>
              <w:rPr>
                <w:rFonts w:ascii="宋体" w:hAnsi="宋体" w:cs="Times New Roman"/>
                <w:sz w:val="21"/>
                <w:szCs w:val="21"/>
              </w:rPr>
              <w:t>）</w:t>
            </w:r>
          </w:p>
        </w:tc>
        <w:tc>
          <w:tcPr>
            <w:tcW w:w="524" w:type="pct"/>
            <w:shd w:val="clear" w:color="auto" w:fill="auto"/>
            <w:vAlign w:val="center"/>
          </w:tcPr>
          <w:p>
            <w:pPr>
              <w:pStyle w:val="40"/>
              <w:spacing w:line="240" w:lineRule="auto"/>
              <w:ind w:firstLine="0" w:firstLineChars="0"/>
              <w:jc w:val="center"/>
              <w:rPr>
                <w:rFonts w:ascii="Times New Roman" w:hAnsi="Times New Roman" w:cs="Times New Roman"/>
                <w:sz w:val="21"/>
                <w:szCs w:val="21"/>
              </w:rPr>
            </w:pPr>
            <w:r>
              <w:rPr>
                <w:rFonts w:ascii="宋体" w:hAnsi="宋体" w:cs="Times New Roman"/>
                <w:sz w:val="21"/>
                <w:szCs w:val="21"/>
              </w:rPr>
              <w:t>团体标准</w:t>
            </w:r>
          </w:p>
        </w:tc>
        <w:tc>
          <w:tcPr>
            <w:tcW w:w="1155" w:type="pct"/>
            <w:shd w:val="clear" w:color="auto" w:fill="auto"/>
            <w:vAlign w:val="center"/>
          </w:tcPr>
          <w:p>
            <w:pPr>
              <w:spacing w:line="240" w:lineRule="auto"/>
              <w:ind w:left="105" w:leftChars="50" w:right="105" w:rightChars="50" w:firstLine="315" w:firstLineChars="150"/>
              <w:rPr>
                <w:rFonts w:ascii="Times New Roman" w:hAnsi="Times New Roman"/>
              </w:rPr>
            </w:pPr>
            <w:r>
              <w:rPr>
                <w:rFonts w:ascii="宋体" w:hAnsi="宋体"/>
              </w:rPr>
              <w:t>江苏东部高速公路管理有限公司、江苏中路工程技术研究院有限公司</w:t>
            </w:r>
          </w:p>
        </w:tc>
        <w:tc>
          <w:tcPr>
            <w:tcW w:w="1377" w:type="pct"/>
            <w:shd w:val="clear" w:color="auto" w:fill="auto"/>
            <w:vAlign w:val="center"/>
          </w:tcPr>
          <w:p>
            <w:pPr>
              <w:pStyle w:val="40"/>
              <w:spacing w:line="240" w:lineRule="auto"/>
              <w:ind w:left="105" w:leftChars="50" w:right="105" w:rightChars="50" w:firstLine="315" w:firstLineChars="150"/>
              <w:jc w:val="both"/>
              <w:rPr>
                <w:rFonts w:ascii="Times New Roman" w:hAnsi="Times New Roman" w:cs="Times New Roman"/>
                <w:sz w:val="21"/>
                <w:szCs w:val="21"/>
              </w:rPr>
            </w:pPr>
            <w:r>
              <w:rPr>
                <w:rFonts w:ascii="宋体" w:hAnsi="宋体" w:cs="Times New Roman"/>
                <w:sz w:val="21"/>
                <w:szCs w:val="21"/>
              </w:rPr>
              <w:t>给出了高速公路绿色服务区评估的总体考虑、评估指标体系和评估方法、评分标准的指导</w:t>
            </w:r>
          </w:p>
        </w:tc>
        <w:tc>
          <w:tcPr>
            <w:tcW w:w="1004" w:type="pct"/>
            <w:shd w:val="clear" w:color="auto" w:fill="auto"/>
            <w:vAlign w:val="center"/>
          </w:tcPr>
          <w:p>
            <w:pPr>
              <w:pStyle w:val="40"/>
              <w:spacing w:line="240" w:lineRule="auto"/>
              <w:ind w:left="105" w:leftChars="50" w:right="105" w:rightChars="50" w:firstLine="315" w:firstLineChars="150"/>
              <w:jc w:val="both"/>
              <w:rPr>
                <w:rFonts w:ascii="Times New Roman" w:hAnsi="Times New Roman" w:cs="Times New Roman"/>
                <w:sz w:val="21"/>
                <w:szCs w:val="21"/>
              </w:rPr>
            </w:pPr>
            <w:r>
              <w:rPr>
                <w:rFonts w:ascii="宋体" w:hAnsi="宋体" w:cs="Times New Roman"/>
                <w:sz w:val="21"/>
                <w:szCs w:val="21"/>
              </w:rPr>
              <w:t>高速公路运营期绿色服务区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74" w:hRule="atLeast"/>
        </w:trPr>
        <w:tc>
          <w:tcPr>
            <w:tcW w:w="939" w:type="pct"/>
            <w:shd w:val="clear" w:color="auto" w:fill="auto"/>
            <w:vAlign w:val="center"/>
          </w:tcPr>
          <w:p>
            <w:pPr>
              <w:pStyle w:val="40"/>
              <w:spacing w:line="240" w:lineRule="auto"/>
              <w:ind w:left="105" w:leftChars="50" w:right="105" w:rightChars="50" w:firstLine="0" w:firstLineChars="0"/>
              <w:jc w:val="center"/>
              <w:rPr>
                <w:rFonts w:ascii="Times New Roman" w:hAnsi="Times New Roman" w:cs="Times New Roman"/>
                <w:sz w:val="21"/>
                <w:szCs w:val="21"/>
              </w:rPr>
            </w:pPr>
            <w:r>
              <w:rPr>
                <w:rFonts w:ascii="宋体" w:hAnsi="宋体" w:cs="Times New Roman"/>
                <w:sz w:val="21"/>
                <w:szCs w:val="21"/>
              </w:rPr>
              <w:t>《高速公路零碳服务区评价技术规范》（</w:t>
            </w:r>
            <w:r>
              <w:rPr>
                <w:rFonts w:ascii="Times New Roman" w:hAnsi="Times New Roman" w:cs="Times New Roman"/>
                <w:sz w:val="21"/>
                <w:szCs w:val="21"/>
              </w:rPr>
              <w:t>T/CCTAS 36―2022</w:t>
            </w:r>
            <w:r>
              <w:rPr>
                <w:rFonts w:ascii="宋体" w:hAnsi="宋体" w:cs="Times New Roman"/>
                <w:sz w:val="21"/>
                <w:szCs w:val="21"/>
              </w:rPr>
              <w:t>）</w:t>
            </w:r>
          </w:p>
        </w:tc>
        <w:tc>
          <w:tcPr>
            <w:tcW w:w="524" w:type="pct"/>
            <w:shd w:val="clear" w:color="auto" w:fill="auto"/>
            <w:vAlign w:val="center"/>
          </w:tcPr>
          <w:p>
            <w:pPr>
              <w:pStyle w:val="40"/>
              <w:spacing w:line="240" w:lineRule="auto"/>
              <w:ind w:firstLine="0" w:firstLineChars="0"/>
              <w:jc w:val="center"/>
              <w:rPr>
                <w:rFonts w:ascii="Times New Roman" w:hAnsi="Times New Roman" w:cs="Times New Roman"/>
                <w:sz w:val="21"/>
                <w:szCs w:val="21"/>
              </w:rPr>
            </w:pPr>
            <w:r>
              <w:rPr>
                <w:rFonts w:ascii="宋体" w:hAnsi="宋体" w:cs="Times New Roman"/>
                <w:sz w:val="21"/>
                <w:szCs w:val="21"/>
              </w:rPr>
              <w:t>团体标准</w:t>
            </w:r>
          </w:p>
        </w:tc>
        <w:tc>
          <w:tcPr>
            <w:tcW w:w="1155" w:type="pct"/>
            <w:shd w:val="clear" w:color="auto" w:fill="auto"/>
            <w:vAlign w:val="center"/>
          </w:tcPr>
          <w:p>
            <w:pPr>
              <w:spacing w:line="240" w:lineRule="auto"/>
              <w:ind w:left="105" w:leftChars="50" w:right="105" w:rightChars="50" w:firstLine="315" w:firstLineChars="150"/>
              <w:rPr>
                <w:rFonts w:ascii="Times New Roman" w:hAnsi="Times New Roman"/>
              </w:rPr>
            </w:pPr>
            <w:r>
              <w:rPr>
                <w:rFonts w:ascii="宋体" w:hAnsi="宋体"/>
              </w:rPr>
              <w:t>交科院环境科技（北京）有限公司、山东高速集团有限公司创新研究院、山东高速基础设施建设有限公司等</w:t>
            </w:r>
          </w:p>
        </w:tc>
        <w:tc>
          <w:tcPr>
            <w:tcW w:w="1377" w:type="pct"/>
            <w:shd w:val="clear" w:color="auto" w:fill="auto"/>
            <w:vAlign w:val="center"/>
          </w:tcPr>
          <w:p>
            <w:pPr>
              <w:spacing w:line="240" w:lineRule="auto"/>
              <w:ind w:left="105" w:leftChars="50" w:right="105" w:rightChars="50" w:firstLine="315" w:firstLineChars="150"/>
              <w:rPr>
                <w:rFonts w:ascii="Times New Roman" w:hAnsi="Times New Roman"/>
              </w:rPr>
            </w:pPr>
            <w:r>
              <w:rPr>
                <w:rFonts w:ascii="宋体" w:hAnsi="宋体"/>
              </w:rPr>
              <w:t>规定了高速公路零碳服务区评价的评价对象、评价周期、等级划分、控制指标要求、碳排放量核算、评价与认定等内容</w:t>
            </w:r>
          </w:p>
        </w:tc>
        <w:tc>
          <w:tcPr>
            <w:tcW w:w="1004" w:type="pct"/>
            <w:shd w:val="clear" w:color="auto" w:fill="auto"/>
            <w:vAlign w:val="center"/>
          </w:tcPr>
          <w:p>
            <w:pPr>
              <w:spacing w:line="240" w:lineRule="auto"/>
              <w:ind w:left="105" w:leftChars="50" w:right="105" w:rightChars="50" w:firstLine="315" w:firstLineChars="150"/>
              <w:rPr>
                <w:rFonts w:ascii="Times New Roman" w:hAnsi="Times New Roman"/>
              </w:rPr>
            </w:pPr>
            <w:r>
              <w:rPr>
                <w:rFonts w:ascii="宋体" w:hAnsi="宋体"/>
              </w:rPr>
              <w:t>适用于高速公路运营期零碳服务区的评价活动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374" w:hRule="atLeast"/>
        </w:trPr>
        <w:tc>
          <w:tcPr>
            <w:tcW w:w="939" w:type="pct"/>
            <w:shd w:val="clear" w:color="auto" w:fill="auto"/>
            <w:vAlign w:val="center"/>
          </w:tcPr>
          <w:p>
            <w:pPr>
              <w:pStyle w:val="40"/>
              <w:spacing w:line="240" w:lineRule="auto"/>
              <w:ind w:left="105" w:leftChars="50" w:right="105" w:rightChars="50" w:firstLine="0" w:firstLineChars="0"/>
              <w:jc w:val="center"/>
              <w:rPr>
                <w:rFonts w:ascii="Times New Roman" w:hAnsi="Times New Roman" w:cs="Times New Roman"/>
                <w:sz w:val="21"/>
                <w:szCs w:val="21"/>
              </w:rPr>
            </w:pPr>
            <w:r>
              <w:rPr>
                <w:rFonts w:ascii="宋体" w:hAnsi="宋体" w:cs="Times New Roman"/>
                <w:sz w:val="21"/>
                <w:szCs w:val="21"/>
              </w:rPr>
              <w:t>《公路绿色服务区建设指南》（</w:t>
            </w:r>
            <w:r>
              <w:rPr>
                <w:rFonts w:ascii="Times New Roman" w:hAnsi="Times New Roman" w:cs="Times New Roman"/>
                <w:sz w:val="21"/>
                <w:szCs w:val="21"/>
              </w:rPr>
              <w:t>T/CHTS 10076—2022</w:t>
            </w:r>
            <w:r>
              <w:rPr>
                <w:rFonts w:ascii="宋体" w:hAnsi="宋体" w:cs="Times New Roman"/>
                <w:sz w:val="21"/>
                <w:szCs w:val="21"/>
              </w:rPr>
              <w:t>）</w:t>
            </w:r>
          </w:p>
        </w:tc>
        <w:tc>
          <w:tcPr>
            <w:tcW w:w="524" w:type="pct"/>
            <w:shd w:val="clear" w:color="auto" w:fill="auto"/>
            <w:vAlign w:val="center"/>
          </w:tcPr>
          <w:p>
            <w:pPr>
              <w:pStyle w:val="40"/>
              <w:spacing w:line="240" w:lineRule="auto"/>
              <w:ind w:firstLine="0" w:firstLineChars="0"/>
              <w:jc w:val="center"/>
              <w:rPr>
                <w:rFonts w:ascii="Times New Roman" w:hAnsi="Times New Roman" w:cs="Times New Roman"/>
                <w:sz w:val="21"/>
                <w:szCs w:val="21"/>
              </w:rPr>
            </w:pPr>
            <w:r>
              <w:rPr>
                <w:rFonts w:ascii="宋体" w:hAnsi="宋体" w:cs="Times New Roman"/>
                <w:sz w:val="21"/>
                <w:szCs w:val="21"/>
              </w:rPr>
              <w:t>团体标准</w:t>
            </w:r>
          </w:p>
        </w:tc>
        <w:tc>
          <w:tcPr>
            <w:tcW w:w="1155" w:type="pct"/>
            <w:shd w:val="clear" w:color="auto" w:fill="auto"/>
            <w:vAlign w:val="center"/>
          </w:tcPr>
          <w:p>
            <w:pPr>
              <w:spacing w:line="240" w:lineRule="auto"/>
              <w:ind w:left="105" w:leftChars="50" w:right="105" w:rightChars="50" w:firstLine="315" w:firstLineChars="150"/>
              <w:rPr>
                <w:rFonts w:ascii="Times New Roman" w:hAnsi="Times New Roman"/>
              </w:rPr>
            </w:pPr>
            <w:r>
              <w:rPr>
                <w:rFonts w:ascii="宋体" w:hAnsi="宋体"/>
              </w:rPr>
              <w:t>安徽省交通控股集团有限公司、交通运输部科学研究院</w:t>
            </w:r>
          </w:p>
        </w:tc>
        <w:tc>
          <w:tcPr>
            <w:tcW w:w="1377" w:type="pct"/>
            <w:shd w:val="clear" w:color="auto" w:fill="auto"/>
            <w:vAlign w:val="center"/>
          </w:tcPr>
          <w:p>
            <w:pPr>
              <w:spacing w:line="240" w:lineRule="auto"/>
              <w:ind w:left="105" w:leftChars="50" w:right="105" w:rightChars="50" w:firstLine="315" w:firstLineChars="150"/>
              <w:rPr>
                <w:rFonts w:ascii="Times New Roman" w:hAnsi="Times New Roman"/>
              </w:rPr>
            </w:pPr>
            <w:r>
              <w:rPr>
                <w:rFonts w:ascii="宋体" w:hAnsi="宋体"/>
              </w:rPr>
              <w:t>系统总结服务区规划、设计及施工经验基础上，从选址与在总体设计、场地、建筑、结构、给排水、暖通、电气及景观等方面给出公路绿色服务区建设建议</w:t>
            </w:r>
          </w:p>
        </w:tc>
        <w:tc>
          <w:tcPr>
            <w:tcW w:w="1004" w:type="pct"/>
            <w:shd w:val="clear" w:color="auto" w:fill="auto"/>
            <w:vAlign w:val="center"/>
          </w:tcPr>
          <w:p>
            <w:pPr>
              <w:spacing w:line="240" w:lineRule="auto"/>
              <w:ind w:left="105" w:leftChars="50" w:right="105" w:rightChars="50" w:firstLine="315" w:firstLineChars="150"/>
              <w:rPr>
                <w:rFonts w:ascii="Times New Roman" w:hAnsi="Times New Roman"/>
              </w:rPr>
            </w:pPr>
            <w:r>
              <w:rPr>
                <w:rFonts w:ascii="宋体" w:hAnsi="宋体"/>
              </w:rPr>
              <w:t>适用于高速公路服务区的新建和改扩建工程</w:t>
            </w:r>
          </w:p>
        </w:tc>
      </w:tr>
    </w:tbl>
    <w:p>
      <w:pPr>
        <w:widowControl/>
        <w:adjustRightInd/>
        <w:spacing w:line="240" w:lineRule="auto"/>
        <w:jc w:val="left"/>
        <w:rPr>
          <w:rFonts w:hint="eastAsia" w:ascii="宋体" w:hAnsi="Times New Roman"/>
          <w:kern w:val="0"/>
          <w:sz w:val="24"/>
          <w:szCs w:val="24"/>
        </w:rPr>
      </w:pPr>
    </w:p>
    <w:p>
      <w:pPr>
        <w:pStyle w:val="59"/>
        <w:spacing w:line="360" w:lineRule="auto"/>
        <w:ind w:firstLine="480"/>
        <w:rPr>
          <w:sz w:val="24"/>
          <w:szCs w:val="24"/>
        </w:rPr>
        <w:sectPr>
          <w:headerReference r:id="rId19" w:type="default"/>
          <w:footerReference r:id="rId21" w:type="default"/>
          <w:headerReference r:id="rId20" w:type="even"/>
          <w:footerReference r:id="rId22" w:type="even"/>
          <w:pgSz w:w="16838" w:h="11906" w:orient="landscape"/>
          <w:pgMar w:top="1134" w:right="1871" w:bottom="1134" w:left="1134" w:header="1418" w:footer="1247" w:gutter="284"/>
          <w:cols w:space="425" w:num="1"/>
          <w:formProt w:val="0"/>
          <w:docGrid w:type="lines" w:linePitch="312" w:charSpace="0"/>
        </w:sectPr>
      </w:pPr>
    </w:p>
    <w:p>
      <w:pPr>
        <w:pStyle w:val="107"/>
        <w:spacing w:before="312" w:after="312"/>
        <w:rPr>
          <w:sz w:val="24"/>
          <w:szCs w:val="24"/>
        </w:rPr>
      </w:pPr>
      <w:bookmarkStart w:id="32" w:name="_Toc155366876"/>
      <w:r>
        <w:rPr>
          <w:rFonts w:hint="eastAsia"/>
          <w:sz w:val="24"/>
          <w:szCs w:val="24"/>
        </w:rPr>
        <w:t>主要内容说明</w:t>
      </w:r>
      <w:bookmarkEnd w:id="32"/>
    </w:p>
    <w:p>
      <w:pPr>
        <w:pStyle w:val="59"/>
        <w:spacing w:line="360" w:lineRule="auto"/>
        <w:ind w:firstLine="480"/>
        <w:rPr>
          <w:rFonts w:hint="eastAsia"/>
          <w:sz w:val="24"/>
          <w:szCs w:val="24"/>
        </w:rPr>
      </w:pPr>
      <w:r>
        <w:rPr>
          <w:rFonts w:hint="eastAsia"/>
          <w:sz w:val="24"/>
          <w:szCs w:val="24"/>
        </w:rPr>
        <w:t>本技术规范分为范围，规范性引用文件，术语和定义，基本要求，服务区绿色指标评估体系，评估方法，评分标准7个部分。</w:t>
      </w:r>
    </w:p>
    <w:p>
      <w:pPr>
        <w:pStyle w:val="59"/>
        <w:spacing w:line="360" w:lineRule="auto"/>
        <w:ind w:firstLine="480"/>
        <w:rPr>
          <w:rFonts w:hint="eastAsia"/>
          <w:sz w:val="24"/>
          <w:szCs w:val="24"/>
        </w:rPr>
      </w:pPr>
      <w:r>
        <w:rPr>
          <w:rFonts w:hint="eastAsia"/>
          <w:sz w:val="24"/>
          <w:szCs w:val="24"/>
        </w:rPr>
        <w:t>范围章节内容阐述了本文件的内容组成及适用范围，具体内容为“本标准规定了高速公路绿服务区评估的基本要求、评估指标体系和评估方法。本标准适用于运营期的高速公路服务区，停车区可参照使用。”</w:t>
      </w:r>
    </w:p>
    <w:p>
      <w:pPr>
        <w:pStyle w:val="59"/>
        <w:spacing w:line="360" w:lineRule="auto"/>
        <w:ind w:firstLine="480"/>
        <w:rPr>
          <w:rFonts w:hint="eastAsia"/>
          <w:sz w:val="24"/>
          <w:szCs w:val="24"/>
        </w:rPr>
      </w:pPr>
      <w:r>
        <w:rPr>
          <w:rFonts w:hint="eastAsia"/>
          <w:sz w:val="24"/>
          <w:szCs w:val="24"/>
        </w:rPr>
        <w:t>规范性引用文件章节列举了本技术规范文件引用的文件共26个，均为不注日期的引用文件，其最新版本（包括所有的修改单）适用于本文件。</w:t>
      </w:r>
    </w:p>
    <w:p>
      <w:pPr>
        <w:pStyle w:val="59"/>
        <w:spacing w:line="360" w:lineRule="auto"/>
        <w:ind w:firstLine="480"/>
        <w:rPr>
          <w:rFonts w:hint="eastAsia"/>
          <w:sz w:val="24"/>
          <w:szCs w:val="24"/>
        </w:rPr>
      </w:pPr>
      <w:r>
        <w:rPr>
          <w:rFonts w:hint="eastAsia"/>
          <w:sz w:val="24"/>
          <w:szCs w:val="24"/>
        </w:rPr>
        <w:t>术语和定义章节主要对服务区，绿色服务区，可再生能源，再生水，服务区运营期碳排放进行了说明。</w:t>
      </w:r>
    </w:p>
    <w:p>
      <w:pPr>
        <w:pStyle w:val="59"/>
        <w:spacing w:line="360" w:lineRule="auto"/>
        <w:ind w:firstLine="480"/>
        <w:rPr>
          <w:rFonts w:hint="eastAsia"/>
          <w:sz w:val="24"/>
          <w:szCs w:val="24"/>
        </w:rPr>
      </w:pPr>
      <w:r>
        <w:rPr>
          <w:rFonts w:hint="eastAsia"/>
          <w:sz w:val="24"/>
          <w:szCs w:val="24"/>
        </w:rPr>
        <w:t>基本要求章节阐述了高速公路绿色服务区评估标准建立的总体要求和开展评估前服务区需要具备的基本条件。</w:t>
      </w:r>
    </w:p>
    <w:p>
      <w:pPr>
        <w:pStyle w:val="59"/>
        <w:spacing w:line="360" w:lineRule="auto"/>
        <w:ind w:firstLine="480"/>
        <w:rPr>
          <w:rFonts w:hint="eastAsia"/>
          <w:sz w:val="24"/>
          <w:szCs w:val="24"/>
        </w:rPr>
      </w:pPr>
      <w:r>
        <w:rPr>
          <w:rFonts w:hint="eastAsia"/>
          <w:sz w:val="24"/>
          <w:szCs w:val="24"/>
        </w:rPr>
        <w:t>服务区绿色指标评估体系章节明确了服务区规模分级情况及绿色服务区评估指标体系。</w:t>
      </w:r>
    </w:p>
    <w:p>
      <w:pPr>
        <w:pStyle w:val="59"/>
        <w:spacing w:line="360" w:lineRule="auto"/>
        <w:ind w:firstLine="480"/>
        <w:rPr>
          <w:rFonts w:hint="eastAsia"/>
          <w:sz w:val="24"/>
          <w:szCs w:val="24"/>
        </w:rPr>
      </w:pPr>
      <w:r>
        <w:rPr>
          <w:rFonts w:hint="eastAsia"/>
          <w:sz w:val="24"/>
          <w:szCs w:val="24"/>
        </w:rPr>
        <w:t>评估方法章节规定了绿色服务区评估得分计算方法及评估指标体系权重。</w:t>
      </w:r>
    </w:p>
    <w:p>
      <w:pPr>
        <w:pStyle w:val="59"/>
        <w:spacing w:line="360" w:lineRule="auto"/>
        <w:ind w:firstLine="480"/>
        <w:rPr>
          <w:sz w:val="24"/>
          <w:szCs w:val="24"/>
        </w:rPr>
      </w:pPr>
      <w:r>
        <w:rPr>
          <w:rFonts w:hint="eastAsia"/>
          <w:sz w:val="24"/>
          <w:szCs w:val="24"/>
        </w:rPr>
        <w:t>评分标准规定了绿色服务区评估体系八个一级指标下各二级指标的计分方法明细。</w:t>
      </w:r>
    </w:p>
    <w:p>
      <w:pPr>
        <w:pStyle w:val="107"/>
        <w:spacing w:before="312" w:after="312"/>
        <w:rPr>
          <w:sz w:val="24"/>
          <w:szCs w:val="22"/>
        </w:rPr>
      </w:pPr>
      <w:bookmarkStart w:id="33" w:name="_Toc155366877"/>
      <w:r>
        <w:rPr>
          <w:rFonts w:hint="eastAsia"/>
          <w:sz w:val="24"/>
          <w:szCs w:val="22"/>
        </w:rPr>
        <w:t>重大意见分歧的处理依据和结果</w:t>
      </w:r>
      <w:bookmarkEnd w:id="33"/>
    </w:p>
    <w:p>
      <w:pPr>
        <w:pStyle w:val="59"/>
        <w:ind w:firstLine="480"/>
        <w:rPr>
          <w:sz w:val="24"/>
          <w:szCs w:val="22"/>
        </w:rPr>
      </w:pPr>
      <w:r>
        <w:rPr>
          <w:rFonts w:hint="eastAsia"/>
          <w:sz w:val="24"/>
          <w:szCs w:val="22"/>
        </w:rPr>
        <w:t>无。</w:t>
      </w:r>
    </w:p>
    <w:p>
      <w:pPr>
        <w:pStyle w:val="107"/>
        <w:spacing w:before="312" w:after="312"/>
        <w:rPr>
          <w:kern w:val="44"/>
          <w:sz w:val="36"/>
          <w:szCs w:val="36"/>
        </w:rPr>
      </w:pPr>
      <w:bookmarkStart w:id="34" w:name="_Toc155366878"/>
      <w:r>
        <w:rPr>
          <w:sz w:val="24"/>
          <w:szCs w:val="22"/>
        </w:rPr>
        <w:t>相关标准的引用</w:t>
      </w:r>
      <w:bookmarkEnd w:id="34"/>
    </w:p>
    <w:p>
      <w:pPr>
        <w:pStyle w:val="108"/>
        <w:spacing w:before="156" w:after="156"/>
        <w:rPr>
          <w:sz w:val="24"/>
          <w:szCs w:val="22"/>
        </w:rPr>
      </w:pPr>
      <w:bookmarkStart w:id="35" w:name="_Toc155366879"/>
      <w:r>
        <w:rPr>
          <w:sz w:val="24"/>
          <w:szCs w:val="22"/>
        </w:rPr>
        <w:t>基本要求章节引用标准</w:t>
      </w:r>
      <w:bookmarkEnd w:id="35"/>
    </w:p>
    <w:p>
      <w:pPr>
        <w:pStyle w:val="40"/>
        <w:ind w:firstLine="480"/>
        <w:rPr>
          <w:rFonts w:ascii="Times New Roman" w:hAnsi="Times New Roman" w:cs="Times New Roman"/>
        </w:rPr>
      </w:pPr>
      <w:r>
        <w:rPr>
          <w:rFonts w:ascii="宋体" w:hAnsi="宋体" w:cs="Times New Roman"/>
        </w:rPr>
        <w:t>在基本要求章节，引用了以下各类标准以规定高速公路绿色服务区评估标准建立的总体要求和开展评估前服务区需要具备的基本条件：</w:t>
      </w:r>
    </w:p>
    <w:p>
      <w:pPr>
        <w:pStyle w:val="40"/>
        <w:ind w:firstLine="480"/>
        <w:rPr>
          <w:rFonts w:ascii="Times New Roman" w:hAnsi="Times New Roman" w:cs="Times New Roman"/>
        </w:rPr>
      </w:pPr>
      <w:r>
        <w:rPr>
          <w:rFonts w:ascii="Times New Roman" w:hAnsi="Times New Roman" w:cs="Times New Roman"/>
        </w:rPr>
        <w:t>1</w:t>
      </w:r>
      <w:r>
        <w:rPr>
          <w:rFonts w:ascii="宋体" w:hAnsi="宋体" w:cs="Times New Roman"/>
        </w:rPr>
        <w:t>）</w:t>
      </w:r>
      <w:r>
        <w:rPr>
          <w:rFonts w:hint="eastAsia" w:ascii="宋体" w:hAnsi="宋体" w:cs="Times New Roman"/>
        </w:rPr>
        <w:t>规定“服务区内设置符合《道路交通标志标线 第</w:t>
      </w:r>
      <w:r>
        <w:rPr>
          <w:rFonts w:hint="eastAsia" w:ascii="Times New Roman" w:hAnsi="Times New Roman" w:cs="Times New Roman"/>
        </w:rPr>
        <w:t>1</w:t>
      </w:r>
      <w:r>
        <w:rPr>
          <w:rFonts w:hint="eastAsia" w:ascii="宋体" w:hAnsi="宋体" w:cs="Times New Roman"/>
        </w:rPr>
        <w:t>部分：总则》《道路交通标志标线 第</w:t>
      </w:r>
      <w:r>
        <w:rPr>
          <w:rFonts w:hint="eastAsia" w:ascii="Times New Roman" w:hAnsi="Times New Roman" w:cs="Times New Roman"/>
        </w:rPr>
        <w:t>2</w:t>
      </w:r>
      <w:r>
        <w:rPr>
          <w:rFonts w:hint="eastAsia" w:ascii="宋体" w:hAnsi="宋体" w:cs="Times New Roman"/>
        </w:rPr>
        <w:t>部分：道路交通标志》《道路交通标志标线 第</w:t>
      </w:r>
      <w:r>
        <w:rPr>
          <w:rFonts w:hint="eastAsia" w:ascii="Times New Roman" w:hAnsi="Times New Roman" w:cs="Times New Roman"/>
        </w:rPr>
        <w:t>3</w:t>
      </w:r>
      <w:r>
        <w:rPr>
          <w:rFonts w:hint="eastAsia" w:ascii="宋体" w:hAnsi="宋体" w:cs="Times New Roman"/>
        </w:rPr>
        <w:t>部分：道路交通标线》《道路交通标志标线 第</w:t>
      </w:r>
      <w:r>
        <w:rPr>
          <w:rFonts w:hint="eastAsia" w:ascii="Times New Roman" w:hAnsi="Times New Roman" w:cs="Times New Roman"/>
        </w:rPr>
        <w:t>4</w:t>
      </w:r>
      <w:r>
        <w:rPr>
          <w:rFonts w:hint="eastAsia" w:ascii="宋体" w:hAnsi="宋体" w:cs="Times New Roman"/>
        </w:rPr>
        <w:t>部分：作业区》《道路交通标志标线 第</w:t>
      </w:r>
      <w:r>
        <w:rPr>
          <w:rFonts w:hint="eastAsia" w:ascii="Times New Roman" w:hAnsi="Times New Roman" w:cs="Times New Roman"/>
        </w:rPr>
        <w:t>5</w:t>
      </w:r>
      <w:r>
        <w:rPr>
          <w:rFonts w:hint="eastAsia" w:ascii="宋体" w:hAnsi="宋体" w:cs="Times New Roman"/>
        </w:rPr>
        <w:t>部分：限制速度》（</w:t>
      </w:r>
      <w:r>
        <w:rPr>
          <w:rFonts w:hint="eastAsia" w:ascii="Times New Roman" w:hAnsi="Times New Roman" w:cs="Times New Roman"/>
        </w:rPr>
        <w:t>GB 5768.1</w:t>
      </w:r>
      <w:r>
        <w:rPr>
          <w:rFonts w:hint="eastAsia" w:ascii="宋体" w:hAnsi="宋体" w:cs="Times New Roman"/>
        </w:rPr>
        <w:t>～</w:t>
      </w:r>
      <w:r>
        <w:rPr>
          <w:rFonts w:hint="eastAsia" w:ascii="Times New Roman" w:hAnsi="Times New Roman" w:cs="Times New Roman"/>
        </w:rPr>
        <w:t>GB 5768.5</w:t>
      </w:r>
      <w:r>
        <w:rPr>
          <w:rFonts w:hint="eastAsia" w:ascii="宋体" w:hAnsi="宋体" w:cs="Times New Roman"/>
        </w:rPr>
        <w:t>）要求的交通标志标牌引导车辆按规定路线行驶。”</w:t>
      </w:r>
    </w:p>
    <w:p>
      <w:pPr>
        <w:pStyle w:val="40"/>
        <w:ind w:firstLine="480"/>
        <w:rPr>
          <w:rFonts w:ascii="Times New Roman" w:hAnsi="Times New Roman" w:cs="Times New Roman"/>
        </w:rPr>
      </w:pPr>
      <w:r>
        <w:rPr>
          <w:rFonts w:hint="eastAsia" w:ascii="Times New Roman" w:hAnsi="Times New Roman" w:cs="Times New Roman"/>
        </w:rPr>
        <w:t>2</w:t>
      </w:r>
      <w:r>
        <w:rPr>
          <w:rFonts w:hint="eastAsia" w:ascii="宋体" w:hAnsi="宋体" w:cs="Times New Roman"/>
        </w:rPr>
        <w:t>）规定“服务区室内声、光、热、空气质量环境应满足《建筑环境通用规范》（</w:t>
      </w:r>
      <w:r>
        <w:rPr>
          <w:rFonts w:hint="eastAsia" w:ascii="Times New Roman" w:hAnsi="Times New Roman" w:cs="Times New Roman"/>
        </w:rPr>
        <w:t>GB 55016</w:t>
      </w:r>
      <w:r>
        <w:rPr>
          <w:rFonts w:hint="eastAsia" w:ascii="宋体" w:hAnsi="宋体" w:cs="Times New Roman"/>
        </w:rPr>
        <w:t>）的有关要求。”</w:t>
      </w:r>
    </w:p>
    <w:p>
      <w:pPr>
        <w:pStyle w:val="40"/>
        <w:ind w:firstLine="480"/>
        <w:rPr>
          <w:rFonts w:ascii="Times New Roman" w:hAnsi="Times New Roman" w:cs="Times New Roman"/>
        </w:rPr>
      </w:pPr>
      <w:r>
        <w:rPr>
          <w:rFonts w:hint="eastAsia" w:ascii="Times New Roman" w:hAnsi="Times New Roman" w:cs="Times New Roman"/>
        </w:rPr>
        <w:t>3</w:t>
      </w:r>
      <w:r>
        <w:rPr>
          <w:rFonts w:hint="eastAsia" w:ascii="宋体" w:hAnsi="宋体" w:cs="Times New Roman"/>
        </w:rPr>
        <w:t>）</w:t>
      </w:r>
      <w:r>
        <w:rPr>
          <w:rFonts w:ascii="宋体" w:hAnsi="宋体" w:cs="Times New Roman"/>
        </w:rPr>
        <w:t>规定</w:t>
      </w:r>
      <w:r>
        <w:rPr>
          <w:rFonts w:ascii="Times New Roman" w:hAnsi="Times New Roman" w:cs="Times New Roman"/>
        </w:rPr>
        <w:t>“</w:t>
      </w:r>
      <w:r>
        <w:rPr>
          <w:rFonts w:ascii="宋体" w:hAnsi="宋体" w:cs="Times New Roman"/>
        </w:rPr>
        <w:t>服务区建设不应使用国家和地方禁止和限制使用的建筑材料及制品，室内环境应满足《室内空气质量标准》（</w:t>
      </w:r>
      <w:r>
        <w:rPr>
          <w:rFonts w:ascii="Times New Roman" w:hAnsi="Times New Roman" w:cs="Times New Roman"/>
        </w:rPr>
        <w:t>GB/T 18883</w:t>
      </w:r>
      <w:r>
        <w:rPr>
          <w:rFonts w:ascii="宋体" w:hAnsi="宋体" w:cs="Times New Roman"/>
        </w:rPr>
        <w:t>）的有关要求</w:t>
      </w:r>
      <w:r>
        <w:rPr>
          <w:rFonts w:ascii="Times New Roman" w:hAnsi="Times New Roman" w:cs="Times New Roman"/>
        </w:rPr>
        <w:t>”</w:t>
      </w:r>
      <w:r>
        <w:rPr>
          <w:rFonts w:ascii="宋体" w:hAnsi="宋体" w:cs="Times New Roman"/>
        </w:rPr>
        <w:t>。</w:t>
      </w:r>
    </w:p>
    <w:p>
      <w:pPr>
        <w:pStyle w:val="40"/>
        <w:ind w:firstLine="480"/>
        <w:rPr>
          <w:rFonts w:ascii="Times New Roman" w:hAnsi="Times New Roman" w:cs="Times New Roman"/>
        </w:rPr>
      </w:pPr>
      <w:r>
        <w:rPr>
          <w:rFonts w:hint="eastAsia" w:ascii="Times New Roman" w:hAnsi="Times New Roman" w:cs="Times New Roman"/>
        </w:rPr>
        <w:t>4</w:t>
      </w:r>
      <w:r>
        <w:rPr>
          <w:rFonts w:ascii="宋体" w:hAnsi="宋体" w:cs="Times New Roman"/>
        </w:rPr>
        <w:t>）规定</w:t>
      </w:r>
      <w:r>
        <w:rPr>
          <w:rFonts w:ascii="Times New Roman" w:hAnsi="Times New Roman" w:cs="Times New Roman"/>
        </w:rPr>
        <w:t>“</w:t>
      </w:r>
      <w:r>
        <w:rPr>
          <w:rFonts w:ascii="宋体" w:hAnsi="宋体" w:cs="Times New Roman"/>
        </w:rPr>
        <w:t>涉及生活饮用水卫生安全产品卫生符合《饮用水化学处理剂卫生安全性评价》（</w:t>
      </w:r>
      <w:r>
        <w:rPr>
          <w:rFonts w:ascii="Times New Roman" w:hAnsi="Times New Roman" w:cs="Times New Roman"/>
        </w:rPr>
        <w:t>GB/T 17218</w:t>
      </w:r>
      <w:r>
        <w:rPr>
          <w:rFonts w:ascii="宋体" w:hAnsi="宋体" w:cs="Times New Roman"/>
        </w:rPr>
        <w:t>）、《生活饮用水输配水设备及防护材料的安全性评价标准》（</w:t>
      </w:r>
      <w:r>
        <w:rPr>
          <w:rFonts w:ascii="Times New Roman" w:hAnsi="Times New Roman" w:cs="Times New Roman"/>
        </w:rPr>
        <w:t>GB/T 17219</w:t>
      </w:r>
      <w:r>
        <w:rPr>
          <w:rFonts w:ascii="宋体" w:hAnsi="宋体" w:cs="Times New Roman"/>
        </w:rPr>
        <w:t>）、《二次供水设施卫生规范》（</w:t>
      </w:r>
      <w:r>
        <w:rPr>
          <w:rFonts w:ascii="Times New Roman" w:hAnsi="Times New Roman" w:cs="Times New Roman"/>
        </w:rPr>
        <w:t>GB 17051</w:t>
      </w:r>
      <w:r>
        <w:rPr>
          <w:rFonts w:ascii="宋体" w:hAnsi="宋体" w:cs="Times New Roman"/>
        </w:rPr>
        <w:t>）等标准中的有关规定</w:t>
      </w:r>
      <w:r>
        <w:rPr>
          <w:rFonts w:ascii="Times New Roman" w:hAnsi="Times New Roman" w:cs="Times New Roman"/>
        </w:rPr>
        <w:t>”</w:t>
      </w:r>
      <w:r>
        <w:rPr>
          <w:rFonts w:ascii="宋体" w:hAnsi="宋体" w:cs="Times New Roman"/>
        </w:rPr>
        <w:t>。</w:t>
      </w:r>
    </w:p>
    <w:p>
      <w:pPr>
        <w:pStyle w:val="40"/>
        <w:ind w:firstLine="480"/>
        <w:rPr>
          <w:rFonts w:ascii="Times New Roman" w:hAnsi="Times New Roman" w:cs="Times New Roman"/>
        </w:rPr>
      </w:pPr>
      <w:r>
        <w:rPr>
          <w:rFonts w:hint="eastAsia" w:ascii="Times New Roman" w:hAnsi="Times New Roman" w:cs="Times New Roman"/>
        </w:rPr>
        <w:t>5</w:t>
      </w:r>
      <w:r>
        <w:rPr>
          <w:rFonts w:ascii="宋体" w:hAnsi="宋体" w:cs="Times New Roman"/>
        </w:rPr>
        <w:t>）</w:t>
      </w:r>
      <w:r>
        <w:rPr>
          <w:rFonts w:hint="eastAsia" w:ascii="宋体" w:hAnsi="宋体" w:cs="Times New Roman"/>
        </w:rPr>
        <w:t>规定“服务区给水采用自备井水源时，采用地下水应经当地水务主管部门批准，且给水水质应达到</w:t>
      </w:r>
      <w:r>
        <w:rPr>
          <w:rFonts w:ascii="宋体" w:hAnsi="宋体" w:cs="Times New Roman"/>
        </w:rPr>
        <w:t>《生活饮用水卫生标准》（</w:t>
      </w:r>
      <w:r>
        <w:rPr>
          <w:rFonts w:ascii="Times New Roman" w:hAnsi="Times New Roman" w:cs="Times New Roman"/>
        </w:rPr>
        <w:t>GB 5749</w:t>
      </w:r>
      <w:r>
        <w:rPr>
          <w:rFonts w:ascii="宋体" w:hAnsi="宋体" w:cs="Times New Roman"/>
        </w:rPr>
        <w:t>）</w:t>
      </w:r>
      <w:r>
        <w:rPr>
          <w:rFonts w:hint="eastAsia" w:ascii="宋体" w:hAnsi="宋体" w:cs="Times New Roman"/>
        </w:rPr>
        <w:t>的要求”。</w:t>
      </w:r>
    </w:p>
    <w:p>
      <w:pPr>
        <w:pStyle w:val="40"/>
        <w:ind w:firstLine="480"/>
        <w:rPr>
          <w:rFonts w:ascii="Times New Roman" w:hAnsi="Times New Roman" w:cs="Times New Roman"/>
        </w:rPr>
      </w:pPr>
      <w:r>
        <w:rPr>
          <w:rFonts w:hint="eastAsia" w:ascii="Times New Roman" w:hAnsi="Times New Roman" w:cs="Times New Roman"/>
        </w:rPr>
        <w:t>6</w:t>
      </w:r>
      <w:r>
        <w:rPr>
          <w:rFonts w:ascii="宋体" w:hAnsi="宋体" w:cs="Times New Roman"/>
        </w:rPr>
        <w:t>）规定</w:t>
      </w:r>
      <w:r>
        <w:rPr>
          <w:rFonts w:ascii="Times New Roman" w:hAnsi="Times New Roman" w:cs="Times New Roman"/>
        </w:rPr>
        <w:t>“</w:t>
      </w:r>
      <w:r>
        <w:rPr>
          <w:rFonts w:ascii="宋体" w:hAnsi="宋体" w:cs="Times New Roman"/>
        </w:rPr>
        <w:t>运营过程中产生的废气污染物的排放符合《锅炉大气污染物排放标准》（</w:t>
      </w:r>
      <w:r>
        <w:rPr>
          <w:rFonts w:ascii="Times New Roman" w:hAnsi="Times New Roman" w:cs="Times New Roman"/>
        </w:rPr>
        <w:t>GB 13271</w:t>
      </w:r>
      <w:r>
        <w:rPr>
          <w:rFonts w:ascii="宋体" w:hAnsi="宋体" w:cs="Times New Roman"/>
        </w:rPr>
        <w:t>）、《大气污染物综合排放标准》（</w:t>
      </w:r>
      <w:r>
        <w:rPr>
          <w:rFonts w:ascii="Times New Roman" w:hAnsi="Times New Roman" w:cs="Times New Roman"/>
        </w:rPr>
        <w:t>GB 16297</w:t>
      </w:r>
      <w:r>
        <w:rPr>
          <w:rFonts w:ascii="宋体" w:hAnsi="宋体" w:cs="Times New Roman"/>
        </w:rPr>
        <w:t>）、《饮食业油烟排放标准》（</w:t>
      </w:r>
      <w:r>
        <w:rPr>
          <w:rFonts w:ascii="Times New Roman" w:hAnsi="Times New Roman" w:cs="Times New Roman"/>
        </w:rPr>
        <w:t>GB 18483</w:t>
      </w:r>
      <w:r>
        <w:rPr>
          <w:rFonts w:ascii="宋体" w:hAnsi="宋体" w:cs="Times New Roman"/>
        </w:rPr>
        <w:t>）等标准中的有关规定</w:t>
      </w:r>
      <w:r>
        <w:rPr>
          <w:rFonts w:ascii="Times New Roman" w:hAnsi="Times New Roman" w:cs="Times New Roman"/>
        </w:rPr>
        <w:t>”</w:t>
      </w:r>
      <w:r>
        <w:rPr>
          <w:rFonts w:ascii="宋体" w:hAnsi="宋体" w:cs="Times New Roman"/>
        </w:rPr>
        <w:t>。</w:t>
      </w:r>
    </w:p>
    <w:p>
      <w:pPr>
        <w:pStyle w:val="40"/>
        <w:ind w:firstLine="480"/>
        <w:rPr>
          <w:rFonts w:ascii="Times New Roman" w:hAnsi="Times New Roman" w:cs="Times New Roman"/>
        </w:rPr>
      </w:pPr>
      <w:r>
        <w:rPr>
          <w:rFonts w:hint="eastAsia" w:ascii="Times New Roman" w:hAnsi="Times New Roman" w:cs="Times New Roman"/>
        </w:rPr>
        <w:t>7</w:t>
      </w:r>
      <w:r>
        <w:rPr>
          <w:rFonts w:ascii="宋体" w:hAnsi="宋体" w:cs="Times New Roman"/>
        </w:rPr>
        <w:t>）规定</w:t>
      </w:r>
      <w:r>
        <w:rPr>
          <w:rFonts w:ascii="Times New Roman" w:hAnsi="Times New Roman" w:cs="Times New Roman"/>
        </w:rPr>
        <w:t>“</w:t>
      </w:r>
      <w:r>
        <w:rPr>
          <w:rFonts w:ascii="宋体" w:hAnsi="宋体" w:cs="Times New Roman"/>
        </w:rPr>
        <w:t>服务区运营管理单位积极取缔燃煤</w:t>
      </w:r>
      <w:r>
        <w:rPr>
          <w:rFonts w:hint="eastAsia" w:ascii="宋体" w:hAnsi="宋体" w:cs="Times New Roman"/>
        </w:rPr>
        <w:t>、燃油等高能耗</w:t>
      </w:r>
      <w:r>
        <w:rPr>
          <w:rFonts w:ascii="宋体" w:hAnsi="宋体" w:cs="Times New Roman"/>
        </w:rPr>
        <w:t>锅炉，锅炉排放符合</w:t>
      </w:r>
      <w:r>
        <w:rPr>
          <w:rFonts w:hint="eastAsia" w:ascii="宋体" w:hAnsi="宋体" w:cs="Times New Roman"/>
        </w:rPr>
        <w:t>《</w:t>
      </w:r>
      <w:r>
        <w:rPr>
          <w:rFonts w:hint="eastAsia" w:ascii="宋体" w:hAnsi="宋体" w:cs="Times New Roman"/>
          <w:kern w:val="2"/>
          <w:sz w:val="21"/>
          <w:szCs w:val="21"/>
        </w:rPr>
        <w:t>锅炉大气污染物排放标准</w:t>
      </w:r>
      <w:r>
        <w:rPr>
          <w:rFonts w:hint="eastAsia" w:ascii="宋体" w:hAnsi="宋体" w:cs="Times New Roman"/>
        </w:rPr>
        <w:t>》（</w:t>
      </w:r>
      <w:r>
        <w:rPr>
          <w:rFonts w:ascii="Times New Roman" w:hAnsi="Times New Roman" w:cs="Times New Roman"/>
        </w:rPr>
        <w:t>GB 13271</w:t>
      </w:r>
      <w:r>
        <w:rPr>
          <w:rFonts w:hint="eastAsia" w:ascii="宋体" w:hAnsi="宋体" w:cs="Times New Roman"/>
        </w:rPr>
        <w:t>）</w:t>
      </w:r>
      <w:r>
        <w:rPr>
          <w:rFonts w:ascii="宋体" w:hAnsi="宋体" w:cs="Times New Roman"/>
        </w:rPr>
        <w:t>规定</w:t>
      </w:r>
      <w:r>
        <w:rPr>
          <w:rFonts w:ascii="Times New Roman" w:hAnsi="Times New Roman" w:cs="Times New Roman"/>
        </w:rPr>
        <w:t>”</w:t>
      </w:r>
      <w:r>
        <w:rPr>
          <w:rFonts w:ascii="宋体" w:hAnsi="宋体" w:cs="Times New Roman"/>
        </w:rPr>
        <w:t>。</w:t>
      </w:r>
    </w:p>
    <w:p>
      <w:pPr>
        <w:pStyle w:val="40"/>
        <w:ind w:firstLine="480"/>
        <w:rPr>
          <w:rFonts w:ascii="Times New Roman" w:hAnsi="Times New Roman" w:cs="Times New Roman"/>
        </w:rPr>
      </w:pPr>
      <w:r>
        <w:rPr>
          <w:rFonts w:hint="eastAsia" w:ascii="Times New Roman" w:hAnsi="Times New Roman" w:cs="Times New Roman"/>
        </w:rPr>
        <w:t>8</w:t>
      </w:r>
      <w:r>
        <w:rPr>
          <w:rFonts w:ascii="宋体" w:hAnsi="宋体" w:cs="Times New Roman"/>
        </w:rPr>
        <w:t>）规定</w:t>
      </w:r>
      <w:r>
        <w:rPr>
          <w:rFonts w:ascii="Times New Roman" w:hAnsi="Times New Roman" w:cs="Times New Roman"/>
        </w:rPr>
        <w:t>“4.2.7</w:t>
      </w:r>
      <w:r>
        <w:rPr>
          <w:rFonts w:ascii="宋体" w:hAnsi="宋体" w:cs="Times New Roman"/>
        </w:rPr>
        <w:t xml:space="preserve"> 服务区各功能房间或场所的照明功率密度值符合</w:t>
      </w:r>
      <w:r>
        <w:rPr>
          <w:rFonts w:hint="eastAsia" w:ascii="宋体" w:hAnsi="宋体" w:cs="Times New Roman"/>
        </w:rPr>
        <w:t>《</w:t>
      </w:r>
      <w:r>
        <w:rPr>
          <w:rFonts w:hint="eastAsia" w:ascii="宋体" w:hAnsi="宋体" w:cs="Times New Roman"/>
          <w:kern w:val="2"/>
        </w:rPr>
        <w:t>建筑照明设计标准</w:t>
      </w:r>
      <w:r>
        <w:rPr>
          <w:rFonts w:hint="eastAsia" w:ascii="宋体" w:hAnsi="宋体" w:cs="Times New Roman"/>
        </w:rPr>
        <w:t>》（</w:t>
      </w:r>
      <w:r>
        <w:rPr>
          <w:rFonts w:ascii="Times New Roman" w:hAnsi="Times New Roman" w:cs="Times New Roman"/>
        </w:rPr>
        <w:t>GB 50034</w:t>
      </w:r>
      <w:r>
        <w:rPr>
          <w:rFonts w:hint="eastAsia" w:ascii="宋体" w:hAnsi="宋体" w:cs="Times New Roman"/>
        </w:rPr>
        <w:t>）</w:t>
      </w:r>
      <w:r>
        <w:rPr>
          <w:rFonts w:ascii="宋体" w:hAnsi="宋体" w:cs="Times New Roman"/>
        </w:rPr>
        <w:t>的要求</w:t>
      </w:r>
      <w:r>
        <w:rPr>
          <w:rFonts w:hint="eastAsia" w:ascii="宋体" w:hAnsi="宋体" w:cs="Times New Roman"/>
        </w:rPr>
        <w:t>”。</w:t>
      </w:r>
    </w:p>
    <w:p>
      <w:pPr>
        <w:pStyle w:val="40"/>
        <w:ind w:firstLine="480"/>
        <w:rPr>
          <w:rFonts w:ascii="宋体" w:hAnsi="宋体" w:cs="Times New Roman"/>
        </w:rPr>
      </w:pPr>
      <w:r>
        <w:rPr>
          <w:rFonts w:hint="eastAsia" w:ascii="Times New Roman" w:hAnsi="Times New Roman" w:cs="Times New Roman"/>
        </w:rPr>
        <w:t>9</w:t>
      </w:r>
      <w:r>
        <w:rPr>
          <w:rFonts w:hint="eastAsia" w:ascii="宋体" w:hAnsi="宋体" w:cs="Times New Roman"/>
        </w:rPr>
        <w:t>）</w:t>
      </w:r>
      <w:r>
        <w:rPr>
          <w:rFonts w:ascii="宋体" w:hAnsi="宋体" w:cs="Times New Roman"/>
        </w:rPr>
        <w:t>规定</w:t>
      </w:r>
      <w:r>
        <w:rPr>
          <w:rFonts w:ascii="Times New Roman" w:hAnsi="Times New Roman" w:cs="Times New Roman"/>
        </w:rPr>
        <w:t>“</w:t>
      </w:r>
      <w:r>
        <w:rPr>
          <w:rFonts w:ascii="宋体" w:hAnsi="宋体" w:cs="Times New Roman"/>
        </w:rPr>
        <w:t>无障碍设施的设置符合《无障碍设计规范》（</w:t>
      </w:r>
      <w:r>
        <w:rPr>
          <w:rFonts w:ascii="Times New Roman" w:hAnsi="Times New Roman" w:cs="Times New Roman"/>
        </w:rPr>
        <w:t>GB 50763</w:t>
      </w:r>
      <w:r>
        <w:rPr>
          <w:rFonts w:ascii="宋体" w:hAnsi="宋体" w:cs="Times New Roman"/>
        </w:rPr>
        <w:t>）等国家行业相关规定</w:t>
      </w:r>
      <w:r>
        <w:rPr>
          <w:rFonts w:ascii="Times New Roman" w:hAnsi="Times New Roman" w:cs="Times New Roman"/>
        </w:rPr>
        <w:t>”</w:t>
      </w:r>
      <w:r>
        <w:rPr>
          <w:rFonts w:ascii="宋体" w:hAnsi="宋体" w:cs="Times New Roman"/>
        </w:rPr>
        <w:t>。</w:t>
      </w:r>
    </w:p>
    <w:p>
      <w:pPr>
        <w:pStyle w:val="108"/>
        <w:spacing w:before="156" w:after="156"/>
        <w:rPr>
          <w:rFonts w:ascii="Times New Roman"/>
          <w:sz w:val="24"/>
          <w:szCs w:val="24"/>
        </w:rPr>
      </w:pPr>
      <w:bookmarkStart w:id="36" w:name="_Toc155366880"/>
      <w:r>
        <w:rPr>
          <w:sz w:val="24"/>
          <w:szCs w:val="24"/>
        </w:rPr>
        <w:t>评分标准章节引用标准</w:t>
      </w:r>
      <w:bookmarkEnd w:id="36"/>
    </w:p>
    <w:p>
      <w:pPr>
        <w:pStyle w:val="40"/>
        <w:ind w:firstLine="480"/>
        <w:rPr>
          <w:rFonts w:ascii="Times New Roman" w:hAnsi="Times New Roman" w:cs="Times New Roman"/>
        </w:rPr>
      </w:pPr>
      <w:r>
        <w:rPr>
          <w:rFonts w:ascii="宋体" w:hAnsi="宋体" w:cs="Times New Roman"/>
        </w:rPr>
        <w:t>在评分标准章节，引用了以下各类标准以规定详细的计分方法：</w:t>
      </w:r>
    </w:p>
    <w:p>
      <w:pPr>
        <w:pStyle w:val="40"/>
        <w:ind w:firstLine="480"/>
        <w:rPr>
          <w:rFonts w:ascii="Times New Roman" w:hAnsi="Times New Roman" w:cs="Times New Roman"/>
        </w:rPr>
      </w:pPr>
      <w:r>
        <w:rPr>
          <w:rFonts w:ascii="宋体" w:hAnsi="宋体" w:cs="Times New Roman"/>
        </w:rPr>
        <w:t>在节能</w:t>
      </w:r>
      <w:r>
        <w:rPr>
          <w:rFonts w:hint="eastAsia" w:ascii="宋体" w:hAnsi="宋体" w:cs="Times New Roman"/>
        </w:rPr>
        <w:t>措施</w:t>
      </w:r>
      <w:r>
        <w:rPr>
          <w:rFonts w:ascii="宋体" w:hAnsi="宋体" w:cs="Times New Roman"/>
        </w:rPr>
        <w:t>小节中，引用《公共建筑节能设计标准》（</w:t>
      </w:r>
      <w:r>
        <w:rPr>
          <w:rFonts w:ascii="Times New Roman" w:hAnsi="Times New Roman" w:cs="Times New Roman"/>
        </w:rPr>
        <w:t>GB 50189</w:t>
      </w:r>
      <w:r>
        <w:rPr>
          <w:rFonts w:ascii="宋体" w:hAnsi="宋体" w:cs="Times New Roman"/>
        </w:rPr>
        <w:t>）以</w:t>
      </w:r>
      <w:r>
        <w:rPr>
          <w:rFonts w:hint="eastAsia" w:ascii="宋体" w:hAnsi="宋体" w:cs="Times New Roman"/>
        </w:rPr>
        <w:t>规定</w:t>
      </w:r>
      <w:r>
        <w:rPr>
          <w:rFonts w:ascii="宋体" w:hAnsi="宋体" w:cs="Times New Roman"/>
        </w:rPr>
        <w:t>服务区</w:t>
      </w:r>
      <w:r>
        <w:rPr>
          <w:rFonts w:hint="eastAsia" w:ascii="宋体" w:hAnsi="宋体" w:cs="Times New Roman"/>
        </w:rPr>
        <w:t>建筑围护结构的热工性能、供暖空调系统的冷热机组能效和集中供暖系统热水循环泵的耗电输热比和通风空调系统风机的单位风量耗功率的计分要求；引用《建筑外门窗气密、水密、抗风压性能检测方法》（</w:t>
      </w:r>
      <w:r>
        <w:rPr>
          <w:rFonts w:hint="eastAsia" w:ascii="Times New Roman" w:hAnsi="Times New Roman" w:cs="Times New Roman"/>
        </w:rPr>
        <w:t>GB/T 7106</w:t>
      </w:r>
      <w:r>
        <w:rPr>
          <w:rFonts w:hint="eastAsia" w:ascii="宋体" w:hAnsi="宋体" w:cs="Times New Roman"/>
        </w:rPr>
        <w:t>）规定服务区建筑外门、外窗的气密性计分要求；引用《建筑照明设计标准》（</w:t>
      </w:r>
      <w:r>
        <w:rPr>
          <w:rFonts w:hint="eastAsia" w:ascii="Times New Roman" w:hAnsi="Times New Roman" w:cs="Times New Roman"/>
        </w:rPr>
        <w:t>GB 50034</w:t>
      </w:r>
      <w:r>
        <w:rPr>
          <w:rFonts w:hint="eastAsia" w:ascii="宋体" w:hAnsi="宋体" w:cs="Times New Roman"/>
        </w:rPr>
        <w:t>）以规定服务区灯具效率计分要求；引用《电力变压器能效限定值及能效等级》（</w:t>
      </w:r>
      <w:r>
        <w:rPr>
          <w:rFonts w:hint="eastAsia" w:ascii="Times New Roman" w:hAnsi="Times New Roman" w:cs="Times New Roman"/>
        </w:rPr>
        <w:t>GB 20052</w:t>
      </w:r>
      <w:r>
        <w:rPr>
          <w:rFonts w:hint="eastAsia" w:ascii="宋体" w:hAnsi="宋体" w:cs="Times New Roman"/>
        </w:rPr>
        <w:t>）规定服务区供配电系统采用三相配电变压器的节能计分要求。</w:t>
      </w:r>
    </w:p>
    <w:p>
      <w:pPr>
        <w:pStyle w:val="40"/>
        <w:ind w:firstLine="480"/>
        <w:rPr>
          <w:rFonts w:ascii="Times New Roman" w:hAnsi="Times New Roman" w:cs="Times New Roman"/>
        </w:rPr>
      </w:pPr>
      <w:r>
        <w:rPr>
          <w:rFonts w:ascii="宋体" w:hAnsi="宋体" w:cs="Times New Roman"/>
        </w:rPr>
        <w:t>在节水</w:t>
      </w:r>
      <w:r>
        <w:rPr>
          <w:rFonts w:hint="eastAsia" w:ascii="宋体" w:hAnsi="宋体" w:cs="Times New Roman"/>
        </w:rPr>
        <w:t>设施小节</w:t>
      </w:r>
      <w:r>
        <w:rPr>
          <w:rFonts w:ascii="宋体" w:hAnsi="宋体" w:cs="Times New Roman"/>
        </w:rPr>
        <w:t>中，</w:t>
      </w:r>
      <w:r>
        <w:rPr>
          <w:rFonts w:hint="eastAsia" w:ascii="宋体" w:hAnsi="宋体" w:cs="Times New Roman"/>
        </w:rPr>
        <w:t>引用《污水综合排放标准》（</w:t>
      </w:r>
      <w:r>
        <w:rPr>
          <w:rFonts w:hint="eastAsia" w:ascii="Times New Roman" w:hAnsi="Times New Roman" w:cs="Times New Roman"/>
        </w:rPr>
        <w:t>GB 8978</w:t>
      </w:r>
      <w:r>
        <w:rPr>
          <w:rFonts w:hint="eastAsia" w:ascii="宋体" w:hAnsi="宋体" w:cs="Times New Roman"/>
        </w:rPr>
        <w:t>）规定服务区污水排放设施排放水质要求；</w:t>
      </w:r>
      <w:r>
        <w:rPr>
          <w:rFonts w:ascii="宋体" w:hAnsi="宋体" w:cs="Times New Roman"/>
        </w:rPr>
        <w:t>引用《城市污水再生利用城市杂用水水质》（</w:t>
      </w:r>
      <w:r>
        <w:rPr>
          <w:rFonts w:ascii="Times New Roman" w:hAnsi="Times New Roman" w:cs="Times New Roman"/>
        </w:rPr>
        <w:t>GB/T 18920</w:t>
      </w:r>
      <w:r>
        <w:rPr>
          <w:rFonts w:ascii="宋体" w:hAnsi="宋体" w:cs="Times New Roman"/>
        </w:rPr>
        <w:t>）规定服务区建设污水处理回用设施的</w:t>
      </w:r>
      <w:r>
        <w:rPr>
          <w:rFonts w:hint="eastAsia" w:ascii="宋体" w:hAnsi="宋体" w:cs="Times New Roman"/>
        </w:rPr>
        <w:t>相关计分</w:t>
      </w:r>
      <w:r>
        <w:rPr>
          <w:rFonts w:ascii="宋体" w:hAnsi="宋体" w:cs="Times New Roman"/>
        </w:rPr>
        <w:t>要求。</w:t>
      </w:r>
    </w:p>
    <w:p>
      <w:pPr>
        <w:pStyle w:val="40"/>
        <w:ind w:firstLine="480"/>
        <w:rPr>
          <w:rFonts w:ascii="Times New Roman" w:hAnsi="Times New Roman" w:cs="Times New Roman"/>
        </w:rPr>
      </w:pPr>
      <w:r>
        <w:rPr>
          <w:rFonts w:ascii="宋体" w:hAnsi="宋体" w:cs="Times New Roman"/>
        </w:rPr>
        <w:t>在环境保护小节中，引用《民用建筑供暖通风与空气调节设计规范》（</w:t>
      </w:r>
      <w:r>
        <w:rPr>
          <w:rFonts w:ascii="Times New Roman" w:hAnsi="Times New Roman" w:cs="Times New Roman"/>
        </w:rPr>
        <w:t>GB 50736</w:t>
      </w:r>
      <w:r>
        <w:rPr>
          <w:rFonts w:ascii="宋体" w:hAnsi="宋体" w:cs="Times New Roman"/>
        </w:rPr>
        <w:t>）规定服务区室内各功能空间的进排风口的设置要求</w:t>
      </w:r>
      <w:r>
        <w:rPr>
          <w:rFonts w:hint="eastAsia" w:ascii="宋体" w:hAnsi="宋体" w:cs="Times New Roman"/>
        </w:rPr>
        <w:t>；引用《民用建筑隔声设计规范》（</w:t>
      </w:r>
      <w:r>
        <w:rPr>
          <w:rFonts w:hint="eastAsia" w:ascii="Times New Roman" w:hAnsi="Times New Roman" w:cs="Times New Roman"/>
        </w:rPr>
        <w:t>GB 50118</w:t>
      </w:r>
      <w:r>
        <w:rPr>
          <w:rFonts w:hint="eastAsia" w:ascii="宋体" w:hAnsi="宋体" w:cs="Times New Roman"/>
        </w:rPr>
        <w:t>），规定服务区采取降噪隔音措施，保证室内允许噪声级符合要求；引用《社会生活环境噪声排放标准》（</w:t>
      </w:r>
      <w:r>
        <w:rPr>
          <w:rFonts w:hint="eastAsia" w:ascii="Times New Roman" w:hAnsi="Times New Roman" w:cs="Times New Roman"/>
        </w:rPr>
        <w:t>GB 22337</w:t>
      </w:r>
      <w:r>
        <w:rPr>
          <w:rFonts w:hint="eastAsia" w:ascii="宋体" w:hAnsi="宋体" w:cs="Times New Roman"/>
        </w:rPr>
        <w:t>），规定服务区室内供暖、空调、通风、污水处理设施等固定设备噪声级符合要求；引用《生活垃圾综合处理与资源利用技术要求》（</w:t>
      </w:r>
      <w:r>
        <w:rPr>
          <w:rFonts w:hint="eastAsia" w:ascii="Times New Roman" w:hAnsi="Times New Roman" w:cs="Times New Roman"/>
        </w:rPr>
        <w:t>GB/T 25180</w:t>
      </w:r>
      <w:r>
        <w:rPr>
          <w:rFonts w:hint="eastAsia" w:ascii="宋体" w:hAnsi="宋体" w:cs="Times New Roman"/>
        </w:rPr>
        <w:t>），规定服务区内采用垃圾分类箱要求。</w:t>
      </w:r>
    </w:p>
    <w:p>
      <w:pPr>
        <w:pStyle w:val="107"/>
        <w:spacing w:before="312" w:after="312"/>
        <w:rPr>
          <w:sz w:val="24"/>
          <w:szCs w:val="22"/>
        </w:rPr>
      </w:pPr>
      <w:bookmarkStart w:id="37" w:name="_Toc155366881"/>
      <w:r>
        <w:rPr>
          <w:rFonts w:hint="eastAsia"/>
          <w:sz w:val="24"/>
          <w:szCs w:val="22"/>
        </w:rPr>
        <w:t>作为强制性标准的建议及理由</w:t>
      </w:r>
      <w:bookmarkEnd w:id="37"/>
    </w:p>
    <w:p>
      <w:pPr>
        <w:pStyle w:val="59"/>
        <w:ind w:firstLine="480"/>
        <w:rPr>
          <w:sz w:val="24"/>
          <w:szCs w:val="22"/>
        </w:rPr>
      </w:pPr>
      <w:r>
        <w:rPr>
          <w:rFonts w:hint="eastAsia"/>
          <w:sz w:val="24"/>
          <w:szCs w:val="22"/>
        </w:rPr>
        <w:t>本标准为推荐性标准。</w:t>
      </w:r>
    </w:p>
    <w:p>
      <w:pPr>
        <w:pStyle w:val="107"/>
        <w:spacing w:before="312" w:after="312"/>
        <w:rPr>
          <w:kern w:val="44"/>
          <w:sz w:val="24"/>
          <w:szCs w:val="24"/>
        </w:rPr>
      </w:pPr>
      <w:bookmarkStart w:id="38" w:name="_Toc155366882"/>
      <w:r>
        <w:t>贯</w:t>
      </w:r>
      <w:r>
        <w:rPr>
          <w:sz w:val="24"/>
          <w:szCs w:val="24"/>
        </w:rPr>
        <w:t>彻标准的措施建议</w:t>
      </w:r>
      <w:bookmarkEnd w:id="38"/>
    </w:p>
    <w:p>
      <w:pPr>
        <w:pStyle w:val="40"/>
        <w:ind w:firstLine="480"/>
        <w:rPr>
          <w:rFonts w:ascii="Times New Roman" w:hAnsi="Times New Roman" w:cs="Times New Roman"/>
        </w:rPr>
      </w:pPr>
      <w:r>
        <w:rPr>
          <w:rFonts w:ascii="宋体" w:hAnsi="宋体" w:cs="Times New Roman"/>
        </w:rPr>
        <w:t>为保证本标准的有效实施，建议相关管理部门对本标准进行宣贯培训。</w:t>
      </w:r>
    </w:p>
    <w:p>
      <w:pPr>
        <w:pStyle w:val="107"/>
        <w:spacing w:before="312" w:after="312"/>
        <w:rPr>
          <w:rFonts w:ascii="Times New Roman"/>
          <w:sz w:val="24"/>
          <w:szCs w:val="24"/>
        </w:rPr>
      </w:pPr>
      <w:bookmarkStart w:id="39" w:name="_Toc155366883"/>
      <w:r>
        <w:rPr>
          <w:sz w:val="24"/>
          <w:szCs w:val="24"/>
        </w:rPr>
        <w:t>相关标</w:t>
      </w:r>
      <w:bookmarkEnd w:id="22"/>
      <w:r>
        <w:rPr>
          <w:sz w:val="24"/>
          <w:szCs w:val="24"/>
        </w:rPr>
        <w:t>准及参考文献</w:t>
      </w:r>
      <w:bookmarkEnd w:id="39"/>
    </w:p>
    <w:p>
      <w:pPr>
        <w:numPr>
          <w:ilvl w:val="0"/>
          <w:numId w:val="32"/>
        </w:numPr>
        <w:kinsoku w:val="0"/>
        <w:autoSpaceDE w:val="0"/>
        <w:snapToGrid w:val="0"/>
        <w:spacing w:line="360" w:lineRule="auto"/>
        <w:ind w:left="690" w:leftChars="100" w:hanging="480" w:hangingChars="200"/>
        <w:textAlignment w:val="baseline"/>
        <w:rPr>
          <w:rFonts w:ascii="Times New Roman" w:hAnsi="Times New Roman"/>
          <w:kern w:val="0"/>
          <w:sz w:val="24"/>
          <w:szCs w:val="24"/>
        </w:rPr>
      </w:pPr>
      <w:r>
        <w:rPr>
          <w:rFonts w:ascii="宋体" w:hAnsi="宋体"/>
          <w:sz w:val="24"/>
          <w:szCs w:val="24"/>
        </w:rPr>
        <w:t>绿色交通设施评估技术要求第</w:t>
      </w:r>
      <w:r>
        <w:rPr>
          <w:rFonts w:ascii="Times New Roman" w:hAnsi="Times New Roman"/>
          <w:sz w:val="24"/>
          <w:szCs w:val="24"/>
        </w:rPr>
        <w:t>2</w:t>
      </w:r>
      <w:r>
        <w:rPr>
          <w:rFonts w:ascii="宋体" w:hAnsi="宋体"/>
          <w:sz w:val="24"/>
          <w:szCs w:val="24"/>
        </w:rPr>
        <w:t>部分：绿色服务区》（</w:t>
      </w:r>
      <w:r>
        <w:rPr>
          <w:rFonts w:ascii="Times New Roman" w:hAnsi="Times New Roman"/>
          <w:sz w:val="24"/>
          <w:szCs w:val="24"/>
        </w:rPr>
        <w:t>JT/T1199.2-2018</w:t>
      </w:r>
      <w:r>
        <w:rPr>
          <w:rFonts w:ascii="宋体" w:hAnsi="宋体"/>
          <w:sz w:val="24"/>
          <w:szCs w:val="24"/>
        </w:rPr>
        <w:t>）</w:t>
      </w:r>
    </w:p>
    <w:p>
      <w:pPr>
        <w:numPr>
          <w:ilvl w:val="0"/>
          <w:numId w:val="32"/>
        </w:numPr>
        <w:kinsoku w:val="0"/>
        <w:autoSpaceDE w:val="0"/>
        <w:snapToGrid w:val="0"/>
        <w:spacing w:line="360" w:lineRule="auto"/>
        <w:ind w:left="690" w:leftChars="100" w:hanging="480" w:hangingChars="200"/>
        <w:textAlignment w:val="baseline"/>
        <w:rPr>
          <w:rFonts w:ascii="Times New Roman" w:hAnsi="Times New Roman"/>
          <w:sz w:val="24"/>
          <w:szCs w:val="24"/>
        </w:rPr>
      </w:pPr>
      <w:r>
        <w:rPr>
          <w:rFonts w:ascii="宋体" w:hAnsi="宋体"/>
          <w:sz w:val="24"/>
          <w:szCs w:val="24"/>
        </w:rPr>
        <w:t>《高速公路绿色服务区建设指南》（</w:t>
      </w:r>
      <w:r>
        <w:rPr>
          <w:rFonts w:ascii="Times New Roman" w:hAnsi="Times New Roman"/>
          <w:sz w:val="24"/>
          <w:szCs w:val="24"/>
        </w:rPr>
        <w:t>DB34/T 3272-2018</w:t>
      </w:r>
      <w:r>
        <w:rPr>
          <w:rFonts w:ascii="宋体" w:hAnsi="宋体"/>
          <w:sz w:val="24"/>
          <w:szCs w:val="24"/>
        </w:rPr>
        <w:t>）</w:t>
      </w:r>
    </w:p>
    <w:p>
      <w:pPr>
        <w:numPr>
          <w:ilvl w:val="0"/>
          <w:numId w:val="32"/>
        </w:numPr>
        <w:kinsoku w:val="0"/>
        <w:autoSpaceDE w:val="0"/>
        <w:snapToGrid w:val="0"/>
        <w:spacing w:line="360" w:lineRule="auto"/>
        <w:ind w:left="690" w:leftChars="100" w:hanging="480" w:hangingChars="200"/>
        <w:textAlignment w:val="baseline"/>
        <w:rPr>
          <w:rFonts w:ascii="Times New Roman" w:hAnsi="Times New Roman"/>
          <w:sz w:val="24"/>
          <w:szCs w:val="24"/>
        </w:rPr>
      </w:pPr>
      <w:r>
        <w:rPr>
          <w:rFonts w:ascii="宋体" w:hAnsi="宋体"/>
          <w:sz w:val="24"/>
          <w:szCs w:val="24"/>
        </w:rPr>
        <w:t>《江苏省高速公路绿色服务区评估指南》（</w:t>
      </w:r>
      <w:r>
        <w:rPr>
          <w:rFonts w:ascii="Times New Roman" w:hAnsi="Times New Roman"/>
          <w:sz w:val="24"/>
          <w:szCs w:val="24"/>
        </w:rPr>
        <w:t>T/JSCTS12—2022</w:t>
      </w:r>
      <w:r>
        <w:rPr>
          <w:rFonts w:ascii="宋体" w:hAnsi="宋体"/>
          <w:sz w:val="24"/>
          <w:szCs w:val="24"/>
        </w:rPr>
        <w:t>）</w:t>
      </w:r>
    </w:p>
    <w:p>
      <w:pPr>
        <w:numPr>
          <w:ilvl w:val="0"/>
          <w:numId w:val="32"/>
        </w:numPr>
        <w:kinsoku w:val="0"/>
        <w:autoSpaceDE w:val="0"/>
        <w:snapToGrid w:val="0"/>
        <w:spacing w:line="360" w:lineRule="auto"/>
        <w:ind w:left="690" w:leftChars="100" w:hanging="480" w:hangingChars="200"/>
        <w:textAlignment w:val="baseline"/>
        <w:rPr>
          <w:rFonts w:ascii="Times New Roman" w:hAnsi="Times New Roman"/>
          <w:sz w:val="24"/>
          <w:szCs w:val="24"/>
        </w:rPr>
      </w:pPr>
      <w:r>
        <w:rPr>
          <w:rFonts w:ascii="宋体" w:hAnsi="宋体"/>
          <w:sz w:val="24"/>
          <w:szCs w:val="24"/>
        </w:rPr>
        <w:t>《高速公路零碳服务区评价技术规范》（</w:t>
      </w:r>
      <w:r>
        <w:rPr>
          <w:rFonts w:ascii="Times New Roman" w:hAnsi="Times New Roman"/>
          <w:sz w:val="24"/>
          <w:szCs w:val="24"/>
        </w:rPr>
        <w:t>T/CCTAS 36―2022</w:t>
      </w:r>
      <w:r>
        <w:rPr>
          <w:rFonts w:ascii="宋体" w:hAnsi="宋体"/>
          <w:sz w:val="24"/>
          <w:szCs w:val="24"/>
        </w:rPr>
        <w:t>）</w:t>
      </w:r>
    </w:p>
    <w:p>
      <w:pPr>
        <w:numPr>
          <w:ilvl w:val="0"/>
          <w:numId w:val="32"/>
        </w:numPr>
        <w:kinsoku w:val="0"/>
        <w:autoSpaceDE w:val="0"/>
        <w:snapToGrid w:val="0"/>
        <w:spacing w:line="360" w:lineRule="auto"/>
        <w:ind w:left="690" w:leftChars="100" w:hanging="480" w:hangingChars="200"/>
        <w:textAlignment w:val="baseline"/>
        <w:rPr>
          <w:rFonts w:ascii="Times New Roman" w:hAnsi="Times New Roman"/>
          <w:sz w:val="24"/>
          <w:szCs w:val="24"/>
        </w:rPr>
      </w:pPr>
      <w:r>
        <w:rPr>
          <w:rFonts w:ascii="宋体" w:hAnsi="宋体"/>
          <w:sz w:val="24"/>
          <w:szCs w:val="24"/>
        </w:rPr>
        <w:t>《公路绿色服务区建设指南》（</w:t>
      </w:r>
      <w:r>
        <w:rPr>
          <w:rFonts w:ascii="Times New Roman" w:hAnsi="Times New Roman"/>
          <w:sz w:val="24"/>
          <w:szCs w:val="24"/>
        </w:rPr>
        <w:t>T/CHTS 10076—2022</w:t>
      </w:r>
      <w:r>
        <w:rPr>
          <w:rFonts w:ascii="宋体" w:hAnsi="宋体"/>
          <w:sz w:val="24"/>
          <w:szCs w:val="24"/>
        </w:rPr>
        <w:t>）</w:t>
      </w:r>
    </w:p>
    <w:p>
      <w:pPr>
        <w:numPr>
          <w:ilvl w:val="0"/>
          <w:numId w:val="32"/>
        </w:numPr>
        <w:kinsoku w:val="0"/>
        <w:autoSpaceDE w:val="0"/>
        <w:snapToGrid w:val="0"/>
        <w:spacing w:line="360" w:lineRule="auto"/>
        <w:ind w:left="690" w:leftChars="100" w:hanging="480" w:hangingChars="200"/>
        <w:textAlignment w:val="baseline"/>
        <w:rPr>
          <w:rFonts w:ascii="Times New Roman" w:hAnsi="Times New Roman"/>
          <w:sz w:val="24"/>
          <w:szCs w:val="24"/>
        </w:rPr>
      </w:pPr>
      <w:r>
        <w:rPr>
          <w:rFonts w:ascii="宋体" w:hAnsi="宋体"/>
          <w:sz w:val="24"/>
          <w:szCs w:val="24"/>
        </w:rPr>
        <w:t>刘杰</w:t>
      </w:r>
      <w:r>
        <w:rPr>
          <w:rFonts w:ascii="Times New Roman" w:hAnsi="Times New Roman"/>
          <w:sz w:val="24"/>
          <w:szCs w:val="24"/>
        </w:rPr>
        <w:t>,</w:t>
      </w:r>
      <w:r>
        <w:rPr>
          <w:rFonts w:ascii="宋体" w:hAnsi="宋体"/>
          <w:sz w:val="24"/>
          <w:szCs w:val="24"/>
        </w:rPr>
        <w:t>高嘉蔚</w:t>
      </w:r>
      <w:r>
        <w:rPr>
          <w:rFonts w:ascii="Times New Roman" w:hAnsi="Times New Roman"/>
          <w:sz w:val="24"/>
          <w:szCs w:val="24"/>
        </w:rPr>
        <w:t xml:space="preserve">. </w:t>
      </w:r>
      <w:r>
        <w:rPr>
          <w:rFonts w:ascii="宋体" w:hAnsi="宋体"/>
          <w:sz w:val="24"/>
          <w:szCs w:val="24"/>
        </w:rPr>
        <w:t>交通基础设施碳排放核算关键问题及对策探索</w:t>
      </w:r>
      <w:r>
        <w:rPr>
          <w:rFonts w:ascii="Times New Roman" w:hAnsi="Times New Roman"/>
          <w:sz w:val="24"/>
          <w:szCs w:val="24"/>
        </w:rPr>
        <w:t xml:space="preserve">[J]. </w:t>
      </w:r>
      <w:r>
        <w:rPr>
          <w:rFonts w:ascii="宋体" w:hAnsi="宋体"/>
          <w:sz w:val="24"/>
          <w:szCs w:val="24"/>
        </w:rPr>
        <w:t>交通节能与环保</w:t>
      </w:r>
      <w:r>
        <w:rPr>
          <w:rFonts w:ascii="Times New Roman" w:hAnsi="Times New Roman"/>
          <w:sz w:val="24"/>
          <w:szCs w:val="24"/>
        </w:rPr>
        <w:t xml:space="preserve">,2021,17(5):4-9.. </w:t>
      </w:r>
    </w:p>
    <w:p>
      <w:pPr>
        <w:numPr>
          <w:ilvl w:val="0"/>
          <w:numId w:val="32"/>
        </w:numPr>
        <w:kinsoku w:val="0"/>
        <w:autoSpaceDE w:val="0"/>
        <w:snapToGrid w:val="0"/>
        <w:spacing w:line="360" w:lineRule="auto"/>
        <w:ind w:left="690" w:leftChars="100" w:hanging="480" w:hangingChars="200"/>
        <w:textAlignment w:val="baseline"/>
        <w:rPr>
          <w:rFonts w:ascii="Times New Roman" w:hAnsi="Times New Roman"/>
          <w:sz w:val="24"/>
          <w:szCs w:val="24"/>
        </w:rPr>
      </w:pPr>
      <w:r>
        <w:rPr>
          <w:rFonts w:ascii="宋体" w:hAnsi="宋体"/>
          <w:sz w:val="24"/>
          <w:szCs w:val="24"/>
        </w:rPr>
        <w:t>李齐丽</w:t>
      </w:r>
      <w:r>
        <w:rPr>
          <w:rFonts w:ascii="Times New Roman" w:hAnsi="Times New Roman"/>
          <w:sz w:val="24"/>
          <w:szCs w:val="24"/>
        </w:rPr>
        <w:t>,</w:t>
      </w:r>
      <w:r>
        <w:rPr>
          <w:rFonts w:ascii="宋体" w:hAnsi="宋体"/>
          <w:sz w:val="24"/>
          <w:szCs w:val="24"/>
        </w:rPr>
        <w:t>陈永锋</w:t>
      </w:r>
      <w:r>
        <w:rPr>
          <w:rFonts w:ascii="Times New Roman" w:hAnsi="Times New Roman"/>
          <w:sz w:val="24"/>
          <w:szCs w:val="24"/>
        </w:rPr>
        <w:t>,</w:t>
      </w:r>
      <w:r>
        <w:rPr>
          <w:rFonts w:ascii="宋体" w:hAnsi="宋体"/>
          <w:sz w:val="24"/>
          <w:szCs w:val="24"/>
        </w:rPr>
        <w:t>陈宗燕</w:t>
      </w:r>
      <w:r>
        <w:rPr>
          <w:rFonts w:ascii="Times New Roman" w:hAnsi="Times New Roman"/>
          <w:sz w:val="24"/>
          <w:szCs w:val="24"/>
        </w:rPr>
        <w:t>,</w:t>
      </w:r>
      <w:r>
        <w:rPr>
          <w:rFonts w:ascii="宋体" w:hAnsi="宋体"/>
          <w:sz w:val="24"/>
          <w:szCs w:val="24"/>
        </w:rPr>
        <w:t>等</w:t>
      </w:r>
      <w:r>
        <w:rPr>
          <w:rFonts w:ascii="Times New Roman" w:hAnsi="Times New Roman"/>
          <w:sz w:val="24"/>
          <w:szCs w:val="24"/>
        </w:rPr>
        <w:t xml:space="preserve">. </w:t>
      </w:r>
      <w:r>
        <w:rPr>
          <w:rFonts w:ascii="宋体" w:hAnsi="宋体"/>
          <w:sz w:val="24"/>
          <w:szCs w:val="24"/>
        </w:rPr>
        <w:t>新时期</w:t>
      </w:r>
      <w:r>
        <w:rPr>
          <w:rFonts w:ascii="Times New Roman" w:hAnsi="Times New Roman"/>
          <w:sz w:val="24"/>
          <w:szCs w:val="24"/>
        </w:rPr>
        <w:t>"</w:t>
      </w:r>
      <w:r>
        <w:rPr>
          <w:rFonts w:ascii="宋体" w:hAnsi="宋体"/>
          <w:sz w:val="24"/>
          <w:szCs w:val="24"/>
        </w:rPr>
        <w:t>服务区</w:t>
      </w:r>
      <w:r>
        <w:rPr>
          <w:rFonts w:ascii="Times New Roman" w:hAnsi="Times New Roman"/>
          <w:sz w:val="24"/>
          <w:szCs w:val="24"/>
        </w:rPr>
        <w:t>+</w:t>
      </w:r>
      <w:r>
        <w:rPr>
          <w:rFonts w:ascii="宋体" w:hAnsi="宋体"/>
          <w:sz w:val="24"/>
          <w:szCs w:val="24"/>
        </w:rPr>
        <w:t>旅游</w:t>
      </w:r>
      <w:r>
        <w:rPr>
          <w:rFonts w:ascii="Times New Roman" w:hAnsi="Times New Roman"/>
          <w:sz w:val="24"/>
          <w:szCs w:val="24"/>
        </w:rPr>
        <w:t>"</w:t>
      </w:r>
      <w:r>
        <w:rPr>
          <w:rFonts w:ascii="宋体" w:hAnsi="宋体"/>
          <w:sz w:val="24"/>
          <w:szCs w:val="24"/>
        </w:rPr>
        <w:t>发展模式及功能定位</w:t>
      </w:r>
      <w:r>
        <w:rPr>
          <w:rFonts w:ascii="Times New Roman" w:hAnsi="Times New Roman"/>
          <w:sz w:val="24"/>
          <w:szCs w:val="24"/>
        </w:rPr>
        <w:t xml:space="preserve">[J]. </w:t>
      </w:r>
      <w:r>
        <w:rPr>
          <w:rFonts w:ascii="宋体" w:hAnsi="宋体"/>
          <w:sz w:val="24"/>
          <w:szCs w:val="24"/>
        </w:rPr>
        <w:t>交通节能与环保</w:t>
      </w:r>
      <w:r>
        <w:rPr>
          <w:rFonts w:ascii="Times New Roman" w:hAnsi="Times New Roman"/>
          <w:sz w:val="24"/>
          <w:szCs w:val="24"/>
        </w:rPr>
        <w:t>,2021,17(2):56-60.</w:t>
      </w:r>
    </w:p>
    <w:p>
      <w:pPr>
        <w:numPr>
          <w:ilvl w:val="0"/>
          <w:numId w:val="32"/>
        </w:numPr>
        <w:kinsoku w:val="0"/>
        <w:autoSpaceDE w:val="0"/>
        <w:snapToGrid w:val="0"/>
        <w:spacing w:line="360" w:lineRule="auto"/>
        <w:ind w:left="690" w:leftChars="100" w:hanging="480" w:hangingChars="200"/>
        <w:textAlignment w:val="baseline"/>
        <w:rPr>
          <w:rFonts w:ascii="Times New Roman" w:hAnsi="Times New Roman"/>
          <w:sz w:val="24"/>
          <w:szCs w:val="24"/>
        </w:rPr>
      </w:pPr>
      <w:r>
        <w:rPr>
          <w:rFonts w:ascii="宋体" w:hAnsi="宋体"/>
          <w:sz w:val="24"/>
          <w:szCs w:val="24"/>
        </w:rPr>
        <w:t>杨艳刚</w:t>
      </w:r>
      <w:r>
        <w:rPr>
          <w:rFonts w:ascii="Times New Roman" w:hAnsi="Times New Roman"/>
          <w:sz w:val="24"/>
          <w:szCs w:val="24"/>
        </w:rPr>
        <w:t>,</w:t>
      </w:r>
      <w:r>
        <w:rPr>
          <w:rFonts w:ascii="宋体" w:hAnsi="宋体"/>
          <w:sz w:val="24"/>
          <w:szCs w:val="24"/>
        </w:rPr>
        <w:t>简丽</w:t>
      </w:r>
      <w:r>
        <w:rPr>
          <w:rFonts w:ascii="Times New Roman" w:hAnsi="Times New Roman"/>
          <w:sz w:val="24"/>
          <w:szCs w:val="24"/>
        </w:rPr>
        <w:t>,</w:t>
      </w:r>
      <w:r>
        <w:rPr>
          <w:rFonts w:ascii="宋体" w:hAnsi="宋体"/>
          <w:sz w:val="24"/>
          <w:szCs w:val="24"/>
        </w:rPr>
        <w:t>关磊</w:t>
      </w:r>
      <w:r>
        <w:rPr>
          <w:rFonts w:ascii="Times New Roman" w:hAnsi="Times New Roman"/>
          <w:sz w:val="24"/>
          <w:szCs w:val="24"/>
        </w:rPr>
        <w:t>,</w:t>
      </w:r>
      <w:r>
        <w:rPr>
          <w:rFonts w:ascii="宋体" w:hAnsi="宋体"/>
          <w:sz w:val="24"/>
          <w:szCs w:val="24"/>
        </w:rPr>
        <w:t>等</w:t>
      </w:r>
      <w:r>
        <w:rPr>
          <w:rFonts w:ascii="Times New Roman" w:hAnsi="Times New Roman"/>
          <w:sz w:val="24"/>
          <w:szCs w:val="24"/>
        </w:rPr>
        <w:t xml:space="preserve">. </w:t>
      </w:r>
      <w:r>
        <w:rPr>
          <w:rFonts w:ascii="宋体" w:hAnsi="宋体"/>
          <w:sz w:val="24"/>
          <w:szCs w:val="24"/>
        </w:rPr>
        <w:t>我国高速公路绿色服务区评价指标体系构建</w:t>
      </w:r>
      <w:r>
        <w:rPr>
          <w:rFonts w:ascii="Times New Roman" w:hAnsi="Times New Roman"/>
          <w:sz w:val="24"/>
          <w:szCs w:val="24"/>
        </w:rPr>
        <w:t>[J].</w:t>
      </w:r>
      <w:r>
        <w:rPr>
          <w:rFonts w:ascii="宋体" w:hAnsi="宋体"/>
          <w:sz w:val="24"/>
          <w:szCs w:val="24"/>
        </w:rPr>
        <w:t>交通运输研究</w:t>
      </w:r>
      <w:r>
        <w:rPr>
          <w:rFonts w:ascii="Times New Roman" w:hAnsi="Times New Roman"/>
          <w:sz w:val="24"/>
          <w:szCs w:val="24"/>
        </w:rPr>
        <w:t>,2019,5(5):88-93.</w:t>
      </w:r>
    </w:p>
    <w:p>
      <w:pPr>
        <w:numPr>
          <w:ilvl w:val="0"/>
          <w:numId w:val="32"/>
        </w:numPr>
        <w:kinsoku w:val="0"/>
        <w:autoSpaceDE w:val="0"/>
        <w:snapToGrid w:val="0"/>
        <w:spacing w:line="360" w:lineRule="auto"/>
        <w:ind w:left="690" w:leftChars="100" w:hanging="480" w:hangingChars="200"/>
        <w:textAlignment w:val="baseline"/>
        <w:rPr>
          <w:rFonts w:ascii="Times New Roman" w:hAnsi="Times New Roman"/>
          <w:sz w:val="24"/>
          <w:szCs w:val="24"/>
        </w:rPr>
      </w:pPr>
      <w:r>
        <w:rPr>
          <w:rFonts w:ascii="宋体" w:hAnsi="宋体"/>
          <w:sz w:val="24"/>
          <w:szCs w:val="24"/>
        </w:rPr>
        <w:t>张海峰</w:t>
      </w:r>
      <w:r>
        <w:rPr>
          <w:rFonts w:ascii="Times New Roman" w:hAnsi="Times New Roman"/>
          <w:sz w:val="24"/>
          <w:szCs w:val="24"/>
        </w:rPr>
        <w:t>,</w:t>
      </w:r>
      <w:r>
        <w:rPr>
          <w:rFonts w:ascii="宋体" w:hAnsi="宋体"/>
          <w:sz w:val="24"/>
          <w:szCs w:val="24"/>
        </w:rPr>
        <w:t>孙建勇</w:t>
      </w:r>
      <w:r>
        <w:rPr>
          <w:rFonts w:ascii="Times New Roman" w:hAnsi="Times New Roman"/>
          <w:sz w:val="24"/>
          <w:szCs w:val="24"/>
        </w:rPr>
        <w:t>,</w:t>
      </w:r>
      <w:r>
        <w:rPr>
          <w:rFonts w:ascii="宋体" w:hAnsi="宋体"/>
          <w:sz w:val="24"/>
          <w:szCs w:val="24"/>
        </w:rPr>
        <w:t>张红兵</w:t>
      </w:r>
      <w:r>
        <w:rPr>
          <w:rFonts w:ascii="Times New Roman" w:hAnsi="Times New Roman"/>
          <w:sz w:val="24"/>
          <w:szCs w:val="24"/>
        </w:rPr>
        <w:t>.</w:t>
      </w:r>
      <w:r>
        <w:rPr>
          <w:rFonts w:ascii="宋体" w:hAnsi="宋体"/>
          <w:sz w:val="24"/>
          <w:szCs w:val="24"/>
        </w:rPr>
        <w:t>天津市高速公路绿色服务区评价指标体系研究</w:t>
      </w:r>
      <w:r>
        <w:rPr>
          <w:rFonts w:ascii="Times New Roman" w:hAnsi="Times New Roman"/>
          <w:sz w:val="24"/>
          <w:szCs w:val="24"/>
        </w:rPr>
        <w:t>[J].</w:t>
      </w:r>
      <w:r>
        <w:rPr>
          <w:rFonts w:ascii="宋体" w:hAnsi="宋体"/>
          <w:sz w:val="24"/>
          <w:szCs w:val="24"/>
        </w:rPr>
        <w:t>公路</w:t>
      </w:r>
      <w:r>
        <w:rPr>
          <w:rFonts w:ascii="Times New Roman" w:hAnsi="Times New Roman"/>
          <w:sz w:val="24"/>
          <w:szCs w:val="24"/>
        </w:rPr>
        <w:t>,2020,65(02):196-199.</w:t>
      </w:r>
    </w:p>
    <w:p>
      <w:pPr>
        <w:numPr>
          <w:ilvl w:val="0"/>
          <w:numId w:val="32"/>
        </w:numPr>
        <w:kinsoku w:val="0"/>
        <w:autoSpaceDE w:val="0"/>
        <w:snapToGrid w:val="0"/>
        <w:spacing w:line="360" w:lineRule="auto"/>
        <w:ind w:left="690" w:leftChars="100" w:hanging="480" w:hangingChars="200"/>
        <w:textAlignment w:val="baseline"/>
        <w:rPr>
          <w:rFonts w:ascii="Times New Roman" w:hAnsi="Times New Roman"/>
          <w:sz w:val="24"/>
          <w:szCs w:val="24"/>
        </w:rPr>
      </w:pPr>
      <w:r>
        <w:rPr>
          <w:rFonts w:ascii="宋体" w:hAnsi="宋体"/>
          <w:sz w:val="24"/>
          <w:szCs w:val="24"/>
        </w:rPr>
        <w:t>杨宇广</w:t>
      </w:r>
      <w:r>
        <w:rPr>
          <w:rFonts w:ascii="Times New Roman" w:hAnsi="Times New Roman"/>
          <w:sz w:val="24"/>
          <w:szCs w:val="24"/>
        </w:rPr>
        <w:t xml:space="preserve">. </w:t>
      </w:r>
      <w:r>
        <w:rPr>
          <w:rFonts w:ascii="宋体" w:hAnsi="宋体"/>
          <w:sz w:val="24"/>
          <w:szCs w:val="24"/>
        </w:rPr>
        <w:t>高速公路绿色服务区评价体系构建研究</w:t>
      </w:r>
      <w:r>
        <w:rPr>
          <w:rFonts w:ascii="Times New Roman" w:hAnsi="Times New Roman"/>
          <w:sz w:val="24"/>
          <w:szCs w:val="24"/>
        </w:rPr>
        <w:t xml:space="preserve">[D]. </w:t>
      </w:r>
      <w:r>
        <w:rPr>
          <w:rFonts w:ascii="宋体" w:hAnsi="宋体"/>
          <w:sz w:val="24"/>
          <w:szCs w:val="24"/>
        </w:rPr>
        <w:t>河北</w:t>
      </w:r>
      <w:r>
        <w:rPr>
          <w:rFonts w:ascii="Times New Roman" w:hAnsi="Times New Roman"/>
          <w:sz w:val="24"/>
          <w:szCs w:val="24"/>
        </w:rPr>
        <w:t>:</w:t>
      </w:r>
      <w:r>
        <w:rPr>
          <w:rFonts w:ascii="宋体" w:hAnsi="宋体"/>
          <w:sz w:val="24"/>
          <w:szCs w:val="24"/>
        </w:rPr>
        <w:t>河北工业大学</w:t>
      </w:r>
      <w:r>
        <w:rPr>
          <w:rFonts w:ascii="Times New Roman" w:hAnsi="Times New Roman"/>
          <w:sz w:val="24"/>
          <w:szCs w:val="24"/>
        </w:rPr>
        <w:t>,2020.</w:t>
      </w:r>
    </w:p>
    <w:p>
      <w:pPr>
        <w:numPr>
          <w:ilvl w:val="0"/>
          <w:numId w:val="32"/>
        </w:numPr>
        <w:kinsoku w:val="0"/>
        <w:autoSpaceDE w:val="0"/>
        <w:snapToGrid w:val="0"/>
        <w:spacing w:line="360" w:lineRule="auto"/>
        <w:ind w:left="690" w:leftChars="100" w:hanging="480" w:hangingChars="200"/>
        <w:textAlignment w:val="baseline"/>
        <w:rPr>
          <w:rFonts w:ascii="Times New Roman" w:hAnsi="Times New Roman"/>
          <w:sz w:val="24"/>
          <w:szCs w:val="24"/>
        </w:rPr>
      </w:pPr>
      <w:r>
        <w:rPr>
          <w:rFonts w:ascii="宋体" w:hAnsi="宋体"/>
          <w:sz w:val="24"/>
          <w:szCs w:val="24"/>
        </w:rPr>
        <w:t>孟春麟</w:t>
      </w:r>
      <w:r>
        <w:rPr>
          <w:rFonts w:ascii="Times New Roman" w:hAnsi="Times New Roman"/>
          <w:sz w:val="24"/>
          <w:szCs w:val="24"/>
        </w:rPr>
        <w:t xml:space="preserve">. </w:t>
      </w:r>
      <w:r>
        <w:rPr>
          <w:rFonts w:ascii="宋体" w:hAnsi="宋体"/>
          <w:sz w:val="24"/>
          <w:szCs w:val="24"/>
        </w:rPr>
        <w:t>基于</w:t>
      </w:r>
      <w:r>
        <w:rPr>
          <w:rFonts w:ascii="Times New Roman" w:hAnsi="Times New Roman"/>
          <w:sz w:val="24"/>
          <w:szCs w:val="24"/>
        </w:rPr>
        <w:t>AHP</w:t>
      </w:r>
      <w:r>
        <w:rPr>
          <w:rFonts w:ascii="宋体" w:hAnsi="宋体"/>
          <w:sz w:val="24"/>
          <w:szCs w:val="24"/>
        </w:rPr>
        <w:t>法的江苏省高速公路绿色服务区评价体系研究</w:t>
      </w:r>
      <w:r>
        <w:rPr>
          <w:rFonts w:ascii="Times New Roman" w:hAnsi="Times New Roman"/>
          <w:sz w:val="24"/>
          <w:szCs w:val="24"/>
        </w:rPr>
        <w:t xml:space="preserve">[J]. </w:t>
      </w:r>
      <w:r>
        <w:rPr>
          <w:rFonts w:ascii="宋体" w:hAnsi="宋体"/>
          <w:sz w:val="24"/>
          <w:szCs w:val="24"/>
        </w:rPr>
        <w:t>交通节能与环保</w:t>
      </w:r>
      <w:r>
        <w:rPr>
          <w:rFonts w:ascii="Times New Roman" w:hAnsi="Times New Roman"/>
          <w:sz w:val="24"/>
          <w:szCs w:val="24"/>
        </w:rPr>
        <w:t>,2020,16(1):93-95,118.</w:t>
      </w:r>
    </w:p>
    <w:p>
      <w:pPr>
        <w:numPr>
          <w:ilvl w:val="0"/>
          <w:numId w:val="32"/>
        </w:numPr>
        <w:kinsoku w:val="0"/>
        <w:autoSpaceDE w:val="0"/>
        <w:snapToGrid w:val="0"/>
        <w:spacing w:line="360" w:lineRule="auto"/>
        <w:ind w:left="690" w:leftChars="100" w:hanging="480" w:hangingChars="200"/>
        <w:textAlignment w:val="baseline"/>
        <w:rPr>
          <w:rFonts w:ascii="Times New Roman" w:hAnsi="Times New Roman"/>
          <w:sz w:val="24"/>
          <w:szCs w:val="24"/>
        </w:rPr>
      </w:pPr>
      <w:r>
        <w:rPr>
          <w:rFonts w:ascii="宋体" w:hAnsi="宋体"/>
          <w:sz w:val="24"/>
          <w:szCs w:val="24"/>
        </w:rPr>
        <w:t>王诚</w:t>
      </w:r>
      <w:r>
        <w:rPr>
          <w:rFonts w:ascii="Times New Roman" w:hAnsi="Times New Roman"/>
          <w:sz w:val="24"/>
          <w:szCs w:val="24"/>
        </w:rPr>
        <w:t xml:space="preserve">. </w:t>
      </w:r>
      <w:r>
        <w:rPr>
          <w:rFonts w:ascii="宋体" w:hAnsi="宋体"/>
          <w:sz w:val="24"/>
          <w:szCs w:val="24"/>
        </w:rPr>
        <w:t>高速公路绿色服务区评价体系研究</w:t>
      </w:r>
      <w:r>
        <w:rPr>
          <w:rFonts w:ascii="Times New Roman" w:hAnsi="Times New Roman"/>
          <w:sz w:val="24"/>
          <w:szCs w:val="24"/>
        </w:rPr>
        <w:t>——</w:t>
      </w:r>
      <w:r>
        <w:rPr>
          <w:rFonts w:ascii="宋体" w:hAnsi="宋体"/>
          <w:sz w:val="24"/>
          <w:szCs w:val="24"/>
        </w:rPr>
        <w:t>以陕西省高速公路服务区为例</w:t>
      </w:r>
      <w:r>
        <w:rPr>
          <w:rFonts w:ascii="Times New Roman" w:hAnsi="Times New Roman"/>
          <w:sz w:val="24"/>
          <w:szCs w:val="24"/>
        </w:rPr>
        <w:t xml:space="preserve">[D]. </w:t>
      </w:r>
      <w:r>
        <w:rPr>
          <w:rFonts w:ascii="宋体" w:hAnsi="宋体"/>
          <w:sz w:val="24"/>
          <w:szCs w:val="24"/>
        </w:rPr>
        <w:t>陕西</w:t>
      </w:r>
      <w:r>
        <w:rPr>
          <w:rFonts w:ascii="Times New Roman" w:hAnsi="Times New Roman"/>
          <w:sz w:val="24"/>
          <w:szCs w:val="24"/>
        </w:rPr>
        <w:t>:</w:t>
      </w:r>
      <w:r>
        <w:rPr>
          <w:rFonts w:ascii="宋体" w:hAnsi="宋体"/>
          <w:sz w:val="24"/>
          <w:szCs w:val="24"/>
        </w:rPr>
        <w:t>长安大学</w:t>
      </w:r>
      <w:r>
        <w:rPr>
          <w:rFonts w:ascii="Times New Roman" w:hAnsi="Times New Roman"/>
          <w:sz w:val="24"/>
          <w:szCs w:val="24"/>
        </w:rPr>
        <w:t>,2011.</w:t>
      </w:r>
    </w:p>
    <w:p>
      <w:pPr>
        <w:numPr>
          <w:ilvl w:val="0"/>
          <w:numId w:val="32"/>
        </w:numPr>
        <w:kinsoku w:val="0"/>
        <w:autoSpaceDE w:val="0"/>
        <w:snapToGrid w:val="0"/>
        <w:spacing w:line="360" w:lineRule="auto"/>
        <w:ind w:left="690" w:leftChars="100" w:hanging="480" w:hangingChars="200"/>
        <w:textAlignment w:val="baseline"/>
        <w:rPr>
          <w:rFonts w:ascii="Times New Roman" w:hAnsi="Times New Roman"/>
          <w:sz w:val="24"/>
          <w:szCs w:val="24"/>
        </w:rPr>
      </w:pPr>
      <w:r>
        <w:rPr>
          <w:rFonts w:ascii="宋体" w:hAnsi="宋体"/>
          <w:sz w:val="24"/>
          <w:szCs w:val="24"/>
        </w:rPr>
        <w:t>吕振淑</w:t>
      </w:r>
      <w:r>
        <w:rPr>
          <w:rFonts w:ascii="Times New Roman" w:hAnsi="Times New Roman"/>
          <w:sz w:val="24"/>
          <w:szCs w:val="24"/>
        </w:rPr>
        <w:t xml:space="preserve">. </w:t>
      </w:r>
      <w:r>
        <w:rPr>
          <w:rFonts w:ascii="宋体" w:hAnsi="宋体"/>
          <w:sz w:val="24"/>
          <w:szCs w:val="24"/>
        </w:rPr>
        <w:t>高速公路绿色服务区实现途径</w:t>
      </w:r>
      <w:r>
        <w:rPr>
          <w:rFonts w:ascii="Times New Roman" w:hAnsi="Times New Roman"/>
          <w:sz w:val="24"/>
          <w:szCs w:val="24"/>
        </w:rPr>
        <w:t xml:space="preserve">[J]. </w:t>
      </w:r>
      <w:r>
        <w:rPr>
          <w:rFonts w:ascii="宋体" w:hAnsi="宋体"/>
          <w:sz w:val="24"/>
          <w:szCs w:val="24"/>
        </w:rPr>
        <w:t>公路交通科技（应用技术版）</w:t>
      </w:r>
      <w:r>
        <w:rPr>
          <w:rFonts w:ascii="Times New Roman" w:hAnsi="Times New Roman"/>
          <w:sz w:val="24"/>
          <w:szCs w:val="24"/>
        </w:rPr>
        <w:t xml:space="preserve">,2017,13(4):142-144. </w:t>
      </w:r>
    </w:p>
    <w:p>
      <w:pPr>
        <w:numPr>
          <w:ilvl w:val="0"/>
          <w:numId w:val="32"/>
        </w:numPr>
        <w:kinsoku w:val="0"/>
        <w:autoSpaceDE w:val="0"/>
        <w:snapToGrid w:val="0"/>
        <w:spacing w:line="360" w:lineRule="auto"/>
        <w:ind w:left="690" w:leftChars="100" w:hanging="480" w:hangingChars="200"/>
        <w:textAlignment w:val="baseline"/>
        <w:rPr>
          <w:rFonts w:ascii="Times New Roman" w:hAnsi="Times New Roman"/>
          <w:sz w:val="24"/>
          <w:szCs w:val="24"/>
        </w:rPr>
      </w:pPr>
      <w:r>
        <w:rPr>
          <w:rFonts w:ascii="宋体" w:hAnsi="宋体"/>
          <w:sz w:val="24"/>
          <w:szCs w:val="24"/>
        </w:rPr>
        <w:t>车现法</w:t>
      </w:r>
      <w:r>
        <w:rPr>
          <w:rFonts w:ascii="Times New Roman" w:hAnsi="Times New Roman"/>
          <w:sz w:val="24"/>
          <w:szCs w:val="24"/>
        </w:rPr>
        <w:t>.</w:t>
      </w:r>
      <w:r>
        <w:rPr>
          <w:rFonts w:ascii="宋体" w:hAnsi="宋体"/>
          <w:sz w:val="24"/>
          <w:szCs w:val="24"/>
        </w:rPr>
        <w:t>高速公路绿色服务区建设方案研究</w:t>
      </w:r>
      <w:r>
        <w:rPr>
          <w:rFonts w:ascii="Times New Roman" w:hAnsi="Times New Roman"/>
          <w:sz w:val="24"/>
          <w:szCs w:val="24"/>
        </w:rPr>
        <w:t>[J].</w:t>
      </w:r>
      <w:r>
        <w:rPr>
          <w:rFonts w:ascii="宋体" w:hAnsi="宋体"/>
          <w:sz w:val="24"/>
          <w:szCs w:val="24"/>
        </w:rPr>
        <w:t>公路</w:t>
      </w:r>
      <w:r>
        <w:rPr>
          <w:rFonts w:ascii="Times New Roman" w:hAnsi="Times New Roman"/>
          <w:sz w:val="24"/>
          <w:szCs w:val="24"/>
        </w:rPr>
        <w:t>,2021,66(07):364-367.</w:t>
      </w:r>
    </w:p>
    <w:p>
      <w:pPr>
        <w:numPr>
          <w:ilvl w:val="0"/>
          <w:numId w:val="32"/>
        </w:numPr>
        <w:kinsoku w:val="0"/>
        <w:autoSpaceDE w:val="0"/>
        <w:snapToGrid w:val="0"/>
        <w:spacing w:line="360" w:lineRule="auto"/>
        <w:ind w:left="690" w:leftChars="100" w:hanging="480" w:hangingChars="200"/>
        <w:textAlignment w:val="baseline"/>
        <w:rPr>
          <w:rFonts w:ascii="Times New Roman" w:hAnsi="Times New Roman"/>
          <w:sz w:val="24"/>
          <w:szCs w:val="24"/>
        </w:rPr>
      </w:pPr>
      <w:r>
        <w:rPr>
          <w:rFonts w:ascii="宋体" w:hAnsi="宋体"/>
          <w:sz w:val="24"/>
          <w:szCs w:val="24"/>
        </w:rPr>
        <w:t>李斯涛</w:t>
      </w:r>
      <w:r>
        <w:rPr>
          <w:rFonts w:ascii="Times New Roman" w:hAnsi="Times New Roman"/>
          <w:sz w:val="24"/>
          <w:szCs w:val="24"/>
        </w:rPr>
        <w:t>,</w:t>
      </w:r>
      <w:r>
        <w:rPr>
          <w:rFonts w:ascii="宋体" w:hAnsi="宋体"/>
          <w:sz w:val="24"/>
          <w:szCs w:val="24"/>
        </w:rPr>
        <w:t>刘志强</w:t>
      </w:r>
      <w:r>
        <w:rPr>
          <w:rFonts w:ascii="Times New Roman" w:hAnsi="Times New Roman"/>
          <w:sz w:val="24"/>
          <w:szCs w:val="24"/>
        </w:rPr>
        <w:t>,</w:t>
      </w:r>
      <w:r>
        <w:rPr>
          <w:rFonts w:ascii="宋体" w:hAnsi="宋体"/>
          <w:sz w:val="24"/>
          <w:szCs w:val="24"/>
        </w:rPr>
        <w:t>李培锋</w:t>
      </w:r>
      <w:r>
        <w:rPr>
          <w:rFonts w:ascii="Times New Roman" w:hAnsi="Times New Roman"/>
          <w:sz w:val="24"/>
          <w:szCs w:val="24"/>
        </w:rPr>
        <w:t>,</w:t>
      </w:r>
      <w:r>
        <w:rPr>
          <w:rFonts w:ascii="宋体" w:hAnsi="宋体"/>
          <w:sz w:val="24"/>
          <w:szCs w:val="24"/>
        </w:rPr>
        <w:t>李春</w:t>
      </w:r>
      <w:r>
        <w:rPr>
          <w:rFonts w:ascii="Times New Roman" w:hAnsi="Times New Roman"/>
          <w:sz w:val="24"/>
          <w:szCs w:val="24"/>
        </w:rPr>
        <w:t>,</w:t>
      </w:r>
      <w:r>
        <w:rPr>
          <w:rFonts w:ascii="宋体" w:hAnsi="宋体"/>
          <w:sz w:val="24"/>
          <w:szCs w:val="24"/>
        </w:rPr>
        <w:t>王丹</w:t>
      </w:r>
      <w:r>
        <w:rPr>
          <w:rFonts w:ascii="Times New Roman" w:hAnsi="Times New Roman"/>
          <w:sz w:val="24"/>
          <w:szCs w:val="24"/>
        </w:rPr>
        <w:t>.</w:t>
      </w:r>
      <w:r>
        <w:rPr>
          <w:rFonts w:ascii="宋体" w:hAnsi="宋体"/>
          <w:sz w:val="24"/>
          <w:szCs w:val="24"/>
        </w:rPr>
        <w:t>高速公路服务区低碳生态技术体系探讨</w:t>
      </w:r>
      <w:r>
        <w:rPr>
          <w:rFonts w:ascii="Times New Roman" w:hAnsi="Times New Roman"/>
          <w:sz w:val="24"/>
          <w:szCs w:val="24"/>
        </w:rPr>
        <w:t>[J].</w:t>
      </w:r>
      <w:r>
        <w:rPr>
          <w:rFonts w:ascii="宋体" w:hAnsi="宋体"/>
          <w:sz w:val="24"/>
          <w:szCs w:val="24"/>
        </w:rPr>
        <w:t>公路交通科技</w:t>
      </w:r>
      <w:r>
        <w:rPr>
          <w:rFonts w:ascii="Times New Roman" w:hAnsi="Times New Roman"/>
          <w:sz w:val="24"/>
          <w:szCs w:val="24"/>
        </w:rPr>
        <w:t>,2020,37(S2):56-61.</w:t>
      </w:r>
    </w:p>
    <w:p>
      <w:pPr>
        <w:numPr>
          <w:ilvl w:val="0"/>
          <w:numId w:val="32"/>
        </w:numPr>
        <w:kinsoku w:val="0"/>
        <w:autoSpaceDE w:val="0"/>
        <w:snapToGrid w:val="0"/>
        <w:spacing w:line="360" w:lineRule="auto"/>
        <w:ind w:left="690" w:leftChars="100" w:hanging="480" w:hangingChars="200"/>
        <w:textAlignment w:val="baseline"/>
        <w:rPr>
          <w:rFonts w:ascii="Times New Roman" w:hAnsi="Times New Roman"/>
          <w:sz w:val="24"/>
          <w:szCs w:val="24"/>
        </w:rPr>
      </w:pPr>
      <w:r>
        <w:rPr>
          <w:rFonts w:ascii="宋体" w:hAnsi="宋体"/>
          <w:sz w:val="24"/>
          <w:szCs w:val="24"/>
        </w:rPr>
        <w:t>牟笛</w:t>
      </w:r>
      <w:r>
        <w:rPr>
          <w:rFonts w:ascii="Times New Roman" w:hAnsi="Times New Roman"/>
          <w:sz w:val="24"/>
          <w:szCs w:val="24"/>
        </w:rPr>
        <w:t xml:space="preserve">. </w:t>
      </w:r>
      <w:r>
        <w:rPr>
          <w:rFonts w:ascii="宋体" w:hAnsi="宋体"/>
          <w:sz w:val="24"/>
          <w:szCs w:val="24"/>
        </w:rPr>
        <w:t>基于</w:t>
      </w:r>
      <w:r>
        <w:rPr>
          <w:rFonts w:ascii="Times New Roman" w:hAnsi="Times New Roman"/>
          <w:sz w:val="24"/>
          <w:szCs w:val="24"/>
        </w:rPr>
        <w:t>TOPSIS</w:t>
      </w:r>
      <w:r>
        <w:rPr>
          <w:rFonts w:ascii="宋体" w:hAnsi="宋体"/>
          <w:sz w:val="24"/>
          <w:szCs w:val="24"/>
        </w:rPr>
        <w:t>法的高速公路服务区运营模式研究</w:t>
      </w:r>
      <w:r>
        <w:rPr>
          <w:rFonts w:ascii="Times New Roman" w:hAnsi="Times New Roman"/>
          <w:sz w:val="24"/>
          <w:szCs w:val="24"/>
        </w:rPr>
        <w:t>[D].</w:t>
      </w:r>
      <w:r>
        <w:rPr>
          <w:rFonts w:ascii="宋体" w:hAnsi="宋体"/>
          <w:sz w:val="24"/>
          <w:szCs w:val="24"/>
        </w:rPr>
        <w:t>西南交通大学，</w:t>
      </w:r>
      <w:r>
        <w:rPr>
          <w:rFonts w:ascii="Times New Roman" w:hAnsi="Times New Roman"/>
          <w:sz w:val="24"/>
          <w:szCs w:val="24"/>
        </w:rPr>
        <w:t>2019.</w:t>
      </w:r>
    </w:p>
    <w:p>
      <w:pPr>
        <w:pStyle w:val="59"/>
        <w:ind w:firstLine="0" w:firstLineChars="0"/>
        <w:rPr>
          <w:rFonts w:hint="eastAsia"/>
          <w:sz w:val="24"/>
          <w:szCs w:val="22"/>
        </w:rPr>
      </w:pPr>
    </w:p>
    <w:sectPr>
      <w:headerReference r:id="rId23" w:type="default"/>
      <w:footerReference r:id="rId25" w:type="default"/>
      <w:headerReference r:id="rId24" w:type="even"/>
      <w:footerReference r:id="rId26" w:type="even"/>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1</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 PAGE   \* MERGEFORMAT \* MERGEFORMAT </w:instrText>
    </w:r>
    <w:r>
      <w:fldChar w:fldCharType="separate"/>
    </w:r>
    <w:r>
      <w:t>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 PAGE   \* MERGEFORMAT \* MERGEFORMAT </w:instrText>
    </w:r>
    <w:r>
      <w:fldChar w:fldCharType="separate"/>
    </w:r>
    <w:r>
      <w:t>6</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 PAGE   \* MERGEFORMAT \* MERGEFORMAT </w:instrText>
    </w:r>
    <w:r>
      <w:fldChar w:fldCharType="separate"/>
    </w:r>
    <w:r>
      <w:t>1</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61312" behindDoc="0" locked="0" layoutInCell="1" allowOverlap="1">
              <wp:simplePos x="0" y="0"/>
              <wp:positionH relativeFrom="page">
                <wp:posOffset>719455</wp:posOffset>
              </wp:positionH>
              <wp:positionV relativeFrom="page">
                <wp:posOffset>6592570</wp:posOffset>
              </wp:positionV>
              <wp:extent cx="1828800" cy="1828800"/>
              <wp:effectExtent l="0" t="0" r="0" b="5080"/>
              <wp:wrapNone/>
              <wp:docPr id="67107425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55"/>
                          </w:pPr>
                          <w:r>
                            <w:fldChar w:fldCharType="begin"/>
                          </w:r>
                          <w:r>
                            <w:instrText xml:space="preserve">PAGE   \* MERGEFORMAT</w:instrText>
                          </w:r>
                          <w:r>
                            <w:fldChar w:fldCharType="separate"/>
                          </w:r>
                          <w:r>
                            <w:rPr>
                              <w:lang w:val="zh-CN"/>
                            </w:rPr>
                            <w:t>1</w:t>
                          </w:r>
                          <w:r>
                            <w:fldChar w:fldCharType="end"/>
                          </w:r>
                        </w:p>
                      </w:txbxContent>
                    </wps:txbx>
                    <wps:bodyPr rot="0" spcFirstLastPara="0" vertOverflow="overflow" horzOverflow="overflow" vert="eaVert" wrap="none" lIns="91440" tIns="45720" rIns="91440" bIns="45720" numCol="1" spcCol="0" rtlCol="0" fromWordArt="0" anchor="b" anchorCtr="0" forceAA="0" compatLnSpc="1">
                      <a:spAutoFit/>
                    </wps:bodyPr>
                  </wps:wsp>
                </a:graphicData>
              </a:graphic>
            </wp:anchor>
          </w:drawing>
        </mc:Choice>
        <mc:Fallback>
          <w:pict>
            <v:shape id="文本框 1" o:spid="_x0000_s1026" o:spt="202" type="#_x0000_t202" style="position:absolute;left:0pt;margin-left:56.65pt;margin-top:519.1pt;height:144pt;width:144pt;mso-position-horizontal-relative:page;mso-position-vertical-relative:page;mso-wrap-style:none;z-index:251661312;v-text-anchor:bottom;mso-width-relative:page;mso-height-relative:page;" filled="f" stroked="f" coordsize="21600,21600" o:gfxdata="UEsDBAoAAAAAAIdO4kAAAAAAAAAAAAAAAAAEAAAAZHJzL1BLAwQUAAAACACHTuJAcYYb79sAAAAN&#10;AQAADwAAAGRycy9kb3ducmV2LnhtbE2PzU7DMBCE70i8g7VI3KidBEoJcSqExA0oLQiJmxtvnUC8&#10;jmL3hz49ywluO7Oj2W+r+cH3Yodj7AJpyCYKBFITbEdOw9vrw8UMREyGrOkDoYZvjDCvT08qU9qw&#10;pyXuVskJLqFYGg1tSkMpZWxa9CZOwoDEu00YvUksRyftaPZc7nuZKzWV3nTEF1oz4H2Lzddq6zVc&#10;HT/fX6J9vnm6Xj4ex8XHXXIbp/X5WaZuQSQ8pL8w/OIzOtTMtA5bslH0rLOi4CgPqpjlIDhyqTK2&#10;1mwV+TQHWVfy/xf1D1BLAwQUAAAACACHTuJA/cDSij8CAABvBAAADgAAAGRycy9lMm9Eb2MueG1s&#10;rVRLbtswEN0X6B0I7hvJrp24RuTATeCiQNAESD9rmqIsAfyBpC25B2hv0FU33fdcPkcfKdsx0i6y&#10;6IYacoZv5j3O6PKqU5JshPON0QUdnOWUCM1N2ehVQT99XLyaUOID0yWTRouCboWnV7OXLy5bOxVD&#10;UxtZCkcAov20tQWtQ7DTLPO8For5M2OFhrMyTrGArVtlpWMt0JXMhnl+nrXGldYZLrzH6U3vpHtE&#10;9xxAU1UNFzeGr5XQoUd1QrIASr5urKezVG1VCR7uqsqLQGRBwTSkFUlgL+OazS7ZdOWYrRu+L4E9&#10;p4QnnBRrNJIeoW5YYGTtmr+gVMOd8aYKZ9yorCeSFAGLQf5Em4eaWZG4QGpvj6L7/wfLP2zuHWnK&#10;gp5fDPKL0XA8okQzhYff/fi++/l79+sbGUSZWuuniH6wiA/dW9OheQ7nHoeRfVc5Fb/gReCHyNuj&#10;yKILhMdLk+FkksPF4TtsgJ89XrfOh3fCKBKNgjq8YhKXbW596EMPITGbNotGyvSSUpMWVF6P83Th&#10;6AG41MgRSfTFRit0y27PbGnKLYg503eIt3zRIPkt8+GeObQECsbQhDsslTRIYvYWJbVxX/91HuML&#10;KthnfClp0WQF1ZgpSuR7jTd8MxiNABvSZjS+GGLjTj3LU49eq2uDLh5gPC1PZowP8mBWzqgvmK15&#10;zAoX0xyVFXR5MK9D3/iYTS7m8xSELrQs3OoHyyN0lNPb+TpA0qR0lKnXZq8e+jC91X5mYqOf7lPU&#10;439i9g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xhhvv2wAAAA0BAAAPAAAAAAAAAAEAIAAAACIA&#10;AABkcnMvZG93bnJldi54bWxQSwECFAAUAAAACACHTuJA/cDSij8CAABvBAAADgAAAAAAAAABACAA&#10;AAAqAQAAZHJzL2Uyb0RvYy54bWxQSwUGAAAAAAYABgBZAQAA2wUAAAAA&#10;">
              <v:fill on="f" focussize="0,0"/>
              <v:stroke on="f" weight="0.5pt"/>
              <v:imagedata o:title=""/>
              <o:lock v:ext="edit" aspectratio="f"/>
              <v:textbox style="layout-flow:vertical-ideographic;mso-fit-shape-to-text:t;">
                <w:txbxContent>
                  <w:p>
                    <w:pPr>
                      <w:pStyle w:val="55"/>
                    </w:pPr>
                    <w:r>
                      <w:fldChar w:fldCharType="begin"/>
                    </w:r>
                    <w:r>
                      <w:instrText xml:space="preserve">PAGE   \* MERGEFORMAT</w:instrText>
                    </w:r>
                    <w:r>
                      <w:fldChar w:fldCharType="separate"/>
                    </w:r>
                    <w:r>
                      <w:rPr>
                        <w:lang w:val="zh-CN"/>
                      </w:rPr>
                      <w:t>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3360" behindDoc="0" locked="0" layoutInCell="1" allowOverlap="1">
              <wp:simplePos x="0" y="0"/>
              <wp:positionH relativeFrom="page">
                <wp:posOffset>719455</wp:posOffset>
              </wp:positionH>
              <wp:positionV relativeFrom="page">
                <wp:posOffset>863600</wp:posOffset>
              </wp:positionV>
              <wp:extent cx="1828800" cy="1828800"/>
              <wp:effectExtent l="0" t="0" r="11430" b="12065"/>
              <wp:wrapNone/>
              <wp:docPr id="201412560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7"/>
                          </w:pPr>
                          <w:r>
                            <w:fldChar w:fldCharType="begin"/>
                          </w:r>
                          <w:r>
                            <w:instrText xml:space="preserve">PAGE   \* MERGEFORMAT</w:instrText>
                          </w:r>
                          <w:r>
                            <w:fldChar w:fldCharType="separate"/>
                          </w:r>
                          <w:r>
                            <w:rPr>
                              <w:lang w:val="zh-CN"/>
                            </w:rPr>
                            <w:t>2</w:t>
                          </w:r>
                          <w:r>
                            <w:fldChar w:fldCharType="end"/>
                          </w:r>
                        </w:p>
                      </w:txbxContent>
                    </wps:txbx>
                    <wps:bodyPr rot="0" spcFirstLastPara="0" vertOverflow="overflow" horzOverflow="overflow" vert="eaVert" wrap="none" lIns="0" tIns="0" rIns="0" bIns="0" numCol="1" spcCol="0" rtlCol="0" fromWordArt="0" anchor="b" anchorCtr="0" forceAA="0" compatLnSpc="1">
                      <a:spAutoFit/>
                    </wps:bodyPr>
                  </wps:wsp>
                </a:graphicData>
              </a:graphic>
            </wp:anchor>
          </w:drawing>
        </mc:Choice>
        <mc:Fallback>
          <w:pict>
            <v:shape id="文本框 1" o:spid="_x0000_s1026" o:spt="202" type="#_x0000_t202" style="position:absolute;left:0pt;margin-left:56.65pt;margin-top:68pt;height:144pt;width:144pt;mso-position-horizontal-relative:page;mso-position-vertical-relative:page;mso-wrap-style:none;z-index:251663360;v-text-anchor:bottom;mso-width-relative:page;mso-height-relative:page;" filled="f" stroked="f" coordsize="21600,21600" o:gfxdata="UEsDBAoAAAAAAIdO4kAAAAAAAAAAAAAAAAAEAAAAZHJzL1BLAwQUAAAACACHTuJASBiE5dYAAAAL&#10;AQAADwAAAGRycy9kb3ducmV2LnhtbE1Py07DMBC8I/EP1iJxo3aSqqpCnEpFcAEutDyuTrzEUf2I&#10;bLcNf89yoreZndHsTLOZnWUnjGkMXkKxEMDQ90GPfpDwvn+6WwNLWXmtbPAo4QcTbNrrq0bVOpz9&#10;G552eWAU4lOtJJicp5rz1Bt0Ki3ChJ607xCdykTjwHVUZwp3lpdCrLhTo6cPRk34YLA/7I6OUuZ1&#10;t90ePr8GEx9t+Tx9vL7srZS3N4W4B5Zxzv9m+KtP1aGlTl04ep2YJV5UFVkJVCsaRY6lKOjSESiX&#10;Anjb8MsN7S9QSwMEFAAAAAgAh07iQJwSrKg1AgAAYAQAAA4AAABkcnMvZTJvRG9jLnhtbK1US27b&#10;MBDdF+gdCO5ryW5jGIblwI3hooDRBEg/a5qiLAH8gaQtuQdob9BVN9n3XD5HH/VxirSLLLqhhpzh&#10;m3lvhlpcN0qSo3C+Mjqj41FKidDc5JXeZ/TTx82rGSU+MJ0zabTI6El4er18+WJR27mYmNLIXDgC&#10;EO3ntc1oGYKdJ4nnpVDMj4wVGs7COMUCtm6f5I7VQFcymaTpNKmNy60zXHiP03XnpD2iew6gKYqK&#10;i7XhByV06FCdkCyAki8r6+myrbYoBA+3ReFFIDKjYBraFUlg7+KaLBdsvnfMlhXvS2DPKeEJJ8Uq&#10;jaQXqDULjBxc9ReUqrgz3hRhxI1KOiKtImAxTp9oc18yK1oukNrbi+j+/8HyD8c7R6o8o8j/Zjy5&#10;mqZjSjRT6Pz5x/fzz1/nh29kHHWqrZ8j/N7iQmjemgbTM5x7HEb6TeFU/IIYgR8qny4qiyYQHi/N&#10;JrNZCheHb9gAP3m8bp0P74RRJBoZdWhjqy47bn3oQoeQmE2bTSVl20qpSZ3R6eurtL1w8QBcauSI&#10;JLpioxWaXdMz25n8BGLOdCPiLd9USL5lPtwxh5lAwXg14RZLIQ2SmN6ipDTu67/OY3xGBfuMLyU1&#10;piyjGo+KEvleo4mADIPhBmM3GPqgbgzGFv1ANa2JCy7IwSycUV/wmFYxC1xMc1SS0d1g3oRu0vEY&#10;uVit2iCMnWVhq+8tj9BRPm9XhwAJW2WjLJ0WvVoYvLY3/SOJk/3nvo16/DEs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IGITl1gAAAAsBAAAPAAAAAAAAAAEAIAAAACIAAABkcnMvZG93bnJldi54&#10;bWxQSwECFAAUAAAACACHTuJAnBKsqDUCAABgBAAADgAAAAAAAAABACAAAAAlAQAAZHJzL2Uyb0Rv&#10;Yy54bWxQSwUGAAAAAAYABgBZAQAAzAUAAAAA&#10;">
              <v:fill on="f" focussize="0,0"/>
              <v:stroke on="f" weight="0.5pt"/>
              <v:imagedata o:title=""/>
              <o:lock v:ext="edit" aspectratio="f"/>
              <v:textbox inset="0mm,0mm,0mm,0mm" style="layout-flow:vertical-ideographic;mso-fit-shape-to-text:t;">
                <w:txbxContent>
                  <w:p>
                    <w:pPr>
                      <w:pStyle w:val="17"/>
                    </w:pPr>
                    <w:r>
                      <w:fldChar w:fldCharType="begin"/>
                    </w:r>
                    <w:r>
                      <w:instrText xml:space="preserve">PAGE   \* MERGEFORMAT</w:instrText>
                    </w:r>
                    <w:r>
                      <w:fldChar w:fldCharType="separate"/>
                    </w:r>
                    <w:r>
                      <w:rPr>
                        <w:lang w:val="zh-CN"/>
                      </w:rP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DB 61/T      —2024</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DB 61/T      —2024</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DB 61/T      —2024</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DB 61/T      —2024</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DB 61/T      —2024</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DB 61/T      —2024</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mc:AlternateContent>
        <mc:Choice Requires="wps">
          <w:drawing>
            <wp:anchor distT="0" distB="0" distL="114300" distR="114300" simplePos="0" relativeHeight="251659264" behindDoc="0" locked="0" layoutInCell="1" allowOverlap="1">
              <wp:simplePos x="0" y="0"/>
              <wp:positionH relativeFrom="page">
                <wp:posOffset>9539605</wp:posOffset>
              </wp:positionH>
              <wp:positionV relativeFrom="page">
                <wp:posOffset>5563870</wp:posOffset>
              </wp:positionV>
              <wp:extent cx="1828800" cy="1828800"/>
              <wp:effectExtent l="0" t="0" r="0" b="0"/>
              <wp:wrapNone/>
              <wp:docPr id="1746517120"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64"/>
                          </w:pPr>
                          <w:r>
                            <w:fldChar w:fldCharType="begin"/>
                          </w:r>
                          <w:r>
                            <w:instrText xml:space="preserve"> STYLEREF  标准文件_文件编号  \* MERGEFORMAT </w:instrText>
                          </w:r>
                          <w:r>
                            <w:fldChar w:fldCharType="separate"/>
                          </w:r>
                          <w:r>
                            <w:t>DB 61/T      —2024</w:t>
                          </w:r>
                          <w:r>
                            <w:fldChar w:fldCharType="end"/>
                          </w:r>
                        </w:p>
                      </w:txbxContent>
                    </wps:txbx>
                    <wps:bodyPr rot="0" spcFirstLastPara="0" vertOverflow="overflow" horzOverflow="overflow" vert="eaVert" wrap="none" lIns="91440" tIns="45720" rIns="91440" bIns="45720" numCol="1" spcCol="0" rtlCol="0" fromWordArt="0" anchor="b" anchorCtr="0" forceAA="0" compatLnSpc="1">
                      <a:spAutoFit/>
                    </wps:bodyPr>
                  </wps:wsp>
                </a:graphicData>
              </a:graphic>
            </wp:anchor>
          </w:drawing>
        </mc:Choice>
        <mc:Fallback>
          <w:pict>
            <v:shape id="文本框 1" o:spid="_x0000_s1026" o:spt="202" type="#_x0000_t202" style="position:absolute;left:0pt;margin-left:751.15pt;margin-top:438.1pt;height:144pt;width:144pt;mso-position-horizontal-relative:page;mso-position-vertical-relative:page;mso-wrap-style:none;z-index:251659264;v-text-anchor:bottom;mso-width-relative:page;mso-height-relative:page;" filled="f" stroked="f" coordsize="21600,21600" o:gfxdata="UEsDBAoAAAAAAIdO4kAAAAAAAAAAAAAAAAAEAAAAZHJzL1BLAwQUAAAACACHTuJA6381W90AAAAO&#10;AQAADwAAAGRycy9kb3ducmV2LnhtbE2PS0/DMBCE70j8B2uRuFE7gSZtiFMhJG68WhASNzfeOoHY&#10;jmz3QX892xPcdnZHs9/Ui4Md2A5D7L2TkE0EMHSt170zEt7fHq5mwGJSTqvBO5TwgxEWzflZrSrt&#10;926Ju1UyjEJcrJSELqWx4jy2HVoVJ35ER7eND1YlksFwHdSewu3AcyEKblXv6EOnRrzvsP1eba2E&#10;6fHr4zXq5/lTuXw8hpfPu2Q2RsrLi0zcAkt4SH9mOOETOjTEtPZbpyMbSE9Ffk1eCbOyyIGdLOVc&#10;0GpNU1bc5MCbmv+v0fwCUEsDBBQAAAAIAIdO4kAKMV00PwIAAHAEAAAOAAAAZHJzL2Uyb0RvYy54&#10;bWytVEtu2zAQ3RfoHQjuG1mu7bhG5MBN4KJA0ARIP2uaoiwB/IGkLaUHaG/QVTfd91w+Rx8p2zHS&#10;LrLohhpyhm/mPc7o4rJTkmyF843RBc3PBpQIzU3Z6HVBP31cvppS4gPTJZNGi4I+CE8v5y9fXLR2&#10;JoamNrIUjgBE+1lrC1qHYGdZ5nktFPNnxgoNZ2WcYgFbt85Kx1qgK5kNB4NJ1hpXWme48B6n172T&#10;7hHdcwBNVTVcXBu+UUKHHtUJyQIo+bqxns5TtVUleLitKi8CkQUF05BWJIG9ims2v2CztWO2bvi+&#10;BPacEp5wUqzRSHqEumaBkY1r/oJSDXfGmyqccaOynkhSBCzywRNt7mtmReICqb09iu7/Hyz/sL1z&#10;pCnRCeejyTg/z4eQRjOFl9/9+L77+Xv36xvJo06t9TOE31tcCN1b0+HO4dzjMNLvKqfiF8QI/IB6&#10;OKosukB4vDQdTqcDuDh8hw3ws8fr1vnwThhFolFQh2dM6rLtjQ996CEkZtNm2UiZnlJq0hZ08no8&#10;SBeOHoBLjRyRRF9stEK36vbMVqZ8ADFn+hbxli8bJL9hPtwxh55AwZiacIulkgZJzN6ipDbu67/O&#10;Y3xBBfuMLyUtuqygGkNFiXyv8Yhv8tEIsCFtRuPzKL079axOPXqjrgzaOMd8Wp7MGB/kwaycUV8w&#10;XIuYFS6mOSor6OpgXoW+8zGcXCwWKQhtaFm40feWR+gop7eLTYCkSekoU6/NXj00Ynqr/dDETj/d&#10;p6jHH8X8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Ot/NVvdAAAADgEAAA8AAAAAAAAAAQAgAAAA&#10;IgAAAGRycy9kb3ducmV2LnhtbFBLAQIUABQAAAAIAIdO4kAKMV00PwIAAHAEAAAOAAAAAAAAAAEA&#10;IAAAACwBAABkcnMvZTJvRG9jLnhtbFBLBQYAAAAABgAGAFkBAADdBQAAAAA=&#10;">
              <v:fill on="f" focussize="0,0"/>
              <v:stroke on="f" weight="0.5pt"/>
              <v:imagedata o:title=""/>
              <o:lock v:ext="edit" aspectratio="f"/>
              <v:textbox style="layout-flow:vertical-ideographic;mso-fit-shape-to-text:t;">
                <w:txbxContent>
                  <w:p>
                    <w:pPr>
                      <w:pStyle w:val="64"/>
                    </w:pPr>
                    <w:r>
                      <w:fldChar w:fldCharType="begin"/>
                    </w:r>
                    <w:r>
                      <w:instrText xml:space="preserve"> STYLEREF  标准文件_文件编号  \* MERGEFORMAT </w:instrText>
                    </w:r>
                    <w:r>
                      <w:fldChar w:fldCharType="separate"/>
                    </w:r>
                    <w:r>
                      <w:t>DB 61/T      —2024</w:t>
                    </w:r>
                    <w:r>
                      <w:fldChar w:fldCharType="end"/>
                    </w:r>
                  </w:p>
                </w:txbxContent>
              </v:textbox>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mc:AlternateContent>
        <mc:Choice Requires="wps">
          <w:drawing>
            <wp:anchor distT="0" distB="0" distL="114300" distR="114300" simplePos="0" relativeHeight="251662336" behindDoc="0" locked="0" layoutInCell="1" allowOverlap="1">
              <wp:simplePos x="0" y="0"/>
              <wp:positionH relativeFrom="page">
                <wp:posOffset>9719945</wp:posOffset>
              </wp:positionH>
              <wp:positionV relativeFrom="page">
                <wp:posOffset>899795</wp:posOffset>
              </wp:positionV>
              <wp:extent cx="1828800" cy="1828800"/>
              <wp:effectExtent l="0" t="0" r="5080" b="12065"/>
              <wp:wrapNone/>
              <wp:docPr id="823057328"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65"/>
                          </w:pPr>
                          <w:r>
                            <w:fldChar w:fldCharType="begin"/>
                          </w:r>
                          <w:r>
                            <w:instrText xml:space="preserve"> STYLEREF  标准文件_文件编号 \* MERGEFORMAT </w:instrText>
                          </w:r>
                          <w:r>
                            <w:fldChar w:fldCharType="separate"/>
                          </w:r>
                          <w:r>
                            <w:t>DB 61/T      —2024</w:t>
                          </w:r>
                          <w:r>
                            <w:fldChar w:fldCharType="end"/>
                          </w:r>
                        </w:p>
                      </w:txbxContent>
                    </wps:txbx>
                    <wps:bodyPr rot="0" spcFirstLastPara="0" vertOverflow="overflow" horzOverflow="overflow" vert="eaVert" wrap="none" lIns="0" tIns="0" rIns="0" bIns="0" numCol="1" spcCol="0" rtlCol="0" fromWordArt="0" anchor="b" anchorCtr="0" forceAA="0" compatLnSpc="1">
                      <a:spAutoFit/>
                    </wps:bodyPr>
                  </wps:wsp>
                </a:graphicData>
              </a:graphic>
            </wp:anchor>
          </w:drawing>
        </mc:Choice>
        <mc:Fallback>
          <w:pict>
            <v:shape id="文本框 1" o:spid="_x0000_s1026" o:spt="202" type="#_x0000_t202" style="position:absolute;left:0pt;margin-left:765.35pt;margin-top:70.85pt;height:144pt;width:144pt;mso-position-horizontal-relative:page;mso-position-vertical-relative:page;mso-wrap-style:none;z-index:251662336;v-text-anchor:bottom;mso-width-relative:page;mso-height-relative:page;" filled="f" stroked="f" coordsize="21600,21600" o:gfxdata="UEsDBAoAAAAAAIdO4kAAAAAAAAAAAAAAAAAEAAAAZHJzL1BLAwQUAAAACACHTuJAEsi7HNkAAAAN&#10;AQAADwAAAGRycy9kb3ducmV2LnhtbE2PzU7DMBCE70i8g7VI3KidUGgIcSoVwQW40EJ7deIlieqf&#10;yHbb8PZsT3Cb0Y5mv6mWkzXsiCEO3knIZgIYutbrwXUSPjcvNwWwmJTTyniHEn4wwrK+vKhUqf3J&#10;feBxnTpGJS6WSkKf0lhyHtserYozP6Kj27cPViWyoeM6qBOVW8NzIe65VYOjD70a8anHdr8+WGqZ&#10;ima12m93XR+eTf46fr2/bYyU11eZeASWcEp/YTjjEzrUxNT4g9ORGfJ3t2JBWVLzjMQ5UmQFqUbC&#10;PH9YAK8r/n9F/QtQSwMEFAAAAAgAh07iQA6YXGI1AgAAXwQAAA4AAABkcnMvZTJvRG9jLnhtbK1U&#10;S27bMBDdF+gdCO5ryTaSGoblwI3hooDRBEg/a5qiLAH8gaQtuQdob9BVN933XD5HH/VxirSLLLqh&#10;hpzhm3mPM1rcNEqSo3C+Mjqj41FKidDc5JXeZ/Tjh82rGSU+MJ0zabTI6El4erN8+WJR27mYmNLI&#10;XDgCEO3ntc1oGYKdJ4nnpVDMj4wVGs7COMUCtm6f5I7VQFcymaTpdVIbl1tnuPAep+vOSXtE9xxA&#10;UxQVF2vDD0ro0KE6IVkAJV9W1tNlW21RCB7uisKLQGRGwTS0K5LA3sU1WS7YfO+YLSvel8CeU8IT&#10;TopVGkkvUGsWGDm46i8oVXFnvCnCiBuVdERaRcBinD7R5qFkVrRcILW3F9H9/4Pl74/3jlR5RmeT&#10;aXr1ejrB82um8PDn79/OP36df34l4yhTbf0c0Q8W8aF5Yxo0z3DucRjZN4VT8QteBH6IfLqILJpA&#10;eLw0m8xmKVwcvmED/OTxunU+vBVGkWhk1OEVW3HZcetDFzqExGzabCop25eUmtQZvZ5epe2Fiwfg&#10;UiNHJNEVG63Q7Jqe2c7kJxBzpusQb/mmQvIt8+GeObQECsbQhDsshTRIYnqLktK4L/86j/EZFewT&#10;vpTUaLKMaswUJfKdxhsCMgyGG4zdYOiDujXo2jHG0fLWxAUX5GAWzqjPmKVVzAIX0xyVZHQ3mLeh&#10;a3TMIherVRuErrMsbPWD5RE6yuft6hAgYatslKXTolcLfde+TT8jsbH/3LdRj/+F5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SyLsc2QAAAA0BAAAPAAAAAAAAAAEAIAAAACIAAABkcnMvZG93bnJl&#10;di54bWxQSwECFAAUAAAACACHTuJADphcYjUCAABfBAAADgAAAAAAAAABACAAAAAoAQAAZHJzL2Uy&#10;b0RvYy54bWxQSwUGAAAAAAYABgBZAQAAzwUAAAAA&#10;">
              <v:fill on="f" focussize="0,0"/>
              <v:stroke on="f" weight="0.5pt"/>
              <v:imagedata o:title=""/>
              <o:lock v:ext="edit" aspectratio="f"/>
              <v:textbox inset="0mm,0mm,0mm,0mm" style="layout-flow:vertical-ideographic;mso-fit-shape-to-text:t;">
                <w:txbxContent>
                  <w:p>
                    <w:pPr>
                      <w:pStyle w:val="65"/>
                    </w:pPr>
                    <w:r>
                      <w:fldChar w:fldCharType="begin"/>
                    </w:r>
                    <w:r>
                      <w:instrText xml:space="preserve"> STYLEREF  标准文件_文件编号 \* MERGEFORMAT </w:instrText>
                    </w:r>
                    <w:r>
                      <w:fldChar w:fldCharType="separate"/>
                    </w:r>
                    <w:r>
                      <w:t>DB 61/T      —2024</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6"/>
      <w:suff w:val="nothing"/>
      <w:lvlText w:val="%1%2.%3.%4.%5　"/>
      <w:lvlJc w:val="left"/>
      <w:pPr>
        <w:ind w:left="0" w:firstLine="0"/>
      </w:pPr>
    </w:lvl>
    <w:lvl w:ilvl="5" w:tentative="0">
      <w:start w:val="1"/>
      <w:numFmt w:val="decimal"/>
      <w:pStyle w:val="158"/>
      <w:suff w:val="nothing"/>
      <w:lvlText w:val="%1%2.%3.%4.%5.%6　"/>
      <w:lvlJc w:val="left"/>
      <w:pPr>
        <w:ind w:left="0" w:firstLine="0"/>
      </w:pPr>
    </w:lvl>
    <w:lvl w:ilvl="6" w:tentative="0">
      <w:start w:val="1"/>
      <w:numFmt w:val="decimal"/>
      <w:pStyle w:val="16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eastAsia="黑体" w:hAnsiTheme="minorHAnsi"/>
        <w:b w:val="0"/>
        <w:i w:val="0"/>
        <w:sz w:val="21"/>
      </w:rPr>
    </w:lvl>
    <w:lvl w:ilvl="2" w:tentative="0">
      <w:start w:val="1"/>
      <w:numFmt w:val="decimal"/>
      <w:pStyle w:val="204"/>
      <w:suff w:val="nothing"/>
      <w:lvlText w:val="%10.%2.%3 "/>
      <w:lvlJc w:val="left"/>
      <w:pPr>
        <w:ind w:left="0" w:firstLine="0"/>
      </w:pPr>
      <w:rPr>
        <w:rFonts w:hint="eastAsia" w:ascii="黑体" w:eastAsia="黑体" w:hAnsiTheme="minorHAnsi"/>
        <w:b w:val="0"/>
        <w:i w:val="0"/>
        <w:sz w:val="21"/>
      </w:rPr>
    </w:lvl>
    <w:lvl w:ilvl="3" w:tentative="0">
      <w:start w:val="1"/>
      <w:numFmt w:val="decimal"/>
      <w:pStyle w:val="205"/>
      <w:suff w:val="nothing"/>
      <w:lvlText w:val="%10.%2.%3.%4 "/>
      <w:lvlJc w:val="left"/>
      <w:pPr>
        <w:ind w:left="0" w:firstLine="0"/>
      </w:pPr>
      <w:rPr>
        <w:rFonts w:hint="eastAsia" w:ascii="黑体" w:eastAsia="黑体" w:hAnsiTheme="minorHAnsi"/>
        <w:b w:val="0"/>
        <w:i w:val="0"/>
        <w:sz w:val="21"/>
      </w:rPr>
    </w:lvl>
    <w:lvl w:ilvl="4" w:tentative="0">
      <w:start w:val="1"/>
      <w:numFmt w:val="decimal"/>
      <w:pStyle w:val="206"/>
      <w:suff w:val="nothing"/>
      <w:lvlText w:val="%10.%2.%3.%4.%5 "/>
      <w:lvlJc w:val="left"/>
      <w:pPr>
        <w:ind w:left="0" w:firstLine="0"/>
      </w:pPr>
      <w:rPr>
        <w:rFonts w:hint="eastAsia" w:ascii="黑体" w:eastAsia="黑体" w:hAnsiTheme="minorHAnsi"/>
        <w:b w:val="0"/>
        <w:i w:val="0"/>
        <w:sz w:val="21"/>
      </w:rPr>
    </w:lvl>
    <w:lvl w:ilvl="5" w:tentative="0">
      <w:start w:val="1"/>
      <w:numFmt w:val="decimal"/>
      <w:pStyle w:val="20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342583D"/>
    <w:multiLevelType w:val="multilevel"/>
    <w:tmpl w:val="2342583D"/>
    <w:lvl w:ilvl="0" w:tentative="0">
      <w:start w:val="1"/>
      <w:numFmt w:val="decimal"/>
      <w:lvlText w:val="[%1] "/>
      <w:lvlJc w:val="left"/>
      <w:pPr>
        <w:tabs>
          <w:tab w:val="left" w:pos="397"/>
        </w:tabs>
        <w:ind w:left="454" w:hanging="454"/>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2C5917C3"/>
    <w:multiLevelType w:val="multilevel"/>
    <w:tmpl w:val="2C5917C3"/>
    <w:lvl w:ilvl="0" w:tentative="0">
      <w:start w:val="1"/>
      <w:numFmt w:val="none"/>
      <w:pStyle w:val="135"/>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0"/>
      <w:lvlText w:val=""/>
      <w:lvlJc w:val="left"/>
      <w:pPr>
        <w:ind w:left="851" w:hanging="431"/>
      </w:pPr>
      <w:rPr>
        <w:rFonts w:hint="default" w:ascii="Symbol" w:hAnsi="Symbol"/>
        <w:sz w:val="21"/>
      </w:rPr>
    </w:lvl>
    <w:lvl w:ilvl="2" w:tentative="0">
      <w:start w:val="1"/>
      <w:numFmt w:val="bullet"/>
      <w:pStyle w:val="17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7"/>
      <w:lvlText w:val="%1)"/>
      <w:lvlJc w:val="left"/>
      <w:pPr>
        <w:tabs>
          <w:tab w:val="left" w:pos="851"/>
        </w:tabs>
        <w:ind w:left="851" w:hanging="426"/>
      </w:pPr>
      <w:rPr>
        <w:rFonts w:hint="eastAsia" w:ascii="宋体" w:hAnsi="Times New Roman" w:eastAsia="宋体"/>
        <w:sz w:val="21"/>
      </w:rPr>
    </w:lvl>
    <w:lvl w:ilvl="1" w:tentative="0">
      <w:start w:val="1"/>
      <w:numFmt w:val="decimal"/>
      <w:pStyle w:val="112"/>
      <w:lvlText w:val="%2)"/>
      <w:lvlJc w:val="left"/>
      <w:pPr>
        <w:tabs>
          <w:tab w:val="left" w:pos="1276"/>
        </w:tabs>
        <w:ind w:left="1276" w:hanging="425"/>
      </w:pPr>
      <w:rPr>
        <w:rFonts w:hint="eastAsia" w:ascii="宋体" w:hAnsi="Times New Roman" w:eastAsia="宋体"/>
        <w:sz w:val="21"/>
      </w:rPr>
    </w:lvl>
    <w:lvl w:ilvl="2" w:tentative="0">
      <w:start w:val="1"/>
      <w:numFmt w:val="decimal"/>
      <w:pStyle w:val="12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201"/>
      <w:lvlText w:val="%1"/>
      <w:lvlJc w:val="left"/>
      <w:pPr>
        <w:ind w:left="420" w:hanging="420"/>
      </w:pPr>
      <w:rPr>
        <w:rFonts w:hint="eastAsia"/>
      </w:rPr>
    </w:lvl>
    <w:lvl w:ilvl="1" w:tentative="0">
      <w:start w:val="1"/>
      <w:numFmt w:val="decimal"/>
      <w:pStyle w:val="8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2"/>
      <w:suff w:val="space"/>
      <w:lvlText w:val="%1"/>
      <w:lvlJc w:val="left"/>
      <w:pPr>
        <w:ind w:left="425" w:hanging="425"/>
      </w:pPr>
      <w:rPr>
        <w:rFonts w:hint="eastAsia"/>
      </w:rPr>
    </w:lvl>
    <w:lvl w:ilvl="1" w:tentative="0">
      <w:start w:val="1"/>
      <w:numFmt w:val="decimal"/>
      <w:pStyle w:val="80"/>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5"/>
      <w:suff w:val="nothing"/>
      <w:lvlText w:val="表%1　"/>
      <w:lvlJc w:val="left"/>
      <w:pPr>
        <w:ind w:left="4679" w:firstLine="0"/>
      </w:pPr>
    </w:lvl>
    <w:lvl w:ilvl="1" w:tentative="0">
      <w:start w:val="1"/>
      <w:numFmt w:val="decimal"/>
      <w:lvlText w:val="%1.%2"/>
      <w:lvlJc w:val="left"/>
      <w:pPr>
        <w:tabs>
          <w:tab w:val="left" w:pos="5671"/>
        </w:tabs>
        <w:ind w:left="5671" w:hanging="567"/>
      </w:pPr>
    </w:lvl>
    <w:lvl w:ilvl="2" w:tentative="0">
      <w:start w:val="1"/>
      <w:numFmt w:val="decimal"/>
      <w:lvlText w:val="%1.%2.%3"/>
      <w:lvlJc w:val="left"/>
      <w:pPr>
        <w:tabs>
          <w:tab w:val="left" w:pos="6096"/>
        </w:tabs>
        <w:ind w:left="6096" w:hanging="567"/>
      </w:pPr>
    </w:lvl>
    <w:lvl w:ilvl="3" w:tentative="0">
      <w:start w:val="1"/>
      <w:numFmt w:val="decimal"/>
      <w:lvlText w:val="%1.%2.%3.%4"/>
      <w:lvlJc w:val="left"/>
      <w:pPr>
        <w:tabs>
          <w:tab w:val="left" w:pos="6663"/>
        </w:tabs>
        <w:ind w:left="6663" w:hanging="708"/>
      </w:pPr>
    </w:lvl>
    <w:lvl w:ilvl="4" w:tentative="0">
      <w:start w:val="1"/>
      <w:numFmt w:val="decimal"/>
      <w:lvlText w:val="%1.%2.%3.%4.%5"/>
      <w:lvlJc w:val="left"/>
      <w:pPr>
        <w:tabs>
          <w:tab w:val="left" w:pos="7230"/>
        </w:tabs>
        <w:ind w:left="7230" w:hanging="850"/>
      </w:pPr>
    </w:lvl>
    <w:lvl w:ilvl="5" w:tentative="0">
      <w:start w:val="1"/>
      <w:numFmt w:val="decimal"/>
      <w:lvlText w:val="%1.%2.%3.%4.%5.%6"/>
      <w:lvlJc w:val="left"/>
      <w:pPr>
        <w:tabs>
          <w:tab w:val="left" w:pos="7939"/>
        </w:tabs>
        <w:ind w:left="7939" w:hanging="1134"/>
      </w:pPr>
    </w:lvl>
    <w:lvl w:ilvl="6" w:tentative="0">
      <w:start w:val="1"/>
      <w:numFmt w:val="decimal"/>
      <w:lvlText w:val="%1.%2.%3.%4.%5.%6.%7"/>
      <w:lvlJc w:val="left"/>
      <w:pPr>
        <w:tabs>
          <w:tab w:val="left" w:pos="8506"/>
        </w:tabs>
        <w:ind w:left="8506" w:hanging="1276"/>
      </w:pPr>
    </w:lvl>
    <w:lvl w:ilvl="7" w:tentative="0">
      <w:start w:val="1"/>
      <w:numFmt w:val="decimal"/>
      <w:lvlText w:val="%1.%2.%3.%4.%5.%6.%7.%8"/>
      <w:lvlJc w:val="left"/>
      <w:pPr>
        <w:tabs>
          <w:tab w:val="left" w:pos="9073"/>
        </w:tabs>
        <w:ind w:left="9073" w:hanging="1418"/>
      </w:pPr>
    </w:lvl>
    <w:lvl w:ilvl="8" w:tentative="0">
      <w:start w:val="1"/>
      <w:numFmt w:val="decimal"/>
      <w:lvlText w:val="%1.%2.%3.%4.%5.%6.%7.%8.%9"/>
      <w:lvlJc w:val="left"/>
      <w:pPr>
        <w:tabs>
          <w:tab w:val="left" w:pos="9781"/>
        </w:tabs>
        <w:ind w:left="9781" w:hanging="1700"/>
      </w:pPr>
    </w:lvl>
  </w:abstractNum>
  <w:abstractNum w:abstractNumId="23">
    <w:nsid w:val="654A26C9"/>
    <w:multiLevelType w:val="multilevel"/>
    <w:tmpl w:val="654A26C9"/>
    <w:lvl w:ilvl="0" w:tentative="0">
      <w:start w:val="1"/>
      <w:numFmt w:val="none"/>
      <w:pStyle w:val="19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9"/>
      <w:suff w:val="nothing"/>
      <w:lvlText w:val="附录%1"/>
      <w:lvlJc w:val="left"/>
      <w:pPr>
        <w:ind w:left="0" w:firstLine="0"/>
      </w:pPr>
      <w:rPr>
        <w:rFonts w:hint="eastAsia"/>
        <w:spacing w:val="100"/>
      </w:rPr>
    </w:lvl>
    <w:lvl w:ilvl="1" w:tentative="0">
      <w:start w:val="1"/>
      <w:numFmt w:val="decimal"/>
      <w:pStyle w:val="81"/>
      <w:suff w:val="nothing"/>
      <w:lvlText w:val="%1.%2　"/>
      <w:lvlJc w:val="left"/>
      <w:pPr>
        <w:ind w:left="0"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eastAsia="黑体"/>
        <w:b w:val="0"/>
        <w:i w:val="0"/>
        <w:sz w:val="21"/>
      </w:rPr>
    </w:lvl>
    <w:lvl w:ilvl="3" w:tentative="0">
      <w:start w:val="1"/>
      <w:numFmt w:val="decimal"/>
      <w:pStyle w:val="84"/>
      <w:suff w:val="nothing"/>
      <w:lvlText w:val="%1.%2.%3.%4　"/>
      <w:lvlJc w:val="left"/>
      <w:pPr>
        <w:ind w:left="0"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5"/>
      <w:suff w:val="nothing"/>
      <w:lvlText w:val="%1"/>
      <w:lvlJc w:val="left"/>
      <w:pPr>
        <w:ind w:left="0" w:firstLine="0"/>
      </w:pPr>
      <w:rPr>
        <w:rFonts w:hint="eastAsia"/>
      </w:rPr>
    </w:lvl>
    <w:lvl w:ilvl="1" w:tentative="0">
      <w:start w:val="1"/>
      <w:numFmt w:val="decimal"/>
      <w:pStyle w:val="107"/>
      <w:suff w:val="nothing"/>
      <w:lvlText w:val="%1%2　"/>
      <w:lvlJc w:val="left"/>
      <w:pPr>
        <w:ind w:left="0" w:firstLine="0"/>
      </w:pPr>
      <w:rPr>
        <w:rFonts w:hint="eastAsia" w:ascii="黑体" w:eastAsia="黑体"/>
        <w:b w:val="0"/>
        <w:i w:val="0"/>
        <w:sz w:val="21"/>
      </w:rPr>
    </w:lvl>
    <w:lvl w:ilvl="2" w:tentative="0">
      <w:start w:val="1"/>
      <w:numFmt w:val="decimal"/>
      <w:pStyle w:val="108"/>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8"/>
      <w:suff w:val="nothing"/>
      <w:lvlText w:val="%1%2.%3.%4　"/>
      <w:lvlJc w:val="left"/>
      <w:pPr>
        <w:ind w:left="0" w:firstLine="0"/>
      </w:pPr>
      <w:rPr>
        <w:rFonts w:hint="eastAsia" w:ascii="黑体" w:eastAsia="黑体"/>
        <w:b w:val="0"/>
        <w:i w:val="0"/>
        <w:sz w:val="21"/>
      </w:rPr>
    </w:lvl>
    <w:lvl w:ilvl="4" w:tentative="0">
      <w:start w:val="1"/>
      <w:numFmt w:val="decimal"/>
      <w:pStyle w:val="97"/>
      <w:suff w:val="nothing"/>
      <w:lvlText w:val="%1%2.%3.%4.%5　"/>
      <w:lvlJc w:val="left"/>
      <w:pPr>
        <w:ind w:left="0" w:firstLine="0"/>
      </w:pPr>
      <w:rPr>
        <w:rFonts w:hint="eastAsia" w:ascii="黑体" w:eastAsia="黑体"/>
        <w:b w:val="0"/>
        <w:i w:val="0"/>
        <w:sz w:val="21"/>
      </w:rPr>
    </w:lvl>
    <w:lvl w:ilvl="5" w:tentative="0">
      <w:start w:val="1"/>
      <w:numFmt w:val="decimal"/>
      <w:pStyle w:val="101"/>
      <w:suff w:val="nothing"/>
      <w:lvlText w:val="%1%2.%3.%4.%5.%6　"/>
      <w:lvlJc w:val="left"/>
      <w:pPr>
        <w:ind w:left="0" w:firstLine="0"/>
      </w:pPr>
      <w:rPr>
        <w:rFonts w:hint="eastAsia" w:ascii="黑体" w:eastAsia="黑体"/>
        <w:b w:val="0"/>
        <w:i w:val="0"/>
        <w:sz w:val="21"/>
      </w:rPr>
    </w:lvl>
    <w:lvl w:ilvl="6" w:tentative="0">
      <w:start w:val="1"/>
      <w:numFmt w:val="decimal"/>
      <w:pStyle w:val="10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4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attachedTemplate r:id="rId1"/>
  <w:documentProtection w:edit="forms" w:enforcement="1" w:cryptProviderType="rsaAES" w:cryptAlgorithmClass="hash" w:cryptAlgorithmType="typeAny" w:cryptAlgorithmSid="14" w:cryptSpinCount="100000" w:hash="2uZr9Vc94JwYjuCs9gC/uW2Sn8lqRlKF0Fti+L8AGjnHsk3jW7zZZfksb9jQfTqB+pEaQ/29JNJjuyxjWNNABg==" w:salt="qNZHzLFSRU8GA5CUZ9WvpQ=="/>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UwZmQzODU0ZTBiMDQyMWMxZjdjNWE4ODMzMTBjYmMifQ=="/>
  </w:docVars>
  <w:rsids>
    <w:rsidRoot w:val="004C711C"/>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1DF4"/>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11C"/>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4BC4"/>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725"/>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AF715E"/>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C2F"/>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5EF26BBA"/>
    <w:rsid w:val="67D36542"/>
    <w:rsid w:val="7B234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38"/>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1"/>
    <w:autoRedefine/>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2"/>
    <w:autoRedefine/>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3"/>
    <w:autoRedefine/>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4"/>
    <w:autoRedefine/>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5"/>
    <w:autoRedefine/>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autoRedefine/>
    <w:qFormat/>
    <w:uiPriority w:val="0"/>
    <w:pPr>
      <w:ind w:firstLine="420"/>
    </w:pPr>
  </w:style>
  <w:style w:type="paragraph" w:styleId="13">
    <w:name w:val="Body Text"/>
    <w:basedOn w:val="1"/>
    <w:link w:val="89"/>
    <w:autoRedefine/>
    <w:qFormat/>
    <w:uiPriority w:val="99"/>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8"/>
    <w:autoRedefine/>
    <w:semiHidden/>
    <w:unhideWhenUsed/>
    <w:qFormat/>
    <w:uiPriority w:val="99"/>
    <w:rPr>
      <w:sz w:val="18"/>
      <w:szCs w:val="18"/>
    </w:rPr>
  </w:style>
  <w:style w:type="paragraph" w:styleId="17">
    <w:name w:val="footer"/>
    <w:basedOn w:val="1"/>
    <w:link w:val="47"/>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6"/>
    <w:autoRedefine/>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2"/>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autoRedefine/>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Normal (Web)"/>
    <w:basedOn w:val="1"/>
    <w:autoRedefine/>
    <w:unhideWhenUsed/>
    <w:qFormat/>
    <w:uiPriority w:val="99"/>
    <w:pPr>
      <w:widowControl/>
      <w:adjustRightInd/>
      <w:spacing w:before="100" w:beforeAutospacing="1" w:after="100" w:afterAutospacing="1" w:line="240" w:lineRule="auto"/>
      <w:jc w:val="left"/>
    </w:pPr>
    <w:rPr>
      <w:rFonts w:ascii="宋体" w:hAnsi="宋体" w:cs="宋体"/>
      <w:kern w:val="0"/>
      <w:sz w:val="24"/>
      <w:szCs w:val="24"/>
    </w:rPr>
  </w:style>
  <w:style w:type="paragraph" w:styleId="26">
    <w:name w:val="Title"/>
    <w:basedOn w:val="1"/>
    <w:link w:val="51"/>
    <w:autoRedefine/>
    <w:qFormat/>
    <w:uiPriority w:val="0"/>
    <w:pPr>
      <w:spacing w:before="240" w:after="60"/>
      <w:jc w:val="center"/>
      <w:outlineLvl w:val="0"/>
    </w:pPr>
    <w:rPr>
      <w:rFonts w:ascii="Arial" w:hAnsi="Arial" w:cs="Arial"/>
      <w:b/>
      <w:bCs/>
      <w:sz w:val="32"/>
      <w:szCs w:val="32"/>
    </w:rPr>
  </w:style>
  <w:style w:type="table" w:styleId="28">
    <w:name w:val="Table Grid"/>
    <w:basedOn w:val="27"/>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autoRedefine/>
    <w:qFormat/>
    <w:uiPriority w:val="22"/>
    <w:rPr>
      <w:b/>
      <w:bCs/>
    </w:rPr>
  </w:style>
  <w:style w:type="character" w:styleId="31">
    <w:name w:val="page number"/>
    <w:autoRedefine/>
    <w:qFormat/>
    <w:uiPriority w:val="0"/>
    <w:rPr>
      <w:rFonts w:ascii="宋体" w:hAnsi="Times New Roman" w:eastAsia="宋体"/>
      <w:sz w:val="18"/>
    </w:rPr>
  </w:style>
  <w:style w:type="character" w:styleId="32">
    <w:name w:val="Emphasis"/>
    <w:autoRedefine/>
    <w:qFormat/>
    <w:uiPriority w:val="20"/>
    <w:rPr>
      <w:i/>
      <w:iCs/>
    </w:rPr>
  </w:style>
  <w:style w:type="character" w:styleId="33">
    <w:name w:val="Hyperlink"/>
    <w:autoRedefine/>
    <w:qFormat/>
    <w:uiPriority w:val="99"/>
    <w:rPr>
      <w:rFonts w:ascii="宋体" w:hAnsi="Times New Roman" w:eastAsia="宋体"/>
      <w:color w:val="auto"/>
      <w:spacing w:val="0"/>
      <w:w w:val="100"/>
      <w:position w:val="0"/>
      <w:sz w:val="21"/>
      <w:u w:val="none"/>
      <w:vertAlign w:val="baseline"/>
    </w:rPr>
  </w:style>
  <w:style w:type="character" w:styleId="34">
    <w:name w:val="footnote reference"/>
    <w:autoRedefine/>
    <w:semiHidden/>
    <w:qFormat/>
    <w:uiPriority w:val="0"/>
    <w:rPr>
      <w:rFonts w:ascii="宋体" w:hAnsi="宋体" w:eastAsia="宋体" w:cs="Times New Roman"/>
      <w:spacing w:val="0"/>
      <w:sz w:val="18"/>
      <w:vertAlign w:val="superscript"/>
    </w:rPr>
  </w:style>
  <w:style w:type="character" w:customStyle="1" w:styleId="35">
    <w:name w:val="标题 1 字符"/>
    <w:link w:val="2"/>
    <w:autoRedefine/>
    <w:uiPriority w:val="0"/>
    <w:rPr>
      <w:b/>
      <w:bCs/>
      <w:kern w:val="44"/>
      <w:sz w:val="44"/>
      <w:szCs w:val="44"/>
    </w:rPr>
  </w:style>
  <w:style w:type="character" w:customStyle="1" w:styleId="36">
    <w:name w:val="标题 2 字符"/>
    <w:link w:val="3"/>
    <w:autoRedefine/>
    <w:qFormat/>
    <w:uiPriority w:val="0"/>
    <w:rPr>
      <w:rFonts w:ascii="Arial" w:hAnsi="Arial" w:eastAsia="黑体"/>
      <w:b/>
      <w:bCs/>
      <w:kern w:val="2"/>
      <w:sz w:val="32"/>
      <w:szCs w:val="32"/>
    </w:rPr>
  </w:style>
  <w:style w:type="character" w:customStyle="1" w:styleId="37">
    <w:name w:val="标题 3 字符"/>
    <w:link w:val="4"/>
    <w:autoRedefine/>
    <w:qFormat/>
    <w:uiPriority w:val="0"/>
    <w:rPr>
      <w:b/>
      <w:bCs/>
      <w:kern w:val="2"/>
      <w:sz w:val="32"/>
      <w:szCs w:val="32"/>
    </w:rPr>
  </w:style>
  <w:style w:type="character" w:customStyle="1" w:styleId="38">
    <w:name w:val="标题 4 字符"/>
    <w:link w:val="5"/>
    <w:autoRedefine/>
    <w:qFormat/>
    <w:uiPriority w:val="0"/>
    <w:rPr>
      <w:rFonts w:ascii="Arial" w:hAnsi="Arial" w:eastAsia="黑体"/>
      <w:b/>
      <w:bCs/>
      <w:kern w:val="2"/>
      <w:sz w:val="28"/>
      <w:szCs w:val="28"/>
    </w:rPr>
  </w:style>
  <w:style w:type="paragraph" w:customStyle="1" w:styleId="39">
    <w:name w:val="地标说明一级标题"/>
    <w:basedOn w:val="2"/>
    <w:next w:val="40"/>
    <w:autoRedefine/>
    <w:qFormat/>
    <w:uiPriority w:val="0"/>
    <w:pPr>
      <w:kinsoku w:val="0"/>
      <w:autoSpaceDE w:val="0"/>
      <w:autoSpaceDN w:val="0"/>
      <w:snapToGrid w:val="0"/>
      <w:spacing w:before="0" w:beforeLines="100" w:after="0" w:afterLines="100" w:line="240" w:lineRule="auto"/>
      <w:jc w:val="left"/>
      <w:textAlignment w:val="baseline"/>
    </w:pPr>
    <w:rPr>
      <w:rFonts w:ascii="Times New Roman" w:hAnsi="Times New Roman" w:eastAsia="黑体" w:cs="Arial"/>
      <w:b w:val="0"/>
      <w:color w:val="000000"/>
      <w:sz w:val="28"/>
      <w:szCs w:val="28"/>
    </w:rPr>
  </w:style>
  <w:style w:type="paragraph" w:customStyle="1" w:styleId="40">
    <w:name w:val="地标说明正文"/>
    <w:basedOn w:val="1"/>
    <w:autoRedefine/>
    <w:qFormat/>
    <w:uiPriority w:val="0"/>
    <w:pPr>
      <w:widowControl/>
      <w:kinsoku w:val="0"/>
      <w:autoSpaceDE w:val="0"/>
      <w:autoSpaceDN w:val="0"/>
      <w:snapToGrid w:val="0"/>
      <w:spacing w:line="360" w:lineRule="auto"/>
      <w:ind w:firstLine="420" w:firstLineChars="200"/>
      <w:jc w:val="left"/>
      <w:textAlignment w:val="baseline"/>
    </w:pPr>
    <w:rPr>
      <w:rFonts w:ascii="Arial" w:hAnsi="Arial" w:cs="Arial"/>
      <w:color w:val="000000"/>
      <w:kern w:val="0"/>
      <w:sz w:val="24"/>
      <w:szCs w:val="24"/>
    </w:rPr>
  </w:style>
  <w:style w:type="character" w:customStyle="1" w:styleId="41">
    <w:name w:val="标题 5 字符"/>
    <w:link w:val="6"/>
    <w:autoRedefine/>
    <w:qFormat/>
    <w:uiPriority w:val="0"/>
    <w:rPr>
      <w:b/>
      <w:bCs/>
      <w:kern w:val="2"/>
      <w:sz w:val="28"/>
      <w:szCs w:val="28"/>
    </w:rPr>
  </w:style>
  <w:style w:type="character" w:customStyle="1" w:styleId="42">
    <w:name w:val="标题 6 字符"/>
    <w:link w:val="7"/>
    <w:autoRedefine/>
    <w:qFormat/>
    <w:uiPriority w:val="0"/>
    <w:rPr>
      <w:rFonts w:ascii="Arial" w:hAnsi="Arial" w:eastAsia="黑体"/>
      <w:b/>
      <w:bCs/>
      <w:kern w:val="2"/>
      <w:sz w:val="24"/>
      <w:szCs w:val="24"/>
    </w:rPr>
  </w:style>
  <w:style w:type="character" w:customStyle="1" w:styleId="43">
    <w:name w:val="标题 7 字符"/>
    <w:link w:val="8"/>
    <w:autoRedefine/>
    <w:qFormat/>
    <w:uiPriority w:val="0"/>
    <w:rPr>
      <w:b/>
      <w:bCs/>
      <w:kern w:val="2"/>
      <w:sz w:val="24"/>
      <w:szCs w:val="24"/>
    </w:rPr>
  </w:style>
  <w:style w:type="character" w:customStyle="1" w:styleId="44">
    <w:name w:val="标题 8 字符"/>
    <w:link w:val="9"/>
    <w:autoRedefine/>
    <w:qFormat/>
    <w:uiPriority w:val="0"/>
    <w:rPr>
      <w:rFonts w:ascii="Arial" w:hAnsi="Arial" w:eastAsia="黑体"/>
      <w:kern w:val="2"/>
      <w:sz w:val="24"/>
      <w:szCs w:val="24"/>
    </w:rPr>
  </w:style>
  <w:style w:type="character" w:customStyle="1" w:styleId="45">
    <w:name w:val="标题 9 字符"/>
    <w:link w:val="10"/>
    <w:autoRedefine/>
    <w:qFormat/>
    <w:uiPriority w:val="0"/>
    <w:rPr>
      <w:rFonts w:ascii="Arial" w:hAnsi="Arial" w:eastAsia="黑体"/>
      <w:kern w:val="2"/>
      <w:sz w:val="21"/>
      <w:szCs w:val="21"/>
    </w:rPr>
  </w:style>
  <w:style w:type="character" w:customStyle="1" w:styleId="46">
    <w:name w:val="页眉 字符"/>
    <w:link w:val="18"/>
    <w:autoRedefine/>
    <w:qFormat/>
    <w:uiPriority w:val="99"/>
    <w:rPr>
      <w:kern w:val="2"/>
      <w:sz w:val="18"/>
      <w:szCs w:val="18"/>
    </w:rPr>
  </w:style>
  <w:style w:type="character" w:customStyle="1" w:styleId="47">
    <w:name w:val="页脚 字符"/>
    <w:link w:val="17"/>
    <w:autoRedefine/>
    <w:qFormat/>
    <w:uiPriority w:val="99"/>
    <w:rPr>
      <w:rFonts w:ascii="宋体"/>
      <w:kern w:val="2"/>
      <w:sz w:val="18"/>
      <w:szCs w:val="18"/>
    </w:rPr>
  </w:style>
  <w:style w:type="character" w:customStyle="1" w:styleId="48">
    <w:name w:val="批注框文本 字符"/>
    <w:link w:val="16"/>
    <w:autoRedefine/>
    <w:semiHidden/>
    <w:qFormat/>
    <w:uiPriority w:val="99"/>
    <w:rPr>
      <w:kern w:val="2"/>
      <w:sz w:val="18"/>
      <w:szCs w:val="18"/>
    </w:rPr>
  </w:style>
  <w:style w:type="paragraph" w:styleId="49">
    <w:name w:val="Quote"/>
    <w:basedOn w:val="1"/>
    <w:next w:val="1"/>
    <w:link w:val="50"/>
    <w:autoRedefine/>
    <w:qFormat/>
    <w:uiPriority w:val="29"/>
    <w:rPr>
      <w:i/>
      <w:iCs/>
      <w:color w:val="000000"/>
    </w:rPr>
  </w:style>
  <w:style w:type="character" w:customStyle="1" w:styleId="50">
    <w:name w:val="引用 字符"/>
    <w:link w:val="49"/>
    <w:autoRedefine/>
    <w:qFormat/>
    <w:uiPriority w:val="29"/>
    <w:rPr>
      <w:i/>
      <w:iCs/>
      <w:color w:val="000000"/>
      <w:kern w:val="2"/>
      <w:sz w:val="21"/>
      <w:szCs w:val="21"/>
    </w:rPr>
  </w:style>
  <w:style w:type="character" w:customStyle="1" w:styleId="51">
    <w:name w:val="标题 字符"/>
    <w:link w:val="26"/>
    <w:autoRedefine/>
    <w:qFormat/>
    <w:uiPriority w:val="0"/>
    <w:rPr>
      <w:rFonts w:ascii="Arial" w:hAnsi="Arial" w:cs="Arial"/>
      <w:b/>
      <w:bCs/>
      <w:kern w:val="2"/>
      <w:sz w:val="32"/>
      <w:szCs w:val="32"/>
    </w:rPr>
  </w:style>
  <w:style w:type="paragraph" w:customStyle="1" w:styleId="52">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55">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56">
    <w:name w:val="标准书眉一"/>
    <w:autoRedefine/>
    <w:qFormat/>
    <w:uiPriority w:val="0"/>
    <w:pPr>
      <w:jc w:val="both"/>
    </w:pPr>
    <w:rPr>
      <w:rFonts w:ascii="Times New Roman" w:hAnsi="Times New Roman" w:eastAsia="宋体" w:cs="Times New Roman"/>
      <w:lang w:val="en-US" w:eastAsia="zh-CN" w:bidi="ar-SA"/>
    </w:rPr>
  </w:style>
  <w:style w:type="paragraph" w:customStyle="1" w:styleId="57">
    <w:name w:val="标准文件_ICS"/>
    <w:basedOn w:val="1"/>
    <w:autoRedefine/>
    <w:qFormat/>
    <w:uiPriority w:val="0"/>
    <w:pPr>
      <w:spacing w:line="0" w:lineRule="atLeast"/>
    </w:pPr>
    <w:rPr>
      <w:rFonts w:ascii="黑体" w:hAnsi="宋体" w:eastAsia="黑体"/>
    </w:rPr>
  </w:style>
  <w:style w:type="paragraph" w:customStyle="1" w:styleId="58">
    <w:name w:val="标准文件_标准正文"/>
    <w:basedOn w:val="1"/>
    <w:next w:val="59"/>
    <w:autoRedefine/>
    <w:qFormat/>
    <w:uiPriority w:val="0"/>
    <w:pPr>
      <w:snapToGrid w:val="0"/>
      <w:ind w:firstLine="200" w:firstLineChars="200"/>
    </w:pPr>
    <w:rPr>
      <w:kern w:val="0"/>
    </w:rPr>
  </w:style>
  <w:style w:type="paragraph" w:customStyle="1" w:styleId="59">
    <w:name w:val="标准文件_段"/>
    <w:link w:val="187"/>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标准文件_版本"/>
    <w:basedOn w:val="58"/>
    <w:autoRedefine/>
    <w:qFormat/>
    <w:uiPriority w:val="0"/>
    <w:pPr>
      <w:adjustRightInd/>
      <w:snapToGrid/>
      <w:ind w:firstLine="0" w:firstLineChars="0"/>
    </w:pPr>
    <w:rPr>
      <w:rFonts w:ascii="宋体" w:hAnsi="宋体"/>
      <w:kern w:val="2"/>
    </w:rPr>
  </w:style>
  <w:style w:type="paragraph" w:customStyle="1" w:styleId="61">
    <w:name w:val="标准文件_标准部门"/>
    <w:basedOn w:val="1"/>
    <w:autoRedefine/>
    <w:qFormat/>
    <w:uiPriority w:val="0"/>
    <w:pPr>
      <w:jc w:val="center"/>
    </w:pPr>
    <w:rPr>
      <w:rFonts w:ascii="黑体" w:eastAsia="黑体"/>
      <w:kern w:val="0"/>
      <w:sz w:val="44"/>
    </w:rPr>
  </w:style>
  <w:style w:type="paragraph" w:customStyle="1" w:styleId="62">
    <w:name w:val="标准文件_标准代替"/>
    <w:basedOn w:val="1"/>
    <w:next w:val="1"/>
    <w:autoRedefine/>
    <w:qFormat/>
    <w:uiPriority w:val="0"/>
    <w:pPr>
      <w:spacing w:line="310" w:lineRule="exact"/>
      <w:jc w:val="right"/>
    </w:pPr>
    <w:rPr>
      <w:rFonts w:ascii="宋体" w:hAnsi="宋体"/>
      <w:kern w:val="0"/>
    </w:rPr>
  </w:style>
  <w:style w:type="paragraph" w:customStyle="1" w:styleId="63">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64">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5">
    <w:name w:val="标准文件_页眉偶数页"/>
    <w:basedOn w:val="64"/>
    <w:next w:val="1"/>
    <w:autoRedefine/>
    <w:qFormat/>
    <w:uiPriority w:val="0"/>
    <w:pPr>
      <w:jc w:val="left"/>
    </w:pPr>
  </w:style>
  <w:style w:type="paragraph" w:customStyle="1" w:styleId="66">
    <w:name w:val="标准文件_参考文献标题"/>
    <w:basedOn w:val="1"/>
    <w:next w:val="1"/>
    <w:autoRedefine/>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7">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68">
    <w:name w:val="标准文件_二级条标题"/>
    <w:next w:val="59"/>
    <w:autoRedefine/>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9">
    <w:name w:val="标准文件_发布"/>
    <w:autoRedefine/>
    <w:qFormat/>
    <w:uiPriority w:val="0"/>
    <w:rPr>
      <w:rFonts w:ascii="黑体" w:eastAsia="黑体"/>
      <w:spacing w:val="0"/>
      <w:w w:val="100"/>
      <w:position w:val="3"/>
      <w:sz w:val="28"/>
    </w:rPr>
  </w:style>
  <w:style w:type="paragraph" w:customStyle="1" w:styleId="70">
    <w:name w:val="标准文件_方框数字列项"/>
    <w:basedOn w:val="59"/>
    <w:autoRedefine/>
    <w:qFormat/>
    <w:uiPriority w:val="0"/>
    <w:pPr>
      <w:numPr>
        <w:ilvl w:val="0"/>
        <w:numId w:val="3"/>
      </w:numPr>
      <w:ind w:firstLine="0" w:firstLineChars="0"/>
    </w:pPr>
  </w:style>
  <w:style w:type="paragraph" w:customStyle="1" w:styleId="71">
    <w:name w:val="标准文件_封面标准编号"/>
    <w:basedOn w:val="1"/>
    <w:next w:val="62"/>
    <w:autoRedefine/>
    <w:qFormat/>
    <w:uiPriority w:val="0"/>
    <w:pPr>
      <w:spacing w:line="310" w:lineRule="exact"/>
      <w:jc w:val="right"/>
    </w:pPr>
    <w:rPr>
      <w:rFonts w:ascii="黑体" w:eastAsia="黑体"/>
      <w:kern w:val="0"/>
      <w:sz w:val="28"/>
    </w:rPr>
  </w:style>
  <w:style w:type="paragraph" w:customStyle="1" w:styleId="72">
    <w:name w:val="标准文件_封面标准分类号"/>
    <w:basedOn w:val="1"/>
    <w:autoRedefine/>
    <w:qFormat/>
    <w:uiPriority w:val="0"/>
    <w:rPr>
      <w:rFonts w:ascii="黑体" w:eastAsia="黑体"/>
      <w:b/>
      <w:kern w:val="0"/>
      <w:sz w:val="28"/>
    </w:rPr>
  </w:style>
  <w:style w:type="paragraph" w:customStyle="1" w:styleId="73">
    <w:name w:val="标准文件_封面标准名称"/>
    <w:basedOn w:val="1"/>
    <w:autoRedefine/>
    <w:qFormat/>
    <w:uiPriority w:val="0"/>
    <w:pPr>
      <w:spacing w:line="240" w:lineRule="auto"/>
      <w:jc w:val="center"/>
    </w:pPr>
    <w:rPr>
      <w:rFonts w:ascii="黑体" w:eastAsia="黑体"/>
      <w:kern w:val="0"/>
      <w:sz w:val="52"/>
    </w:rPr>
  </w:style>
  <w:style w:type="paragraph" w:customStyle="1" w:styleId="74">
    <w:name w:val="标准文件_封面标准英文名称"/>
    <w:basedOn w:val="1"/>
    <w:autoRedefine/>
    <w:qFormat/>
    <w:uiPriority w:val="0"/>
    <w:pPr>
      <w:spacing w:line="240" w:lineRule="auto"/>
      <w:jc w:val="center"/>
    </w:pPr>
    <w:rPr>
      <w:rFonts w:ascii="黑体" w:eastAsia="黑体"/>
      <w:b/>
      <w:sz w:val="28"/>
    </w:rPr>
  </w:style>
  <w:style w:type="paragraph" w:customStyle="1" w:styleId="75">
    <w:name w:val="标准文件_封面发布日期"/>
    <w:basedOn w:val="1"/>
    <w:autoRedefine/>
    <w:qFormat/>
    <w:uiPriority w:val="0"/>
    <w:pPr>
      <w:spacing w:line="310" w:lineRule="exact"/>
    </w:pPr>
    <w:rPr>
      <w:rFonts w:ascii="黑体" w:eastAsia="黑体"/>
      <w:kern w:val="0"/>
      <w:sz w:val="28"/>
    </w:rPr>
  </w:style>
  <w:style w:type="paragraph" w:customStyle="1" w:styleId="76">
    <w:name w:val="标准文件_封面密级"/>
    <w:basedOn w:val="1"/>
    <w:autoRedefine/>
    <w:qFormat/>
    <w:uiPriority w:val="0"/>
    <w:rPr>
      <w:rFonts w:eastAsia="黑体"/>
      <w:sz w:val="32"/>
    </w:rPr>
  </w:style>
  <w:style w:type="paragraph" w:customStyle="1" w:styleId="77">
    <w:name w:val="标准文件_封面实施日期"/>
    <w:basedOn w:val="1"/>
    <w:autoRedefine/>
    <w:qFormat/>
    <w:uiPriority w:val="0"/>
    <w:pPr>
      <w:spacing w:line="310" w:lineRule="exact"/>
      <w:jc w:val="right"/>
    </w:pPr>
    <w:rPr>
      <w:rFonts w:ascii="黑体" w:eastAsia="黑体"/>
      <w:sz w:val="28"/>
    </w:rPr>
  </w:style>
  <w:style w:type="paragraph" w:customStyle="1" w:styleId="78">
    <w:name w:val="标准文件_封面抬头"/>
    <w:basedOn w:val="59"/>
    <w:autoRedefine/>
    <w:qFormat/>
    <w:uiPriority w:val="0"/>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9"/>
    <w:autoRedefine/>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80">
    <w:name w:val="标准文件_附录表标题"/>
    <w:next w:val="59"/>
    <w:autoRedefine/>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9"/>
    <w:autoRedefine/>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9"/>
    <w:autoRedefine/>
    <w:qFormat/>
    <w:uiPriority w:val="0"/>
    <w:pPr>
      <w:widowControl/>
      <w:numPr>
        <w:ilvl w:val="2"/>
      </w:numPr>
      <w:wordWrap w:val="0"/>
      <w:overflowPunct w:val="0"/>
      <w:autoSpaceDE w:val="0"/>
      <w:autoSpaceDN w:val="0"/>
      <w:textAlignment w:val="baseline"/>
      <w:outlineLvl w:val="3"/>
    </w:pPr>
  </w:style>
  <w:style w:type="paragraph" w:customStyle="1" w:styleId="83">
    <w:name w:val="标准文件_附录公式"/>
    <w:basedOn w:val="58"/>
    <w:next w:val="58"/>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autoRedefine/>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9"/>
    <w:autoRedefine/>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9"/>
    <w:autoRedefine/>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7">
    <w:name w:val="标准文件_附录五级条标题"/>
    <w:next w:val="59"/>
    <w:autoRedefine/>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13"/>
    <w:autoRedefine/>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9">
    <w:name w:val="正文文本 字符"/>
    <w:link w:val="13"/>
    <w:autoRedefine/>
    <w:qFormat/>
    <w:uiPriority w:val="99"/>
    <w:rPr>
      <w:kern w:val="2"/>
      <w:sz w:val="21"/>
      <w:szCs w:val="21"/>
    </w:rPr>
  </w:style>
  <w:style w:type="paragraph" w:customStyle="1" w:styleId="90">
    <w:name w:val="标准文件_附录章标题"/>
    <w:next w:val="59"/>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59"/>
    <w:next w:val="59"/>
    <w:autoRedefine/>
    <w:qFormat/>
    <w:uiPriority w:val="0"/>
    <w:pPr>
      <w:ind w:left="488" w:leftChars="200" w:hanging="289" w:hangingChars="290"/>
    </w:pPr>
  </w:style>
  <w:style w:type="paragraph" w:customStyle="1" w:styleId="92">
    <w:name w:val="标准文件_前言、引言标题"/>
    <w:next w:val="1"/>
    <w:autoRedefine/>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59"/>
    <w:autoRedefine/>
    <w:qFormat/>
    <w:uiPriority w:val="0"/>
    <w:pPr>
      <w:spacing w:line="460" w:lineRule="exact"/>
      <w:ind w:left="0" w:firstLine="0"/>
    </w:pPr>
  </w:style>
  <w:style w:type="paragraph" w:customStyle="1" w:styleId="94">
    <w:name w:val="标准文件_目录标题"/>
    <w:basedOn w:val="1"/>
    <w:autoRedefine/>
    <w:qFormat/>
    <w:uiPriority w:val="0"/>
    <w:pPr>
      <w:spacing w:before="480" w:after="150" w:afterLines="150" w:line="240" w:lineRule="auto"/>
      <w:jc w:val="center"/>
    </w:pPr>
    <w:rPr>
      <w:rFonts w:ascii="黑体" w:eastAsia="黑体"/>
      <w:sz w:val="32"/>
    </w:rPr>
  </w:style>
  <w:style w:type="paragraph" w:customStyle="1" w:styleId="95">
    <w:name w:val="标准文件_破折号列项"/>
    <w:autoRedefine/>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autoRedefine/>
    <w:qFormat/>
    <w:uiPriority w:val="0"/>
    <w:pPr>
      <w:numPr>
        <w:numId w:val="10"/>
      </w:numPr>
    </w:pPr>
  </w:style>
  <w:style w:type="paragraph" w:customStyle="1" w:styleId="97">
    <w:name w:val="标准文件_三级条标题"/>
    <w:basedOn w:val="68"/>
    <w:next w:val="59"/>
    <w:autoRedefine/>
    <w:qFormat/>
    <w:uiPriority w:val="0"/>
    <w:pPr>
      <w:widowControl/>
      <w:numPr>
        <w:ilvl w:val="4"/>
      </w:numPr>
      <w:outlineLvl w:val="3"/>
    </w:pPr>
  </w:style>
  <w:style w:type="character" w:customStyle="1" w:styleId="98">
    <w:name w:val="Subtle Reference"/>
    <w:autoRedefine/>
    <w:qFormat/>
    <w:uiPriority w:val="31"/>
    <w:rPr>
      <w:smallCaps/>
      <w:color w:val="C0504D"/>
      <w:u w:val="single"/>
    </w:rPr>
  </w:style>
  <w:style w:type="paragraph" w:customStyle="1" w:styleId="99">
    <w:name w:val="标准文件_示例后续"/>
    <w:basedOn w:val="1"/>
    <w:autoRedefine/>
    <w:qFormat/>
    <w:uiPriority w:val="0"/>
    <w:pPr>
      <w:adjustRightInd/>
      <w:spacing w:line="240" w:lineRule="auto"/>
      <w:ind w:firstLine="200" w:firstLineChars="200"/>
    </w:pPr>
    <w:rPr>
      <w:sz w:val="18"/>
      <w:szCs w:val="24"/>
    </w:rPr>
  </w:style>
  <w:style w:type="paragraph" w:customStyle="1" w:styleId="100">
    <w:name w:val="标准文件_数字编号列项"/>
    <w:autoRedefine/>
    <w:qFormat/>
    <w:uiPriority w:val="0"/>
    <w:pPr>
      <w:numPr>
        <w:ilvl w:val="0"/>
        <w:numId w:val="11"/>
      </w:numPr>
      <w:jc w:val="both"/>
    </w:pPr>
    <w:rPr>
      <w:rFonts w:ascii="宋体" w:hAnsi="宋体" w:eastAsia="宋体" w:cs="Times New Roman"/>
      <w:sz w:val="21"/>
      <w:lang w:val="en-US" w:eastAsia="zh-CN" w:bidi="ar-SA"/>
    </w:rPr>
  </w:style>
  <w:style w:type="paragraph" w:customStyle="1" w:styleId="101">
    <w:name w:val="标准文件_四级条标题"/>
    <w:next w:val="59"/>
    <w:autoRedefine/>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2">
    <w:name w:val="脚注文本 字符"/>
    <w:link w:val="21"/>
    <w:autoRedefine/>
    <w:semiHidden/>
    <w:qFormat/>
    <w:uiPriority w:val="0"/>
    <w:rPr>
      <w:rFonts w:ascii="宋体"/>
      <w:kern w:val="2"/>
      <w:sz w:val="18"/>
      <w:szCs w:val="18"/>
    </w:rPr>
  </w:style>
  <w:style w:type="paragraph" w:customStyle="1" w:styleId="103">
    <w:name w:val="标准文件_条文脚注"/>
    <w:basedOn w:val="21"/>
    <w:autoRedefine/>
    <w:qFormat/>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59"/>
    <w:autoRedefine/>
    <w:qFormat/>
    <w:uiPriority w:val="0"/>
    <w:pPr>
      <w:numPr>
        <w:ilvl w:val="0"/>
        <w:numId w:val="12"/>
      </w:numPr>
      <w:spacing w:line="240" w:lineRule="auto"/>
      <w:jc w:val="left"/>
    </w:pPr>
    <w:rPr>
      <w:rFonts w:ascii="宋体" w:hAnsi="宋体"/>
      <w:sz w:val="18"/>
    </w:rPr>
  </w:style>
  <w:style w:type="character" w:customStyle="1" w:styleId="105">
    <w:name w:val="标准文件_图表脚注内容"/>
    <w:autoRedefine/>
    <w:qFormat/>
    <w:uiPriority w:val="0"/>
    <w:rPr>
      <w:rFonts w:ascii="宋体" w:hAnsi="宋体" w:eastAsia="宋体" w:cs="Times New Roman"/>
      <w:spacing w:val="0"/>
      <w:sz w:val="18"/>
      <w:vertAlign w:val="superscript"/>
    </w:rPr>
  </w:style>
  <w:style w:type="paragraph" w:customStyle="1" w:styleId="106">
    <w:name w:val="标准文件_五级条标题"/>
    <w:next w:val="59"/>
    <w:autoRedefine/>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7">
    <w:name w:val="标准文件_章标题"/>
    <w:next w:val="59"/>
    <w:autoRedefine/>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8">
    <w:name w:val="标准文件_一级条标题"/>
    <w:basedOn w:val="107"/>
    <w:next w:val="59"/>
    <w:autoRedefine/>
    <w:qFormat/>
    <w:uiPriority w:val="0"/>
    <w:pPr>
      <w:numPr>
        <w:ilvl w:val="2"/>
      </w:numPr>
      <w:spacing w:before="50" w:beforeLines="50" w:after="50" w:afterLines="50"/>
      <w:outlineLvl w:val="1"/>
    </w:pPr>
  </w:style>
  <w:style w:type="paragraph" w:customStyle="1" w:styleId="109">
    <w:name w:val="标准文件_一致程度"/>
    <w:basedOn w:val="1"/>
    <w:autoRedefine/>
    <w:qFormat/>
    <w:uiPriority w:val="0"/>
    <w:pPr>
      <w:spacing w:line="440" w:lineRule="exact"/>
      <w:jc w:val="center"/>
    </w:pPr>
    <w:rPr>
      <w:sz w:val="28"/>
    </w:rPr>
  </w:style>
  <w:style w:type="paragraph" w:customStyle="1" w:styleId="110">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1">
    <w:name w:val="标准文件_英文图表脚注"/>
    <w:basedOn w:val="58"/>
    <w:autoRedefine/>
    <w:qFormat/>
    <w:uiPriority w:val="0"/>
    <w:pPr>
      <w:widowControl/>
      <w:adjustRightInd/>
      <w:snapToGrid/>
      <w:spacing w:line="240" w:lineRule="auto"/>
      <w:ind w:left="79" w:hanging="79" w:hangingChars="80"/>
    </w:pPr>
    <w:rPr>
      <w:rFonts w:ascii="宋体" w:hAnsi="宋体"/>
    </w:rPr>
  </w:style>
  <w:style w:type="paragraph" w:customStyle="1" w:styleId="112">
    <w:name w:val="标准文件_数字编号列项（二级）"/>
    <w:autoRedefine/>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3">
    <w:name w:val="标准文件_英文注："/>
    <w:basedOn w:val="1"/>
    <w:next w:val="59"/>
    <w:autoRedefine/>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4">
    <w:name w:val="标准文件_英文注×："/>
    <w:basedOn w:val="1"/>
    <w:autoRedefine/>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5">
    <w:name w:val="标准文件_正文表标题"/>
    <w:next w:val="59"/>
    <w:autoRedefine/>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公式"/>
    <w:basedOn w:val="1"/>
    <w:next w:val="58"/>
    <w:autoRedefine/>
    <w:qFormat/>
    <w:uiPriority w:val="0"/>
    <w:pPr>
      <w:tabs>
        <w:tab w:val="center" w:pos="4678"/>
        <w:tab w:val="right" w:leader="middleDot" w:pos="9356"/>
      </w:tabs>
      <w:spacing w:line="240" w:lineRule="auto"/>
    </w:pPr>
    <w:rPr>
      <w:rFonts w:ascii="宋体" w:hAnsi="宋体"/>
    </w:rPr>
  </w:style>
  <w:style w:type="paragraph" w:customStyle="1" w:styleId="117">
    <w:name w:val="标准文件_正文图标题"/>
    <w:next w:val="59"/>
    <w:autoRedefine/>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英文表标题"/>
    <w:next w:val="59"/>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9">
    <w:name w:val="标准文件_正文英文图标题"/>
    <w:next w:val="59"/>
    <w:autoRedefine/>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0">
    <w:name w:val="标准文件_编号列项（三级）"/>
    <w:autoRedefine/>
    <w:qFormat/>
    <w:uiPriority w:val="0"/>
    <w:pPr>
      <w:numPr>
        <w:ilvl w:val="2"/>
        <w:numId w:val="13"/>
      </w:numPr>
    </w:pPr>
    <w:rPr>
      <w:rFonts w:ascii="宋体" w:hAnsi="Times New Roman" w:eastAsia="宋体" w:cs="Times New Roman"/>
      <w:sz w:val="21"/>
      <w:lang w:val="en-US" w:eastAsia="zh-CN" w:bidi="ar-SA"/>
    </w:rPr>
  </w:style>
  <w:style w:type="paragraph" w:customStyle="1" w:styleId="121">
    <w:name w:val="二级无标题条"/>
    <w:basedOn w:val="1"/>
    <w:autoRedefine/>
    <w:qFormat/>
    <w:uiPriority w:val="0"/>
    <w:pPr>
      <w:numPr>
        <w:ilvl w:val="3"/>
        <w:numId w:val="20"/>
      </w:numPr>
      <w:adjustRightInd/>
      <w:spacing w:line="240" w:lineRule="auto"/>
    </w:pPr>
    <w:rPr>
      <w:rFonts w:ascii="宋体" w:hAnsi="宋体"/>
      <w:szCs w:val="24"/>
    </w:rPr>
  </w:style>
  <w:style w:type="paragraph" w:customStyle="1" w:styleId="122">
    <w:name w:val="发布部门"/>
    <w:next w:val="59"/>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3">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4">
    <w:name w:val="封面标准代替信息"/>
    <w:basedOn w:val="1"/>
    <w:autoRedefine/>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5">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6">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7">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9">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0">
    <w:name w:val="封面正文"/>
    <w:autoRedefine/>
    <w:qFormat/>
    <w:uiPriority w:val="0"/>
    <w:pPr>
      <w:jc w:val="both"/>
    </w:pPr>
    <w:rPr>
      <w:rFonts w:ascii="Times New Roman" w:hAnsi="Times New Roman" w:eastAsia="宋体" w:cs="Times New Roman"/>
      <w:lang w:val="en-US" w:eastAsia="zh-CN" w:bidi="ar-SA"/>
    </w:rPr>
  </w:style>
  <w:style w:type="paragraph" w:customStyle="1" w:styleId="131">
    <w:name w:val="附录二级无标题条"/>
    <w:basedOn w:val="1"/>
    <w:next w:val="59"/>
    <w:autoRedefine/>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2">
    <w:name w:val="附录三级无标题条"/>
    <w:basedOn w:val="131"/>
    <w:next w:val="59"/>
    <w:autoRedefine/>
    <w:qFormat/>
    <w:uiPriority w:val="0"/>
    <w:pPr>
      <w:outlineLvl w:val="4"/>
    </w:pPr>
  </w:style>
  <w:style w:type="paragraph" w:customStyle="1" w:styleId="133">
    <w:name w:val="附录四级无标题条"/>
    <w:basedOn w:val="132"/>
    <w:next w:val="59"/>
    <w:autoRedefine/>
    <w:qFormat/>
    <w:uiPriority w:val="0"/>
    <w:pPr>
      <w:outlineLvl w:val="5"/>
    </w:pPr>
  </w:style>
  <w:style w:type="paragraph" w:customStyle="1" w:styleId="134">
    <w:name w:val="附录图"/>
    <w:next w:val="59"/>
    <w:autoRedefine/>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5">
    <w:name w:val="标准文件_一级项"/>
    <w:autoRedefine/>
    <w:qFormat/>
    <w:uiPriority w:val="0"/>
    <w:pPr>
      <w:numPr>
        <w:ilvl w:val="0"/>
        <w:numId w:val="21"/>
      </w:numPr>
    </w:pPr>
    <w:rPr>
      <w:rFonts w:ascii="宋体" w:hAnsi="Times New Roman" w:eastAsia="宋体" w:cs="Times New Roman"/>
      <w:sz w:val="21"/>
      <w:lang w:val="en-US" w:eastAsia="zh-CN" w:bidi="ar-SA"/>
    </w:rPr>
  </w:style>
  <w:style w:type="paragraph" w:customStyle="1" w:styleId="136">
    <w:name w:val="附录五级无标题条"/>
    <w:basedOn w:val="133"/>
    <w:next w:val="59"/>
    <w:autoRedefine/>
    <w:qFormat/>
    <w:uiPriority w:val="0"/>
    <w:pPr>
      <w:outlineLvl w:val="6"/>
    </w:pPr>
  </w:style>
  <w:style w:type="paragraph" w:customStyle="1" w:styleId="137">
    <w:name w:val="附录性质"/>
    <w:basedOn w:val="1"/>
    <w:autoRedefine/>
    <w:qFormat/>
    <w:uiPriority w:val="0"/>
    <w:pPr>
      <w:widowControl/>
      <w:adjustRightInd/>
      <w:jc w:val="center"/>
    </w:pPr>
    <w:rPr>
      <w:rFonts w:ascii="黑体" w:eastAsia="黑体"/>
    </w:rPr>
  </w:style>
  <w:style w:type="paragraph" w:customStyle="1" w:styleId="138">
    <w:name w:val="附录一级无标题条"/>
    <w:basedOn w:val="90"/>
    <w:next w:val="59"/>
    <w:autoRedefine/>
    <w:qFormat/>
    <w:uiPriority w:val="0"/>
    <w:pPr>
      <w:autoSpaceDN w:val="0"/>
      <w:outlineLvl w:val="2"/>
    </w:pPr>
    <w:rPr>
      <w:rFonts w:ascii="宋体" w:hAnsi="宋体" w:eastAsia="宋体"/>
    </w:rPr>
  </w:style>
  <w:style w:type="character" w:customStyle="1" w:styleId="139">
    <w:name w:val="个人答复风格"/>
    <w:autoRedefine/>
    <w:qFormat/>
    <w:uiPriority w:val="0"/>
    <w:rPr>
      <w:rFonts w:ascii="Arial" w:hAnsi="Arial" w:eastAsia="宋体" w:cs="Arial"/>
      <w:color w:val="auto"/>
      <w:spacing w:val="0"/>
      <w:sz w:val="20"/>
    </w:rPr>
  </w:style>
  <w:style w:type="character" w:customStyle="1" w:styleId="140">
    <w:name w:val="个人撰写风格"/>
    <w:autoRedefine/>
    <w:qFormat/>
    <w:uiPriority w:val="0"/>
    <w:rPr>
      <w:rFonts w:ascii="Arial" w:hAnsi="Arial" w:eastAsia="宋体" w:cs="Arial"/>
      <w:color w:val="auto"/>
      <w:spacing w:val="0"/>
      <w:sz w:val="20"/>
    </w:rPr>
  </w:style>
  <w:style w:type="paragraph" w:customStyle="1" w:styleId="141">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142">
    <w:name w:val="列项——"/>
    <w:autoRedefine/>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3">
    <w:name w:val="列项·"/>
    <w:basedOn w:val="59"/>
    <w:autoRedefine/>
    <w:qFormat/>
    <w:uiPriority w:val="0"/>
    <w:pPr>
      <w:tabs>
        <w:tab w:val="left" w:pos="840"/>
      </w:tabs>
    </w:pPr>
  </w:style>
  <w:style w:type="paragraph" w:customStyle="1" w:styleId="144">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45">
    <w:name w:val="目录 21"/>
    <w:basedOn w:val="1"/>
    <w:next w:val="1"/>
    <w:autoRedefine/>
    <w:semiHidden/>
    <w:qFormat/>
    <w:uiPriority w:val="0"/>
    <w:pPr>
      <w:adjustRightInd/>
      <w:spacing w:line="240" w:lineRule="auto"/>
      <w:jc w:val="left"/>
    </w:pPr>
    <w:rPr>
      <w:bCs/>
      <w:iCs/>
    </w:rPr>
  </w:style>
  <w:style w:type="paragraph" w:customStyle="1" w:styleId="146">
    <w:name w:val="目录 31"/>
    <w:basedOn w:val="1"/>
    <w:next w:val="1"/>
    <w:autoRedefine/>
    <w:semiHidden/>
    <w:qFormat/>
    <w:uiPriority w:val="0"/>
    <w:pPr>
      <w:spacing w:line="240" w:lineRule="auto"/>
    </w:pPr>
    <w:rPr>
      <w:rFonts w:ascii="宋体" w:hAnsi="宋体"/>
      <w:iCs/>
    </w:rPr>
  </w:style>
  <w:style w:type="paragraph" w:customStyle="1" w:styleId="147">
    <w:name w:val="目录 41"/>
    <w:basedOn w:val="1"/>
    <w:next w:val="1"/>
    <w:autoRedefine/>
    <w:semiHidden/>
    <w:qFormat/>
    <w:uiPriority w:val="0"/>
    <w:pPr>
      <w:adjustRightInd/>
      <w:spacing w:line="240" w:lineRule="auto"/>
      <w:jc w:val="left"/>
    </w:pPr>
  </w:style>
  <w:style w:type="paragraph" w:customStyle="1" w:styleId="148">
    <w:name w:val="目录 51"/>
    <w:basedOn w:val="1"/>
    <w:next w:val="1"/>
    <w:autoRedefine/>
    <w:semiHidden/>
    <w:qFormat/>
    <w:uiPriority w:val="0"/>
    <w:pPr>
      <w:spacing w:line="240" w:lineRule="auto"/>
    </w:pPr>
    <w:rPr>
      <w:rFonts w:ascii="宋体" w:hAnsi="宋体"/>
    </w:rPr>
  </w:style>
  <w:style w:type="paragraph" w:customStyle="1" w:styleId="149">
    <w:name w:val="目录 61"/>
    <w:basedOn w:val="1"/>
    <w:next w:val="1"/>
    <w:autoRedefine/>
    <w:semiHidden/>
    <w:qFormat/>
    <w:uiPriority w:val="0"/>
    <w:pPr>
      <w:adjustRightInd/>
      <w:spacing w:line="240" w:lineRule="auto"/>
      <w:jc w:val="left"/>
    </w:pPr>
  </w:style>
  <w:style w:type="paragraph" w:customStyle="1" w:styleId="150">
    <w:name w:val="目录 71"/>
    <w:basedOn w:val="149"/>
    <w:autoRedefine/>
    <w:semiHidden/>
    <w:qFormat/>
    <w:uiPriority w:val="0"/>
    <w:pPr>
      <w:ind w:left="1260"/>
    </w:pPr>
  </w:style>
  <w:style w:type="paragraph" w:customStyle="1" w:styleId="151">
    <w:name w:val="目录 81"/>
    <w:basedOn w:val="150"/>
    <w:autoRedefine/>
    <w:semiHidden/>
    <w:qFormat/>
    <w:uiPriority w:val="0"/>
    <w:pPr>
      <w:ind w:left="1470"/>
    </w:pPr>
  </w:style>
  <w:style w:type="paragraph" w:customStyle="1" w:styleId="152">
    <w:name w:val="目录 91"/>
    <w:basedOn w:val="151"/>
    <w:autoRedefine/>
    <w:semiHidden/>
    <w:qFormat/>
    <w:uiPriority w:val="0"/>
    <w:pPr>
      <w:ind w:left="1680"/>
    </w:pPr>
  </w:style>
  <w:style w:type="paragraph" w:customStyle="1" w:styleId="153">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54">
    <w:name w:val="其他发布部门"/>
    <w:basedOn w:val="122"/>
    <w:autoRedefine/>
    <w:qFormat/>
    <w:uiPriority w:val="0"/>
    <w:pPr>
      <w:framePr w:wrap="around"/>
      <w:spacing w:line="0" w:lineRule="atLeast"/>
    </w:pPr>
    <w:rPr>
      <w:rFonts w:ascii="黑体" w:eastAsia="黑体"/>
      <w:b w:val="0"/>
    </w:rPr>
  </w:style>
  <w:style w:type="paragraph" w:customStyle="1" w:styleId="155">
    <w:name w:val="前言标题"/>
    <w:next w:val="1"/>
    <w:autoRedefine/>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6">
    <w:name w:val="三级无标题条"/>
    <w:basedOn w:val="1"/>
    <w:autoRedefine/>
    <w:qFormat/>
    <w:uiPriority w:val="0"/>
    <w:pPr>
      <w:numPr>
        <w:ilvl w:val="4"/>
        <w:numId w:val="20"/>
      </w:numPr>
      <w:adjustRightInd/>
      <w:spacing w:line="240" w:lineRule="auto"/>
    </w:pPr>
    <w:rPr>
      <w:rFonts w:ascii="宋体" w:hAnsi="宋体"/>
      <w:szCs w:val="24"/>
    </w:rPr>
  </w:style>
  <w:style w:type="paragraph" w:customStyle="1" w:styleId="157">
    <w:name w:val="实施日期"/>
    <w:basedOn w:val="123"/>
    <w:autoRedefine/>
    <w:qFormat/>
    <w:uiPriority w:val="0"/>
    <w:pPr>
      <w:framePr w:hSpace="0" w:wrap="around" w:xAlign="right"/>
      <w:jc w:val="right"/>
    </w:pPr>
  </w:style>
  <w:style w:type="paragraph" w:customStyle="1" w:styleId="158">
    <w:name w:val="四级无标题条"/>
    <w:basedOn w:val="1"/>
    <w:autoRedefine/>
    <w:qFormat/>
    <w:uiPriority w:val="0"/>
    <w:pPr>
      <w:numPr>
        <w:ilvl w:val="5"/>
        <w:numId w:val="20"/>
      </w:numPr>
      <w:adjustRightInd/>
      <w:spacing w:line="240" w:lineRule="auto"/>
    </w:pPr>
    <w:rPr>
      <w:rFonts w:ascii="宋体" w:hAnsi="宋体"/>
      <w:szCs w:val="24"/>
    </w:rPr>
  </w:style>
  <w:style w:type="paragraph" w:customStyle="1" w:styleId="159">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0">
    <w:name w:val="无标题条"/>
    <w:next w:val="59"/>
    <w:autoRedefine/>
    <w:qFormat/>
    <w:uiPriority w:val="0"/>
    <w:pPr>
      <w:jc w:val="both"/>
    </w:pPr>
    <w:rPr>
      <w:rFonts w:ascii="宋体" w:hAnsi="宋体" w:eastAsia="宋体" w:cs="Times New Roman"/>
      <w:sz w:val="21"/>
      <w:lang w:val="en-US" w:eastAsia="zh-CN" w:bidi="ar-SA"/>
    </w:rPr>
  </w:style>
  <w:style w:type="paragraph" w:customStyle="1" w:styleId="161">
    <w:name w:val="五级无标题条"/>
    <w:basedOn w:val="1"/>
    <w:autoRedefine/>
    <w:qFormat/>
    <w:uiPriority w:val="0"/>
    <w:pPr>
      <w:numPr>
        <w:ilvl w:val="6"/>
        <w:numId w:val="20"/>
      </w:numPr>
      <w:adjustRightInd/>
    </w:pPr>
    <w:rPr>
      <w:szCs w:val="24"/>
    </w:rPr>
  </w:style>
  <w:style w:type="paragraph" w:customStyle="1" w:styleId="162">
    <w:name w:val="一级无标题条"/>
    <w:basedOn w:val="1"/>
    <w:autoRedefine/>
    <w:qFormat/>
    <w:uiPriority w:val="0"/>
    <w:pPr>
      <w:numPr>
        <w:ilvl w:val="2"/>
        <w:numId w:val="20"/>
      </w:numPr>
      <w:adjustRightInd/>
      <w:spacing w:before="10" w:after="10" w:line="240" w:lineRule="auto"/>
    </w:pPr>
    <w:rPr>
      <w:rFonts w:ascii="宋体" w:hAnsi="宋体"/>
      <w:szCs w:val="24"/>
    </w:rPr>
  </w:style>
  <w:style w:type="paragraph" w:customStyle="1" w:styleId="163">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4">
    <w:name w:val="注×:后续"/>
    <w:basedOn w:val="163"/>
    <w:autoRedefine/>
    <w:qFormat/>
    <w:uiPriority w:val="0"/>
    <w:pPr>
      <w:ind w:left="1406" w:leftChars="0" w:hanging="499" w:firstLineChars="0"/>
    </w:pPr>
  </w:style>
  <w:style w:type="paragraph" w:customStyle="1" w:styleId="165">
    <w:name w:val="标准文件_一级无标题"/>
    <w:basedOn w:val="108"/>
    <w:autoRedefine/>
    <w:qFormat/>
    <w:uiPriority w:val="0"/>
    <w:pPr>
      <w:spacing w:before="0" w:beforeLines="0" w:after="0" w:afterLines="0"/>
      <w:outlineLvl w:val="9"/>
    </w:pPr>
    <w:rPr>
      <w:rFonts w:ascii="宋体" w:eastAsia="宋体"/>
    </w:rPr>
  </w:style>
  <w:style w:type="paragraph" w:customStyle="1" w:styleId="166">
    <w:name w:val="标准文件_五级无标题"/>
    <w:basedOn w:val="106"/>
    <w:autoRedefine/>
    <w:qFormat/>
    <w:uiPriority w:val="0"/>
    <w:pPr>
      <w:spacing w:before="0" w:beforeLines="0" w:after="0" w:afterLines="0"/>
      <w:outlineLvl w:val="9"/>
    </w:pPr>
    <w:rPr>
      <w:rFonts w:ascii="宋体" w:eastAsia="宋体"/>
    </w:rPr>
  </w:style>
  <w:style w:type="paragraph" w:customStyle="1" w:styleId="167">
    <w:name w:val="标准文件_三级无标题"/>
    <w:basedOn w:val="97"/>
    <w:autoRedefine/>
    <w:qFormat/>
    <w:uiPriority w:val="0"/>
    <w:pPr>
      <w:spacing w:before="0" w:beforeLines="0" w:after="0" w:afterLines="0"/>
      <w:outlineLvl w:val="9"/>
    </w:pPr>
    <w:rPr>
      <w:rFonts w:ascii="宋体" w:eastAsia="宋体"/>
    </w:rPr>
  </w:style>
  <w:style w:type="paragraph" w:customStyle="1" w:styleId="168">
    <w:name w:val="标准文件_二级无标题"/>
    <w:basedOn w:val="68"/>
    <w:autoRedefine/>
    <w:qFormat/>
    <w:uiPriority w:val="0"/>
    <w:pPr>
      <w:spacing w:before="0" w:beforeLines="0" w:after="0" w:afterLines="0"/>
      <w:outlineLvl w:val="9"/>
    </w:pPr>
    <w:rPr>
      <w:rFonts w:ascii="宋体" w:eastAsia="宋体"/>
    </w:rPr>
  </w:style>
  <w:style w:type="paragraph" w:customStyle="1" w:styleId="169">
    <w:name w:val="标准_四级无标题"/>
    <w:basedOn w:val="101"/>
    <w:next w:val="59"/>
    <w:autoRedefine/>
    <w:qFormat/>
    <w:uiPriority w:val="0"/>
    <w:rPr>
      <w:rFonts w:eastAsia="宋体"/>
    </w:rPr>
  </w:style>
  <w:style w:type="paragraph" w:customStyle="1" w:styleId="170">
    <w:name w:val="标准文件_四级无标题"/>
    <w:basedOn w:val="101"/>
    <w:autoRedefine/>
    <w:qFormat/>
    <w:uiPriority w:val="0"/>
    <w:pPr>
      <w:spacing w:before="0" w:beforeLines="0" w:after="0" w:afterLines="0"/>
      <w:outlineLvl w:val="9"/>
    </w:pPr>
    <w:rPr>
      <w:rFonts w:ascii="宋体" w:hAnsi="黑体" w:eastAsia="宋体"/>
      <w:szCs w:val="52"/>
    </w:rPr>
  </w:style>
  <w:style w:type="paragraph" w:customStyle="1" w:styleId="171">
    <w:name w:val="标准文件_大写罗马数字编号列项"/>
    <w:basedOn w:val="59"/>
    <w:autoRedefine/>
    <w:qFormat/>
    <w:uiPriority w:val="0"/>
    <w:pPr>
      <w:numPr>
        <w:ilvl w:val="0"/>
        <w:numId w:val="23"/>
      </w:numPr>
      <w:ind w:firstLine="0" w:firstLineChars="0"/>
    </w:pPr>
    <w:rPr>
      <w:rFonts w:ascii="Times New Roman" w:cs="Arial"/>
      <w:szCs w:val="28"/>
    </w:rPr>
  </w:style>
  <w:style w:type="paragraph" w:customStyle="1" w:styleId="172">
    <w:name w:val="标准文件_小写罗马数字编号列项"/>
    <w:basedOn w:val="59"/>
    <w:autoRedefine/>
    <w:qFormat/>
    <w:uiPriority w:val="0"/>
    <w:pPr>
      <w:numPr>
        <w:ilvl w:val="0"/>
        <w:numId w:val="24"/>
      </w:numPr>
      <w:ind w:firstLine="0" w:firstLineChars="0"/>
    </w:pPr>
    <w:rPr>
      <w:rFonts w:cs="Arial"/>
      <w:szCs w:val="28"/>
    </w:rPr>
  </w:style>
  <w:style w:type="paragraph" w:customStyle="1" w:styleId="173">
    <w:name w:val="标准文件_附录标题"/>
    <w:basedOn w:val="79"/>
    <w:autoRedefine/>
    <w:qFormat/>
    <w:uiPriority w:val="0"/>
    <w:pPr>
      <w:numPr>
        <w:numId w:val="0"/>
      </w:numPr>
      <w:spacing w:after="280"/>
      <w:outlineLvl w:val="9"/>
    </w:pPr>
  </w:style>
  <w:style w:type="paragraph" w:customStyle="1" w:styleId="174">
    <w:name w:val="标准文件_二级项"/>
    <w:autoRedefine/>
    <w:qFormat/>
    <w:uiPriority w:val="0"/>
    <w:rPr>
      <w:rFonts w:ascii="宋体" w:hAnsi="Times New Roman" w:eastAsia="宋体" w:cs="Times New Roman"/>
      <w:sz w:val="21"/>
      <w:lang w:val="en-US" w:eastAsia="zh-CN" w:bidi="ar-SA"/>
    </w:rPr>
  </w:style>
  <w:style w:type="paragraph" w:customStyle="1" w:styleId="175">
    <w:name w:val="标准文件_三级项"/>
    <w:basedOn w:val="1"/>
    <w:autoRedefine/>
    <w:qFormat/>
    <w:uiPriority w:val="0"/>
    <w:pPr>
      <w:numPr>
        <w:ilvl w:val="2"/>
        <w:numId w:val="21"/>
      </w:numPr>
      <w:spacing w:line="536870612" w:lineRule="auto"/>
    </w:pPr>
    <w:rPr>
      <w:rFonts w:ascii="Times New Roman" w:hAnsi="Times New Roman"/>
    </w:rPr>
  </w:style>
  <w:style w:type="paragraph" w:customStyle="1" w:styleId="176">
    <w:name w:val="图表脚注说明"/>
    <w:basedOn w:val="1"/>
    <w:next w:val="59"/>
    <w:autoRedefine/>
    <w:qFormat/>
    <w:uiPriority w:val="0"/>
    <w:pPr>
      <w:numPr>
        <w:ilvl w:val="0"/>
        <w:numId w:val="25"/>
      </w:numPr>
      <w:adjustRightInd/>
      <w:spacing w:line="240" w:lineRule="auto"/>
    </w:pPr>
    <w:rPr>
      <w:rFonts w:ascii="宋体" w:hAnsi="Times New Roman"/>
      <w:sz w:val="18"/>
      <w:szCs w:val="18"/>
    </w:rPr>
  </w:style>
  <w:style w:type="paragraph" w:customStyle="1" w:styleId="177">
    <w:name w:val="标准文件_字母编号列项（一级）"/>
    <w:autoRedefine/>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8">
    <w:name w:val="标准文件_索引字母"/>
    <w:next w:val="59"/>
    <w:autoRedefine/>
    <w:qFormat/>
    <w:uiPriority w:val="0"/>
    <w:pPr>
      <w:jc w:val="center"/>
    </w:pPr>
    <w:rPr>
      <w:rFonts w:ascii="宋体" w:hAnsi="宋体" w:eastAsia="Times New Roman" w:cs="Times New Roman"/>
      <w:b/>
      <w:kern w:val="2"/>
      <w:sz w:val="21"/>
      <w:lang w:val="en-US" w:eastAsia="zh-CN" w:bidi="ar-SA"/>
    </w:rPr>
  </w:style>
  <w:style w:type="paragraph" w:customStyle="1" w:styleId="179">
    <w:name w:val="标准文件_附录前"/>
    <w:next w:val="59"/>
    <w:autoRedefine/>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0">
    <w:name w:val="标准文件_正文标准名称"/>
    <w:autoRedefine/>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1">
    <w:name w:val="标准文件_表格"/>
    <w:basedOn w:val="59"/>
    <w:autoRedefine/>
    <w:qFormat/>
    <w:uiPriority w:val="0"/>
    <w:pPr>
      <w:ind w:firstLine="0" w:firstLineChars="0"/>
      <w:jc w:val="center"/>
    </w:pPr>
    <w:rPr>
      <w:sz w:val="18"/>
    </w:rPr>
  </w:style>
  <w:style w:type="paragraph" w:customStyle="1" w:styleId="182">
    <w:name w:val="标准文件_注："/>
    <w:next w:val="59"/>
    <w:autoRedefine/>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注×："/>
    <w:autoRedefine/>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示例："/>
    <w:next w:val="185"/>
    <w:autoRedefine/>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5">
    <w:name w:val="标准文件_示例内容"/>
    <w:basedOn w:val="59"/>
    <w:autoRedefine/>
    <w:qFormat/>
    <w:uiPriority w:val="0"/>
    <w:pPr>
      <w:ind w:firstLine="420"/>
    </w:pPr>
    <w:rPr>
      <w:sz w:val="18"/>
    </w:rPr>
  </w:style>
  <w:style w:type="paragraph" w:customStyle="1" w:styleId="186">
    <w:name w:val="标准文件_示例×："/>
    <w:basedOn w:val="1"/>
    <w:next w:val="185"/>
    <w:autoRedefine/>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7">
    <w:name w:val="标准文件_段 Char"/>
    <w:link w:val="59"/>
    <w:autoRedefine/>
    <w:qFormat/>
    <w:uiPriority w:val="0"/>
    <w:rPr>
      <w:rFonts w:ascii="宋体" w:hAnsi="Times New Roman"/>
      <w:sz w:val="21"/>
    </w:rPr>
  </w:style>
  <w:style w:type="paragraph" w:customStyle="1" w:styleId="188">
    <w:name w:val="标准文件_表格续"/>
    <w:basedOn w:val="59"/>
    <w:next w:val="59"/>
    <w:autoRedefine/>
    <w:qFormat/>
    <w:uiPriority w:val="0"/>
    <w:pPr>
      <w:jc w:val="center"/>
    </w:pPr>
    <w:rPr>
      <w:rFonts w:ascii="黑体" w:hAnsi="黑体" w:eastAsia="黑体"/>
    </w:rPr>
  </w:style>
  <w:style w:type="character" w:styleId="189">
    <w:name w:val="Placeholder Text"/>
    <w:basedOn w:val="29"/>
    <w:autoRedefine/>
    <w:semiHidden/>
    <w:qFormat/>
    <w:uiPriority w:val="99"/>
    <w:rPr>
      <w:color w:val="808080"/>
    </w:rPr>
  </w:style>
  <w:style w:type="paragraph" w:customStyle="1" w:styleId="190">
    <w:name w:val="标准文件_二级项2"/>
    <w:basedOn w:val="59"/>
    <w:autoRedefine/>
    <w:qFormat/>
    <w:uiPriority w:val="0"/>
    <w:pPr>
      <w:numPr>
        <w:ilvl w:val="1"/>
        <w:numId w:val="21"/>
      </w:numPr>
      <w:ind w:firstLine="0" w:firstLineChars="0"/>
    </w:pPr>
  </w:style>
  <w:style w:type="paragraph" w:customStyle="1" w:styleId="191">
    <w:name w:val="标准文件_三级项2"/>
    <w:basedOn w:val="59"/>
    <w:autoRedefine/>
    <w:qFormat/>
    <w:uiPriority w:val="0"/>
    <w:pPr>
      <w:numPr>
        <w:ilvl w:val="0"/>
        <w:numId w:val="30"/>
      </w:numPr>
      <w:spacing w:line="300" w:lineRule="exact"/>
      <w:ind w:firstLineChars="0"/>
    </w:pPr>
    <w:rPr>
      <w:rFonts w:ascii="Times New Roman"/>
    </w:rPr>
  </w:style>
  <w:style w:type="paragraph" w:customStyle="1" w:styleId="192">
    <w:name w:val="标准文件_一级项2"/>
    <w:basedOn w:val="59"/>
    <w:autoRedefine/>
    <w:qFormat/>
    <w:uiPriority w:val="0"/>
    <w:pPr>
      <w:numPr>
        <w:ilvl w:val="0"/>
        <w:numId w:val="31"/>
      </w:numPr>
      <w:spacing w:line="300" w:lineRule="exact"/>
      <w:ind w:firstLineChars="0"/>
    </w:pPr>
    <w:rPr>
      <w:rFonts w:ascii="Times New Roman"/>
    </w:rPr>
  </w:style>
  <w:style w:type="paragraph" w:customStyle="1" w:styleId="193">
    <w:name w:val="标准文件_提示"/>
    <w:basedOn w:val="59"/>
    <w:next w:val="59"/>
    <w:autoRedefine/>
    <w:qFormat/>
    <w:uiPriority w:val="0"/>
    <w:pPr>
      <w:ind w:firstLine="420"/>
    </w:pPr>
    <w:rPr>
      <w:rFonts w:ascii="黑体" w:eastAsia="黑体"/>
    </w:rPr>
  </w:style>
  <w:style w:type="character" w:customStyle="1" w:styleId="194">
    <w:name w:val="标准文件_来源"/>
    <w:basedOn w:val="29"/>
    <w:autoRedefine/>
    <w:qFormat/>
    <w:uiPriority w:val="1"/>
    <w:rPr>
      <w:rFonts w:eastAsia="宋体"/>
      <w:sz w:val="21"/>
    </w:rPr>
  </w:style>
  <w:style w:type="paragraph" w:customStyle="1" w:styleId="195">
    <w:name w:val="标准文件_图表说明"/>
    <w:autoRedefine/>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6">
    <w:name w:val="其他发布日期"/>
    <w:basedOn w:val="123"/>
    <w:autoRedefine/>
    <w:qFormat/>
    <w:uiPriority w:val="0"/>
    <w:pPr>
      <w:framePr w:w="3997" w:h="471" w:hRule="exact" w:hSpace="0" w:vSpace="181" w:wrap="around" w:vAnchor="page" w:hAnchor="page" w:x="1419" w:y="14097"/>
    </w:pPr>
  </w:style>
  <w:style w:type="paragraph" w:customStyle="1" w:styleId="197">
    <w:name w:val="其他实施日期"/>
    <w:basedOn w:val="157"/>
    <w:autoRedefine/>
    <w:qFormat/>
    <w:uiPriority w:val="0"/>
    <w:pPr>
      <w:framePr w:w="3997" w:h="471" w:hRule="exact" w:vSpace="181" w:wrap="around" w:vAnchor="page" w:hAnchor="page" w:x="7089" w:y="14097"/>
    </w:pPr>
  </w:style>
  <w:style w:type="paragraph" w:customStyle="1" w:styleId="198">
    <w:name w:val="标准文件_文件编号"/>
    <w:basedOn w:val="59"/>
    <w:autoRedefine/>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9">
    <w:name w:val="标准文件_替换文件编号"/>
    <w:basedOn w:val="198"/>
    <w:autoRedefine/>
    <w:qFormat/>
    <w:uiPriority w:val="0"/>
    <w:pPr>
      <w:spacing w:before="57"/>
    </w:pPr>
    <w:rPr>
      <w:sz w:val="21"/>
    </w:rPr>
  </w:style>
  <w:style w:type="paragraph" w:customStyle="1" w:styleId="200">
    <w:name w:val="标准文件_文件名称"/>
    <w:basedOn w:val="59"/>
    <w:next w:val="59"/>
    <w:autoRedefine/>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1">
    <w:name w:val="标准文件_附录图标号"/>
    <w:basedOn w:val="59"/>
    <w:next w:val="59"/>
    <w:autoRedefine/>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2">
    <w:name w:val="标准文件_附录表标号"/>
    <w:basedOn w:val="59"/>
    <w:next w:val="59"/>
    <w:autoRedefine/>
    <w:qFormat/>
    <w:uiPriority w:val="0"/>
    <w:pPr>
      <w:numPr>
        <w:ilvl w:val="0"/>
        <w:numId w:val="5"/>
      </w:numPr>
      <w:spacing w:line="14" w:lineRule="exact"/>
      <w:ind w:firstLine="0" w:firstLineChars="0"/>
      <w:jc w:val="center"/>
    </w:pPr>
    <w:rPr>
      <w:rFonts w:eastAsia="黑体"/>
      <w:vanish/>
      <w:sz w:val="2"/>
    </w:rPr>
  </w:style>
  <w:style w:type="paragraph" w:customStyle="1" w:styleId="203">
    <w:name w:val="标准文件_引言一级条标题"/>
    <w:basedOn w:val="59"/>
    <w:next w:val="59"/>
    <w:autoRedefine/>
    <w:qFormat/>
    <w:uiPriority w:val="0"/>
    <w:pPr>
      <w:numPr>
        <w:ilvl w:val="1"/>
        <w:numId w:val="8"/>
      </w:numPr>
      <w:spacing w:before="50" w:beforeLines="50" w:after="50" w:afterLines="50"/>
      <w:ind w:firstLineChars="0"/>
    </w:pPr>
    <w:rPr>
      <w:rFonts w:ascii="黑体" w:eastAsia="黑体"/>
    </w:rPr>
  </w:style>
  <w:style w:type="paragraph" w:customStyle="1" w:styleId="204">
    <w:name w:val="标准文件_引言二级条标题"/>
    <w:basedOn w:val="59"/>
    <w:next w:val="59"/>
    <w:autoRedefine/>
    <w:qFormat/>
    <w:uiPriority w:val="0"/>
    <w:pPr>
      <w:numPr>
        <w:ilvl w:val="2"/>
        <w:numId w:val="8"/>
      </w:numPr>
      <w:spacing w:before="50" w:beforeLines="50" w:after="50" w:afterLines="50"/>
      <w:ind w:firstLineChars="0"/>
    </w:pPr>
    <w:rPr>
      <w:rFonts w:ascii="黑体" w:eastAsia="黑体"/>
    </w:rPr>
  </w:style>
  <w:style w:type="paragraph" w:customStyle="1" w:styleId="205">
    <w:name w:val="标准文件_引言三级条标题"/>
    <w:basedOn w:val="59"/>
    <w:next w:val="59"/>
    <w:autoRedefine/>
    <w:qFormat/>
    <w:uiPriority w:val="0"/>
    <w:pPr>
      <w:numPr>
        <w:ilvl w:val="3"/>
        <w:numId w:val="8"/>
      </w:numPr>
      <w:spacing w:before="50" w:beforeLines="50" w:after="50" w:afterLines="50"/>
      <w:ind w:firstLineChars="0"/>
    </w:pPr>
    <w:rPr>
      <w:rFonts w:ascii="黑体" w:eastAsia="黑体"/>
    </w:rPr>
  </w:style>
  <w:style w:type="paragraph" w:customStyle="1" w:styleId="206">
    <w:name w:val="标准文件_引言四级条标题"/>
    <w:basedOn w:val="59"/>
    <w:next w:val="59"/>
    <w:autoRedefine/>
    <w:qFormat/>
    <w:uiPriority w:val="0"/>
    <w:pPr>
      <w:numPr>
        <w:ilvl w:val="4"/>
        <w:numId w:val="8"/>
      </w:numPr>
      <w:spacing w:before="50" w:beforeLines="50" w:after="50" w:afterLines="50"/>
      <w:ind w:firstLineChars="0"/>
    </w:pPr>
    <w:rPr>
      <w:rFonts w:ascii="黑体" w:eastAsia="黑体"/>
    </w:rPr>
  </w:style>
  <w:style w:type="paragraph" w:customStyle="1" w:styleId="207">
    <w:name w:val="标准文件_引言五级条标题"/>
    <w:basedOn w:val="59"/>
    <w:next w:val="59"/>
    <w:autoRedefine/>
    <w:qFormat/>
    <w:uiPriority w:val="0"/>
    <w:pPr>
      <w:numPr>
        <w:ilvl w:val="5"/>
        <w:numId w:val="8"/>
      </w:numPr>
      <w:spacing w:before="50" w:beforeLines="50" w:after="50" w:afterLines="50"/>
      <w:ind w:firstLineChars="0"/>
    </w:pPr>
    <w:rPr>
      <w:rFonts w:ascii="黑体" w:eastAsia="黑体"/>
    </w:rPr>
  </w:style>
  <w:style w:type="paragraph" w:customStyle="1" w:styleId="208">
    <w:name w:val="标准文件_注后"/>
    <w:basedOn w:val="59"/>
    <w:autoRedefine/>
    <w:qFormat/>
    <w:uiPriority w:val="0"/>
    <w:pPr>
      <w:ind w:left="811" w:firstLine="0" w:firstLineChars="0"/>
    </w:pPr>
    <w:rPr>
      <w:sz w:val="18"/>
    </w:rPr>
  </w:style>
  <w:style w:type="paragraph" w:customStyle="1" w:styleId="209">
    <w:name w:val="标准文件_注X后"/>
    <w:basedOn w:val="59"/>
    <w:autoRedefine/>
    <w:qFormat/>
    <w:uiPriority w:val="0"/>
    <w:pPr>
      <w:ind w:left="811" w:firstLine="0" w:firstLineChars="0"/>
    </w:pPr>
    <w:rPr>
      <w:sz w:val="18"/>
    </w:rPr>
  </w:style>
  <w:style w:type="paragraph" w:customStyle="1" w:styleId="210">
    <w:name w:val="标准文件_示例后"/>
    <w:basedOn w:val="59"/>
    <w:autoRedefine/>
    <w:qFormat/>
    <w:uiPriority w:val="0"/>
    <w:pPr>
      <w:ind w:left="964" w:firstLine="0" w:firstLineChars="0"/>
    </w:pPr>
    <w:rPr>
      <w:sz w:val="18"/>
    </w:rPr>
  </w:style>
  <w:style w:type="paragraph" w:customStyle="1" w:styleId="211">
    <w:name w:val="标准文件_示例X后"/>
    <w:basedOn w:val="59"/>
    <w:link w:val="212"/>
    <w:autoRedefine/>
    <w:qFormat/>
    <w:uiPriority w:val="0"/>
    <w:pPr>
      <w:ind w:left="1049" w:firstLine="0" w:firstLineChars="0"/>
    </w:pPr>
    <w:rPr>
      <w:sz w:val="18"/>
    </w:rPr>
  </w:style>
  <w:style w:type="character" w:customStyle="1" w:styleId="212">
    <w:name w:val="标准文件_示例X后 字符"/>
    <w:basedOn w:val="187"/>
    <w:link w:val="211"/>
    <w:autoRedefine/>
    <w:qFormat/>
    <w:uiPriority w:val="0"/>
    <w:rPr>
      <w:rFonts w:ascii="宋体" w:hAnsi="Times New Roman"/>
      <w:sz w:val="18"/>
    </w:rPr>
  </w:style>
  <w:style w:type="paragraph" w:customStyle="1" w:styleId="213">
    <w:name w:val="标准文件_索引项"/>
    <w:basedOn w:val="59"/>
    <w:next w:val="59"/>
    <w:autoRedefine/>
    <w:qFormat/>
    <w:uiPriority w:val="0"/>
    <w:pPr>
      <w:tabs>
        <w:tab w:val="right" w:leader="dot" w:pos="9356"/>
      </w:tabs>
      <w:ind w:left="210" w:hanging="210" w:firstLineChars="0"/>
      <w:jc w:val="left"/>
    </w:pPr>
  </w:style>
  <w:style w:type="paragraph" w:customStyle="1" w:styleId="214">
    <w:name w:val="标准文件_附录一级无标题"/>
    <w:basedOn w:val="81"/>
    <w:autoRedefine/>
    <w:qFormat/>
    <w:uiPriority w:val="0"/>
    <w:pPr>
      <w:spacing w:before="0" w:beforeLines="0" w:after="0" w:afterLines="0" w:line="276" w:lineRule="auto"/>
      <w:outlineLvl w:val="9"/>
    </w:pPr>
    <w:rPr>
      <w:rFonts w:ascii="宋体" w:eastAsia="宋体"/>
    </w:rPr>
  </w:style>
  <w:style w:type="paragraph" w:customStyle="1" w:styleId="215">
    <w:name w:val="标准文件_附录二级无标题"/>
    <w:basedOn w:val="82"/>
    <w:autoRedefine/>
    <w:qFormat/>
    <w:uiPriority w:val="0"/>
    <w:pPr>
      <w:spacing w:before="0" w:beforeLines="0" w:after="0" w:afterLines="0" w:line="276" w:lineRule="auto"/>
      <w:outlineLvl w:val="9"/>
    </w:pPr>
    <w:rPr>
      <w:rFonts w:ascii="宋体" w:eastAsia="宋体"/>
    </w:rPr>
  </w:style>
  <w:style w:type="paragraph" w:customStyle="1" w:styleId="216">
    <w:name w:val="标准文件_附录三级无标题"/>
    <w:basedOn w:val="84"/>
    <w:autoRedefine/>
    <w:qFormat/>
    <w:uiPriority w:val="0"/>
    <w:pPr>
      <w:spacing w:before="0" w:beforeLines="0" w:after="0" w:afterLines="0" w:line="276" w:lineRule="auto"/>
      <w:outlineLvl w:val="9"/>
    </w:pPr>
    <w:rPr>
      <w:rFonts w:ascii="宋体" w:eastAsia="宋体"/>
    </w:rPr>
  </w:style>
  <w:style w:type="paragraph" w:customStyle="1" w:styleId="217">
    <w:name w:val="标准文件_附录四级无标题"/>
    <w:basedOn w:val="85"/>
    <w:autoRedefine/>
    <w:qFormat/>
    <w:uiPriority w:val="0"/>
    <w:pPr>
      <w:spacing w:before="0" w:beforeLines="0" w:after="0" w:afterLines="0" w:line="276" w:lineRule="auto"/>
      <w:outlineLvl w:val="9"/>
    </w:pPr>
    <w:rPr>
      <w:rFonts w:ascii="宋体" w:eastAsia="宋体"/>
    </w:rPr>
  </w:style>
  <w:style w:type="paragraph" w:customStyle="1" w:styleId="218">
    <w:name w:val="标准文件_附录五级无标题"/>
    <w:basedOn w:val="87"/>
    <w:autoRedefine/>
    <w:qFormat/>
    <w:uiPriority w:val="0"/>
    <w:pPr>
      <w:spacing w:before="0" w:beforeLines="0" w:after="0" w:afterLines="0" w:line="276" w:lineRule="auto"/>
      <w:outlineLvl w:val="9"/>
    </w:pPr>
    <w:rPr>
      <w:rFonts w:ascii="宋体" w:eastAsia="宋体"/>
    </w:rPr>
  </w:style>
  <w:style w:type="paragraph" w:customStyle="1" w:styleId="219">
    <w:name w:val="标准文件_引言一级无标题"/>
    <w:basedOn w:val="203"/>
    <w:next w:val="59"/>
    <w:autoRedefine/>
    <w:qFormat/>
    <w:uiPriority w:val="0"/>
    <w:pPr>
      <w:spacing w:before="0" w:beforeLines="0" w:after="0" w:afterLines="0" w:line="276" w:lineRule="auto"/>
    </w:pPr>
    <w:rPr>
      <w:rFonts w:ascii="宋体" w:eastAsia="宋体"/>
    </w:rPr>
  </w:style>
  <w:style w:type="paragraph" w:customStyle="1" w:styleId="220">
    <w:name w:val="标准文件_引言二级无标题"/>
    <w:basedOn w:val="204"/>
    <w:next w:val="59"/>
    <w:autoRedefine/>
    <w:qFormat/>
    <w:uiPriority w:val="0"/>
    <w:pPr>
      <w:spacing w:before="0" w:beforeLines="0" w:after="0" w:afterLines="0" w:line="276" w:lineRule="auto"/>
    </w:pPr>
    <w:rPr>
      <w:rFonts w:ascii="宋体" w:eastAsia="宋体"/>
    </w:rPr>
  </w:style>
  <w:style w:type="paragraph" w:customStyle="1" w:styleId="221">
    <w:name w:val="标准文件_引言三级无标题"/>
    <w:basedOn w:val="205"/>
    <w:autoRedefine/>
    <w:qFormat/>
    <w:uiPriority w:val="0"/>
    <w:pPr>
      <w:spacing w:before="0" w:beforeLines="0" w:after="0" w:afterLines="0" w:line="276" w:lineRule="auto"/>
    </w:pPr>
    <w:rPr>
      <w:rFonts w:ascii="宋体" w:eastAsia="宋体"/>
    </w:rPr>
  </w:style>
  <w:style w:type="paragraph" w:customStyle="1" w:styleId="222">
    <w:name w:val="标准文件_引言四级无标题"/>
    <w:basedOn w:val="206"/>
    <w:next w:val="59"/>
    <w:autoRedefine/>
    <w:qFormat/>
    <w:uiPriority w:val="0"/>
    <w:pPr>
      <w:spacing w:before="0" w:beforeLines="0" w:after="0" w:afterLines="0" w:line="276" w:lineRule="auto"/>
    </w:pPr>
    <w:rPr>
      <w:rFonts w:ascii="宋体" w:eastAsia="宋体"/>
    </w:rPr>
  </w:style>
  <w:style w:type="paragraph" w:customStyle="1" w:styleId="223">
    <w:name w:val="标准文件_引言五级无标题"/>
    <w:basedOn w:val="207"/>
    <w:next w:val="59"/>
    <w:autoRedefine/>
    <w:qFormat/>
    <w:uiPriority w:val="0"/>
    <w:pPr>
      <w:spacing w:before="0" w:beforeLines="0" w:after="0" w:afterLines="0" w:line="276" w:lineRule="auto"/>
    </w:pPr>
    <w:rPr>
      <w:rFonts w:ascii="宋体" w:eastAsia="宋体"/>
    </w:rPr>
  </w:style>
  <w:style w:type="paragraph" w:customStyle="1" w:styleId="224">
    <w:name w:val="标准文件_索引标题"/>
    <w:basedOn w:val="66"/>
    <w:next w:val="59"/>
    <w:autoRedefine/>
    <w:qFormat/>
    <w:uiPriority w:val="0"/>
    <w:rPr>
      <w:rFonts w:hAnsi="黑体"/>
    </w:rPr>
  </w:style>
  <w:style w:type="paragraph" w:customStyle="1" w:styleId="225">
    <w:name w:val="标准文件_脚注内容"/>
    <w:basedOn w:val="59"/>
    <w:autoRedefine/>
    <w:qFormat/>
    <w:uiPriority w:val="0"/>
    <w:pPr>
      <w:ind w:left="400" w:leftChars="200" w:hanging="200" w:hangingChars="200"/>
    </w:pPr>
    <w:rPr>
      <w:sz w:val="15"/>
    </w:rPr>
  </w:style>
  <w:style w:type="paragraph" w:customStyle="1" w:styleId="226">
    <w:name w:val="标准文件_术语条一"/>
    <w:basedOn w:val="165"/>
    <w:next w:val="59"/>
    <w:autoRedefine/>
    <w:qFormat/>
    <w:uiPriority w:val="0"/>
  </w:style>
  <w:style w:type="paragraph" w:customStyle="1" w:styleId="227">
    <w:name w:val="标准文件_术语条二"/>
    <w:basedOn w:val="168"/>
    <w:next w:val="59"/>
    <w:autoRedefine/>
    <w:qFormat/>
    <w:uiPriority w:val="0"/>
  </w:style>
  <w:style w:type="paragraph" w:customStyle="1" w:styleId="228">
    <w:name w:val="标准文件_术语条三"/>
    <w:basedOn w:val="167"/>
    <w:next w:val="59"/>
    <w:autoRedefine/>
    <w:qFormat/>
    <w:uiPriority w:val="0"/>
  </w:style>
  <w:style w:type="paragraph" w:customStyle="1" w:styleId="229">
    <w:name w:val="标准文件_术语条四"/>
    <w:basedOn w:val="170"/>
    <w:next w:val="59"/>
    <w:autoRedefine/>
    <w:qFormat/>
    <w:uiPriority w:val="0"/>
  </w:style>
  <w:style w:type="paragraph" w:customStyle="1" w:styleId="230">
    <w:name w:val="标准文件_术语条五"/>
    <w:basedOn w:val="166"/>
    <w:next w:val="59"/>
    <w:autoRedefine/>
    <w:qFormat/>
    <w:uiPriority w:val="0"/>
  </w:style>
  <w:style w:type="paragraph" w:customStyle="1" w:styleId="231">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2">
    <w:name w:val="发布"/>
    <w:basedOn w:val="29"/>
    <w:autoRedefine/>
    <w:qFormat/>
    <w:uiPriority w:val="0"/>
    <w:rPr>
      <w:rFonts w:ascii="黑体" w:eastAsia="黑体"/>
      <w:spacing w:val="85"/>
      <w:w w:val="100"/>
      <w:position w:val="3"/>
      <w:sz w:val="28"/>
      <w:szCs w:val="28"/>
    </w:rPr>
  </w:style>
  <w:style w:type="paragraph" w:customStyle="1" w:styleId="233">
    <w:name w:val="Normal"/>
    <w:autoRedefine/>
    <w:qFormat/>
    <w:uiPriority w:val="0"/>
    <w:pPr>
      <w:jc w:val="both"/>
    </w:pPr>
    <w:rPr>
      <w:rFonts w:ascii="Calibri" w:hAnsi="Calibri" w:eastAsia="宋体" w:cs="Calibri"/>
      <w:kern w:val="2"/>
      <w:sz w:val="21"/>
      <w:szCs w:val="21"/>
      <w:lang w:val="en-US" w:eastAsia="zh-CN" w:bidi="ar-SA"/>
    </w:rPr>
  </w:style>
  <w:style w:type="paragraph" w:customStyle="1" w:styleId="234">
    <w:name w:val="地标说明二级标题"/>
    <w:basedOn w:val="39"/>
    <w:next w:val="40"/>
    <w:autoRedefine/>
    <w:qFormat/>
    <w:uiPriority w:val="0"/>
    <w:rPr>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4" Type="http://schemas.openxmlformats.org/officeDocument/2006/relationships/glossaryDocument" Target="glossary/document.xml"/><Relationship Id="rId33" Type="http://schemas.openxmlformats.org/officeDocument/2006/relationships/fontTable" Target="fontTable.xml"/><Relationship Id="rId32" Type="http://schemas.openxmlformats.org/officeDocument/2006/relationships/customXml" Target="../customXml/item2.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footnotes" Target="footnotes.xml"/><Relationship Id="rId29" Type="http://schemas.openxmlformats.org/officeDocument/2006/relationships/image" Target="media/image2.png"/><Relationship Id="rId28" Type="http://schemas.openxmlformats.org/officeDocument/2006/relationships/image" Target="media/image1.tiff"/><Relationship Id="rId27" Type="http://schemas.openxmlformats.org/officeDocument/2006/relationships/theme" Target="theme/theme1.xml"/><Relationship Id="rId26" Type="http://schemas.openxmlformats.org/officeDocument/2006/relationships/footer" Target="footer11.xml"/><Relationship Id="rId25" Type="http://schemas.openxmlformats.org/officeDocument/2006/relationships/footer" Target="footer10.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C071333BE2B644C9B6014C0C8D76C996"/>
        <w:style w:val=""/>
        <w:category>
          <w:name w:val="常规"/>
          <w:gallery w:val="placeholder"/>
        </w:category>
        <w:types>
          <w:type w:val="bbPlcHdr"/>
        </w:types>
        <w:behaviors>
          <w:behavior w:val="content"/>
        </w:behaviors>
        <w:description w:val=""/>
        <w:guid w:val="{D002344E-BB6A-4C60-A7CC-D82037FAAF69}"/>
      </w:docPartPr>
      <w:docPartBody>
        <w:p>
          <w:pPr>
            <w:pStyle w:val="5"/>
          </w:pPr>
          <w:r>
            <w:rPr>
              <w:rStyle w:val="4"/>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147"/>
    <w:rsid w:val="002B71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autoRedefine/>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C071333BE2B644C9B6014C0C8D76C996"/>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53D645134E8B445289DC69F5DEB9B27E"/>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7">
    <w:name w:val="941524E80582425489C61B9F4D2A0494"/>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F03465-9310-430F-A8A0-DFC80D2CA8A6}">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16</Pages>
  <Words>4857</Words>
  <Characters>6073</Characters>
  <Lines>1012</Lines>
  <Paragraphs>910</Paragraphs>
  <TotalTime>45</TotalTime>
  <ScaleCrop>false</ScaleCrop>
  <LinksUpToDate>false</LinksUpToDate>
  <CharactersWithSpaces>10020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2024-01-05T08:38:00Z</dcterms:created>
  <dc:creator>NTKO</dc:creator>
  <dc:description>&lt;config cover="true" show_menu="true" version="1.0.0" doctype="SDKXY"&gt;_x000d_
&lt;/config&gt;</dc:description>
  <cp:lastModifiedBy>李轩</cp:lastModifiedBy>
  <cp:lastPrinted>2024-01-18T04:35:09Z</cp:lastPrinted>
  <dcterms:modified xsi:type="dcterms:W3CDTF">2024-01-18T04:36:18Z</dcterms:modified>
  <dc:title>地方标准</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2052-12.1.0.16120</vt:lpwstr>
  </property>
  <property fmtid="{D5CDD505-2E9C-101B-9397-08002B2CF9AE}" pid="16" name="ICV">
    <vt:lpwstr>6ED8087B49C44778B4EA29E82E1AFA66_12</vt:lpwstr>
  </property>
</Properties>
</file>