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pict>
          <v:shape id="fmFrame8" o:spid="_x0000_s1027" o:spt="202" type="#_x0000_t202" style="position:absolute;left:0pt;margin-left:181.65pt;margin-top:-35.2pt;height:56.7pt;width:25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26"/>
                  </w:pPr>
                  <w:r>
                    <w:t>DB61</w:t>
                  </w:r>
                </w:p>
              </w:txbxContent>
            </v:textbox>
            <w10:anchorlock/>
          </v:shape>
        </w:pict>
      </w:r>
      <w:r>
        <w:pict>
          <v:shape id="fmFrame1" o:spid="_x0000_s1026" o:spt="202" type="#_x0000_t202" style="position:absolute;left:0pt;margin-left:-19.1pt;margin-top:-43.65pt;height:51.8pt;width:200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25"/>
                  </w:pPr>
                  <w:r>
                    <w:t>ICS</w:t>
                  </w:r>
                </w:p>
                <w:p>
                  <w:pPr>
                    <w:pStyle w:val="25"/>
                  </w:pPr>
                </w:p>
                <w:p>
                  <w:pPr>
                    <w:pStyle w:val="25"/>
                  </w:pPr>
                  <w:r>
                    <w:rPr>
                      <w:rFonts w:hint="eastAsia"/>
                    </w:rPr>
                    <w:t>备案号：</w:t>
                  </w:r>
                </w:p>
              </w:txbxContent>
            </v:textbox>
            <w10:anchorlock/>
          </v:shape>
        </w:pict>
      </w:r>
    </w:p>
    <w:p>
      <w:pPr>
        <w:jc w:val="center"/>
        <w:rPr>
          <w:b/>
          <w:sz w:val="32"/>
        </w:rPr>
      </w:pPr>
      <w:r>
        <w:pict>
          <v:shape id="fmFrame2" o:spid="_x0000_s1028" o:spt="202" type="#_x0000_t202" style="position:absolute;left:0pt;margin-left:-19.1pt;margin-top:35.95pt;height:30.8pt;width:481.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27"/>
                  </w:pPr>
                  <w:r>
                    <w:rPr>
                      <w:rFonts w:hint="eastAsia"/>
                    </w:rPr>
                    <w:t>陕西省地方标准</w:t>
                  </w:r>
                </w:p>
              </w:txbxContent>
            </v:textbox>
            <w10:anchorlock/>
          </v:shape>
        </w:pict>
      </w:r>
    </w:p>
    <w:p>
      <w:pPr>
        <w:jc w:val="center"/>
        <w:rPr>
          <w:b/>
          <w:sz w:val="32"/>
        </w:rPr>
      </w:pPr>
      <w:r>
        <w:pict>
          <v:shape id="fmFrame3" o:spid="_x0000_s1029" o:spt="202" type="#_x0000_t202" style="position:absolute;left:0pt;margin-left:-19.1pt;margin-top:66.7pt;height:67.75pt;width:456.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28"/>
                  </w:pPr>
                  <w:r>
                    <w:t>DB61/ ××××—20</w:t>
                  </w:r>
                  <w:r>
                    <w:rPr>
                      <w:rFonts w:hint="eastAsia"/>
                    </w:rPr>
                    <w:t>2</w:t>
                  </w:r>
                  <w:r>
                    <w:t>×</w:t>
                  </w:r>
                </w:p>
              </w:txbxContent>
            </v:textbox>
            <w10:anchorlock/>
          </v:shape>
        </w:pict>
      </w:r>
    </w:p>
    <w:p>
      <w:pPr>
        <w:jc w:val="center"/>
      </w:pPr>
    </w:p>
    <w:p>
      <w:pPr>
        <w:spacing w:line="400" w:lineRule="exact"/>
        <w:jc w:val="center"/>
        <w:rPr>
          <w:rFonts w:hint="eastAsia" w:ascii="黑体" w:eastAsia="黑体"/>
          <w:sz w:val="40"/>
          <w:szCs w:val="40"/>
          <w:u w:val="none"/>
          <w:lang w:val="en-US" w:eastAsia="zh-CN"/>
        </w:rPr>
      </w:pPr>
      <w:r>
        <w:pict>
          <v:line id="_x0000_s1030" o:spid="_x0000_s1030" o:spt="20" style="position:absolute;left:0pt;margin-left:-19.1pt;margin-top:10.55pt;height:0pt;width:482pt;z-index:251664384;mso-width-relative:page;mso-height-relative:page;" filled="f" stroked="t" coordsize="21600,21600">
            <v:path arrowok="t"/>
            <v:fill on="f" focussize="0,0"/>
            <v:stroke weight="1pt" color="#000000"/>
            <v:imagedata o:title=""/>
            <o:lock v:ext="edit" aspectratio="f"/>
          </v:line>
        </w:pict>
      </w:r>
    </w:p>
    <w:p>
      <w:pPr>
        <w:spacing w:line="400" w:lineRule="exact"/>
        <w:jc w:val="center"/>
        <w:rPr>
          <w:rFonts w:hint="eastAsia" w:ascii="黑体" w:eastAsia="黑体"/>
          <w:sz w:val="40"/>
          <w:szCs w:val="40"/>
          <w:u w:val="none"/>
          <w:lang w:val="en-US" w:eastAsia="zh-CN"/>
        </w:rPr>
      </w:pPr>
    </w:p>
    <w:p>
      <w:pPr>
        <w:spacing w:line="400" w:lineRule="exact"/>
        <w:jc w:val="center"/>
        <w:rPr>
          <w:rFonts w:hint="eastAsia" w:ascii="黑体" w:eastAsia="黑体"/>
          <w:sz w:val="40"/>
          <w:szCs w:val="40"/>
          <w:u w:val="none"/>
          <w:lang w:val="en-US" w:eastAsia="zh-CN"/>
        </w:rPr>
      </w:pPr>
    </w:p>
    <w:p>
      <w:pPr>
        <w:spacing w:line="400" w:lineRule="exact"/>
        <w:jc w:val="center"/>
        <w:rPr>
          <w:rFonts w:hint="eastAsia" w:ascii="黑体" w:eastAsia="黑体"/>
          <w:sz w:val="40"/>
          <w:szCs w:val="40"/>
          <w:u w:val="none"/>
          <w:lang w:val="en-US" w:eastAsia="zh-CN"/>
        </w:rPr>
      </w:pPr>
    </w:p>
    <w:p>
      <w:pPr>
        <w:spacing w:line="400" w:lineRule="exact"/>
        <w:jc w:val="center"/>
        <w:rPr>
          <w:rFonts w:hint="eastAsia" w:ascii="黑体" w:eastAsia="黑体"/>
          <w:sz w:val="40"/>
          <w:szCs w:val="40"/>
          <w:u w:val="none"/>
          <w:lang w:val="en-US" w:eastAsia="zh-CN"/>
        </w:rPr>
      </w:pPr>
      <w:bookmarkStart w:id="60" w:name="_GoBack"/>
      <w:bookmarkEnd w:id="60"/>
      <w:r>
        <w:rPr>
          <w:rFonts w:hint="eastAsia" w:ascii="黑体" w:eastAsia="黑体"/>
          <w:sz w:val="40"/>
          <w:szCs w:val="40"/>
          <w:u w:val="none"/>
          <w:lang w:val="en-US" w:eastAsia="zh-CN"/>
        </w:rPr>
        <w:t>抱夹类场（厂）内专用机动车辆检验规则</w:t>
      </w:r>
    </w:p>
    <w:p>
      <w:pPr>
        <w:spacing w:line="400" w:lineRule="exact"/>
        <w:jc w:val="center"/>
        <w:rPr>
          <w:rFonts w:hint="eastAsia" w:ascii="黑体" w:eastAsia="黑体"/>
          <w:sz w:val="40"/>
          <w:szCs w:val="40"/>
          <w:u w:val="none"/>
          <w:lang w:val="en-US" w:eastAsia="zh-CN"/>
        </w:rPr>
      </w:pPr>
    </w:p>
    <w:p>
      <w:pPr>
        <w:spacing w:line="400" w:lineRule="exact"/>
        <w:jc w:val="center"/>
        <w:rPr>
          <w:rFonts w:hint="eastAsia" w:ascii="黑体" w:eastAsia="黑体"/>
          <w:sz w:val="40"/>
          <w:szCs w:val="40"/>
          <w:u w:val="none"/>
          <w:lang w:val="en-US" w:eastAsia="zh-CN"/>
        </w:rPr>
      </w:pPr>
      <w:r>
        <w:rPr>
          <w:rFonts w:hint="eastAsia" w:ascii="黑体" w:eastAsia="黑体"/>
          <w:sz w:val="40"/>
          <w:szCs w:val="40"/>
          <w:u w:val="none"/>
          <w:lang w:val="en-US" w:eastAsia="zh-CN"/>
        </w:rPr>
        <w:t>（征求意见稿）</w:t>
      </w: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pPr>
    </w:p>
    <w:p>
      <w:pPr>
        <w:jc w:val="center"/>
        <w:rPr>
          <w:sz w:val="28"/>
        </w:rPr>
      </w:pPr>
    </w:p>
    <w:p>
      <w:pPr>
        <w:jc w:val="center"/>
        <w:rPr>
          <w:sz w:val="28"/>
        </w:rPr>
      </w:pPr>
      <w:r>
        <w:pict>
          <v:shape id="fmFrame5" o:spid="_x0000_s1031" o:spt="202" type="#_x0000_t202" style="position:absolute;left:0pt;margin-left:-19.1pt;margin-top:630.65pt;height:24.6pt;width:15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29"/>
                  </w:pPr>
                  <w:r>
                    <w:rPr>
                      <w:rFonts w:hint="eastAsia"/>
                    </w:rPr>
                    <w:t>202×-××-××发布</w:t>
                  </w:r>
                </w:p>
              </w:txbxContent>
            </v:textbox>
            <w10:anchorlock/>
          </v:shape>
        </w:pict>
      </w:r>
    </w:p>
    <w:p>
      <w:pPr>
        <w:jc w:val="center"/>
        <w:rPr>
          <w:sz w:val="28"/>
        </w:rPr>
      </w:pPr>
    </w:p>
    <w:p>
      <w:pPr>
        <w:jc w:val="center"/>
        <w:rPr>
          <w:rFonts w:hint="eastAsia"/>
          <w:sz w:val="28"/>
        </w:rPr>
        <w:sectPr>
          <w:footerReference r:id="rId3" w:type="default"/>
          <w:pgSz w:w="11906" w:h="16838"/>
          <w:pgMar w:top="1440" w:right="1800" w:bottom="1440" w:left="1800" w:header="851" w:footer="992" w:gutter="0"/>
          <w:pgNumType w:fmt="decimal"/>
          <w:cols w:space="425" w:num="1"/>
          <w:titlePg/>
          <w:docGrid w:type="lines" w:linePitch="312" w:charSpace="0"/>
        </w:sectPr>
      </w:pPr>
      <w:r>
        <w:pict>
          <v:shape id="fmFrame7" o:spid="_x0000_s1034" o:spt="202" type="#_x0000_t202" style="position:absolute;left:0pt;margin-left:-19.1pt;margin-top:673.55pt;height:28.6pt;width:481.9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31"/>
                  </w:pPr>
                  <w:r>
                    <w:rPr>
                      <w:rFonts w:hint="eastAsia"/>
                    </w:rPr>
                    <w:t>陕西省市场监督管理局</w:t>
                  </w:r>
                  <w:r>
                    <w:rPr>
                      <w:rStyle w:val="33"/>
                      <w:rFonts w:hint="eastAsia"/>
                    </w:rPr>
                    <w:t xml:space="preserve"> 发布</w:t>
                  </w:r>
                </w:p>
              </w:txbxContent>
            </v:textbox>
            <w10:anchorlock/>
          </v:shape>
        </w:pict>
      </w:r>
      <w:r>
        <w:pict>
          <v:line id="_x0000_s1033" o:spid="_x0000_s1033" o:spt="20" style="position:absolute;left:0pt;margin-left:-19.1pt;margin-top:17.15pt;height:0pt;width:482pt;z-index:251667456;mso-width-relative:page;mso-height-relative:page;" filled="f" stroked="t" coordsize="21600,21600">
            <v:path arrowok="t"/>
            <v:fill on="f" focussize="0,0"/>
            <v:stroke weight="1pt" color="#000000"/>
            <v:imagedata o:title=""/>
            <o:lock v:ext="edit" aspectratio="f"/>
          </v:line>
        </w:pict>
      </w:r>
      <w:r>
        <w:pict>
          <v:shape id="fmFrame6" o:spid="_x0000_s1032" o:spt="202" type="#_x0000_t202" style="position:absolute;left:0pt;margin-left:303.8pt;margin-top:630.65pt;height:24.6pt;width:159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30"/>
                  </w:pPr>
                  <w:r>
                    <w:rPr>
                      <w:rFonts w:hint="eastAsia"/>
                    </w:rPr>
                    <w:t>202×-××-××实施</w:t>
                  </w:r>
                </w:p>
              </w:txbxContent>
            </v:textbox>
            <w10:anchorlock/>
          </v:shape>
        </w:pict>
      </w:r>
    </w:p>
    <w:p>
      <w:pPr>
        <w:jc w:val="both"/>
        <w:rPr>
          <w:rFonts w:hint="eastAsia"/>
          <w:sz w:val="28"/>
        </w:rPr>
        <w:sectPr>
          <w:pgSz w:w="11906" w:h="16838"/>
          <w:pgMar w:top="1440" w:right="1800" w:bottom="1440" w:left="1800" w:header="851" w:footer="992" w:gutter="0"/>
          <w:pgNumType w:fmt="decimal"/>
          <w:cols w:space="425" w:num="1"/>
          <w:titlePg/>
          <w:docGrid w:type="lines" w:linePitch="312" w:charSpace="0"/>
        </w:sectPr>
      </w:pPr>
    </w:p>
    <w:sdt>
      <w:sdtPr>
        <w:rPr>
          <w:rFonts w:ascii="Times New Roman" w:hAnsi="Times New Roman" w:eastAsia="宋体" w:cs="Times New Roman"/>
          <w:b w:val="0"/>
          <w:bCs w:val="0"/>
          <w:color w:val="auto"/>
          <w:kern w:val="2"/>
          <w:sz w:val="21"/>
          <w:szCs w:val="24"/>
          <w:lang w:val="zh-CN"/>
        </w:rPr>
        <w:id w:val="100051944"/>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5"/>
            <w:jc w:val="center"/>
          </w:pPr>
          <w:r>
            <w:rPr>
              <w:color w:val="000000" w:themeColor="text1"/>
              <w:lang w:val="zh-CN"/>
            </w:rPr>
            <w:t>目</w:t>
          </w:r>
          <w:r>
            <w:rPr>
              <w:rFonts w:hint="eastAsia"/>
              <w:color w:val="000000" w:themeColor="text1"/>
              <w:lang w:val="zh-CN"/>
            </w:rPr>
            <w:t xml:space="preserve">  次</w:t>
          </w: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_Toc29863 </w:instrText>
          </w:r>
          <w:r>
            <w:fldChar w:fldCharType="separate"/>
          </w:r>
          <w:r>
            <w:rPr>
              <w:rFonts w:hint="eastAsia"/>
              <w:szCs w:val="36"/>
            </w:rPr>
            <w:t>1</w:t>
          </w:r>
          <w:r>
            <w:rPr>
              <w:rFonts w:hint="eastAsia"/>
              <w:szCs w:val="36"/>
              <w:lang w:val="en-US" w:eastAsia="zh-CN"/>
            </w:rPr>
            <w:t xml:space="preserve">  </w:t>
          </w:r>
          <w:r>
            <w:rPr>
              <w:rFonts w:hint="eastAsia"/>
              <w:szCs w:val="36"/>
            </w:rPr>
            <w:t>范围</w:t>
          </w:r>
          <w:r>
            <w:tab/>
          </w:r>
          <w:r>
            <w:fldChar w:fldCharType="begin"/>
          </w:r>
          <w:r>
            <w:instrText xml:space="preserve"> PAGEREF _Toc29863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_Toc17698 </w:instrText>
          </w:r>
          <w:r>
            <w:fldChar w:fldCharType="separate"/>
          </w:r>
          <w:r>
            <w:rPr>
              <w:rFonts w:hint="eastAsia"/>
              <w:szCs w:val="36"/>
            </w:rPr>
            <w:t>2</w:t>
          </w:r>
          <w:r>
            <w:rPr>
              <w:rFonts w:hint="eastAsia"/>
              <w:szCs w:val="36"/>
              <w:lang w:val="en-US" w:eastAsia="zh-CN"/>
            </w:rPr>
            <w:t xml:space="preserve">  </w:t>
          </w:r>
          <w:r>
            <w:rPr>
              <w:rFonts w:hint="eastAsia"/>
              <w:szCs w:val="36"/>
            </w:rPr>
            <w:t>规范性引用文件</w:t>
          </w:r>
          <w:r>
            <w:tab/>
          </w:r>
          <w:r>
            <w:fldChar w:fldCharType="begin"/>
          </w:r>
          <w:r>
            <w:instrText xml:space="preserve"> PAGEREF _Toc17698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_Toc13227 </w:instrText>
          </w:r>
          <w:r>
            <w:fldChar w:fldCharType="separate"/>
          </w:r>
          <w:r>
            <w:rPr>
              <w:rFonts w:hint="eastAsia"/>
              <w:szCs w:val="36"/>
            </w:rPr>
            <w:t>3</w:t>
          </w:r>
          <w:r>
            <w:rPr>
              <w:rFonts w:hint="eastAsia"/>
              <w:szCs w:val="36"/>
              <w:lang w:val="en-US" w:eastAsia="zh-CN"/>
            </w:rPr>
            <w:t xml:space="preserve">  </w:t>
          </w:r>
          <w:r>
            <w:rPr>
              <w:rFonts w:hint="eastAsia"/>
              <w:szCs w:val="36"/>
            </w:rPr>
            <w:t>术语和定义</w:t>
          </w:r>
          <w:r>
            <w:tab/>
          </w:r>
          <w:r>
            <w:fldChar w:fldCharType="begin"/>
          </w:r>
          <w:r>
            <w:instrText xml:space="preserve"> PAGEREF _Toc13227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_Toc15637 </w:instrText>
          </w:r>
          <w:r>
            <w:fldChar w:fldCharType="separate"/>
          </w:r>
          <w:r>
            <w:rPr>
              <w:rFonts w:hint="eastAsia"/>
              <w:szCs w:val="36"/>
            </w:rPr>
            <w:t>4   检验条件</w:t>
          </w:r>
          <w:r>
            <w:tab/>
          </w:r>
          <w:r>
            <w:fldChar w:fldCharType="begin"/>
          </w:r>
          <w:r>
            <w:instrText xml:space="preserve"> PAGEREF _Toc15637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_Toc756 </w:instrText>
          </w:r>
          <w:r>
            <w:fldChar w:fldCharType="separate"/>
          </w:r>
          <w:r>
            <w:rPr>
              <w:rFonts w:hint="eastAsia"/>
              <w:szCs w:val="36"/>
            </w:rPr>
            <w:t>5   检验项目要求及方法</w:t>
          </w:r>
          <w:r>
            <w:tab/>
          </w:r>
          <w:r>
            <w:fldChar w:fldCharType="begin"/>
          </w:r>
          <w:r>
            <w:instrText xml:space="preserve"> PAGEREF _Toc756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_Toc10098 </w:instrText>
          </w:r>
          <w:r>
            <w:fldChar w:fldCharType="separate"/>
          </w:r>
          <w:r>
            <w:rPr>
              <w:rFonts w:hint="eastAsia"/>
              <w:szCs w:val="36"/>
            </w:rPr>
            <w:t>6   检验记录与报告</w:t>
          </w:r>
          <w:r>
            <w:tab/>
          </w:r>
          <w:r>
            <w:fldChar w:fldCharType="begin"/>
          </w:r>
          <w:r>
            <w:instrText xml:space="preserve"> PAGEREF _Toc10098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_Toc16984 </w:instrText>
          </w:r>
          <w:r>
            <w:fldChar w:fldCharType="separate"/>
          </w:r>
          <w:r>
            <w:rPr>
              <w:rFonts w:hint="eastAsia"/>
              <w:szCs w:val="36"/>
            </w:rPr>
            <w:t>7   检验结论</w:t>
          </w:r>
          <w:r>
            <w:tab/>
          </w:r>
          <w:r>
            <w:fldChar w:fldCharType="begin"/>
          </w:r>
          <w:r>
            <w:instrText xml:space="preserve"> PAGEREF _Toc16984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_Toc22648 </w:instrText>
          </w:r>
          <w:r>
            <w:fldChar w:fldCharType="separate"/>
          </w:r>
          <w:r>
            <w:rPr>
              <w:rFonts w:hint="eastAsia"/>
              <w:szCs w:val="36"/>
              <w:lang w:val="en-US" w:eastAsia="zh-CN"/>
            </w:rPr>
            <w:t>附录A抱夹类场（厂）内专用机动车辆检验规则检验内容、要求与方法</w:t>
          </w:r>
          <w:r>
            <w:tab/>
          </w:r>
          <w:r>
            <w:fldChar w:fldCharType="begin"/>
          </w:r>
          <w:r>
            <w:instrText xml:space="preserve"> PAGEREF _Toc22648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_Toc8657 </w:instrText>
          </w:r>
          <w:r>
            <w:fldChar w:fldCharType="separate"/>
          </w:r>
          <w:r>
            <w:rPr>
              <w:rFonts w:hint="eastAsia"/>
              <w:szCs w:val="36"/>
              <w:lang w:val="en-US" w:eastAsia="zh-CN"/>
            </w:rPr>
            <w:t>附录B  车辆（或属具）综合承载能力验证</w:t>
          </w:r>
          <w:r>
            <w:tab/>
          </w:r>
          <w:r>
            <w:fldChar w:fldCharType="begin"/>
          </w:r>
          <w:r>
            <w:instrText xml:space="preserve"> PAGEREF _Toc8657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_Toc8714 </w:instrText>
          </w:r>
          <w:r>
            <w:fldChar w:fldCharType="separate"/>
          </w:r>
          <w:r>
            <w:rPr>
              <w:rFonts w:hint="eastAsia"/>
              <w:szCs w:val="36"/>
              <w:lang w:val="en-US" w:eastAsia="zh-CN"/>
            </w:rPr>
            <w:t>附录C</w:t>
          </w:r>
          <w:r>
            <w:rPr>
              <w:rFonts w:hint="eastAsia"/>
              <w:szCs w:val="36"/>
              <w:lang w:eastAsia="zh-CN"/>
            </w:rPr>
            <w:t>抱夹类场（厂）内专用机动车辆</w:t>
          </w:r>
          <w:r>
            <w:rPr>
              <w:rFonts w:hint="eastAsia"/>
              <w:szCs w:val="36"/>
            </w:rPr>
            <w:t>检验报告</w:t>
          </w:r>
          <w:r>
            <w:tab/>
          </w:r>
          <w:r>
            <w:fldChar w:fldCharType="begin"/>
          </w:r>
          <w:r>
            <w:instrText xml:space="preserve"> PAGEREF _Toc8714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_Toc20032 </w:instrText>
          </w:r>
          <w:r>
            <w:fldChar w:fldCharType="separate"/>
          </w:r>
          <w:r>
            <w:rPr>
              <w:rFonts w:hint="eastAsia"/>
              <w:szCs w:val="36"/>
              <w:lang w:val="en-US" w:eastAsia="zh-CN"/>
            </w:rPr>
            <w:t>附录D抱夹类场（厂）内专用机动车辆检验备忘录</w:t>
          </w:r>
          <w:r>
            <w:tab/>
          </w:r>
          <w:r>
            <w:fldChar w:fldCharType="begin"/>
          </w:r>
          <w:r>
            <w:instrText xml:space="preserve"> PAGEREF _Toc20032 \h </w:instrText>
          </w:r>
          <w:r>
            <w:fldChar w:fldCharType="separate"/>
          </w:r>
          <w:r>
            <w:t>18</w:t>
          </w:r>
          <w:r>
            <w:fldChar w:fldCharType="end"/>
          </w:r>
          <w:r>
            <w:fldChar w:fldCharType="end"/>
          </w:r>
        </w:p>
        <w:p>
          <w:pPr>
            <w:jc w:val="center"/>
            <w:rPr>
              <w:rFonts w:ascii="Times New Roman" w:hAnsi="Times New Roman" w:eastAsia="宋体" w:cs="Times New Roman"/>
              <w:b w:val="0"/>
              <w:bCs w:val="0"/>
              <w:color w:val="auto"/>
              <w:kern w:val="2"/>
              <w:sz w:val="21"/>
              <w:szCs w:val="24"/>
              <w:lang w:val="en-US"/>
            </w:rPr>
          </w:pPr>
          <w:r>
            <w:fldChar w:fldCharType="end"/>
          </w:r>
        </w:p>
      </w:sdtContent>
    </w:sdt>
    <w:p>
      <w:pPr>
        <w:jc w:val="center"/>
        <w:rPr>
          <w:rFonts w:hint="eastAsia" w:ascii="Times New Roman" w:hAnsi="Times New Roman" w:eastAsia="宋体" w:cs="Times New Roman"/>
          <w:b w:val="0"/>
          <w:bCs w:val="0"/>
          <w:color w:val="auto"/>
          <w:kern w:val="2"/>
          <w:sz w:val="21"/>
          <w:szCs w:val="24"/>
          <w:lang w:val="en-US"/>
        </w:rPr>
        <w:sectPr>
          <w:pgSz w:w="11906" w:h="16838"/>
          <w:pgMar w:top="1440" w:right="1800" w:bottom="1440" w:left="1800" w:header="851" w:footer="992" w:gutter="0"/>
          <w:pgNumType w:fmt="decimal"/>
          <w:cols w:space="425" w:num="1"/>
          <w:titlePg/>
          <w:docGrid w:type="lines" w:linePitch="312" w:charSpace="0"/>
        </w:sectPr>
      </w:pPr>
    </w:p>
    <w:p>
      <w:pPr>
        <w:jc w:val="center"/>
        <w:rPr>
          <w:sz w:val="28"/>
        </w:rPr>
      </w:pPr>
      <w:r>
        <w:rPr>
          <w:rFonts w:hint="eastAsia"/>
          <w:sz w:val="28"/>
        </w:rPr>
        <w:t>前   言</w:t>
      </w:r>
    </w:p>
    <w:p>
      <w:pPr>
        <w:spacing w:line="440" w:lineRule="exact"/>
        <w:ind w:firstLine="480"/>
        <w:rPr>
          <w:rFonts w:ascii="宋体" w:hAnsi="宋体" w:eastAsia="宋体"/>
          <w:sz w:val="24"/>
        </w:rPr>
      </w:pPr>
      <w:r>
        <w:t xml:space="preserve">   </w:t>
      </w:r>
      <w:r>
        <w:rPr>
          <w:sz w:val="22"/>
        </w:rPr>
        <w:t xml:space="preserve"> </w:t>
      </w:r>
      <w:r>
        <w:rPr>
          <w:rFonts w:ascii="宋体" w:hAnsi="宋体" w:eastAsia="宋体"/>
          <w:sz w:val="24"/>
        </w:rPr>
        <w:t xml:space="preserve">    </w:t>
      </w:r>
    </w:p>
    <w:p>
      <w:pPr>
        <w:pStyle w:val="32"/>
        <w:ind w:firstLine="420"/>
      </w:pPr>
      <w:r>
        <w:rPr>
          <w:rFonts w:hint="eastAsia"/>
        </w:rPr>
        <w:t>本文件按GB/T 1.1-2020《标准化工作导则 第1部分:标准化文件的结构和起草规则》的规定起草。</w:t>
      </w:r>
    </w:p>
    <w:p>
      <w:pPr>
        <w:pStyle w:val="32"/>
        <w:ind w:firstLine="420"/>
      </w:pPr>
      <w:r>
        <w:rPr>
          <w:rFonts w:hint="eastAsia"/>
        </w:rPr>
        <w:t>本文件附录A、附录B、附录C为规范性附录。</w:t>
      </w:r>
    </w:p>
    <w:p>
      <w:pPr>
        <w:pStyle w:val="32"/>
        <w:ind w:firstLine="420"/>
      </w:pPr>
      <w:r>
        <w:rPr>
          <w:rFonts w:hint="eastAsia"/>
        </w:rPr>
        <w:t>本文件由陕西省特种设备检验检测研究院提出。</w:t>
      </w:r>
    </w:p>
    <w:p>
      <w:pPr>
        <w:pStyle w:val="32"/>
        <w:ind w:firstLine="420"/>
      </w:pPr>
      <w:r>
        <w:rPr>
          <w:rFonts w:hint="eastAsia"/>
        </w:rPr>
        <w:t>本文件由</w:t>
      </w:r>
      <w:bookmarkStart w:id="0" w:name="OLE_LINK1"/>
      <w:r>
        <w:rPr>
          <w:rFonts w:hint="eastAsia"/>
        </w:rPr>
        <w:t>陕西省特种设备标准化技术委员会</w:t>
      </w:r>
      <w:bookmarkEnd w:id="0"/>
      <w:r>
        <w:rPr>
          <w:rFonts w:hint="eastAsia"/>
        </w:rPr>
        <w:t>归口。</w:t>
      </w:r>
    </w:p>
    <w:p>
      <w:pPr>
        <w:pStyle w:val="32"/>
        <w:ind w:firstLine="420"/>
      </w:pPr>
      <w:r>
        <w:rPr>
          <w:rFonts w:hint="eastAsia"/>
        </w:rPr>
        <w:t>本文件起草单位：陕西省特种设备检验检测研究院、陕西省市场监督管理局特种设备安全监察局、</w:t>
      </w:r>
      <w:r>
        <w:rPr>
          <w:rFonts w:hint="eastAsia"/>
          <w:szCs w:val="22"/>
        </w:rPr>
        <w:t>宝鸡市质量技术检验检测中心、</w:t>
      </w:r>
      <w:r>
        <w:rPr>
          <w:rFonts w:hint="eastAsia"/>
        </w:rPr>
        <w:t>宝鸡合力叉车有限公司。</w:t>
      </w:r>
    </w:p>
    <w:p>
      <w:pPr>
        <w:pStyle w:val="32"/>
        <w:ind w:firstLine="420"/>
      </w:pPr>
      <w:r>
        <w:rPr>
          <w:rFonts w:hint="eastAsia"/>
        </w:rPr>
        <w:t>本文件由陕西省特种设备标准化技术委员会负责解释。</w:t>
      </w:r>
    </w:p>
    <w:p>
      <w:pPr>
        <w:pStyle w:val="32"/>
        <w:ind w:firstLine="420"/>
      </w:pPr>
      <w:r>
        <w:rPr>
          <w:rFonts w:hint="eastAsia"/>
        </w:rPr>
        <w:t>本文件主要起草人：</w:t>
      </w:r>
      <w:r>
        <w:rPr>
          <w:rFonts w:hint="eastAsia"/>
          <w:lang w:val="en-US" w:eastAsia="zh-CN"/>
        </w:rPr>
        <w:t>王刚、</w:t>
      </w:r>
      <w:r>
        <w:rPr>
          <w:rFonts w:hint="eastAsia"/>
        </w:rPr>
        <w:t>孟令军、张</w:t>
      </w:r>
      <w:r>
        <w:rPr>
          <w:rFonts w:hint="eastAsia"/>
          <w:lang w:val="en-US" w:eastAsia="zh-CN"/>
        </w:rPr>
        <w:t>峥</w:t>
      </w:r>
      <w:r>
        <w:rPr>
          <w:rFonts w:hint="eastAsia"/>
        </w:rPr>
        <w:t>、刘震、马慧娟、</w:t>
      </w:r>
      <w:r>
        <w:rPr>
          <w:rFonts w:hint="eastAsia"/>
          <w:lang w:val="en-US" w:eastAsia="zh-CN"/>
        </w:rPr>
        <w:t>顾洁、</w:t>
      </w:r>
      <w:r>
        <w:rPr>
          <w:rFonts w:hint="eastAsia"/>
        </w:rPr>
        <w:t>辛宏</w:t>
      </w:r>
      <w:r>
        <w:rPr>
          <w:rFonts w:hint="eastAsia"/>
          <w:lang w:val="en-US" w:eastAsia="zh-CN"/>
        </w:rPr>
        <w:t>彬</w:t>
      </w:r>
      <w:r>
        <w:rPr>
          <w:rFonts w:hint="eastAsia"/>
        </w:rPr>
        <w:t>、王锋</w:t>
      </w:r>
      <w:r>
        <w:rPr>
          <w:rFonts w:hint="eastAsia"/>
          <w:lang w:eastAsia="zh-CN"/>
        </w:rPr>
        <w:t>、</w:t>
      </w:r>
      <w:r>
        <w:rPr>
          <w:rFonts w:hint="eastAsia"/>
        </w:rPr>
        <w:t>杨新明、边</w:t>
      </w:r>
      <w:r>
        <w:rPr>
          <w:rFonts w:hint="eastAsia"/>
          <w:lang w:val="en-US" w:eastAsia="zh-CN"/>
        </w:rPr>
        <w:t>昭</w:t>
      </w:r>
      <w:r>
        <w:rPr>
          <w:rFonts w:hint="eastAsia"/>
        </w:rPr>
        <w:t>福、屈涛</w:t>
      </w:r>
    </w:p>
    <w:p>
      <w:pPr>
        <w:pStyle w:val="32"/>
        <w:ind w:firstLine="420"/>
      </w:pPr>
      <w:r>
        <w:rPr>
          <w:rFonts w:hint="eastAsia"/>
        </w:rPr>
        <w:t>本文件首次发布。</w:t>
      </w:r>
    </w:p>
    <w:p>
      <w:pPr>
        <w:pStyle w:val="32"/>
        <w:ind w:firstLine="420"/>
      </w:pPr>
      <w:r>
        <w:rPr>
          <w:rFonts w:hint="eastAsia"/>
        </w:rPr>
        <w:t>联系信息如下：</w:t>
      </w:r>
    </w:p>
    <w:p>
      <w:pPr>
        <w:pStyle w:val="32"/>
        <w:ind w:firstLine="420"/>
      </w:pPr>
      <w:r>
        <w:rPr>
          <w:rFonts w:hint="eastAsia"/>
        </w:rPr>
        <w:t>单位：陕西省特种设备检验检测研究院</w:t>
      </w:r>
    </w:p>
    <w:p>
      <w:pPr>
        <w:pStyle w:val="32"/>
        <w:ind w:firstLine="420"/>
      </w:pPr>
      <w:r>
        <w:rPr>
          <w:rFonts w:hint="eastAsia"/>
        </w:rPr>
        <w:t>电话：029-83263525</w:t>
      </w:r>
    </w:p>
    <w:p>
      <w:pPr>
        <w:pStyle w:val="32"/>
        <w:ind w:firstLine="420"/>
      </w:pPr>
      <w:r>
        <w:rPr>
          <w:rFonts w:hint="eastAsia"/>
        </w:rPr>
        <w:t>地址：西安市咸宁西路30号</w:t>
      </w:r>
    </w:p>
    <w:p>
      <w:pPr>
        <w:pStyle w:val="32"/>
        <w:ind w:firstLine="420"/>
      </w:pPr>
      <w:r>
        <w:rPr>
          <w:rFonts w:hint="eastAsia"/>
        </w:rPr>
        <w:t>邮编：710048</w:t>
      </w: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center"/>
        <w:rPr>
          <w:rFonts w:ascii="黑体" w:hAnsi="黑体" w:eastAsia="黑体"/>
          <w:sz w:val="28"/>
        </w:rPr>
      </w:pPr>
    </w:p>
    <w:p>
      <w:pPr>
        <w:jc w:val="both"/>
        <w:rPr>
          <w:rFonts w:ascii="黑体" w:hAnsi="黑体" w:eastAsia="黑体"/>
          <w:sz w:val="28"/>
        </w:rPr>
      </w:pPr>
    </w:p>
    <w:p>
      <w:pPr>
        <w:pStyle w:val="2"/>
        <w:bidi w:val="0"/>
        <w:jc w:val="left"/>
        <w:rPr>
          <w:sz w:val="24"/>
          <w:szCs w:val="36"/>
        </w:rPr>
        <w:sectPr>
          <w:pgSz w:w="11906" w:h="16838"/>
          <w:pgMar w:top="1440" w:right="1511" w:bottom="1246"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bidi w:val="0"/>
        <w:jc w:val="left"/>
        <w:rPr>
          <w:sz w:val="24"/>
          <w:szCs w:val="36"/>
        </w:rPr>
      </w:pPr>
      <w:r>
        <w:rPr>
          <w:sz w:val="24"/>
          <w:szCs w:val="36"/>
        </w:rPr>
        <w:t xml:space="preserve"> </w:t>
      </w:r>
      <w:bookmarkStart w:id="1" w:name="_Toc111818468"/>
      <w:bookmarkStart w:id="2" w:name="_Toc111259710"/>
      <w:bookmarkStart w:id="3" w:name="_Toc111728978"/>
      <w:bookmarkStart w:id="4" w:name="_Toc111259382"/>
      <w:bookmarkStart w:id="5" w:name="_Toc111818628"/>
      <w:bookmarkStart w:id="6" w:name="_Toc111259456"/>
      <w:bookmarkStart w:id="7" w:name="_Toc111818436"/>
      <w:bookmarkStart w:id="8" w:name="_Toc111728860"/>
      <w:bookmarkStart w:id="9" w:name="_Toc111818456"/>
      <w:bookmarkStart w:id="10" w:name="_Toc111818565"/>
      <w:bookmarkStart w:id="11" w:name="_Toc111818507"/>
      <w:bookmarkStart w:id="12" w:name="_Toc111818647"/>
      <w:bookmarkStart w:id="13" w:name="_Toc111728964"/>
      <w:bookmarkStart w:id="14" w:name="_Toc111259721"/>
      <w:bookmarkStart w:id="15" w:name="_Toc111259525"/>
      <w:bookmarkStart w:id="16" w:name="_Toc67038513"/>
      <w:bookmarkStart w:id="17" w:name="_Toc111818620"/>
      <w:bookmarkStart w:id="18" w:name="_Toc29863"/>
      <w:r>
        <w:rPr>
          <w:rFonts w:hint="eastAsia"/>
          <w:sz w:val="24"/>
          <w:szCs w:val="36"/>
        </w:rPr>
        <w:t>1</w:t>
      </w:r>
      <w:r>
        <w:rPr>
          <w:rFonts w:hint="eastAsia"/>
          <w:sz w:val="24"/>
          <w:szCs w:val="36"/>
          <w:lang w:val="en-US" w:eastAsia="zh-CN"/>
        </w:rPr>
        <w:t xml:space="preserve">  </w:t>
      </w:r>
      <w:r>
        <w:rPr>
          <w:rFonts w:hint="eastAsia"/>
          <w:sz w:val="24"/>
          <w:szCs w:val="36"/>
        </w:rPr>
        <w:t>范围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32"/>
        <w:ind w:firstLine="420"/>
      </w:pPr>
      <w:r>
        <w:rPr>
          <w:rFonts w:hint="eastAsia"/>
        </w:rPr>
        <w:t>本</w:t>
      </w:r>
      <w:r>
        <w:rPr>
          <w:rFonts w:hint="eastAsia"/>
          <w:lang w:val="en-US" w:eastAsia="zh-CN"/>
        </w:rPr>
        <w:t>文件</w:t>
      </w:r>
      <w:r>
        <w:rPr>
          <w:rFonts w:hint="eastAsia"/>
        </w:rPr>
        <w:t>规定了</w:t>
      </w:r>
      <w:r>
        <w:rPr>
          <w:rFonts w:hint="eastAsia"/>
          <w:lang w:eastAsia="zh-CN"/>
        </w:rPr>
        <w:t>抱夹类场（厂）内专用机动车辆</w:t>
      </w:r>
      <w:r>
        <w:rPr>
          <w:rFonts w:hint="eastAsia"/>
        </w:rPr>
        <w:t>的检验条件、检验项目要求及方法、检验记录与报告、结论。</w:t>
      </w:r>
    </w:p>
    <w:p>
      <w:pPr>
        <w:widowControl/>
        <w:ind w:firstLine="420" w:firstLineChars="200"/>
        <w:jc w:val="left"/>
      </w:pPr>
      <w:r>
        <w:rPr>
          <w:rFonts w:hint="eastAsia" w:ascii="宋体" w:hAnsi="Times New Roman" w:eastAsia="宋体" w:cs="Times New Roman"/>
          <w:kern w:val="0"/>
          <w:sz w:val="21"/>
          <w:szCs w:val="20"/>
          <w:lang w:val="en-US" w:eastAsia="zh-CN" w:bidi="ar-SA"/>
        </w:rPr>
        <w:t>本文件适用于除道路交通、农用车辆以外仅在工厂厂区等特定区域使用的抱夹类场（厂）内专用机动车辆的检验。</w:t>
      </w:r>
    </w:p>
    <w:p>
      <w:pPr>
        <w:pStyle w:val="2"/>
        <w:bidi w:val="0"/>
        <w:jc w:val="left"/>
        <w:rPr>
          <w:sz w:val="24"/>
          <w:szCs w:val="36"/>
        </w:rPr>
      </w:pPr>
      <w:r>
        <w:rPr>
          <w:sz w:val="24"/>
          <w:szCs w:val="36"/>
        </w:rPr>
        <w:t xml:space="preserve"> </w:t>
      </w:r>
      <w:bookmarkStart w:id="19" w:name="_Toc67038514"/>
      <w:bookmarkStart w:id="20" w:name="_Toc17698"/>
      <w:r>
        <w:rPr>
          <w:rFonts w:hint="eastAsia"/>
          <w:sz w:val="24"/>
          <w:szCs w:val="36"/>
        </w:rPr>
        <w:t>2</w:t>
      </w:r>
      <w:r>
        <w:rPr>
          <w:rFonts w:hint="eastAsia"/>
          <w:sz w:val="24"/>
          <w:szCs w:val="36"/>
          <w:lang w:val="en-US" w:eastAsia="zh-CN"/>
        </w:rPr>
        <w:t xml:space="preserve">  </w:t>
      </w:r>
      <w:r>
        <w:rPr>
          <w:rFonts w:hint="eastAsia"/>
          <w:sz w:val="24"/>
          <w:szCs w:val="36"/>
        </w:rPr>
        <w:t>规范性引用文件</w:t>
      </w:r>
      <w:bookmarkEnd w:id="19"/>
      <w:bookmarkEnd w:id="20"/>
    </w:p>
    <w:p>
      <w:pPr>
        <w:pStyle w:val="32"/>
        <w:tabs>
          <w:tab w:val="center" w:pos="4201"/>
          <w:tab w:val="right" w:leader="dot" w:pos="9298"/>
        </w:tabs>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ind w:firstLine="420"/>
        <w:rPr>
          <w:rFonts w:hint="default" w:ascii="Times New Roman" w:hAnsi="Times New Roman" w:cs="Times New Roman"/>
          <w:color w:val="000000"/>
          <w:szCs w:val="21"/>
        </w:rPr>
      </w:pPr>
      <w:bookmarkStart w:id="21" w:name="_Toc13227"/>
      <w:bookmarkStart w:id="22" w:name="_Toc67038515"/>
      <w:r>
        <w:rPr>
          <w:rFonts w:hint="default" w:ascii="Times New Roman" w:hAnsi="Times New Roman" w:cs="Times New Roman"/>
          <w:bCs/>
        </w:rPr>
        <w:t>GB4387</w:t>
      </w:r>
      <w:r>
        <w:rPr>
          <w:rFonts w:hint="eastAsia" w:ascii="Times New Roman" w:cs="Times New Roman"/>
          <w:bCs/>
          <w:lang w:val="en-US" w:eastAsia="zh-CN"/>
        </w:rPr>
        <w:t>-2008</w:t>
      </w:r>
      <w:r>
        <w:rPr>
          <w:rFonts w:hint="eastAsia" w:hAnsi="宋体"/>
          <w:bCs/>
        </w:rPr>
        <w:t xml:space="preserve">    </w:t>
      </w:r>
      <w:r>
        <w:rPr>
          <w:rFonts w:hint="eastAsia" w:hAnsi="宋体"/>
          <w:bCs/>
          <w:lang w:val="en-US" w:eastAsia="zh-CN"/>
        </w:rPr>
        <w:t xml:space="preserve">  </w:t>
      </w:r>
      <w:r>
        <w:rPr>
          <w:rFonts w:hint="eastAsia" w:hAnsi="宋体"/>
          <w:bCs/>
        </w:rPr>
        <w:t>工业企业厂内铁路、道路运输安全规程</w:t>
      </w:r>
    </w:p>
    <w:p>
      <w:pPr>
        <w:pStyle w:val="32"/>
        <w:ind w:firstLine="420"/>
        <w:rPr>
          <w:rFonts w:hint="eastAsia"/>
          <w:bCs/>
          <w:color w:val="000000"/>
          <w:szCs w:val="21"/>
        </w:rPr>
      </w:pPr>
      <w:r>
        <w:rPr>
          <w:rFonts w:hint="default" w:ascii="Times New Roman" w:hAnsi="Times New Roman" w:cs="Times New Roman"/>
          <w:color w:val="000000"/>
          <w:szCs w:val="21"/>
        </w:rPr>
        <w:t>GB/T 6104.1</w:t>
      </w:r>
      <w:r>
        <w:rPr>
          <w:rFonts w:hint="eastAsia" w:ascii="Times New Roman" w:cs="Times New Roman"/>
          <w:color w:val="000000"/>
          <w:szCs w:val="21"/>
          <w:lang w:val="en-US" w:eastAsia="zh-CN"/>
        </w:rPr>
        <w:t>-2018</w:t>
      </w:r>
      <w:r>
        <w:rPr>
          <w:rFonts w:hint="eastAsia"/>
          <w:color w:val="000000"/>
          <w:szCs w:val="21"/>
        </w:rPr>
        <w:t xml:space="preserve">  工业车辆  术语和分类  </w:t>
      </w:r>
      <w:r>
        <w:rPr>
          <w:rFonts w:hint="eastAsia"/>
          <w:bCs/>
          <w:color w:val="000000"/>
          <w:szCs w:val="21"/>
        </w:rPr>
        <w:t>第1部分:工业车辆类型</w:t>
      </w:r>
    </w:p>
    <w:p>
      <w:pPr>
        <w:pStyle w:val="32"/>
        <w:ind w:firstLine="420"/>
        <w:rPr>
          <w:rFonts w:hint="eastAsia" w:hAnsi="宋体"/>
          <w:bCs/>
        </w:rPr>
      </w:pPr>
      <w:r>
        <w:rPr>
          <w:rFonts w:hint="default" w:ascii="Times New Roman" w:hAnsi="Times New Roman" w:cs="Times New Roman"/>
          <w:bCs/>
        </w:rPr>
        <w:t>GB10827.1</w:t>
      </w:r>
      <w:r>
        <w:rPr>
          <w:rFonts w:hint="eastAsia" w:ascii="Times New Roman" w:cs="Times New Roman"/>
          <w:bCs/>
          <w:lang w:val="en-US" w:eastAsia="zh-CN"/>
        </w:rPr>
        <w:t>-2014</w:t>
      </w:r>
      <w:r>
        <w:rPr>
          <w:rFonts w:hint="eastAsia" w:hAnsi="宋体"/>
          <w:bCs/>
        </w:rPr>
        <w:t xml:space="preserve">   工业车辆  安全要求和验证 第一部分: 自行式工业车辆（除无人驾驶车辆、伸缩臂式</w:t>
      </w:r>
      <w:r>
        <w:rPr>
          <w:rFonts w:hint="eastAsia" w:hAnsi="宋体"/>
          <w:bCs/>
          <w:lang w:eastAsia="zh-CN"/>
        </w:rPr>
        <w:t>车辆</w:t>
      </w:r>
      <w:r>
        <w:rPr>
          <w:rFonts w:hint="eastAsia" w:hAnsi="宋体"/>
          <w:bCs/>
        </w:rPr>
        <w:t>和运载车）</w:t>
      </w:r>
    </w:p>
    <w:p>
      <w:pPr>
        <w:pStyle w:val="32"/>
        <w:ind w:firstLine="420"/>
        <w:rPr>
          <w:rFonts w:hint="eastAsia"/>
          <w:color w:val="000000"/>
          <w:szCs w:val="21"/>
        </w:rPr>
      </w:pPr>
      <w:r>
        <w:rPr>
          <w:rFonts w:hint="eastAsia" w:ascii="Times New Roman" w:hAnsi="Times New Roman" w:cs="Times New Roman"/>
          <w:color w:val="000000"/>
          <w:szCs w:val="21"/>
        </w:rPr>
        <w:t>GB/T 13306</w:t>
      </w:r>
      <w:r>
        <w:rPr>
          <w:rFonts w:hint="eastAsia" w:ascii="Times New Roman" w:cs="Times New Roman"/>
          <w:color w:val="000000"/>
          <w:szCs w:val="21"/>
          <w:lang w:val="en-US" w:eastAsia="zh-CN"/>
        </w:rPr>
        <w:t>-2011</w:t>
      </w:r>
      <w:r>
        <w:rPr>
          <w:color w:val="000000"/>
          <w:szCs w:val="21"/>
        </w:rPr>
        <w:t xml:space="preserve"> </w:t>
      </w:r>
      <w:r>
        <w:rPr>
          <w:rFonts w:hint="eastAsia"/>
          <w:color w:val="000000"/>
          <w:szCs w:val="21"/>
        </w:rPr>
        <w:t xml:space="preserve">  标牌 </w:t>
      </w:r>
    </w:p>
    <w:p>
      <w:pPr>
        <w:pStyle w:val="32"/>
        <w:ind w:firstLine="420"/>
        <w:rPr>
          <w:rFonts w:hint="eastAsia"/>
          <w:color w:val="000000"/>
          <w:szCs w:val="21"/>
        </w:rPr>
      </w:pPr>
      <w:r>
        <w:rPr>
          <w:rFonts w:hint="eastAsia" w:ascii="Times New Roman" w:hAnsi="Times New Roman" w:cs="Times New Roman"/>
          <w:color w:val="000000"/>
          <w:szCs w:val="21"/>
        </w:rPr>
        <w:t>GB/T 16178</w:t>
      </w:r>
      <w:r>
        <w:rPr>
          <w:rFonts w:hint="eastAsia" w:ascii="Times New Roman" w:cs="Times New Roman"/>
          <w:color w:val="000000"/>
          <w:szCs w:val="21"/>
          <w:lang w:val="en-US" w:eastAsia="zh-CN"/>
        </w:rPr>
        <w:t>-2011</w:t>
      </w:r>
      <w:r>
        <w:rPr>
          <w:rFonts w:hint="eastAsia" w:ascii="Times New Roman" w:hAnsi="Times New Roman" w:cs="Times New Roman"/>
          <w:color w:val="000000"/>
          <w:szCs w:val="21"/>
        </w:rPr>
        <w:t xml:space="preserve"> </w:t>
      </w:r>
      <w:r>
        <w:rPr>
          <w:rFonts w:hint="eastAsia"/>
        </w:rPr>
        <w:t xml:space="preserve">  场（厂）内机动车辆安全检验技术要求</w:t>
      </w:r>
    </w:p>
    <w:p>
      <w:pPr>
        <w:pStyle w:val="32"/>
        <w:ind w:firstLine="420"/>
        <w:rPr>
          <w:rFonts w:hint="eastAsia" w:hAnsi="宋体"/>
          <w:bCs/>
        </w:rPr>
      </w:pPr>
      <w:r>
        <w:rPr>
          <w:rFonts w:hint="default" w:ascii="Times New Roman" w:hAnsi="Times New Roman" w:cs="Times New Roman"/>
          <w:bCs/>
        </w:rPr>
        <w:t>GB/T 18849</w:t>
      </w:r>
      <w:r>
        <w:rPr>
          <w:rFonts w:hint="eastAsia" w:ascii="Times New Roman" w:cs="Times New Roman"/>
          <w:bCs/>
          <w:lang w:val="en-US" w:eastAsia="zh-CN"/>
        </w:rPr>
        <w:t>-2011</w:t>
      </w:r>
      <w:r>
        <w:rPr>
          <w:rFonts w:hint="eastAsia" w:hAnsi="宋体"/>
          <w:bCs/>
        </w:rPr>
        <w:t xml:space="preserve">   机动工业车辆  制动器性能和零件强度</w:t>
      </w:r>
    </w:p>
    <w:p>
      <w:pPr>
        <w:pStyle w:val="32"/>
        <w:ind w:firstLine="420"/>
        <w:rPr>
          <w:rFonts w:hint="eastAsia"/>
          <w:color w:val="000000"/>
          <w:szCs w:val="21"/>
          <w:lang w:val="en-US" w:eastAsia="zh-CN"/>
        </w:rPr>
      </w:pPr>
      <w:r>
        <w:rPr>
          <w:rFonts w:hint="eastAsia" w:ascii="Times New Roman" w:hAnsi="Times New Roman" w:cs="Times New Roman"/>
          <w:color w:val="000000"/>
          <w:szCs w:val="21"/>
        </w:rPr>
        <w:t xml:space="preserve">JB/T </w:t>
      </w:r>
      <w:r>
        <w:rPr>
          <w:rFonts w:hint="eastAsia" w:ascii="Times New Roman" w:cs="Times New Roman"/>
          <w:color w:val="000000"/>
          <w:szCs w:val="21"/>
          <w:lang w:val="en-US" w:eastAsia="zh-CN"/>
        </w:rPr>
        <w:t>13368-2018</w:t>
      </w:r>
      <w:r>
        <w:rPr>
          <w:rFonts w:hint="eastAsia" w:ascii="Times New Roman" w:hAnsi="Times New Roman" w:cs="Times New Roman"/>
          <w:color w:val="000000"/>
          <w:szCs w:val="21"/>
        </w:rPr>
        <w:t xml:space="preserve"> </w:t>
      </w:r>
      <w:r>
        <w:rPr>
          <w:rFonts w:hint="eastAsia"/>
          <w:color w:val="000000"/>
          <w:szCs w:val="21"/>
        </w:rPr>
        <w:t xml:space="preserve">  </w:t>
      </w:r>
      <w:r>
        <w:rPr>
          <w:rFonts w:hint="eastAsia"/>
          <w:color w:val="000000"/>
          <w:szCs w:val="21"/>
          <w:lang w:eastAsia="zh-CN"/>
        </w:rPr>
        <w:t>车辆属具</w:t>
      </w:r>
      <w:r>
        <w:rPr>
          <w:rFonts w:hint="eastAsia"/>
          <w:color w:val="000000"/>
          <w:szCs w:val="21"/>
          <w:lang w:val="en-US" w:eastAsia="zh-CN"/>
        </w:rPr>
        <w:t xml:space="preserve">  软包夹</w:t>
      </w:r>
    </w:p>
    <w:p>
      <w:pPr>
        <w:pStyle w:val="32"/>
        <w:ind w:firstLine="420"/>
        <w:rPr>
          <w:rFonts w:hint="eastAsia"/>
          <w:color w:val="000000"/>
          <w:szCs w:val="21"/>
          <w:lang w:val="en-US" w:eastAsia="zh-CN"/>
        </w:rPr>
      </w:pPr>
      <w:r>
        <w:rPr>
          <w:rFonts w:hint="eastAsia" w:ascii="Times New Roman" w:hAnsi="Times New Roman" w:cs="Times New Roman"/>
          <w:color w:val="000000"/>
          <w:szCs w:val="21"/>
        </w:rPr>
        <w:t xml:space="preserve">JB/T </w:t>
      </w:r>
      <w:r>
        <w:rPr>
          <w:rFonts w:hint="eastAsia" w:ascii="Times New Roman" w:cs="Times New Roman"/>
          <w:color w:val="000000"/>
          <w:szCs w:val="21"/>
          <w:lang w:val="en-US" w:eastAsia="zh-CN"/>
        </w:rPr>
        <w:t>12575-2015</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lang w:eastAsia="zh-CN"/>
        </w:rPr>
        <w:t>车辆属具</w:t>
      </w:r>
      <w:r>
        <w:rPr>
          <w:rFonts w:hint="eastAsia"/>
          <w:color w:val="000000"/>
          <w:szCs w:val="21"/>
          <w:lang w:val="en-US" w:eastAsia="zh-CN"/>
        </w:rPr>
        <w:t xml:space="preserve">  纸卷夹</w:t>
      </w:r>
    </w:p>
    <w:p>
      <w:pPr>
        <w:pStyle w:val="32"/>
        <w:ind w:firstLine="420"/>
        <w:rPr>
          <w:rFonts w:hint="eastAsia"/>
        </w:rPr>
      </w:pPr>
      <w:r>
        <w:rPr>
          <w:rFonts w:hint="eastAsia" w:ascii="Times New Roman" w:hAnsi="Times New Roman" w:cs="Times New Roman"/>
          <w:color w:val="000000"/>
          <w:szCs w:val="21"/>
        </w:rPr>
        <w:t>TSG N0001</w:t>
      </w:r>
      <w:r>
        <w:rPr>
          <w:rFonts w:hint="eastAsia" w:ascii="Times New Roman" w:cs="Times New Roman"/>
          <w:color w:val="000000"/>
          <w:szCs w:val="21"/>
          <w:lang w:val="en-US" w:eastAsia="zh-CN"/>
        </w:rPr>
        <w:t>-2022</w:t>
      </w:r>
      <w:r>
        <w:rPr>
          <w:rFonts w:hint="eastAsia"/>
        </w:rPr>
        <w:t xml:space="preserve"> </w:t>
      </w:r>
      <w:r>
        <w:rPr>
          <w:rFonts w:hint="eastAsia"/>
          <w:lang w:val="en-US" w:eastAsia="zh-CN"/>
        </w:rPr>
        <w:t xml:space="preserve">  </w:t>
      </w:r>
      <w:r>
        <w:rPr>
          <w:rFonts w:hint="eastAsia"/>
        </w:rPr>
        <w:t>场（厂）内专用机动车辆安全技术规程 </w:t>
      </w:r>
    </w:p>
    <w:p>
      <w:pPr>
        <w:pStyle w:val="2"/>
        <w:bidi w:val="0"/>
        <w:jc w:val="left"/>
        <w:rPr>
          <w:sz w:val="24"/>
          <w:szCs w:val="36"/>
        </w:rPr>
      </w:pPr>
      <w:r>
        <w:rPr>
          <w:rFonts w:hint="eastAsia"/>
          <w:sz w:val="24"/>
          <w:szCs w:val="36"/>
        </w:rPr>
        <w:t>3</w:t>
      </w:r>
      <w:r>
        <w:rPr>
          <w:rFonts w:hint="eastAsia"/>
          <w:sz w:val="24"/>
          <w:szCs w:val="36"/>
          <w:lang w:val="en-US" w:eastAsia="zh-CN"/>
        </w:rPr>
        <w:t xml:space="preserve">  </w:t>
      </w:r>
      <w:r>
        <w:rPr>
          <w:rFonts w:hint="eastAsia"/>
          <w:sz w:val="24"/>
          <w:szCs w:val="36"/>
        </w:rPr>
        <w:t>术语和定义</w:t>
      </w:r>
      <w:bookmarkEnd w:id="21"/>
      <w:bookmarkEnd w:id="22"/>
    </w:p>
    <w:p>
      <w:pPr>
        <w:pStyle w:val="32"/>
        <w:ind w:firstLine="420"/>
      </w:pPr>
      <w:r>
        <w:rPr>
          <w:rFonts w:hint="default" w:ascii="Times New Roman" w:hAnsi="Times New Roman" w:cs="Times New Roman"/>
          <w:color w:val="000000"/>
          <w:szCs w:val="21"/>
        </w:rPr>
        <w:t>GB/T 6104.1</w:t>
      </w:r>
      <w:r>
        <w:rPr>
          <w:rFonts w:hint="eastAsia"/>
          <w:color w:val="000000"/>
          <w:szCs w:val="21"/>
        </w:rPr>
        <w:t xml:space="preserve"> 界定的以及下列术语和定义适用于本文件。</w:t>
      </w:r>
    </w:p>
    <w:p>
      <w:pPr>
        <w:pStyle w:val="7"/>
        <w:bidi w:val="0"/>
        <w:rPr>
          <w:rFonts w:hint="eastAsia" w:ascii="黑体"/>
          <w:szCs w:val="22"/>
          <w:lang w:val="en-US" w:eastAsia="zh-CN"/>
        </w:rPr>
      </w:pPr>
      <w:r>
        <w:rPr>
          <w:rFonts w:hint="eastAsia" w:ascii="黑体"/>
          <w:szCs w:val="22"/>
          <w:lang w:val="en-US" w:eastAsia="zh-CN"/>
        </w:rPr>
        <w:t>3.1工业车辆</w:t>
      </w:r>
    </w:p>
    <w:p>
      <w:pPr>
        <w:pStyle w:val="32"/>
        <w:tabs>
          <w:tab w:val="center" w:pos="4201"/>
          <w:tab w:val="right" w:leader="dot" w:pos="9298"/>
        </w:tabs>
        <w:rPr>
          <w:rFonts w:hint="eastAsia" w:hAnsi="Times New Roman" w:cs="Times New Roman"/>
          <w:lang w:eastAsia="zh-CN"/>
        </w:rPr>
      </w:pPr>
      <w:r>
        <w:rPr>
          <w:rFonts w:hint="eastAsia" w:hAnsi="Times New Roman" w:cs="Times New Roman"/>
          <w:lang w:eastAsia="zh-CN"/>
        </w:rPr>
        <w:t>至少有三个车轮,并带有动力或非动力驱动装置的轮式车辆(轨道上运行的车辆除外),设计用于搬运、牵引、推顶、起升、堆垛或在货架上分层堆垛各种货物,并由一个操作者控制或无人驾驶自动控制。</w:t>
      </w:r>
    </w:p>
    <w:p>
      <w:pPr>
        <w:pStyle w:val="32"/>
        <w:tabs>
          <w:tab w:val="center" w:pos="4201"/>
          <w:tab w:val="right" w:leader="dot" w:pos="9298"/>
        </w:tabs>
        <w:rPr>
          <w:rFonts w:hint="eastAsia" w:hAnsi="Times New Roman" w:cs="Times New Roman"/>
          <w:lang w:eastAsia="zh-CN"/>
        </w:rPr>
      </w:pPr>
    </w:p>
    <w:p>
      <w:pPr>
        <w:pStyle w:val="32"/>
        <w:tabs>
          <w:tab w:val="center" w:pos="4201"/>
          <w:tab w:val="right" w:leader="dot" w:pos="9298"/>
        </w:tabs>
        <w:rPr>
          <w:rFonts w:hint="eastAsia" w:hAnsi="Times New Roman" w:cs="Times New Roman"/>
          <w:lang w:val="en-US" w:eastAsia="zh-CN"/>
        </w:rPr>
      </w:pPr>
      <w:r>
        <w:rPr>
          <w:rFonts w:hint="eastAsia" w:hAnsi="Times New Roman" w:cs="Times New Roman"/>
          <w:lang w:val="en-US" w:eastAsia="zh-CN"/>
        </w:rPr>
        <w:t>3.2抱夹</w:t>
      </w:r>
    </w:p>
    <w:p>
      <w:pPr>
        <w:pStyle w:val="32"/>
        <w:tabs>
          <w:tab w:val="center" w:pos="4201"/>
          <w:tab w:val="right" w:leader="dot" w:pos="9298"/>
        </w:tabs>
        <w:rPr>
          <w:rFonts w:hint="default" w:hAnsi="Times New Roman" w:cs="Times New Roman"/>
          <w:lang w:val="en-US" w:eastAsia="zh-CN"/>
        </w:rPr>
      </w:pPr>
      <w:r>
        <w:rPr>
          <w:rFonts w:hint="eastAsia" w:hAnsi="Times New Roman" w:cs="Times New Roman"/>
          <w:lang w:eastAsia="zh-CN"/>
        </w:rPr>
        <w:t>抱夹是一种</w:t>
      </w:r>
      <w:r>
        <w:rPr>
          <w:rFonts w:hint="eastAsia" w:hAnsi="Times New Roman" w:cs="Times New Roman"/>
          <w:lang w:eastAsia="zh-CN"/>
        </w:rPr>
        <w:fldChar w:fldCharType="begin"/>
      </w:r>
      <w:r>
        <w:rPr>
          <w:rFonts w:hint="eastAsia" w:hAnsi="Times New Roman" w:cs="Times New Roman"/>
          <w:lang w:eastAsia="zh-CN"/>
        </w:rPr>
        <w:instrText xml:space="preserve"> HYPERLINK "https://baike.baidu.com/item/叉车属具/4636994?fromModule=lemma_inlink" \t "https://baike.baidu.com/item/%E6%8A%B1%E5%A4%B9/_blank" </w:instrText>
      </w:r>
      <w:r>
        <w:rPr>
          <w:rFonts w:hint="eastAsia" w:hAnsi="Times New Roman" w:cs="Times New Roman"/>
          <w:lang w:eastAsia="zh-CN"/>
        </w:rPr>
        <w:fldChar w:fldCharType="separate"/>
      </w:r>
      <w:r>
        <w:rPr>
          <w:rFonts w:hint="eastAsia" w:hAnsi="Times New Roman" w:cs="Times New Roman"/>
          <w:lang w:eastAsia="zh-CN"/>
        </w:rPr>
        <w:t>叉车属具</w:t>
      </w:r>
      <w:r>
        <w:rPr>
          <w:rFonts w:hint="eastAsia" w:hAnsi="Times New Roman" w:cs="Times New Roman"/>
          <w:lang w:eastAsia="zh-CN"/>
        </w:rPr>
        <w:fldChar w:fldCharType="end"/>
      </w:r>
      <w:r>
        <w:rPr>
          <w:rFonts w:hint="eastAsia" w:hAnsi="Times New Roman" w:cs="Times New Roman"/>
          <w:lang w:eastAsia="zh-CN"/>
        </w:rPr>
        <w:t>，包括</w:t>
      </w:r>
      <w:r>
        <w:rPr>
          <w:rFonts w:hint="eastAsia" w:hAnsi="Times New Roman" w:cs="Times New Roman"/>
          <w:lang w:eastAsia="zh-CN"/>
        </w:rPr>
        <w:fldChar w:fldCharType="begin"/>
      </w:r>
      <w:r>
        <w:rPr>
          <w:rFonts w:hint="eastAsia" w:hAnsi="Times New Roman" w:cs="Times New Roman"/>
          <w:lang w:eastAsia="zh-CN"/>
        </w:rPr>
        <w:instrText xml:space="preserve"> HYPERLINK "https://baike.baidu.com/item/机架/10884855?fromModule=lemma_inlink" \t "https://baike.baidu.com/item/%E6%8A%B1%E5%A4%B9/_blank" </w:instrText>
      </w:r>
      <w:r>
        <w:rPr>
          <w:rFonts w:hint="eastAsia" w:hAnsi="Times New Roman" w:cs="Times New Roman"/>
          <w:lang w:eastAsia="zh-CN"/>
        </w:rPr>
        <w:fldChar w:fldCharType="separate"/>
      </w:r>
      <w:r>
        <w:rPr>
          <w:rFonts w:hint="eastAsia" w:hAnsi="Times New Roman" w:cs="Times New Roman"/>
          <w:lang w:eastAsia="zh-CN"/>
        </w:rPr>
        <w:t>机架</w:t>
      </w:r>
      <w:r>
        <w:rPr>
          <w:rFonts w:hint="eastAsia" w:hAnsi="Times New Roman" w:cs="Times New Roman"/>
          <w:lang w:eastAsia="zh-CN"/>
        </w:rPr>
        <w:fldChar w:fldCharType="end"/>
      </w:r>
      <w:r>
        <w:rPr>
          <w:rFonts w:hint="eastAsia" w:hAnsi="Times New Roman" w:cs="Times New Roman"/>
          <w:lang w:eastAsia="zh-CN"/>
        </w:rPr>
        <w:t>、与机架连接的抱臂和与抱臂连接的</w:t>
      </w:r>
      <w:r>
        <w:rPr>
          <w:rFonts w:hint="eastAsia" w:hAnsi="Times New Roman" w:cs="Times New Roman"/>
          <w:lang w:eastAsia="zh-CN"/>
        </w:rPr>
        <w:fldChar w:fldCharType="begin"/>
      </w:r>
      <w:r>
        <w:rPr>
          <w:rFonts w:hint="eastAsia" w:hAnsi="Times New Roman" w:cs="Times New Roman"/>
          <w:lang w:eastAsia="zh-CN"/>
        </w:rPr>
        <w:instrText xml:space="preserve"> HYPERLINK "https://baike.baidu.com/item/油缸/1521262?fromModule=lemma_inlink" \t "https://baike.baidu.com/item/%E6%8A%B1%E5%A4%B9/_blank" </w:instrText>
      </w:r>
      <w:r>
        <w:rPr>
          <w:rFonts w:hint="eastAsia" w:hAnsi="Times New Roman" w:cs="Times New Roman"/>
          <w:lang w:eastAsia="zh-CN"/>
        </w:rPr>
        <w:fldChar w:fldCharType="separate"/>
      </w:r>
      <w:r>
        <w:rPr>
          <w:rFonts w:hint="eastAsia" w:hAnsi="Times New Roman" w:cs="Times New Roman"/>
          <w:lang w:eastAsia="zh-CN"/>
        </w:rPr>
        <w:t>油缸</w:t>
      </w:r>
      <w:r>
        <w:rPr>
          <w:rFonts w:hint="eastAsia" w:hAnsi="Times New Roman" w:cs="Times New Roman"/>
          <w:lang w:eastAsia="zh-CN"/>
        </w:rPr>
        <w:fldChar w:fldCharType="end"/>
      </w:r>
      <w:r>
        <w:rPr>
          <w:rFonts w:hint="eastAsia" w:hAnsi="Times New Roman" w:cs="Times New Roman"/>
          <w:lang w:eastAsia="zh-CN"/>
        </w:rPr>
        <w:t>。</w:t>
      </w:r>
    </w:p>
    <w:p>
      <w:pPr>
        <w:pStyle w:val="32"/>
        <w:tabs>
          <w:tab w:val="center" w:pos="4201"/>
          <w:tab w:val="right" w:leader="dot" w:pos="9298"/>
        </w:tabs>
        <w:rPr>
          <w:rFonts w:hint="eastAsia" w:cs="Times New Roman"/>
          <w:color w:val="FF0000"/>
          <w:lang w:val="en-US" w:eastAsia="zh-CN"/>
        </w:rPr>
      </w:pPr>
    </w:p>
    <w:p>
      <w:pPr>
        <w:pStyle w:val="32"/>
        <w:tabs>
          <w:tab w:val="center" w:pos="4201"/>
          <w:tab w:val="right" w:leader="dot" w:pos="9298"/>
        </w:tabs>
        <w:rPr>
          <w:rFonts w:hint="eastAsia" w:hAnsi="Times New Roman" w:cs="Times New Roman"/>
          <w:lang w:val="en-US" w:eastAsia="zh-CN"/>
        </w:rPr>
      </w:pPr>
      <w:r>
        <w:rPr>
          <w:rFonts w:hint="eastAsia" w:hAnsi="Times New Roman" w:cs="Times New Roman"/>
          <w:lang w:val="en-US" w:eastAsia="zh-CN"/>
        </w:rPr>
        <w:t>3.2抱夹类专用机动车辆</w:t>
      </w:r>
    </w:p>
    <w:p>
      <w:pPr>
        <w:pStyle w:val="32"/>
        <w:tabs>
          <w:tab w:val="center" w:pos="4201"/>
          <w:tab w:val="right" w:leader="dot" w:pos="9298"/>
        </w:tabs>
        <w:rPr>
          <w:rFonts w:hint="default" w:cs="Times New Roman"/>
          <w:color w:val="auto"/>
          <w:lang w:val="en-US" w:eastAsia="zh-CN"/>
        </w:rPr>
      </w:pPr>
      <w:r>
        <w:rPr>
          <w:rFonts w:hint="eastAsia" w:cs="Times New Roman"/>
          <w:color w:val="auto"/>
          <w:lang w:val="en-US" w:eastAsia="zh-CN"/>
        </w:rPr>
        <w:t>工作装置为抱夹的专用机动工业车辆</w:t>
      </w:r>
    </w:p>
    <w:p>
      <w:pPr>
        <w:pStyle w:val="32"/>
        <w:tabs>
          <w:tab w:val="center" w:pos="4201"/>
          <w:tab w:val="right" w:leader="dot" w:pos="9298"/>
        </w:tabs>
        <w:rPr>
          <w:rFonts w:hint="eastAsia" w:cs="Times New Roman"/>
          <w:color w:val="FF0000"/>
          <w:lang w:val="en-US" w:eastAsia="zh-CN"/>
        </w:rPr>
      </w:pPr>
    </w:p>
    <w:p>
      <w:pPr>
        <w:pStyle w:val="32"/>
        <w:tabs>
          <w:tab w:val="center" w:pos="4201"/>
          <w:tab w:val="right" w:leader="dot" w:pos="9298"/>
        </w:tabs>
        <w:rPr>
          <w:rFonts w:hint="default" w:cs="Times New Roman"/>
          <w:color w:val="FF0000"/>
          <w:lang w:val="en-US" w:eastAsia="zh-CN"/>
        </w:rPr>
      </w:pPr>
    </w:p>
    <w:p>
      <w:pPr>
        <w:pStyle w:val="2"/>
        <w:bidi w:val="0"/>
        <w:jc w:val="left"/>
        <w:rPr>
          <w:rFonts w:hint="eastAsia"/>
          <w:sz w:val="24"/>
          <w:szCs w:val="36"/>
        </w:rPr>
      </w:pPr>
      <w:bookmarkStart w:id="23" w:name="_Toc15637"/>
      <w:r>
        <w:rPr>
          <w:rFonts w:hint="eastAsia"/>
          <w:sz w:val="24"/>
          <w:szCs w:val="36"/>
        </w:rPr>
        <w:t>4   检验条件</w:t>
      </w:r>
      <w:bookmarkEnd w:id="23"/>
    </w:p>
    <w:p>
      <w:pPr>
        <w:pStyle w:val="32"/>
        <w:tabs>
          <w:tab w:val="center" w:pos="4201"/>
          <w:tab w:val="right" w:leader="dot" w:pos="9298"/>
        </w:tabs>
        <w:rPr>
          <w:rFonts w:hint="eastAsia" w:hAnsi="Times New Roman" w:cs="Times New Roman"/>
        </w:rPr>
      </w:pPr>
      <w:r>
        <w:rPr>
          <w:rFonts w:hint="eastAsia" w:hAnsi="Times New Roman" w:cs="Times New Roman"/>
        </w:rPr>
        <w:t>4.1 环境条件</w:t>
      </w:r>
    </w:p>
    <w:p>
      <w:pPr>
        <w:pStyle w:val="32"/>
        <w:tabs>
          <w:tab w:val="center" w:pos="4201"/>
          <w:tab w:val="right" w:leader="dot" w:pos="9298"/>
        </w:tabs>
        <w:rPr>
          <w:rFonts w:hint="eastAsia" w:hAnsi="Times New Roman" w:cs="Times New Roman"/>
        </w:rPr>
      </w:pPr>
      <w:r>
        <w:rPr>
          <w:rFonts w:hint="eastAsia" w:hAnsi="Times New Roman" w:cs="Times New Roman"/>
        </w:rPr>
        <w:t>检验现场应具备以下条件：</w:t>
      </w:r>
    </w:p>
    <w:p>
      <w:pPr>
        <w:pStyle w:val="32"/>
        <w:tabs>
          <w:tab w:val="center" w:pos="4201"/>
          <w:tab w:val="right" w:leader="dot" w:pos="9298"/>
        </w:tabs>
        <w:rPr>
          <w:rFonts w:hint="eastAsia" w:hAnsi="Times New Roman" w:cs="Times New Roman"/>
        </w:rPr>
      </w:pPr>
      <w:r>
        <w:rPr>
          <w:rFonts w:hint="eastAsia" w:hAnsi="Times New Roman" w:cs="Times New Roman"/>
        </w:rPr>
        <w:t>a)环境温度为-5 ℃～40 ℃；</w:t>
      </w:r>
    </w:p>
    <w:p>
      <w:pPr>
        <w:pStyle w:val="32"/>
        <w:tabs>
          <w:tab w:val="center" w:pos="4201"/>
          <w:tab w:val="right" w:leader="dot" w:pos="9298"/>
        </w:tabs>
        <w:rPr>
          <w:rFonts w:hint="eastAsia" w:hAnsi="Times New Roman" w:cs="Times New Roman"/>
        </w:rPr>
      </w:pPr>
      <w:r>
        <w:rPr>
          <w:rFonts w:hint="eastAsia" w:hAnsi="Times New Roman" w:cs="Times New Roman"/>
        </w:rPr>
        <w:t>b)风速不超过5 m/s；</w:t>
      </w:r>
    </w:p>
    <w:p>
      <w:pPr>
        <w:pStyle w:val="32"/>
        <w:tabs>
          <w:tab w:val="center" w:pos="4201"/>
          <w:tab w:val="right" w:leader="dot" w:pos="9298"/>
        </w:tabs>
        <w:rPr>
          <w:rFonts w:hint="eastAsia" w:hAnsi="Times New Roman" w:cs="Times New Roman"/>
        </w:rPr>
      </w:pPr>
      <w:r>
        <w:rPr>
          <w:rFonts w:hint="eastAsia" w:hAnsi="Times New Roman" w:cs="Times New Roman"/>
        </w:rPr>
        <w:t>c)空气相对湿度不大于90％；</w:t>
      </w:r>
    </w:p>
    <w:p>
      <w:pPr>
        <w:pStyle w:val="32"/>
        <w:tabs>
          <w:tab w:val="center" w:pos="4201"/>
          <w:tab w:val="right" w:leader="dot" w:pos="9298"/>
        </w:tabs>
        <w:rPr>
          <w:rFonts w:hint="eastAsia" w:hAnsi="Times New Roman" w:cs="Times New Roman"/>
        </w:rPr>
      </w:pPr>
      <w:r>
        <w:rPr>
          <w:rFonts w:hint="eastAsia" w:hAnsi="Times New Roman" w:cs="Times New Roman"/>
        </w:rPr>
        <w:t>d)海拔高度不大于</w:t>
      </w:r>
      <w:r>
        <w:rPr>
          <w:rFonts w:hint="eastAsia" w:hAnsi="Times New Roman" w:cs="Times New Roman"/>
          <w:lang w:val="en-US" w:eastAsia="zh-CN"/>
        </w:rPr>
        <w:t>2</w:t>
      </w:r>
      <w:r>
        <w:rPr>
          <w:rFonts w:hint="eastAsia" w:hAnsi="Times New Roman" w:cs="Times New Roman"/>
        </w:rPr>
        <w:t>000 m；</w:t>
      </w:r>
    </w:p>
    <w:p>
      <w:pPr>
        <w:pStyle w:val="32"/>
        <w:tabs>
          <w:tab w:val="center" w:pos="4201"/>
          <w:tab w:val="right" w:leader="dot" w:pos="9298"/>
        </w:tabs>
        <w:rPr>
          <w:rFonts w:hint="eastAsia" w:hAnsi="Times New Roman" w:cs="Times New Roman"/>
        </w:rPr>
      </w:pPr>
      <w:r>
        <w:rPr>
          <w:rFonts w:hint="eastAsia" w:hAnsi="Times New Roman" w:cs="Times New Roman"/>
        </w:rPr>
        <w:t>e)试验场地应为混凝土或沥青铺设的平坦、干燥、清洁的硬实路面，坡度不大于0.5％；</w:t>
      </w:r>
    </w:p>
    <w:p>
      <w:pPr>
        <w:pStyle w:val="32"/>
        <w:tabs>
          <w:tab w:val="center" w:pos="4201"/>
          <w:tab w:val="right" w:leader="dot" w:pos="9298"/>
        </w:tabs>
        <w:rPr>
          <w:rFonts w:hint="eastAsia" w:hAnsi="Times New Roman" w:cs="Times New Roman"/>
        </w:rPr>
      </w:pPr>
      <w:r>
        <w:rPr>
          <w:rFonts w:hint="eastAsia" w:hAnsi="Times New Roman" w:cs="Times New Roman"/>
        </w:rPr>
        <w:t>f)直线试验跑道应为平坦、干燥、清洁的混凝土或沥青铺设路面，跑道长度不小于200 m,宽度不小于5 m，纵向坡度不大于0.5%；</w:t>
      </w:r>
    </w:p>
    <w:p>
      <w:pPr>
        <w:pStyle w:val="32"/>
        <w:tabs>
          <w:tab w:val="center" w:pos="4201"/>
          <w:tab w:val="right" w:leader="dot" w:pos="9298"/>
        </w:tabs>
        <w:rPr>
          <w:rFonts w:hint="eastAsia" w:hAnsi="Times New Roman" w:cs="Times New Roman"/>
        </w:rPr>
      </w:pPr>
      <w:r>
        <w:rPr>
          <w:rFonts w:hint="eastAsia" w:hAnsi="Times New Roman" w:cs="Times New Roman"/>
        </w:rPr>
        <w:t>g)试验载荷的质量等于搬运车的额定载重量Q，其误差不大于1％；</w:t>
      </w:r>
    </w:p>
    <w:p>
      <w:pPr>
        <w:pStyle w:val="32"/>
        <w:tabs>
          <w:tab w:val="center" w:pos="4201"/>
          <w:tab w:val="right" w:leader="dot" w:pos="9298"/>
        </w:tabs>
        <w:rPr>
          <w:rFonts w:hint="eastAsia" w:hAnsi="Times New Roman" w:cs="Times New Roman"/>
        </w:rPr>
      </w:pPr>
      <w:r>
        <w:rPr>
          <w:rFonts w:hint="eastAsia" w:hAnsi="Times New Roman" w:cs="Times New Roman"/>
        </w:rPr>
        <w:t>h)试验时，试验载荷应均匀分布在载货平台的上表面。</w:t>
      </w:r>
    </w:p>
    <w:p>
      <w:pPr>
        <w:pStyle w:val="32"/>
        <w:tabs>
          <w:tab w:val="center" w:pos="4201"/>
          <w:tab w:val="right" w:leader="dot" w:pos="9298"/>
        </w:tabs>
        <w:rPr>
          <w:rFonts w:hint="eastAsia" w:hAnsi="Times New Roman" w:cs="Times New Roman"/>
        </w:rPr>
      </w:pPr>
      <w:r>
        <w:rPr>
          <w:rFonts w:hint="eastAsia" w:hAnsi="Times New Roman" w:cs="Times New Roman"/>
        </w:rPr>
        <w:t>i)露天检验应在无雾、无风、无雨、无雪情况下进行。</w:t>
      </w:r>
    </w:p>
    <w:p>
      <w:pPr>
        <w:pStyle w:val="32"/>
        <w:tabs>
          <w:tab w:val="center" w:pos="4201"/>
          <w:tab w:val="right" w:leader="dot" w:pos="9298"/>
        </w:tabs>
        <w:rPr>
          <w:rFonts w:hint="eastAsia" w:hAnsi="Times New Roman" w:cs="Times New Roman"/>
        </w:rPr>
      </w:pPr>
      <w:r>
        <w:rPr>
          <w:rFonts w:hint="eastAsia" w:hAnsi="Times New Roman" w:cs="Times New Roman"/>
        </w:rPr>
        <w:t>j)使用单位应向检验机构提供有关技术资料，并安排相关专业人员到现场配合检验。</w:t>
      </w:r>
    </w:p>
    <w:p>
      <w:pPr>
        <w:pStyle w:val="32"/>
        <w:tabs>
          <w:tab w:val="center" w:pos="4201"/>
          <w:tab w:val="right" w:leader="dot" w:pos="9298"/>
        </w:tabs>
        <w:rPr>
          <w:rFonts w:hint="eastAsia" w:hAnsi="Times New Roman" w:cs="Times New Roman"/>
        </w:rPr>
      </w:pPr>
      <w:r>
        <w:rPr>
          <w:rFonts w:hint="eastAsia" w:hAnsi="Times New Roman" w:cs="Times New Roman"/>
        </w:rPr>
        <w:t>k)检验工作应当在使用单位经常性维护保养及自检合格基础上进行检验。</w:t>
      </w:r>
    </w:p>
    <w:p>
      <w:pPr>
        <w:pStyle w:val="32"/>
        <w:tabs>
          <w:tab w:val="center" w:pos="4201"/>
          <w:tab w:val="right" w:leader="dot" w:pos="9298"/>
        </w:tabs>
        <w:rPr>
          <w:rFonts w:hint="eastAsia" w:hAnsi="Times New Roman" w:cs="Times New Roman"/>
        </w:rPr>
      </w:pPr>
      <w:r>
        <w:rPr>
          <w:rFonts w:hint="eastAsia" w:hAnsi="Times New Roman" w:cs="Times New Roman"/>
        </w:rPr>
        <w:t>l)对于检验准备工作不足，现场不具备安全检验条件、开展检验可能危及检验人员或者他人安全和健康的，检验人员可以中止检验，并书面向受检单位说明原因。</w:t>
      </w:r>
    </w:p>
    <w:p>
      <w:pPr>
        <w:pStyle w:val="32"/>
        <w:tabs>
          <w:tab w:val="center" w:pos="4201"/>
          <w:tab w:val="right" w:leader="dot" w:pos="9298"/>
        </w:tabs>
        <w:rPr>
          <w:rFonts w:hint="eastAsia" w:hAnsi="Times New Roman" w:cs="Times New Roman"/>
        </w:rPr>
      </w:pPr>
      <w:r>
        <w:rPr>
          <w:rFonts w:hint="eastAsia" w:hAnsi="Times New Roman" w:cs="Times New Roman"/>
        </w:rPr>
        <w:t>4.2  技术资料要求</w:t>
      </w:r>
    </w:p>
    <w:p>
      <w:pPr>
        <w:pStyle w:val="32"/>
        <w:tabs>
          <w:tab w:val="center" w:pos="4201"/>
          <w:tab w:val="right" w:leader="dot" w:pos="9298"/>
        </w:tabs>
        <w:rPr>
          <w:rFonts w:hint="eastAsia" w:hAnsi="Times New Roman" w:cs="Times New Roman"/>
        </w:rPr>
      </w:pPr>
      <w:r>
        <w:rPr>
          <w:rFonts w:hint="eastAsia" w:hAnsi="Times New Roman" w:cs="Times New Roman"/>
        </w:rPr>
        <w:t>检验时应提供的材料包括但不限于以下内容：</w:t>
      </w:r>
    </w:p>
    <w:p>
      <w:pPr>
        <w:pStyle w:val="32"/>
        <w:tabs>
          <w:tab w:val="center" w:pos="4201"/>
          <w:tab w:val="right" w:leader="dot" w:pos="9298"/>
        </w:tabs>
        <w:rPr>
          <w:rFonts w:hint="eastAsia" w:hAnsi="Times New Roman" w:cs="Times New Roman"/>
        </w:rPr>
      </w:pPr>
      <w:r>
        <w:rPr>
          <w:rFonts w:hint="eastAsia" w:hAnsi="Times New Roman" w:cs="Times New Roman"/>
        </w:rPr>
        <w:t>a)制造许可证；</w:t>
      </w:r>
    </w:p>
    <w:p>
      <w:pPr>
        <w:pStyle w:val="32"/>
        <w:tabs>
          <w:tab w:val="center" w:pos="4201"/>
          <w:tab w:val="right" w:leader="dot" w:pos="9298"/>
        </w:tabs>
        <w:rPr>
          <w:rFonts w:hint="eastAsia" w:hAnsi="Times New Roman" w:cs="Times New Roman"/>
        </w:rPr>
      </w:pPr>
      <w:r>
        <w:rPr>
          <w:rFonts w:hint="eastAsia" w:hAnsi="Times New Roman" w:cs="Times New Roman"/>
        </w:rPr>
        <w:t>b)产品质量合格证明〔含产品质量证明书、 产品合格证(含产品数据表)〕；</w:t>
      </w:r>
    </w:p>
    <w:p>
      <w:pPr>
        <w:pStyle w:val="32"/>
        <w:tabs>
          <w:tab w:val="center" w:pos="4201"/>
          <w:tab w:val="right" w:leader="dot" w:pos="9298"/>
        </w:tabs>
        <w:rPr>
          <w:rFonts w:hint="eastAsia" w:hAnsi="Times New Roman" w:cs="Times New Roman"/>
        </w:rPr>
      </w:pPr>
      <w:r>
        <w:rPr>
          <w:rFonts w:hint="eastAsia" w:hAnsi="Times New Roman" w:cs="Times New Roman"/>
        </w:rPr>
        <w:t>c)使用单位自检记录或者报告原件；</w:t>
      </w:r>
    </w:p>
    <w:p>
      <w:pPr>
        <w:pStyle w:val="32"/>
        <w:tabs>
          <w:tab w:val="center" w:pos="4201"/>
          <w:tab w:val="right" w:leader="dot" w:pos="9298"/>
        </w:tabs>
        <w:rPr>
          <w:rFonts w:hint="eastAsia" w:hAnsi="Times New Roman" w:cs="Times New Roman"/>
        </w:rPr>
      </w:pPr>
      <w:r>
        <w:rPr>
          <w:rFonts w:hint="eastAsia" w:hAnsi="Times New Roman" w:cs="Times New Roman"/>
        </w:rPr>
        <w:t>d)使用单位日常使用维护保养记录；</w:t>
      </w:r>
    </w:p>
    <w:p>
      <w:pPr>
        <w:pStyle w:val="32"/>
        <w:tabs>
          <w:tab w:val="center" w:pos="4201"/>
          <w:tab w:val="right" w:leader="dot" w:pos="9298"/>
        </w:tabs>
        <w:rPr>
          <w:rFonts w:hint="eastAsia" w:hAnsi="Times New Roman" w:cs="Times New Roman"/>
        </w:rPr>
      </w:pPr>
      <w:r>
        <w:rPr>
          <w:rFonts w:hint="eastAsia" w:hAnsi="Times New Roman" w:cs="Times New Roman"/>
        </w:rPr>
        <w:t>e)使用维护保养说明书。</w:t>
      </w:r>
    </w:p>
    <w:p>
      <w:pPr>
        <w:pStyle w:val="32"/>
        <w:tabs>
          <w:tab w:val="center" w:pos="4201"/>
          <w:tab w:val="right" w:leader="dot" w:pos="9298"/>
        </w:tabs>
        <w:rPr>
          <w:rFonts w:hint="eastAsia" w:hAnsi="Times New Roman" w:cs="Times New Roman"/>
        </w:rPr>
      </w:pPr>
      <w:r>
        <w:rPr>
          <w:rFonts w:hint="eastAsia" w:hAnsi="Times New Roman" w:cs="Times New Roman"/>
        </w:rPr>
        <w:t>4.3  检验仪器</w:t>
      </w:r>
    </w:p>
    <w:p>
      <w:pPr>
        <w:pStyle w:val="32"/>
        <w:tabs>
          <w:tab w:val="center" w:pos="4201"/>
          <w:tab w:val="right" w:leader="dot" w:pos="9298"/>
        </w:tabs>
        <w:rPr>
          <w:rFonts w:hint="eastAsia" w:hAnsi="Times New Roman" w:cs="Times New Roman"/>
        </w:rPr>
      </w:pPr>
      <w:r>
        <w:rPr>
          <w:rFonts w:hint="eastAsia" w:hAnsi="Times New Roman" w:cs="Times New Roman"/>
        </w:rPr>
        <w:t>4.3.1 检验用仪器和量具应在计量检定合格或校准的有效期内。</w:t>
      </w:r>
    </w:p>
    <w:p>
      <w:pPr>
        <w:pStyle w:val="32"/>
        <w:tabs>
          <w:tab w:val="center" w:pos="4201"/>
          <w:tab w:val="right" w:leader="dot" w:pos="9298"/>
        </w:tabs>
        <w:rPr>
          <w:rFonts w:hint="eastAsia" w:hAnsi="Times New Roman" w:cs="Times New Roman"/>
        </w:rPr>
      </w:pPr>
      <w:r>
        <w:rPr>
          <w:rFonts w:hint="eastAsia" w:hAnsi="Times New Roman" w:cs="Times New Roman"/>
        </w:rPr>
        <w:t>4.3.2 试验用仪器的精度应满足下列测量精度的要求：</w:t>
      </w:r>
    </w:p>
    <w:p>
      <w:pPr>
        <w:pStyle w:val="32"/>
        <w:tabs>
          <w:tab w:val="center" w:pos="4201"/>
          <w:tab w:val="right" w:leader="dot" w:pos="9298"/>
        </w:tabs>
        <w:rPr>
          <w:rFonts w:hint="eastAsia" w:hAnsi="Times New Roman" w:cs="Times New Roman"/>
        </w:rPr>
      </w:pPr>
      <w:r>
        <w:rPr>
          <w:rFonts w:hint="eastAsia" w:hAnsi="Times New Roman" w:cs="Times New Roman"/>
        </w:rPr>
        <w:t>a)质量、力、距离、速度为±1%；</w:t>
      </w:r>
    </w:p>
    <w:p>
      <w:pPr>
        <w:pStyle w:val="32"/>
        <w:tabs>
          <w:tab w:val="center" w:pos="4201"/>
          <w:tab w:val="right" w:leader="dot" w:pos="9298"/>
        </w:tabs>
        <w:rPr>
          <w:rFonts w:hint="eastAsia" w:hAnsi="Times New Roman" w:cs="Times New Roman"/>
        </w:rPr>
      </w:pPr>
      <w:r>
        <w:rPr>
          <w:rFonts w:hint="eastAsia" w:hAnsi="Times New Roman" w:cs="Times New Roman"/>
        </w:rPr>
        <w:t>b)对电压、电流为±5%；</w:t>
      </w:r>
    </w:p>
    <w:p>
      <w:pPr>
        <w:pStyle w:val="32"/>
        <w:tabs>
          <w:tab w:val="center" w:pos="4201"/>
          <w:tab w:val="right" w:leader="dot" w:pos="9298"/>
        </w:tabs>
        <w:rPr>
          <w:rFonts w:hint="eastAsia" w:hAnsi="Times New Roman" w:cs="Times New Roman"/>
        </w:rPr>
      </w:pPr>
      <w:r>
        <w:rPr>
          <w:rFonts w:hint="eastAsia" w:hAnsi="Times New Roman" w:cs="Times New Roman"/>
        </w:rPr>
        <w:t>c)对温度为±5%；</w:t>
      </w:r>
    </w:p>
    <w:p>
      <w:pPr>
        <w:pStyle w:val="32"/>
        <w:tabs>
          <w:tab w:val="center" w:pos="4201"/>
          <w:tab w:val="right" w:leader="dot" w:pos="9298"/>
        </w:tabs>
        <w:rPr>
          <w:rFonts w:hint="eastAsia" w:hAnsi="Times New Roman" w:cs="Times New Roman"/>
        </w:rPr>
      </w:pPr>
      <w:r>
        <w:rPr>
          <w:rFonts w:hint="eastAsia" w:hAnsi="Times New Roman" w:cs="Times New Roman"/>
        </w:rPr>
        <w:t>d)对记录设备应能检测到0.01s变化的信号。</w:t>
      </w:r>
    </w:p>
    <w:p>
      <w:pPr>
        <w:pStyle w:val="2"/>
        <w:bidi w:val="0"/>
        <w:jc w:val="left"/>
        <w:rPr>
          <w:rFonts w:hint="eastAsia"/>
          <w:sz w:val="24"/>
          <w:szCs w:val="36"/>
        </w:rPr>
      </w:pPr>
      <w:bookmarkStart w:id="24" w:name="_Toc756"/>
      <w:r>
        <w:rPr>
          <w:rFonts w:hint="eastAsia"/>
          <w:sz w:val="24"/>
          <w:szCs w:val="36"/>
        </w:rPr>
        <w:t>5   检验项目要求及方法</w:t>
      </w:r>
      <w:bookmarkEnd w:id="24"/>
    </w:p>
    <w:p>
      <w:pPr>
        <w:pStyle w:val="32"/>
        <w:tabs>
          <w:tab w:val="center" w:pos="4201"/>
          <w:tab w:val="right" w:leader="dot" w:pos="9298"/>
        </w:tabs>
        <w:rPr>
          <w:rFonts w:hint="eastAsia" w:hAnsi="Times New Roman" w:cs="Times New Roman"/>
        </w:rPr>
      </w:pPr>
      <w:r>
        <w:rPr>
          <w:rFonts w:hint="eastAsia" w:hAnsi="Times New Roman" w:cs="Times New Roman"/>
        </w:rPr>
        <w:t>检验项目包括整车检验、动力系统检验、灯光电气检验、传动系统检验、行驶系统检验、转向</w:t>
      </w:r>
      <w:r>
        <w:rPr>
          <w:rFonts w:hint="eastAsia" w:hAnsi="Times New Roman" w:cs="Times New Roman"/>
          <w:lang w:eastAsia="zh-CN"/>
        </w:rPr>
        <w:t>与操作</w:t>
      </w:r>
      <w:r>
        <w:rPr>
          <w:rFonts w:hint="eastAsia" w:hAnsi="Times New Roman" w:cs="Times New Roman"/>
        </w:rPr>
        <w:t>系统检验、</w:t>
      </w:r>
      <w:r>
        <w:rPr>
          <w:rFonts w:hint="eastAsia" w:hAnsi="Times New Roman" w:cs="Times New Roman"/>
          <w:lang w:eastAsia="zh-CN"/>
        </w:rPr>
        <w:t>液压系统检验、</w:t>
      </w:r>
      <w:r>
        <w:rPr>
          <w:rFonts w:hint="eastAsia" w:hAnsi="Times New Roman" w:cs="Times New Roman"/>
        </w:rPr>
        <w:t>制动系统检验</w:t>
      </w:r>
      <w:r>
        <w:rPr>
          <w:rFonts w:hint="eastAsia" w:hAnsi="Times New Roman" w:cs="Times New Roman"/>
          <w:lang w:eastAsia="zh-CN"/>
        </w:rPr>
        <w:t>、工作装置检验、安全与防护装置检验</w:t>
      </w:r>
      <w:r>
        <w:rPr>
          <w:rFonts w:hint="eastAsia" w:hAnsi="Times New Roman" w:cs="Times New Roman"/>
        </w:rPr>
        <w:t>，检验内容、要求和方法见《</w:t>
      </w:r>
      <w:r>
        <w:rPr>
          <w:rFonts w:hint="eastAsia" w:hAnsi="Times New Roman" w:cs="Times New Roman"/>
          <w:lang w:val="en-US" w:eastAsia="zh-CN"/>
        </w:rPr>
        <w:t>抱夹类场（厂）内专用机动车辆</w:t>
      </w:r>
      <w:r>
        <w:rPr>
          <w:rFonts w:hint="eastAsia" w:hAnsi="Times New Roman" w:cs="Times New Roman"/>
        </w:rPr>
        <w:t>检验内容、要求与方法》（见附录A）</w:t>
      </w:r>
    </w:p>
    <w:p>
      <w:pPr>
        <w:pStyle w:val="2"/>
        <w:bidi w:val="0"/>
        <w:jc w:val="left"/>
        <w:rPr>
          <w:rFonts w:hint="eastAsia"/>
          <w:sz w:val="24"/>
          <w:szCs w:val="36"/>
        </w:rPr>
      </w:pPr>
      <w:bookmarkStart w:id="25" w:name="_Toc10098"/>
      <w:r>
        <w:rPr>
          <w:rFonts w:hint="eastAsia"/>
          <w:sz w:val="24"/>
          <w:szCs w:val="36"/>
        </w:rPr>
        <w:t>6   检验记录与报告</w:t>
      </w:r>
      <w:bookmarkEnd w:id="25"/>
    </w:p>
    <w:p>
      <w:pPr>
        <w:bidi w:val="0"/>
        <w:rPr>
          <w:rFonts w:hint="eastAsia"/>
        </w:rPr>
      </w:pPr>
      <w:r>
        <w:rPr>
          <w:rFonts w:hint="eastAsia"/>
        </w:rPr>
        <w:t>6.1  检验记录</w:t>
      </w:r>
    </w:p>
    <w:p>
      <w:pPr>
        <w:pStyle w:val="32"/>
        <w:tabs>
          <w:tab w:val="center" w:pos="4201"/>
          <w:tab w:val="right" w:leader="dot" w:pos="9298"/>
        </w:tabs>
        <w:rPr>
          <w:rFonts w:hint="eastAsia" w:hAnsi="Times New Roman" w:cs="Times New Roman"/>
        </w:rPr>
      </w:pPr>
      <w:r>
        <w:rPr>
          <w:rFonts w:hint="eastAsia" w:hAnsi="Times New Roman" w:cs="Times New Roman"/>
        </w:rPr>
        <w:t>6.1.1  检验单位应当根据附录A编制检验记录。</w:t>
      </w:r>
    </w:p>
    <w:p>
      <w:pPr>
        <w:pStyle w:val="32"/>
        <w:tabs>
          <w:tab w:val="center" w:pos="4201"/>
          <w:tab w:val="right" w:leader="dot" w:pos="9298"/>
        </w:tabs>
        <w:rPr>
          <w:rFonts w:hint="eastAsia" w:hAnsi="Times New Roman" w:cs="Times New Roman"/>
        </w:rPr>
      </w:pPr>
      <w:r>
        <w:rPr>
          <w:rFonts w:hint="eastAsia" w:hAnsi="Times New Roman" w:cs="Times New Roman"/>
        </w:rPr>
        <w:t>6.1.2  检验人员应真实、准确填写检验记录：检验过程中，如果有不合格检验项目，检验人员在现场检验结束时，向使用方出具《抱夹类场（厂）内专用机动车辆检验</w:t>
      </w:r>
      <w:r>
        <w:rPr>
          <w:rFonts w:hint="eastAsia" w:hAnsi="Times New Roman" w:cs="Times New Roman"/>
          <w:lang w:eastAsia="zh-CN"/>
        </w:rPr>
        <w:t>整改单</w:t>
      </w:r>
      <w:r>
        <w:rPr>
          <w:rFonts w:hint="eastAsia" w:hAnsi="Times New Roman" w:cs="Times New Roman"/>
        </w:rPr>
        <w:t>》（见附录C）。</w:t>
      </w:r>
    </w:p>
    <w:p>
      <w:pPr>
        <w:pStyle w:val="32"/>
        <w:tabs>
          <w:tab w:val="center" w:pos="4201"/>
          <w:tab w:val="right" w:leader="dot" w:pos="9298"/>
        </w:tabs>
        <w:rPr>
          <w:rFonts w:hint="eastAsia" w:hAnsi="Times New Roman" w:cs="Times New Roman"/>
        </w:rPr>
      </w:pPr>
      <w:r>
        <w:rPr>
          <w:rFonts w:hint="eastAsia" w:hAnsi="Times New Roman" w:cs="Times New Roman"/>
        </w:rPr>
        <w:t>6.1.3  检验记录填写应符合下列要求：</w:t>
      </w:r>
    </w:p>
    <w:p>
      <w:pPr>
        <w:pStyle w:val="32"/>
        <w:tabs>
          <w:tab w:val="center" w:pos="4201"/>
          <w:tab w:val="right" w:leader="dot" w:pos="9298"/>
        </w:tabs>
        <w:rPr>
          <w:rFonts w:hint="eastAsia" w:hAnsi="Times New Roman" w:cs="Times New Roman"/>
        </w:rPr>
      </w:pPr>
      <w:r>
        <w:rPr>
          <w:rFonts w:hint="eastAsia" w:hAnsi="Times New Roman" w:cs="Times New Roman"/>
        </w:rPr>
        <w:t>a)将检验情况如实记录在原始记录上，不得漏检、漏记；</w:t>
      </w:r>
    </w:p>
    <w:p>
      <w:pPr>
        <w:pStyle w:val="32"/>
        <w:tabs>
          <w:tab w:val="center" w:pos="4201"/>
          <w:tab w:val="right" w:leader="dot" w:pos="9298"/>
        </w:tabs>
        <w:rPr>
          <w:rFonts w:hint="eastAsia" w:hAnsi="Times New Roman" w:cs="Times New Roman"/>
        </w:rPr>
      </w:pPr>
      <w:r>
        <w:rPr>
          <w:rFonts w:hint="eastAsia" w:hAnsi="Times New Roman" w:cs="Times New Roman"/>
        </w:rPr>
        <w:t>b)应使用统一规定的简单标记，表明“符合”“不符合”“合格”“不合格”“无此项”等；</w:t>
      </w:r>
    </w:p>
    <w:p>
      <w:pPr>
        <w:pStyle w:val="32"/>
        <w:tabs>
          <w:tab w:val="center" w:pos="4201"/>
          <w:tab w:val="right" w:leader="dot" w:pos="9298"/>
        </w:tabs>
        <w:rPr>
          <w:rFonts w:hint="eastAsia" w:hAnsi="Times New Roman" w:cs="Times New Roman"/>
        </w:rPr>
      </w:pPr>
      <w:r>
        <w:rPr>
          <w:rFonts w:hint="eastAsia" w:hAnsi="Times New Roman" w:cs="Times New Roman"/>
        </w:rPr>
        <w:t>c)要求测试数据的项目，在“检验结果”栏中填写实测或者计算处理后的数据；</w:t>
      </w:r>
    </w:p>
    <w:p>
      <w:pPr>
        <w:pStyle w:val="32"/>
        <w:tabs>
          <w:tab w:val="center" w:pos="4201"/>
          <w:tab w:val="right" w:leader="dot" w:pos="9298"/>
        </w:tabs>
        <w:rPr>
          <w:rFonts w:hint="eastAsia" w:hAnsi="Times New Roman" w:cs="Times New Roman"/>
        </w:rPr>
      </w:pPr>
      <w:r>
        <w:rPr>
          <w:rFonts w:hint="eastAsia" w:hAnsi="Times New Roman" w:cs="Times New Roman"/>
        </w:rPr>
        <w:t>d)未要求测试数据但有需要说明情况的项目，应当用简单的文字予以说明；</w:t>
      </w:r>
    </w:p>
    <w:p>
      <w:pPr>
        <w:pStyle w:val="32"/>
        <w:tabs>
          <w:tab w:val="center" w:pos="4201"/>
          <w:tab w:val="right" w:leader="dot" w:pos="9298"/>
        </w:tabs>
        <w:rPr>
          <w:rFonts w:hint="eastAsia" w:hAnsi="Times New Roman" w:cs="Times New Roman"/>
        </w:rPr>
      </w:pPr>
      <w:r>
        <w:rPr>
          <w:rFonts w:hint="eastAsia" w:hAnsi="Times New Roman" w:cs="Times New Roman"/>
        </w:rPr>
        <w:t>e)应当注明现场检验日期，由本次检验的检验人员签字，并且有其中一名检验人员的校核签字。</w:t>
      </w:r>
    </w:p>
    <w:p>
      <w:pPr>
        <w:pStyle w:val="32"/>
        <w:tabs>
          <w:tab w:val="center" w:pos="4201"/>
          <w:tab w:val="right" w:leader="dot" w:pos="9298"/>
        </w:tabs>
        <w:rPr>
          <w:rFonts w:hint="eastAsia" w:hAnsi="Times New Roman" w:cs="Times New Roman"/>
        </w:rPr>
      </w:pPr>
      <w:r>
        <w:rPr>
          <w:rFonts w:hint="eastAsia" w:hAnsi="Times New Roman" w:cs="Times New Roman"/>
        </w:rPr>
        <w:t>6.2  检验报告</w:t>
      </w:r>
    </w:p>
    <w:p>
      <w:pPr>
        <w:pStyle w:val="32"/>
        <w:tabs>
          <w:tab w:val="center" w:pos="4201"/>
          <w:tab w:val="right" w:leader="dot" w:pos="9298"/>
        </w:tabs>
        <w:rPr>
          <w:rFonts w:hint="eastAsia" w:hAnsi="Times New Roman" w:cs="Times New Roman"/>
        </w:rPr>
      </w:pPr>
      <w:r>
        <w:rPr>
          <w:rFonts w:hint="eastAsia" w:hAnsi="Times New Roman" w:cs="Times New Roman"/>
        </w:rPr>
        <w:t>6.2.1  检验报告格式应按照《抱夹类场（厂）内专用机动车辆检验报告》（见附录B）编制。</w:t>
      </w:r>
    </w:p>
    <w:p>
      <w:pPr>
        <w:pStyle w:val="32"/>
        <w:tabs>
          <w:tab w:val="center" w:pos="4201"/>
          <w:tab w:val="right" w:leader="dot" w:pos="9298"/>
        </w:tabs>
        <w:rPr>
          <w:rFonts w:hint="eastAsia" w:hAnsi="Times New Roman" w:cs="Times New Roman"/>
        </w:rPr>
      </w:pPr>
      <w:r>
        <w:rPr>
          <w:rFonts w:hint="eastAsia" w:hAnsi="Times New Roman" w:cs="Times New Roman"/>
        </w:rPr>
        <w:t>6.2.2  检验报告应有检验、编制、审核、批准人员的签字和检验单位检验专用章或公章。</w:t>
      </w:r>
    </w:p>
    <w:p>
      <w:pPr>
        <w:pStyle w:val="32"/>
        <w:tabs>
          <w:tab w:val="center" w:pos="4201"/>
          <w:tab w:val="right" w:leader="dot" w:pos="9298"/>
        </w:tabs>
        <w:rPr>
          <w:rFonts w:hint="eastAsia" w:hAnsi="Times New Roman" w:cs="Times New Roman"/>
        </w:rPr>
      </w:pPr>
      <w:r>
        <w:rPr>
          <w:rFonts w:hint="eastAsia" w:hAnsi="Times New Roman" w:cs="Times New Roman"/>
        </w:rPr>
        <w:t>6.2.3  完成检验工作后，检验机构应在10个工作日或向社会公开承诺的工作日内向受检单位出具检验报告。</w:t>
      </w:r>
    </w:p>
    <w:p>
      <w:pPr>
        <w:pStyle w:val="32"/>
        <w:tabs>
          <w:tab w:val="center" w:pos="4201"/>
          <w:tab w:val="right" w:leader="dot" w:pos="9298"/>
        </w:tabs>
        <w:rPr>
          <w:rFonts w:hint="eastAsia" w:hAnsi="Times New Roman" w:cs="Times New Roman"/>
        </w:rPr>
      </w:pPr>
      <w:r>
        <w:rPr>
          <w:rFonts w:hint="eastAsia" w:hAnsi="Times New Roman" w:cs="Times New Roman"/>
        </w:rPr>
        <w:t>6.2.4  检验报告的填写应符合下列要求：</w:t>
      </w:r>
    </w:p>
    <w:p>
      <w:pPr>
        <w:pStyle w:val="32"/>
        <w:tabs>
          <w:tab w:val="center" w:pos="4201"/>
          <w:tab w:val="right" w:leader="dot" w:pos="9298"/>
        </w:tabs>
        <w:rPr>
          <w:rFonts w:hint="eastAsia" w:hAnsi="Times New Roman" w:cs="Times New Roman"/>
        </w:rPr>
      </w:pPr>
      <w:r>
        <w:rPr>
          <w:rFonts w:hint="eastAsia" w:hAnsi="Times New Roman" w:cs="Times New Roman"/>
        </w:rPr>
        <w:t>a)要求测试数据的项目，在“检验结果”栏中填写实测或者计算处理后的数据；</w:t>
      </w:r>
    </w:p>
    <w:p>
      <w:pPr>
        <w:pStyle w:val="32"/>
        <w:tabs>
          <w:tab w:val="center" w:pos="4201"/>
          <w:tab w:val="right" w:leader="dot" w:pos="9298"/>
        </w:tabs>
        <w:rPr>
          <w:rFonts w:hint="eastAsia" w:hAnsi="Times New Roman" w:cs="Times New Roman"/>
        </w:rPr>
      </w:pPr>
      <w:r>
        <w:rPr>
          <w:rFonts w:hint="eastAsia" w:hAnsi="Times New Roman" w:cs="Times New Roman"/>
        </w:rPr>
        <w:t>b)未要求测试数据的项目，如果经检验符合要求，在“检验结果”栏中填写“符合”；如果经检 验不符合要求，填写“不符合”；</w:t>
      </w:r>
    </w:p>
    <w:p>
      <w:pPr>
        <w:pStyle w:val="32"/>
        <w:tabs>
          <w:tab w:val="center" w:pos="4201"/>
          <w:tab w:val="right" w:leader="dot" w:pos="9298"/>
        </w:tabs>
        <w:rPr>
          <w:rFonts w:hint="eastAsia" w:hAnsi="Times New Roman" w:cs="Times New Roman"/>
        </w:rPr>
      </w:pPr>
      <w:r>
        <w:rPr>
          <w:rFonts w:hint="eastAsia" w:hAnsi="Times New Roman" w:cs="Times New Roman"/>
        </w:rPr>
        <w:t>c)需要说明情况的项目，在“检验结果”栏中做简要说明，难以表述清楚的，在检验报告中另加附页描述，“检验结果”栏中填写“见附页XX”；</w:t>
      </w:r>
    </w:p>
    <w:p>
      <w:pPr>
        <w:pStyle w:val="32"/>
        <w:tabs>
          <w:tab w:val="center" w:pos="4201"/>
          <w:tab w:val="right" w:leader="dot" w:pos="9298"/>
        </w:tabs>
        <w:rPr>
          <w:rFonts w:hint="eastAsia" w:hAnsi="Times New Roman" w:cs="Times New Roman"/>
        </w:rPr>
      </w:pPr>
      <w:r>
        <w:rPr>
          <w:rFonts w:hint="eastAsia" w:hAnsi="Times New Roman" w:cs="Times New Roman"/>
        </w:rPr>
        <w:t>d)不适用的项目，在“检验结果”栏中填写“无此项”；</w:t>
      </w:r>
    </w:p>
    <w:p>
      <w:pPr>
        <w:pStyle w:val="32"/>
        <w:tabs>
          <w:tab w:val="center" w:pos="4201"/>
          <w:tab w:val="right" w:leader="dot" w:pos="9298"/>
        </w:tabs>
        <w:rPr>
          <w:rFonts w:hint="eastAsia" w:hAnsi="Times New Roman" w:cs="Times New Roman"/>
        </w:rPr>
      </w:pPr>
      <w:r>
        <w:rPr>
          <w:rFonts w:hint="eastAsia" w:hAnsi="Times New Roman" w:cs="Times New Roman"/>
        </w:rPr>
        <w:t>e)“检验结论”栏填写“合格”、“不合格”、“/”（表示无此项）等单项结论。</w:t>
      </w:r>
    </w:p>
    <w:p>
      <w:pPr>
        <w:pStyle w:val="32"/>
        <w:tabs>
          <w:tab w:val="center" w:pos="4201"/>
          <w:tab w:val="right" w:leader="dot" w:pos="9298"/>
        </w:tabs>
        <w:rPr>
          <w:rFonts w:hint="eastAsia" w:hAnsi="Times New Roman" w:cs="Times New Roman"/>
        </w:rPr>
      </w:pPr>
    </w:p>
    <w:p>
      <w:pPr>
        <w:pStyle w:val="2"/>
        <w:bidi w:val="0"/>
        <w:jc w:val="left"/>
        <w:rPr>
          <w:rFonts w:hint="eastAsia"/>
          <w:sz w:val="24"/>
          <w:szCs w:val="36"/>
        </w:rPr>
      </w:pPr>
      <w:bookmarkStart w:id="26" w:name="_Toc16984"/>
      <w:r>
        <w:rPr>
          <w:rFonts w:hint="eastAsia"/>
          <w:sz w:val="24"/>
          <w:szCs w:val="36"/>
        </w:rPr>
        <w:t>7   检验结论</w:t>
      </w:r>
      <w:bookmarkEnd w:id="26"/>
    </w:p>
    <w:p>
      <w:pPr>
        <w:pStyle w:val="32"/>
        <w:tabs>
          <w:tab w:val="center" w:pos="4201"/>
          <w:tab w:val="right" w:leader="dot" w:pos="9298"/>
        </w:tabs>
        <w:rPr>
          <w:rFonts w:hint="eastAsia" w:hAnsi="Times New Roman" w:cs="Times New Roman"/>
        </w:rPr>
      </w:pPr>
      <w:r>
        <w:rPr>
          <w:rFonts w:hint="eastAsia" w:hAnsi="Times New Roman" w:cs="Times New Roman"/>
        </w:rPr>
        <w:t xml:space="preserve">7.1   检验项目全部合格或经过整改后确认全部项目合格，则检验结论判定为“符合要求”。 </w:t>
      </w:r>
    </w:p>
    <w:p>
      <w:pPr>
        <w:pStyle w:val="32"/>
        <w:tabs>
          <w:tab w:val="center" w:pos="4201"/>
          <w:tab w:val="right" w:leader="dot" w:pos="9298"/>
        </w:tabs>
        <w:rPr>
          <w:rFonts w:hint="eastAsia" w:hAnsi="Times New Roman" w:cs="Times New Roman"/>
        </w:rPr>
      </w:pPr>
      <w:r>
        <w:rPr>
          <w:rFonts w:hint="eastAsia" w:hAnsi="Times New Roman" w:cs="Times New Roman"/>
        </w:rPr>
        <w:t>7.2   检验项目存在不合格项，且未在规定时限内进行整改、无法整改或经整改后问题仍未消除的，则判定为“不符合要求”。</w:t>
      </w: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p>
      <w:pPr>
        <w:spacing w:line="440" w:lineRule="exact"/>
        <w:rPr>
          <w:rFonts w:ascii="宋体" w:hAnsi="宋体" w:eastAsia="宋体"/>
          <w:sz w:val="24"/>
        </w:rPr>
      </w:pPr>
    </w:p>
    <w:p>
      <w:pPr>
        <w:pStyle w:val="2"/>
        <w:bidi w:val="0"/>
        <w:rPr>
          <w:rFonts w:hint="eastAsia"/>
          <w:sz w:val="24"/>
          <w:szCs w:val="36"/>
          <w:lang w:val="en-US" w:eastAsia="zh-CN"/>
        </w:rPr>
      </w:pPr>
      <w:bookmarkStart w:id="27" w:name="_Toc22648"/>
      <w:r>
        <w:rPr>
          <w:rFonts w:hint="eastAsia"/>
          <w:sz w:val="24"/>
          <w:szCs w:val="36"/>
          <w:lang w:val="en-US" w:eastAsia="zh-CN"/>
        </w:rPr>
        <w:t>附录A抱夹类场（厂）内专用机动车辆检验规则检验内容、要求与方法</w:t>
      </w:r>
      <w:bookmarkEnd w:id="27"/>
    </w:p>
    <w:tbl>
      <w:tblPr>
        <w:tblStyle w:val="14"/>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9"/>
        <w:gridCol w:w="872"/>
        <w:gridCol w:w="7212"/>
        <w:gridCol w:w="11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blHeader/>
          <w:jc w:val="center"/>
        </w:trPr>
        <w:tc>
          <w:tcPr>
            <w:tcW w:w="1451" w:type="dxa"/>
            <w:gridSpan w:val="2"/>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b/>
                <w:bCs/>
                <w:color w:val="auto"/>
                <w:sz w:val="18"/>
                <w:szCs w:val="18"/>
              </w:rPr>
            </w:pPr>
            <w:r>
              <w:rPr>
                <w:rFonts w:hint="eastAsia" w:ascii="宋体" w:hAnsi="宋体"/>
                <w:b/>
                <w:bCs/>
                <w:color w:val="auto"/>
                <w:sz w:val="18"/>
                <w:szCs w:val="18"/>
              </w:rPr>
              <w:t>检验项目</w:t>
            </w:r>
          </w:p>
        </w:tc>
        <w:tc>
          <w:tcPr>
            <w:tcW w:w="7212" w:type="dxa"/>
            <w:noWrap w:val="0"/>
            <w:vAlign w:val="center"/>
          </w:tcPr>
          <w:p>
            <w:pPr>
              <w:keepNext w:val="0"/>
              <w:keepLines w:val="0"/>
              <w:pageBreakBefore w:val="0"/>
              <w:widowControl w:val="0"/>
              <w:kinsoku/>
              <w:wordWrap/>
              <w:overflowPunct/>
              <w:topLinePunct w:val="0"/>
              <w:autoSpaceDE/>
              <w:autoSpaceDN/>
              <w:bidi w:val="0"/>
              <w:spacing w:line="300" w:lineRule="exact"/>
              <w:ind w:left="-107" w:leftChars="-51" w:right="-107" w:rightChars="-51"/>
              <w:jc w:val="center"/>
              <w:textAlignment w:val="auto"/>
              <w:rPr>
                <w:rFonts w:hint="default" w:ascii="宋体" w:hAnsi="宋体" w:eastAsia="宋体"/>
                <w:b/>
                <w:bCs/>
                <w:color w:val="auto"/>
                <w:sz w:val="18"/>
                <w:szCs w:val="18"/>
                <w:lang w:val="en-US" w:eastAsia="zh-CN"/>
              </w:rPr>
            </w:pPr>
            <w:r>
              <w:rPr>
                <w:rFonts w:hint="eastAsia" w:cs="宋体"/>
                <w:b/>
                <w:bCs/>
                <w:color w:val="auto"/>
                <w:sz w:val="18"/>
                <w:szCs w:val="18"/>
              </w:rPr>
              <w:t>检验</w:t>
            </w:r>
            <w:r>
              <w:rPr>
                <w:rFonts w:hint="eastAsia" w:cs="宋体"/>
                <w:b/>
                <w:bCs/>
                <w:color w:val="auto"/>
                <w:sz w:val="18"/>
                <w:szCs w:val="18"/>
                <w:lang w:val="en-US" w:eastAsia="zh-CN"/>
              </w:rPr>
              <w:t>内容和要求</w:t>
            </w:r>
          </w:p>
        </w:tc>
        <w:tc>
          <w:tcPr>
            <w:tcW w:w="1139" w:type="dxa"/>
            <w:noWrap w:val="0"/>
            <w:vAlign w:val="center"/>
          </w:tcPr>
          <w:p>
            <w:pPr>
              <w:keepNext w:val="0"/>
              <w:keepLines w:val="0"/>
              <w:pageBreakBefore w:val="0"/>
              <w:widowControl w:val="0"/>
              <w:kinsoku/>
              <w:wordWrap/>
              <w:overflowPunct/>
              <w:topLinePunct w:val="0"/>
              <w:autoSpaceDE/>
              <w:autoSpaceDN/>
              <w:bidi w:val="0"/>
              <w:spacing w:line="300" w:lineRule="exact"/>
              <w:ind w:left="-107" w:leftChars="-51" w:right="-107" w:rightChars="-51"/>
              <w:jc w:val="center"/>
              <w:textAlignment w:val="auto"/>
              <w:rPr>
                <w:rFonts w:hint="eastAsia" w:eastAsia="黑体" w:cs="宋体"/>
                <w:b/>
                <w:bCs/>
                <w:color w:val="auto"/>
                <w:sz w:val="18"/>
                <w:szCs w:val="18"/>
                <w:lang w:val="en-US" w:eastAsia="zh-CN"/>
              </w:rPr>
            </w:pPr>
            <w:r>
              <w:rPr>
                <w:rFonts w:hint="eastAsia" w:cs="宋体"/>
                <w:b/>
                <w:bCs/>
                <w:color w:val="auto"/>
                <w:sz w:val="18"/>
                <w:szCs w:val="18"/>
                <w:lang w:val="en-US" w:eastAsia="zh-CN"/>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4" w:hRule="atLeast"/>
          <w:jc w:val="center"/>
        </w:trPr>
        <w:tc>
          <w:tcPr>
            <w:tcW w:w="579" w:type="dxa"/>
            <w:vMerge w:val="restart"/>
            <w:tcBorders>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line="300" w:lineRule="exact"/>
              <w:ind w:left="-107" w:leftChars="-51"/>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 xml:space="preserve"> 1</w:t>
            </w:r>
          </w:p>
          <w:p>
            <w:pPr>
              <w:keepNext w:val="0"/>
              <w:keepLines w:val="0"/>
              <w:pageBreakBefore w:val="0"/>
              <w:widowControl w:val="0"/>
              <w:kinsoku/>
              <w:wordWrap/>
              <w:overflowPunct/>
              <w:topLinePunct w:val="0"/>
              <w:autoSpaceDE/>
              <w:autoSpaceDN/>
              <w:bidi w:val="0"/>
              <w:snapToGrid w:val="0"/>
              <w:spacing w:line="300" w:lineRule="exact"/>
              <w:ind w:left="-107" w:leftChars="-51" w:right="-107" w:rightChars="-51"/>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技术</w:t>
            </w:r>
          </w:p>
          <w:p>
            <w:pPr>
              <w:keepNext w:val="0"/>
              <w:keepLines w:val="0"/>
              <w:pageBreakBefore w:val="0"/>
              <w:widowControl w:val="0"/>
              <w:kinsoku/>
              <w:wordWrap/>
              <w:overflowPunct/>
              <w:topLinePunct w:val="0"/>
              <w:autoSpaceDE/>
              <w:autoSpaceDN/>
              <w:bidi w:val="0"/>
              <w:snapToGrid w:val="0"/>
              <w:spacing w:line="300" w:lineRule="exact"/>
              <w:ind w:left="-107" w:leftChars="-51" w:right="-107" w:rightChars="-51"/>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资料</w:t>
            </w:r>
          </w:p>
          <w:p>
            <w:pPr>
              <w:keepNext w:val="0"/>
              <w:keepLines w:val="0"/>
              <w:pageBreakBefore w:val="0"/>
              <w:widowControl w:val="0"/>
              <w:kinsoku/>
              <w:wordWrap/>
              <w:overflowPunct/>
              <w:topLinePunct w:val="0"/>
              <w:autoSpaceDE/>
              <w:autoSpaceDN/>
              <w:bidi w:val="0"/>
              <w:snapToGrid w:val="0"/>
              <w:spacing w:line="300" w:lineRule="exact"/>
              <w:ind w:left="-107" w:leftChars="-51" w:right="-107" w:rightChars="-51"/>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审查</w:t>
            </w:r>
          </w:p>
        </w:tc>
        <w:tc>
          <w:tcPr>
            <w:tcW w:w="872" w:type="dxa"/>
            <w:tcBorders>
              <w:left w:val="single" w:color="auto" w:sz="6" w:space="0"/>
              <w:bottom w:val="single" w:color="auto" w:sz="8"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1.2</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制造资料审查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对于新出厂的车辆，审查资料是否齐全并且符合以下要求（适用于首次检验）：</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（1）境内制造单位的生产许可证明；</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（2）型式试验证书；</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（3）型式试验报告（必要时）；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（4）产品质量合格证明、使用维护说明书。</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（5）具有防爆功能的车辆的整机防爆合格证；或者所用发动机（行走电机）、隔爆箱、蓄电池、接线盒、灯具、电气声响警示装置等部件的防爆合格证，其防爆级别不低于整机的防爆要求。</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资料核查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579"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line="300" w:lineRule="exact"/>
              <w:ind w:left="-107" w:leftChars="-51" w:right="-107" w:rightChars="-51"/>
              <w:jc w:val="center"/>
              <w:textAlignment w:val="auto"/>
              <w:rPr>
                <w:rFonts w:hint="eastAsia" w:ascii="宋体" w:hAnsi="宋体" w:eastAsia="宋体" w:cs="宋体"/>
                <w:color w:val="auto"/>
                <w:kern w:val="2"/>
                <w:sz w:val="18"/>
                <w:szCs w:val="18"/>
                <w:u w:val="none"/>
                <w:shd w:val="clear" w:color="auto" w:fill="auto"/>
                <w:lang w:val="en-US" w:eastAsia="zh-CN" w:bidi="ar-SA"/>
              </w:rPr>
            </w:pPr>
          </w:p>
        </w:tc>
        <w:tc>
          <w:tcPr>
            <w:tcW w:w="872" w:type="dxa"/>
            <w:tcBorders>
              <w:top w:val="single" w:color="auto" w:sz="8" w:space="0"/>
              <w:left w:val="single" w:color="auto" w:sz="6"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1.3</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改造资料审查</w:t>
            </w:r>
          </w:p>
        </w:tc>
        <w:tc>
          <w:tcPr>
            <w:tcW w:w="721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对于改造的车辆，审查资料是否齐全并且符合以下要求（适用于首次检验）：</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（1）改造单位的特种设备生产许可证；</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bookmarkStart w:id="28" w:name="bookmark329"/>
            <w:bookmarkEnd w:id="28"/>
            <w:r>
              <w:rPr>
                <w:rFonts w:hint="eastAsia" w:ascii="宋体" w:hAnsi="宋体" w:eastAsia="宋体" w:cs="宋体"/>
                <w:color w:val="auto"/>
                <w:kern w:val="2"/>
                <w:sz w:val="18"/>
                <w:szCs w:val="18"/>
                <w:u w:val="none"/>
                <w:shd w:val="clear" w:color="auto" w:fill="auto"/>
                <w:lang w:val="en-US" w:eastAsia="zh-CN" w:bidi="ar-SA"/>
              </w:rPr>
              <w:t>（2）改造施工告知证明材料；</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bookmarkStart w:id="29" w:name="bookmark330"/>
            <w:bookmarkEnd w:id="29"/>
            <w:r>
              <w:rPr>
                <w:rFonts w:hint="eastAsia" w:ascii="宋体" w:hAnsi="宋体" w:eastAsia="宋体" w:cs="宋体"/>
                <w:color w:val="auto"/>
                <w:kern w:val="2"/>
                <w:sz w:val="18"/>
                <w:szCs w:val="18"/>
                <w:u w:val="none"/>
                <w:shd w:val="clear" w:color="auto" w:fill="auto"/>
                <w:lang w:val="en-US" w:eastAsia="zh-CN" w:bidi="ar-SA"/>
              </w:rPr>
              <w:t>（3）改造后的产品质量合格证明；</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bookmarkStart w:id="30" w:name="bookmark331"/>
            <w:bookmarkEnd w:id="30"/>
            <w:r>
              <w:rPr>
                <w:rFonts w:hint="eastAsia" w:ascii="宋体" w:hAnsi="宋体" w:eastAsia="宋体" w:cs="宋体"/>
                <w:color w:val="auto"/>
                <w:kern w:val="2"/>
                <w:sz w:val="18"/>
                <w:szCs w:val="18"/>
                <w:u w:val="none"/>
                <w:shd w:val="clear" w:color="auto" w:fill="auto"/>
                <w:lang w:val="en-US" w:eastAsia="zh-CN" w:bidi="ar-SA"/>
              </w:rPr>
              <w:t>（4）首次检验或者上一周期的定期检验报告；</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（5）改造项目清单。</w:t>
            </w:r>
          </w:p>
        </w:tc>
        <w:tc>
          <w:tcPr>
            <w:tcW w:w="1139"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资料核查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0" w:hRule="atLeast"/>
          <w:jc w:val="center"/>
        </w:trPr>
        <w:tc>
          <w:tcPr>
            <w:tcW w:w="579"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line="300" w:lineRule="exact"/>
              <w:ind w:left="-107" w:leftChars="-51"/>
              <w:jc w:val="center"/>
              <w:textAlignment w:val="auto"/>
              <w:rPr>
                <w:rFonts w:hint="eastAsia" w:ascii="宋体" w:hAnsi="宋体" w:eastAsia="宋体" w:cs="宋体"/>
                <w:color w:val="auto"/>
                <w:kern w:val="2"/>
                <w:sz w:val="18"/>
                <w:szCs w:val="18"/>
                <w:u w:val="none"/>
                <w:shd w:val="clear" w:color="auto" w:fill="auto"/>
                <w:lang w:val="en-US" w:eastAsia="zh-CN" w:bidi="ar-SA"/>
              </w:rPr>
            </w:pPr>
          </w:p>
        </w:tc>
        <w:tc>
          <w:tcPr>
            <w:tcW w:w="872" w:type="dxa"/>
            <w:tcBorders>
              <w:top w:val="single" w:color="auto" w:sz="8" w:space="0"/>
              <w:left w:val="single" w:color="auto" w:sz="6"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1.4</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使用资料审查</w:t>
            </w:r>
          </w:p>
        </w:tc>
        <w:tc>
          <w:tcPr>
            <w:tcW w:w="721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对于在用的车辆，审查资料是否齐全并且符合以下要求（适用于定期检验）：</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（1）上一周期的定期检验报告；</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bookmarkStart w:id="31" w:name="bookmark334"/>
            <w:bookmarkEnd w:id="31"/>
            <w:r>
              <w:rPr>
                <w:rFonts w:hint="eastAsia" w:ascii="宋体" w:hAnsi="宋体" w:eastAsia="宋体" w:cs="宋体"/>
                <w:color w:val="auto"/>
                <w:kern w:val="2"/>
                <w:sz w:val="18"/>
                <w:szCs w:val="18"/>
                <w:u w:val="none"/>
                <w:shd w:val="clear" w:color="auto" w:fill="auto"/>
                <w:lang w:val="en-US" w:eastAsia="zh-CN" w:bidi="ar-SA"/>
              </w:rPr>
              <w:t>（2）最近一次的自行检查记录或者报告；</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bookmarkStart w:id="32" w:name="bookmark335"/>
            <w:bookmarkEnd w:id="32"/>
            <w:r>
              <w:rPr>
                <w:rFonts w:hint="eastAsia" w:ascii="宋体" w:hAnsi="宋体" w:eastAsia="宋体" w:cs="宋体"/>
                <w:color w:val="auto"/>
                <w:kern w:val="2"/>
                <w:sz w:val="18"/>
                <w:szCs w:val="18"/>
                <w:u w:val="none"/>
                <w:shd w:val="clear" w:color="auto" w:fill="auto"/>
                <w:lang w:val="en-US" w:eastAsia="zh-CN" w:bidi="ar-SA"/>
              </w:rPr>
              <w:t>（3）使用记录、维护保养记录、运行故障和事故记录；</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bookmarkStart w:id="33" w:name="bookmark336"/>
            <w:bookmarkEnd w:id="33"/>
            <w:r>
              <w:rPr>
                <w:rFonts w:hint="eastAsia" w:ascii="宋体" w:hAnsi="宋体" w:eastAsia="宋体" w:cs="宋体"/>
                <w:color w:val="auto"/>
                <w:kern w:val="2"/>
                <w:sz w:val="18"/>
                <w:szCs w:val="18"/>
                <w:u w:val="none"/>
                <w:shd w:val="clear" w:color="auto" w:fill="auto"/>
                <w:lang w:val="en-US" w:eastAsia="zh-CN" w:bidi="ar-SA"/>
              </w:rPr>
              <w:t>（4）本周期内修理的自检报告、相关技术资料、修理单位的生产许可证（如涉及）。</w:t>
            </w:r>
          </w:p>
        </w:tc>
        <w:tc>
          <w:tcPr>
            <w:tcW w:w="1139"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资料核查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579" w:type="dxa"/>
            <w:vMerge w:val="restart"/>
            <w:tcBorders>
              <w:top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snapToGrid w:val="0"/>
                <w:color w:val="auto"/>
                <w:spacing w:val="-6"/>
                <w:kern w:val="0"/>
                <w:sz w:val="18"/>
                <w:szCs w:val="18"/>
                <w:u w:val="none"/>
                <w:shd w:val="clear" w:color="auto" w:fill="auto"/>
                <w:lang w:val="en-US" w:eastAsia="zh-CN" w:bidi="zh-TW"/>
              </w:rPr>
            </w:pPr>
            <w:r>
              <w:rPr>
                <w:rFonts w:hint="eastAsia" w:ascii="宋体" w:hAnsi="宋体" w:eastAsia="宋体" w:cs="宋体"/>
                <w:snapToGrid w:val="0"/>
                <w:color w:val="auto"/>
                <w:spacing w:val="-6"/>
                <w:kern w:val="0"/>
                <w:sz w:val="18"/>
                <w:szCs w:val="18"/>
                <w:u w:val="none"/>
                <w:shd w:val="clear" w:color="auto" w:fill="auto"/>
                <w:lang w:val="en-US" w:eastAsia="zh-CN" w:bidi="zh-TW"/>
              </w:rPr>
              <w:t>2</w:t>
            </w:r>
          </w:p>
          <w:p>
            <w:pPr>
              <w:keepNext w:val="0"/>
              <w:keepLines w:val="0"/>
              <w:pageBreakBefore w:val="0"/>
              <w:widowControl w:val="0"/>
              <w:kinsoku/>
              <w:wordWrap/>
              <w:overflowPunct/>
              <w:topLinePunct w:val="0"/>
              <w:autoSpaceDE/>
              <w:autoSpaceDN/>
              <w:bidi w:val="0"/>
              <w:spacing w:line="300" w:lineRule="exact"/>
              <w:ind w:left="-107" w:leftChars="-51" w:right="-107" w:rightChars="-51"/>
              <w:jc w:val="center"/>
              <w:textAlignment w:val="auto"/>
              <w:rPr>
                <w:rFonts w:hint="eastAsia" w:ascii="宋体" w:hAnsi="宋体" w:eastAsia="宋体"/>
                <w:color w:val="auto"/>
                <w:sz w:val="18"/>
                <w:szCs w:val="18"/>
                <w:lang w:val="en-US" w:eastAsia="zh-CN"/>
              </w:rPr>
            </w:pPr>
            <w:r>
              <w:rPr>
                <w:rFonts w:hint="eastAsia" w:ascii="宋体" w:hAnsi="宋体" w:eastAsia="宋体" w:cs="宋体"/>
                <w:snapToGrid w:val="0"/>
                <w:color w:val="auto"/>
                <w:spacing w:val="-6"/>
                <w:kern w:val="0"/>
                <w:sz w:val="18"/>
                <w:szCs w:val="18"/>
                <w:u w:val="none"/>
                <w:shd w:val="clear" w:color="auto" w:fill="auto"/>
                <w:lang w:val="en-US" w:eastAsia="zh-CN" w:bidi="zh-TW"/>
              </w:rPr>
              <w:t>检查</w:t>
            </w:r>
          </w:p>
        </w:tc>
        <w:tc>
          <w:tcPr>
            <w:tcW w:w="872" w:type="dxa"/>
            <w:tcBorders>
              <w:top w:val="single" w:color="auto" w:sz="8"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2.1</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结构型</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式检查</w:t>
            </w:r>
          </w:p>
        </w:tc>
        <w:tc>
          <w:tcPr>
            <w:tcW w:w="7212"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60" w:line="300" w:lineRule="exact"/>
              <w:ind w:left="0" w:leftChars="0" w:right="0" w:firstLine="0" w:firstLineChars="0"/>
              <w:jc w:val="both"/>
              <w:textAlignment w:val="auto"/>
              <w:rPr>
                <w:rFonts w:hint="eastAsia" w:ascii="宋体" w:hAnsi="宋体" w:eastAsia="宋体" w:cs="Times New Roman"/>
                <w:color w:val="auto"/>
                <w:kern w:val="2"/>
                <w:sz w:val="18"/>
                <w:szCs w:val="18"/>
                <w:u w:val="none"/>
                <w:shd w:val="clear" w:color="auto" w:fill="auto"/>
                <w:lang w:val="en-US" w:eastAsia="zh-CN" w:bidi="ar-SA"/>
              </w:rPr>
            </w:pPr>
            <w:r>
              <w:rPr>
                <w:rFonts w:hint="eastAsia" w:ascii="宋体" w:hAnsi="宋体" w:eastAsia="宋体" w:cs="Times New Roman"/>
                <w:color w:val="auto"/>
                <w:kern w:val="2"/>
                <w:sz w:val="18"/>
                <w:szCs w:val="18"/>
                <w:u w:val="none"/>
                <w:shd w:val="clear" w:color="auto" w:fill="auto"/>
                <w:lang w:val="en-US" w:eastAsia="zh-CN" w:bidi="ar-SA"/>
              </w:rPr>
              <w:t>检查车辆的主参数、主要结构型式与技术资料的描述是否一致</w:t>
            </w:r>
          </w:p>
        </w:tc>
        <w:tc>
          <w:tcPr>
            <w:tcW w:w="1139"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60" w:line="300" w:lineRule="exact"/>
              <w:ind w:left="0" w:leftChars="0" w:right="0" w:firstLine="0" w:firstLineChars="0"/>
              <w:jc w:val="both"/>
              <w:textAlignment w:val="auto"/>
              <w:rPr>
                <w:rFonts w:hint="eastAsia" w:cs="Times New Roman"/>
                <w:color w:val="auto"/>
                <w:kern w:val="2"/>
                <w:sz w:val="18"/>
                <w:szCs w:val="18"/>
                <w:u w:val="none"/>
                <w:shd w:val="clear" w:color="auto" w:fill="auto"/>
                <w:lang w:val="en-US" w:eastAsia="zh-CN" w:bidi="ar-SA"/>
              </w:rPr>
            </w:pPr>
            <w:r>
              <w:rPr>
                <w:rFonts w:hint="eastAsia" w:cs="Times New Roman"/>
                <w:color w:val="auto"/>
                <w:kern w:val="2"/>
                <w:sz w:val="18"/>
                <w:szCs w:val="18"/>
                <w:u w:val="none"/>
                <w:shd w:val="clear" w:color="auto" w:fill="auto"/>
                <w:lang w:val="en-US" w:eastAsia="zh-CN" w:bidi="ar-SA"/>
              </w:rPr>
              <w:t>资料与实物</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60" w:line="300" w:lineRule="exact"/>
              <w:ind w:left="0" w:leftChars="0" w:right="0" w:firstLine="0" w:firstLineChars="0"/>
              <w:jc w:val="both"/>
              <w:textAlignment w:val="auto"/>
              <w:rPr>
                <w:rFonts w:hint="eastAsia" w:ascii="宋体" w:hAnsi="宋体" w:eastAsia="宋体" w:cs="Times New Roman"/>
                <w:color w:val="auto"/>
                <w:kern w:val="2"/>
                <w:sz w:val="18"/>
                <w:szCs w:val="18"/>
                <w:u w:val="none"/>
                <w:shd w:val="clear" w:color="auto" w:fill="auto"/>
                <w:lang w:val="en-US" w:eastAsia="zh-CN" w:bidi="ar-SA"/>
              </w:rPr>
            </w:pPr>
            <w:r>
              <w:rPr>
                <w:rFonts w:hint="eastAsia" w:cs="Times New Roman"/>
                <w:color w:val="auto"/>
                <w:kern w:val="2"/>
                <w:sz w:val="18"/>
                <w:szCs w:val="18"/>
                <w:u w:val="none"/>
                <w:shd w:val="clear" w:color="auto" w:fill="auto"/>
                <w:lang w:val="en-US" w:eastAsia="zh-CN" w:bidi="ar-SA"/>
              </w:rPr>
              <w:t>对照检查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8"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line="300" w:lineRule="exact"/>
              <w:ind w:left="-40" w:leftChars="-19" w:right="-107" w:rightChars="-51"/>
              <w:jc w:val="center"/>
              <w:textAlignment w:val="auto"/>
              <w:rPr>
                <w:rFonts w:hint="eastAsia" w:ascii="宋体" w:hAnsi="宋体"/>
                <w:color w:val="auto"/>
                <w:sz w:val="18"/>
                <w:szCs w:val="18"/>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2.2整车外</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观检查</w:t>
            </w:r>
          </w:p>
        </w:tc>
        <w:tc>
          <w:tcPr>
            <w:tcW w:w="7212" w:type="dxa"/>
            <w:noWrap w:val="0"/>
            <w:vAlign w:val="center"/>
          </w:tcPr>
          <w:p>
            <w:pPr>
              <w:pStyle w:val="43"/>
              <w:keepNext w:val="0"/>
              <w:keepLines w:val="0"/>
              <w:pageBreakBefore w:val="0"/>
              <w:widowControl w:val="0"/>
              <w:numPr>
                <w:ilvl w:val="0"/>
                <w:numId w:val="0"/>
              </w:numPr>
              <w:shd w:val="clear" w:color="auto" w:fill="auto"/>
              <w:tabs>
                <w:tab w:val="left" w:pos="992"/>
              </w:tabs>
              <w:kinsoku/>
              <w:wordWrap/>
              <w:overflowPunct/>
              <w:topLinePunct w:val="0"/>
              <w:autoSpaceDE/>
              <w:autoSpaceDN/>
              <w:bidi w:val="0"/>
              <w:adjustRightInd/>
              <w:snapToGrid/>
              <w:spacing w:before="0" w:after="0" w:line="300" w:lineRule="exact"/>
              <w:ind w:right="0" w:rightChars="0"/>
              <w:jc w:val="left"/>
              <w:textAlignment w:val="auto"/>
              <w:rPr>
                <w:rFonts w:hint="eastAsia" w:ascii="Times New Roman" w:hAnsi="Times New Roman"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snapToGrid w:val="0"/>
                <w:color w:val="auto"/>
                <w:spacing w:val="-6"/>
                <w:kern w:val="0"/>
                <w:sz w:val="18"/>
                <w:szCs w:val="18"/>
                <w:lang w:val="en-US" w:eastAsia="zh-CN"/>
              </w:rPr>
              <w:t>1</w:t>
            </w:r>
            <w:r>
              <w:rPr>
                <w:rFonts w:hint="eastAsia" w:ascii="宋体" w:hAnsi="宋体" w:cs="宋体"/>
                <w:snapToGrid w:val="0"/>
                <w:color w:val="auto"/>
                <w:spacing w:val="-6"/>
                <w:kern w:val="0"/>
                <w:sz w:val="18"/>
                <w:szCs w:val="18"/>
                <w:lang w:val="en-US" w:eastAsia="zh-CN"/>
              </w:rPr>
              <w:t>）</w:t>
            </w:r>
            <w:r>
              <w:rPr>
                <w:rFonts w:hint="eastAsia" w:ascii="宋体" w:hAnsi="宋体" w:eastAsia="宋体" w:cs="宋体"/>
                <w:color w:val="auto"/>
                <w:kern w:val="2"/>
                <w:sz w:val="18"/>
                <w:szCs w:val="18"/>
                <w:u w:val="none"/>
                <w:shd w:val="clear" w:color="auto" w:fill="auto"/>
                <w:lang w:val="en-US" w:eastAsia="zh-CN" w:bidi="ar-SA"/>
              </w:rPr>
              <w:t>车架易见部位应当有清晰的永久编号，且与有关资料一致；</w:t>
            </w:r>
          </w:p>
          <w:p>
            <w:pPr>
              <w:pStyle w:val="43"/>
              <w:keepNext w:val="0"/>
              <w:keepLines w:val="0"/>
              <w:pageBreakBefore w:val="0"/>
              <w:widowControl w:val="0"/>
              <w:numPr>
                <w:ilvl w:val="0"/>
                <w:numId w:val="0"/>
              </w:numPr>
              <w:shd w:val="clear" w:color="auto" w:fill="auto"/>
              <w:tabs>
                <w:tab w:val="left" w:pos="949"/>
              </w:tabs>
              <w:kinsoku/>
              <w:wordWrap/>
              <w:overflowPunct/>
              <w:topLinePunct w:val="0"/>
              <w:autoSpaceDE/>
              <w:autoSpaceDN/>
              <w:bidi w:val="0"/>
              <w:adjustRightInd/>
              <w:snapToGrid/>
              <w:spacing w:before="0" w:after="0" w:line="300" w:lineRule="exact"/>
              <w:ind w:right="0" w:rightChars="0"/>
              <w:jc w:val="both"/>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2</w:t>
            </w:r>
            <w:r>
              <w:rPr>
                <w:rFonts w:hint="eastAsia" w:ascii="宋体" w:hAnsi="宋体" w:eastAsia="宋体" w:cs="宋体"/>
                <w:color w:val="auto"/>
                <w:kern w:val="2"/>
                <w:sz w:val="18"/>
                <w:szCs w:val="18"/>
                <w:u w:val="none"/>
                <w:shd w:val="clear" w:color="auto" w:fill="auto"/>
                <w:lang w:val="en-US" w:eastAsia="zh-CN" w:bidi="ar-SA"/>
              </w:rPr>
              <w:t>）防爆</w:t>
            </w:r>
            <w:r>
              <w:rPr>
                <w:rFonts w:hint="eastAsia" w:cs="宋体"/>
                <w:color w:val="auto"/>
                <w:kern w:val="2"/>
                <w:sz w:val="18"/>
                <w:szCs w:val="18"/>
                <w:u w:val="none"/>
                <w:shd w:val="clear" w:color="auto" w:fill="auto"/>
                <w:lang w:val="en-US" w:eastAsia="zh-CN" w:bidi="ar-SA"/>
              </w:rPr>
              <w:t>车辆</w:t>
            </w:r>
            <w:r>
              <w:rPr>
                <w:rFonts w:hint="eastAsia" w:ascii="宋体" w:hAnsi="宋体" w:eastAsia="宋体" w:cs="宋体"/>
                <w:color w:val="auto"/>
                <w:kern w:val="2"/>
                <w:sz w:val="18"/>
                <w:szCs w:val="18"/>
                <w:u w:val="none"/>
                <w:shd w:val="clear" w:color="auto" w:fill="auto"/>
                <w:lang w:val="en-US" w:eastAsia="zh-CN" w:bidi="ar-SA"/>
              </w:rPr>
              <w:t>应当在明显部位设置和车辆体积相适合的永久性</w:t>
            </w:r>
            <w:r>
              <w:rPr>
                <w:rFonts w:hint="eastAsia" w:ascii="宋体" w:hAnsi="宋体" w:eastAsia="宋体" w:cs="宋体"/>
                <w:color w:val="auto"/>
                <w:kern w:val="2"/>
                <w:sz w:val="18"/>
                <w:szCs w:val="18"/>
                <w:u w:val="none"/>
                <w:shd w:val="clear" w:color="auto" w:fill="auto"/>
                <w:lang w:val="en-US" w:eastAsia="en-US" w:bidi="ar-SA"/>
              </w:rPr>
              <w:t>“Ex”</w:t>
            </w:r>
            <w:r>
              <w:rPr>
                <w:rFonts w:hint="eastAsia" w:ascii="宋体" w:hAnsi="宋体" w:eastAsia="宋体" w:cs="宋体"/>
                <w:color w:val="auto"/>
                <w:kern w:val="2"/>
                <w:sz w:val="18"/>
                <w:szCs w:val="18"/>
                <w:u w:val="none"/>
                <w:shd w:val="clear" w:color="auto" w:fill="auto"/>
                <w:lang w:val="en-US" w:eastAsia="zh-CN" w:bidi="ar-SA"/>
              </w:rPr>
              <w:t>标志和使用说明牌；</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3</w:t>
            </w:r>
            <w:r>
              <w:rPr>
                <w:rFonts w:hint="eastAsia" w:ascii="宋体" w:hAnsi="宋体" w:eastAsia="宋体" w:cs="宋体"/>
                <w:color w:val="auto"/>
                <w:kern w:val="2"/>
                <w:sz w:val="18"/>
                <w:szCs w:val="18"/>
                <w:u w:val="none"/>
                <w:shd w:val="clear" w:color="auto" w:fill="auto"/>
                <w:lang w:val="en-US" w:eastAsia="zh-CN" w:bidi="ar-SA"/>
              </w:rPr>
              <w:t>）仪表或者指示器应当指</w:t>
            </w:r>
            <w:r>
              <w:rPr>
                <w:rFonts w:hint="eastAsia" w:cs="宋体"/>
                <w:color w:val="auto"/>
                <w:kern w:val="2"/>
                <w:sz w:val="18"/>
                <w:szCs w:val="18"/>
                <w:u w:val="none"/>
                <w:shd w:val="clear" w:color="auto" w:fill="auto"/>
                <w:lang w:val="en-US" w:eastAsia="zh-CN" w:bidi="ar-SA"/>
              </w:rPr>
              <w:t>（</w:t>
            </w:r>
            <w:r>
              <w:rPr>
                <w:rFonts w:hint="eastAsia" w:ascii="宋体" w:hAnsi="宋体" w:eastAsia="宋体" w:cs="宋体"/>
                <w:color w:val="auto"/>
                <w:kern w:val="2"/>
                <w:sz w:val="18"/>
                <w:szCs w:val="18"/>
                <w:u w:val="none"/>
                <w:shd w:val="clear" w:color="auto" w:fill="auto"/>
                <w:lang w:val="en-US" w:eastAsia="zh-CN" w:bidi="ar-SA"/>
              </w:rPr>
              <w:t>显</w:t>
            </w:r>
            <w:r>
              <w:rPr>
                <w:rFonts w:hint="eastAsia" w:cs="宋体"/>
                <w:color w:val="auto"/>
                <w:kern w:val="2"/>
                <w:sz w:val="18"/>
                <w:szCs w:val="18"/>
                <w:u w:val="none"/>
                <w:shd w:val="clear" w:color="auto" w:fill="auto"/>
                <w:lang w:val="en-US" w:eastAsia="zh-CN" w:bidi="ar-SA"/>
              </w:rPr>
              <w:t>）</w:t>
            </w:r>
            <w:r>
              <w:rPr>
                <w:rFonts w:hint="eastAsia" w:ascii="宋体" w:hAnsi="宋体" w:eastAsia="宋体" w:cs="宋体"/>
                <w:color w:val="auto"/>
                <w:kern w:val="2"/>
                <w:sz w:val="18"/>
                <w:szCs w:val="18"/>
                <w:u w:val="none"/>
                <w:shd w:val="clear" w:color="auto" w:fill="auto"/>
                <w:lang w:val="en-US" w:eastAsia="zh-CN" w:bidi="ar-SA"/>
              </w:rPr>
              <w:t>示清晰醒目、灵敏有效；</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4</w:t>
            </w:r>
            <w:r>
              <w:rPr>
                <w:rFonts w:hint="eastAsia" w:ascii="宋体" w:hAnsi="宋体" w:eastAsia="宋体" w:cs="宋体"/>
                <w:color w:val="auto"/>
                <w:kern w:val="2"/>
                <w:sz w:val="18"/>
                <w:szCs w:val="18"/>
                <w:u w:val="none"/>
                <w:shd w:val="clear" w:color="auto" w:fill="auto"/>
                <w:lang w:val="en-US" w:eastAsia="zh-CN" w:bidi="ar-SA"/>
              </w:rPr>
              <w:t>）车身应当周正，各部件齐全、完整，连接紧固，无缺损；</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5</w:t>
            </w:r>
            <w:r>
              <w:rPr>
                <w:rFonts w:hint="eastAsia" w:ascii="宋体" w:hAnsi="宋体" w:eastAsia="宋体" w:cs="宋体"/>
                <w:color w:val="auto"/>
                <w:kern w:val="2"/>
                <w:sz w:val="18"/>
                <w:szCs w:val="18"/>
                <w:u w:val="none"/>
                <w:shd w:val="clear" w:color="auto" w:fill="auto"/>
                <w:lang w:val="en-US" w:eastAsia="zh-CN" w:bidi="ar-SA"/>
              </w:rPr>
              <w:t>）应当将车牌固定在车辆明显部位，车牌编号与使用登记信息一致。</w:t>
            </w:r>
            <w:r>
              <w:rPr>
                <w:rFonts w:hint="eastAsia" w:cs="宋体"/>
                <w:color w:val="auto"/>
                <w:kern w:val="2"/>
                <w:sz w:val="18"/>
                <w:szCs w:val="18"/>
                <w:u w:val="none"/>
                <w:shd w:val="clear" w:color="auto" w:fill="auto"/>
                <w:lang w:val="en-US" w:eastAsia="zh-CN" w:bidi="ar-SA"/>
              </w:rPr>
              <w:t>（适用于定期</w:t>
            </w:r>
            <w:r>
              <w:rPr>
                <w:rFonts w:hint="eastAsia" w:ascii="宋体" w:hAnsi="宋体" w:eastAsia="宋体" w:cs="宋体"/>
                <w:color w:val="auto"/>
                <w:kern w:val="2"/>
                <w:sz w:val="18"/>
                <w:szCs w:val="18"/>
                <w:u w:val="none"/>
                <w:shd w:val="clear" w:color="auto" w:fill="auto"/>
                <w:lang w:val="en-US" w:eastAsia="zh-CN" w:bidi="ar-SA"/>
              </w:rPr>
              <w:t>检验</w:t>
            </w:r>
            <w:r>
              <w:rPr>
                <w:rFonts w:hint="eastAsia" w:cs="宋体"/>
                <w:color w:val="auto"/>
                <w:kern w:val="2"/>
                <w:sz w:val="18"/>
                <w:szCs w:val="18"/>
                <w:u w:val="none"/>
                <w:shd w:val="clear" w:color="auto" w:fill="auto"/>
                <w:lang w:val="en-US" w:eastAsia="zh-CN" w:bidi="ar-SA"/>
              </w:rPr>
              <w:t>）</w:t>
            </w:r>
          </w:p>
        </w:tc>
        <w:tc>
          <w:tcPr>
            <w:tcW w:w="1139"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cs="宋体"/>
                <w:snapToGrid w:val="0"/>
                <w:color w:val="auto"/>
                <w:spacing w:val="-6"/>
                <w:kern w:val="0"/>
                <w:sz w:val="18"/>
                <w:szCs w:val="18"/>
                <w:lang w:val="en-US" w:eastAsia="zh-CN"/>
              </w:rPr>
            </w:pPr>
            <w:r>
              <w:rPr>
                <w:rFonts w:hint="eastAsia" w:cs="宋体"/>
                <w:snapToGrid w:val="0"/>
                <w:color w:val="auto"/>
                <w:spacing w:val="-6"/>
                <w:kern w:val="0"/>
                <w:sz w:val="18"/>
                <w:szCs w:val="18"/>
                <w:lang w:val="en-US" w:eastAsia="zh-CN"/>
              </w:rPr>
              <w:t>目视检查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4"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line="300" w:lineRule="exact"/>
              <w:ind w:right="-107" w:rightChars="-51"/>
              <w:textAlignment w:val="auto"/>
              <w:rPr>
                <w:rFonts w:hint="eastAsia" w:ascii="宋体" w:hAnsi="宋体"/>
                <w:color w:val="auto"/>
                <w:spacing w:val="-6"/>
                <w:sz w:val="18"/>
                <w:szCs w:val="18"/>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主要受力结构件检查</w:t>
            </w:r>
          </w:p>
        </w:tc>
        <w:tc>
          <w:tcPr>
            <w:tcW w:w="7212"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cs="宋体"/>
                <w:snapToGrid w:val="0"/>
                <w:color w:val="auto"/>
                <w:spacing w:val="-6"/>
                <w:kern w:val="0"/>
                <w:sz w:val="18"/>
                <w:szCs w:val="18"/>
                <w:lang w:val="en-US" w:eastAsia="zh-CN"/>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1</w:t>
            </w:r>
            <w:r>
              <w:rPr>
                <w:rFonts w:hint="eastAsia" w:ascii="宋体" w:hAnsi="宋体" w:eastAsia="宋体" w:cs="宋体"/>
                <w:color w:val="auto"/>
                <w:kern w:val="2"/>
                <w:sz w:val="18"/>
                <w:szCs w:val="18"/>
                <w:u w:val="none"/>
                <w:shd w:val="clear" w:color="auto" w:fill="auto"/>
                <w:lang w:val="en-US" w:eastAsia="zh-CN" w:bidi="ar-SA"/>
              </w:rPr>
              <w:t>）主要受力结构件的焊缝外部宏观检查，不得有可见的漏焊、裂纹、烧穿、严重咬边等缺陷；</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cs="宋体"/>
                <w:snapToGrid w:val="0"/>
                <w:color w:val="auto"/>
                <w:spacing w:val="-6"/>
                <w:kern w:val="0"/>
                <w:sz w:val="18"/>
                <w:szCs w:val="18"/>
                <w:lang w:val="en-US" w:eastAsia="zh-CN"/>
              </w:rPr>
              <w:t>（</w:t>
            </w:r>
            <w:r>
              <w:rPr>
                <w:rFonts w:hint="eastAsia" w:cs="宋体"/>
                <w:color w:val="auto"/>
                <w:kern w:val="2"/>
                <w:sz w:val="18"/>
                <w:szCs w:val="18"/>
                <w:u w:val="none"/>
                <w:shd w:val="clear" w:color="auto" w:fill="auto"/>
                <w:lang w:val="en-US" w:eastAsia="zh-CN" w:bidi="ar-SA"/>
              </w:rPr>
              <w:t>2</w:t>
            </w:r>
            <w:r>
              <w:rPr>
                <w:rFonts w:hint="eastAsia" w:ascii="宋体" w:hAnsi="宋体" w:eastAsia="宋体" w:cs="宋体"/>
                <w:color w:val="auto"/>
                <w:kern w:val="2"/>
                <w:sz w:val="18"/>
                <w:szCs w:val="18"/>
                <w:u w:val="none"/>
                <w:shd w:val="clear" w:color="auto" w:fill="auto"/>
                <w:lang w:val="en-US" w:eastAsia="zh-CN" w:bidi="ar-SA"/>
              </w:rPr>
              <w:t>）主要受力结构件应当无明显变形、裂纹和锈蚀，螺栓等连接件不应当缺少和松动。</w:t>
            </w:r>
          </w:p>
        </w:tc>
        <w:tc>
          <w:tcPr>
            <w:tcW w:w="1139"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cs="宋体"/>
                <w:snapToGrid w:val="0"/>
                <w:color w:val="auto"/>
                <w:spacing w:val="-6"/>
                <w:kern w:val="0"/>
                <w:sz w:val="18"/>
                <w:szCs w:val="18"/>
                <w:lang w:val="en-US" w:eastAsia="zh-CN"/>
              </w:rPr>
            </w:pPr>
            <w:r>
              <w:rPr>
                <w:rFonts w:hint="eastAsia" w:cs="宋体"/>
                <w:snapToGrid w:val="0"/>
                <w:color w:val="auto"/>
                <w:spacing w:val="-6"/>
                <w:kern w:val="0"/>
                <w:sz w:val="18"/>
                <w:szCs w:val="18"/>
                <w:lang w:val="en-US" w:eastAsia="zh-CN"/>
              </w:rPr>
              <w:t>目视检查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cs="宋体"/>
                <w:color w:val="auto"/>
                <w:sz w:val="18"/>
                <w:szCs w:val="18"/>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铭牌和安全标志检査</w:t>
            </w:r>
          </w:p>
        </w:tc>
        <w:tc>
          <w:tcPr>
            <w:tcW w:w="7212"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cs="宋体"/>
                <w:snapToGrid w:val="0"/>
                <w:color w:val="auto"/>
                <w:spacing w:val="-6"/>
                <w:kern w:val="0"/>
                <w:sz w:val="18"/>
                <w:szCs w:val="18"/>
                <w:lang w:val="en-US" w:eastAsia="zh-CN"/>
              </w:rPr>
            </w:pPr>
            <w:r>
              <w:rPr>
                <w:rFonts w:hint="eastAsia" w:ascii="宋体" w:hAnsi="宋体" w:cs="宋体"/>
                <w:snapToGrid w:val="0"/>
                <w:color w:val="auto"/>
                <w:spacing w:val="-6"/>
                <w:kern w:val="0"/>
                <w:sz w:val="18"/>
                <w:szCs w:val="18"/>
                <w:lang w:val="en-US" w:eastAsia="zh-CN"/>
              </w:rPr>
              <w:t>（</w:t>
            </w:r>
            <w:r>
              <w:rPr>
                <w:rFonts w:hint="eastAsia" w:ascii="宋体" w:hAnsi="宋体" w:eastAsia="宋体" w:cs="宋体"/>
                <w:color w:val="auto"/>
                <w:kern w:val="2"/>
                <w:sz w:val="18"/>
                <w:szCs w:val="18"/>
                <w:u w:val="none"/>
                <w:shd w:val="clear" w:color="auto" w:fill="auto"/>
                <w:lang w:val="en-US" w:eastAsia="zh-CN" w:bidi="ar-SA"/>
              </w:rPr>
              <w:t>1）</w:t>
            </w:r>
            <w:r>
              <w:rPr>
                <w:rFonts w:hint="eastAsia" w:ascii="宋体" w:hAnsi="宋体" w:eastAsia="宋体" w:cs="宋体"/>
                <w:snapToGrid w:val="0"/>
                <w:color w:val="auto"/>
                <w:spacing w:val="-6"/>
                <w:kern w:val="0"/>
                <w:sz w:val="18"/>
                <w:szCs w:val="18"/>
                <w:lang w:val="en-US" w:eastAsia="zh-CN"/>
              </w:rPr>
              <w:t>铭牌至少包括制造单位名称、产品名称、型号、主参数、产品编号、车架号、制造日期、许可证编号、设备代码、制造地址</w:t>
            </w:r>
            <w:r>
              <w:rPr>
                <w:rFonts w:hint="eastAsia" w:cs="宋体"/>
                <w:snapToGrid w:val="0"/>
                <w:color w:val="auto"/>
                <w:spacing w:val="-6"/>
                <w:kern w:val="0"/>
                <w:sz w:val="18"/>
                <w:szCs w:val="18"/>
                <w:lang w:val="en-US" w:eastAsia="zh-CN"/>
              </w:rPr>
              <w:t>，</w:t>
            </w:r>
            <w:r>
              <w:rPr>
                <w:rFonts w:hint="eastAsia" w:ascii="宋体" w:hAnsi="宋体" w:eastAsia="宋体" w:cs="宋体"/>
                <w:snapToGrid w:val="0"/>
                <w:color w:val="auto"/>
                <w:spacing w:val="-6"/>
                <w:kern w:val="0"/>
                <w:sz w:val="18"/>
                <w:szCs w:val="18"/>
                <w:lang w:val="en-US" w:eastAsia="zh-CN"/>
              </w:rPr>
              <w:t>应设置以下含义的图文安全标志：禁止站在</w:t>
            </w:r>
            <w:r>
              <w:rPr>
                <w:rFonts w:hint="eastAsia" w:cs="宋体"/>
                <w:snapToGrid w:val="0"/>
                <w:color w:val="auto"/>
                <w:spacing w:val="-6"/>
                <w:kern w:val="0"/>
                <w:sz w:val="18"/>
                <w:szCs w:val="18"/>
                <w:lang w:val="en-US" w:eastAsia="zh-CN"/>
              </w:rPr>
              <w:t>属具</w:t>
            </w:r>
            <w:r>
              <w:rPr>
                <w:rFonts w:hint="eastAsia" w:ascii="宋体" w:hAnsi="宋体" w:eastAsia="宋体" w:cs="宋体"/>
                <w:snapToGrid w:val="0"/>
                <w:color w:val="auto"/>
                <w:spacing w:val="-6"/>
                <w:kern w:val="0"/>
                <w:sz w:val="18"/>
                <w:szCs w:val="18"/>
                <w:lang w:val="en-US" w:eastAsia="zh-CN"/>
              </w:rPr>
              <w:t>上、禁止站在</w:t>
            </w:r>
            <w:r>
              <w:rPr>
                <w:rFonts w:hint="eastAsia" w:cs="宋体"/>
                <w:snapToGrid w:val="0"/>
                <w:color w:val="auto"/>
                <w:spacing w:val="-6"/>
                <w:kern w:val="0"/>
                <w:sz w:val="18"/>
                <w:szCs w:val="18"/>
                <w:lang w:val="en-US" w:eastAsia="zh-CN"/>
              </w:rPr>
              <w:t>属具</w:t>
            </w:r>
            <w:r>
              <w:rPr>
                <w:rFonts w:hint="eastAsia" w:ascii="宋体" w:hAnsi="宋体" w:eastAsia="宋体" w:cs="宋体"/>
                <w:snapToGrid w:val="0"/>
                <w:color w:val="auto"/>
                <w:spacing w:val="-6"/>
                <w:kern w:val="0"/>
                <w:sz w:val="18"/>
                <w:szCs w:val="18"/>
                <w:lang w:val="en-US" w:eastAsia="zh-CN"/>
              </w:rPr>
              <w:t>下、手指或者手被挤压风险提示、扣紧安全带</w:t>
            </w:r>
            <w:r>
              <w:rPr>
                <w:rFonts w:hint="eastAsia" w:ascii="宋体" w:hAnsi="宋体" w:eastAsia="宋体" w:cs="宋体"/>
                <w:color w:val="auto"/>
                <w:kern w:val="2"/>
                <w:sz w:val="18"/>
                <w:szCs w:val="18"/>
                <w:u w:val="none"/>
                <w:shd w:val="clear" w:color="auto" w:fill="auto"/>
                <w:lang w:val="en-US" w:eastAsia="zh-CN" w:bidi="ar-SA"/>
              </w:rPr>
              <w:t>；</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cs="宋体"/>
                <w:color w:val="auto"/>
                <w:kern w:val="2"/>
                <w:sz w:val="18"/>
                <w:szCs w:val="18"/>
                <w:u w:val="none"/>
                <w:shd w:val="clear" w:color="auto" w:fill="auto"/>
                <w:lang w:val="en-US" w:eastAsia="zh-CN" w:bidi="ar-SA"/>
              </w:rPr>
              <w:t>（</w:t>
            </w:r>
            <w:r>
              <w:rPr>
                <w:rFonts w:hint="eastAsia" w:ascii="宋体" w:hAnsi="宋体" w:eastAsia="宋体" w:cs="宋体"/>
                <w:color w:val="auto"/>
                <w:kern w:val="2"/>
                <w:sz w:val="18"/>
                <w:szCs w:val="18"/>
                <w:u w:val="none"/>
                <w:shd w:val="clear" w:color="auto" w:fill="auto"/>
                <w:lang w:val="en-US" w:eastAsia="zh-CN" w:bidi="ar-SA"/>
              </w:rPr>
              <w:t>2）铭牌、载荷曲线、安全标志应当置于</w:t>
            </w:r>
            <w:r>
              <w:rPr>
                <w:rFonts w:hint="eastAsia" w:cs="宋体"/>
                <w:color w:val="auto"/>
                <w:kern w:val="2"/>
                <w:sz w:val="18"/>
                <w:szCs w:val="18"/>
                <w:u w:val="none"/>
                <w:shd w:val="clear" w:color="auto" w:fill="auto"/>
                <w:lang w:val="en-US" w:eastAsia="zh-CN" w:bidi="ar-SA"/>
              </w:rPr>
              <w:t>车辆</w:t>
            </w:r>
            <w:r>
              <w:rPr>
                <w:rFonts w:hint="eastAsia" w:ascii="宋体" w:hAnsi="宋体" w:eastAsia="宋体" w:cs="宋体"/>
                <w:color w:val="auto"/>
                <w:kern w:val="2"/>
                <w:sz w:val="18"/>
                <w:szCs w:val="18"/>
                <w:u w:val="none"/>
                <w:shd w:val="clear" w:color="auto" w:fill="auto"/>
                <w:lang w:val="en-US" w:eastAsia="zh-CN" w:bidi="ar-SA"/>
              </w:rPr>
              <w:t>的显著位置，并且保持清晰。</w:t>
            </w:r>
          </w:p>
        </w:tc>
        <w:tc>
          <w:tcPr>
            <w:tcW w:w="1139"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cs="宋体"/>
                <w:color w:val="auto"/>
                <w:kern w:val="2"/>
                <w:sz w:val="18"/>
                <w:szCs w:val="18"/>
                <w:u w:val="none"/>
                <w:shd w:val="clear" w:color="auto" w:fill="auto"/>
                <w:lang w:val="en-US" w:eastAsia="zh-CN" w:bidi="ar-SA"/>
              </w:rPr>
            </w:pPr>
            <w:r>
              <w:rPr>
                <w:rFonts w:hint="eastAsia" w:cs="宋体"/>
                <w:color w:val="auto"/>
                <w:kern w:val="2"/>
                <w:sz w:val="18"/>
                <w:szCs w:val="18"/>
                <w:u w:val="none"/>
                <w:shd w:val="clear" w:color="auto" w:fill="auto"/>
                <w:lang w:val="en-US" w:eastAsia="zh-CN" w:bidi="ar-SA"/>
              </w:rPr>
              <w:t>实物检查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6"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cs="宋体"/>
                <w:color w:val="auto"/>
                <w:sz w:val="18"/>
                <w:szCs w:val="18"/>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2.5</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动力系统检查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（3）动力源为蓄电池的车辆，蓄电池金属盖或者非金属盖的金属部件与蓄电池带电部分之间应当有</w:t>
            </w:r>
            <w:r>
              <w:rPr>
                <w:rFonts w:hint="eastAsia" w:ascii="宋体" w:hAnsi="宋体" w:eastAsia="宋体" w:cs="宋体"/>
                <w:snapToGrid w:val="0"/>
                <w:color w:val="auto"/>
                <w:spacing w:val="-6"/>
                <w:kern w:val="0"/>
                <w:sz w:val="18"/>
                <w:szCs w:val="18"/>
                <w:lang w:val="en-US" w:eastAsia="en-US"/>
              </w:rPr>
              <w:t>30mm</w:t>
            </w:r>
            <w:r>
              <w:rPr>
                <w:rFonts w:hint="eastAsia" w:ascii="宋体" w:hAnsi="宋体" w:eastAsia="宋体" w:cs="宋体"/>
                <w:snapToGrid w:val="0"/>
                <w:color w:val="auto"/>
                <w:spacing w:val="-6"/>
                <w:kern w:val="0"/>
                <w:sz w:val="18"/>
                <w:szCs w:val="18"/>
                <w:lang w:val="en-US" w:eastAsia="zh-CN"/>
              </w:rPr>
              <w:t>以上的间隙；若盖板和带电部分被有效绝缘，则其间隙至少有</w:t>
            </w:r>
            <w:r>
              <w:rPr>
                <w:rFonts w:hint="eastAsia" w:ascii="宋体" w:hAnsi="宋体" w:eastAsia="宋体" w:cs="宋体"/>
                <w:snapToGrid w:val="0"/>
                <w:color w:val="auto"/>
                <w:spacing w:val="-6"/>
                <w:kern w:val="0"/>
                <w:sz w:val="18"/>
                <w:szCs w:val="18"/>
                <w:lang w:val="en-US" w:eastAsia="en-US"/>
              </w:rPr>
              <w:t>10mm；</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（4）由于意外的关闭会造成伤害的，应当在罩壳处（如牵引蓄电池或者发动机罩）设置防止意外关闭的装置，并且永久地固定在车辆上或者安装在车辆的安全处；</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（5）发动机（行走电机）应当运转平稳，无异响，能正常启动、熄火（关闭）；</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（6）动力系统线路应当无漏电现象，管路应当无漏水、漏油现象；</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（7）发动机（行走电机）的安装应当牢固可靠，连接部分无松动、脱落、损坏；</w:t>
            </w:r>
          </w:p>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cs="宋体"/>
                <w:color w:val="auto"/>
                <w:kern w:val="2"/>
                <w:sz w:val="18"/>
                <w:szCs w:val="18"/>
                <w:u w:val="none"/>
                <w:shd w:val="clear" w:color="auto" w:fill="auto"/>
                <w:lang w:val="en-US" w:eastAsia="zh-CN" w:bidi="ar-SA"/>
              </w:rPr>
              <w:t>（8</w:t>
            </w:r>
            <w:r>
              <w:rPr>
                <w:rFonts w:hint="eastAsia" w:ascii="宋体" w:hAnsi="宋体" w:eastAsia="宋体" w:cs="宋体"/>
                <w:color w:val="auto"/>
                <w:kern w:val="2"/>
                <w:sz w:val="18"/>
                <w:szCs w:val="18"/>
                <w:u w:val="none"/>
                <w:shd w:val="clear" w:color="auto" w:fill="auto"/>
                <w:lang w:val="en-US" w:eastAsia="zh-CN" w:bidi="ar-SA"/>
              </w:rPr>
              <w:t>）车辆配置车用气瓶时，气瓶应当在检验有效期内。</w:t>
            </w:r>
          </w:p>
        </w:tc>
        <w:tc>
          <w:tcPr>
            <w:tcW w:w="1139" w:type="dxa"/>
            <w:noWrap w:val="0"/>
            <w:vAlign w:val="center"/>
          </w:tcPr>
          <w:p>
            <w:pPr>
              <w:pStyle w:val="43"/>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eastAsia" w:cs="宋体"/>
                <w:color w:val="auto"/>
                <w:kern w:val="2"/>
                <w:sz w:val="18"/>
                <w:szCs w:val="18"/>
                <w:u w:val="none"/>
                <w:shd w:val="clear" w:color="auto" w:fill="auto"/>
                <w:lang w:val="en-US" w:eastAsia="zh-CN" w:bidi="ar-SA"/>
              </w:rPr>
            </w:pPr>
            <w:r>
              <w:rPr>
                <w:rFonts w:hint="eastAsia" w:cs="宋体"/>
                <w:color w:val="auto"/>
                <w:kern w:val="2"/>
                <w:sz w:val="18"/>
                <w:szCs w:val="18"/>
                <w:u w:val="none"/>
                <w:shd w:val="clear" w:color="auto" w:fill="auto"/>
                <w:lang w:val="en-US" w:eastAsia="zh-CN" w:bidi="ar-SA"/>
              </w:rPr>
              <w:t>目视检查、现场测量、实物检查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5" w:hRule="atLeast"/>
          <w:jc w:val="center"/>
        </w:trPr>
        <w:tc>
          <w:tcPr>
            <w:tcW w:w="579" w:type="dxa"/>
            <w:vMerge w:val="restart"/>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检查</w:t>
            </w: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2.6</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传动系统检查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（1）静压传动车辆，只有处于制动状态时才能启动发动机；</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（2）机械传动和液力传动的内燃车辆，应当配备在传动装置处于接合状态时，能防止发动机启动的装置；</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（3）传动系统及其零部件运转平稳，不应当有异常声响；</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（4）变速箱不应当有自动脱挡、串挡现象，运行正常，倒挡可靠；</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（5）离合器应当分离彻底，接合平稳，工作时无异响、抖动和不正常打滑等现象。</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5"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2.7</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行驶系统检查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（1）同一轴上的轮胎规格和花纹应当相同；</w:t>
            </w:r>
            <w:bookmarkStart w:id="34" w:name="bookmark373"/>
            <w:bookmarkEnd w:id="34"/>
            <w:bookmarkStart w:id="35" w:name="bookmark372"/>
            <w:bookmarkEnd w:id="35"/>
            <w:bookmarkStart w:id="36" w:name="bookmark371"/>
            <w:bookmarkEnd w:id="36"/>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（2）轮辋应当完整无损，螺栓、螺母应当齐全紧固；</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（3）前后桥与车架的连接应当紧固；</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（4）充气轮胎胎面和胎壁应当无长度超过</w:t>
            </w:r>
            <w:r>
              <w:rPr>
                <w:rFonts w:hint="eastAsia" w:ascii="宋体" w:hAnsi="宋体" w:eastAsia="宋体" w:cs="宋体"/>
                <w:snapToGrid w:val="0"/>
                <w:color w:val="auto"/>
                <w:spacing w:val="-6"/>
                <w:kern w:val="0"/>
                <w:sz w:val="18"/>
                <w:szCs w:val="18"/>
                <w:lang w:val="en-US" w:eastAsia="en-US"/>
              </w:rPr>
              <w:t>25mm</w:t>
            </w:r>
            <w:r>
              <w:rPr>
                <w:rFonts w:hint="eastAsia" w:ascii="宋体" w:hAnsi="宋体" w:eastAsia="宋体" w:cs="宋体"/>
                <w:snapToGrid w:val="0"/>
                <w:color w:val="auto"/>
                <w:spacing w:val="-6"/>
                <w:kern w:val="0"/>
                <w:sz w:val="18"/>
                <w:szCs w:val="18"/>
                <w:lang w:val="en-US" w:eastAsia="zh-CN"/>
              </w:rPr>
              <w:t>或者深度足以暴露出轮胎帘布层的破裂和割伤；</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实心轮胎（包括工业脚轮和车轮轮胎）应当无胶层气泡和脱层、钢圈与胶层松脱等缺陷。</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目测检查、现场测量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top w:val="single" w:color="auto" w:sz="4" w:space="0"/>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2.8</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转向系统检查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（1）转向系统应当转动灵活、操纵方便、无卡滞，在任意转向操作时不得与其他部件有干涉；</w:t>
            </w:r>
            <w:bookmarkStart w:id="37" w:name="bookmark376"/>
            <w:bookmarkEnd w:id="37"/>
            <w:bookmarkStart w:id="38" w:name="bookmark375"/>
            <w:bookmarkEnd w:id="38"/>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（2）向前运行时，顺时针转动方向盘或者对转向控制装置的等同操作，应当使车辆右转，并且乘驾式车辆的控制装置应当被限制在车辆轮廓内；</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（3）转向装置中的转向节臂，转向横、直拉杆不应当有裂纹、损伤，球销不应当松旷，转向油缸不应当有泄漏油现象。</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现场试验、目测检查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压力系统检查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（1）压力管路布置与其他运动机件应当无相互干涉；</w:t>
            </w:r>
            <w:bookmarkStart w:id="39" w:name="bookmark379"/>
            <w:bookmarkEnd w:id="39"/>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（2）压力系统固定接口应当无渗油，运动接口应当无漏油，各部位应当无泄漏现象。</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目测检查、现场试验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2.10</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制动系统检查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（1）应当具有行车、驻车制动系统，并且设置相应的制动装置；</w:t>
            </w:r>
            <w:bookmarkStart w:id="40" w:name="bookmark383"/>
            <w:bookmarkEnd w:id="40"/>
            <w:bookmarkStart w:id="41" w:name="bookmark382"/>
            <w:bookmarkEnd w:id="41"/>
            <w:bookmarkStart w:id="42" w:name="bookmark381"/>
            <w:bookmarkEnd w:id="42"/>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（2）坐驾式车辆的行车制动与驻车制动系统应当由独立的装置进行操纵；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（3）站驾式和步驾式车辆应当带有一个制动装置，该装置应当自动闭合直到其被司机释放；</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（4）驻车制动系统应当通过纯机械装置把工作部件锁止，手柄操纵的驻车制动控制装置应当有防止意外释放的功能；</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用踏板操纵运行和制动控制装置的车辆，如果安装了行车制动踏板，应能让驾驶员用右脚踩下踏板制动。如果采用了微动和制动组合式制动踏板，驾驶员应能用左脚或双脚来进行操作。行车制动踏板的操作应不会受与其同时使用的其他控制装置的妨碍。如果安装了微动踏板，踩下踏板应能使传动装置分离并实现行车制动。（适用于首次检验）</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实物检查、</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3"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pacing w:line="300" w:lineRule="exact"/>
              <w:ind w:left="-107" w:leftChars="-51" w:right="-107" w:rightChars="-51"/>
              <w:jc w:val="center"/>
              <w:textAlignment w:val="auto"/>
              <w:rPr>
                <w:rFonts w:hint="eastAsia" w:ascii="宋体" w:hAnsi="宋体"/>
                <w:color w:val="auto"/>
                <w:sz w:val="18"/>
                <w:szCs w:val="18"/>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2.11</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电气和控制系统检查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（1）启动应当设置开关装置，需要由钥匙、密码或者磁卡等才能启动；</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（2）电动车辆的电气系统应当采用双线制；</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（3）坐驾式平衡重式车辆和侧面式车辆应当设置前照灯、制动灯、转向灯，其他车辆根据使用工况设置照明和信号装置，照明和信号装置应当功能完好；</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（4）电动车辆应当设置非自动复位且能切断所有驱动部件电源的紧急断电开关；</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（5）动力源为蓄电池的车辆充电时，应当保证电源与车辆控制电路分离，车辆不能通过自身的驱动系统行驶；插接器应当有定向防护，防止插接器接反；</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（6）电气部件及线路的带电部分不得因使用损耗或者老化而裸露。</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目视检查、现场试验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9"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宋体" w:hAnsi="宋体"/>
                <w:color w:val="auto"/>
                <w:sz w:val="18"/>
                <w:szCs w:val="18"/>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2.12</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18"/>
                <w:szCs w:val="18"/>
                <w:u w:val="none"/>
                <w:shd w:val="clear" w:color="auto" w:fill="auto"/>
                <w:lang w:val="en-US" w:eastAsia="zh-CN" w:bidi="ar-SA"/>
              </w:rPr>
            </w:pPr>
            <w:r>
              <w:rPr>
                <w:rFonts w:hint="eastAsia" w:ascii="宋体" w:hAnsi="宋体" w:eastAsia="宋体" w:cs="宋体"/>
                <w:color w:val="auto"/>
                <w:kern w:val="2"/>
                <w:sz w:val="18"/>
                <w:szCs w:val="18"/>
                <w:u w:val="none"/>
                <w:shd w:val="clear" w:color="auto" w:fill="auto"/>
                <w:lang w:val="en-US" w:eastAsia="zh-CN" w:bidi="ar-SA"/>
              </w:rPr>
              <w:t>工作装置检查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在车辆（除装有伸缩门架和属具的前移式车辆）上使用一组单一功能的操纵杆时，离司机最近的操纵杆控制起升和下降，第二近的操纵杆控制顷斜功能，第三近的操纵杆控制侧移功能，第四近的操纵杆控制辅助功能；在</w:t>
            </w:r>
            <w:r>
              <w:rPr>
                <w:rFonts w:hint="eastAsia" w:ascii="宋体" w:hAnsi="宋体" w:eastAsia="宋体" w:cs="宋体"/>
                <w:snapToGrid w:val="0"/>
                <w:color w:val="auto"/>
                <w:spacing w:val="-6"/>
                <w:kern w:val="0"/>
                <w:sz w:val="18"/>
                <w:szCs w:val="18"/>
                <w:lang w:val="zh-CN" w:eastAsia="zh-CN"/>
              </w:rPr>
              <w:t>装有伸</w:t>
            </w:r>
            <w:r>
              <w:rPr>
                <w:rFonts w:hint="eastAsia" w:ascii="宋体" w:hAnsi="宋体" w:eastAsia="宋体" w:cs="宋体"/>
                <w:snapToGrid w:val="0"/>
                <w:color w:val="auto"/>
                <w:spacing w:val="-6"/>
                <w:kern w:val="0"/>
                <w:sz w:val="18"/>
                <w:szCs w:val="18"/>
                <w:lang w:val="en-US" w:eastAsia="zh-CN"/>
              </w:rPr>
              <w:t>缩门架或者属具的前移式车辆上使用一组单一功能的操纵杆时，离司机最近的操纵杆控制起升和下降，第二近的操纵杆控制门架或者属具的移动，第三近的操纵杆控制倾斜功能，第四近的操纵杆控制侧移功能，第五近的操纵杆控制辅助功能；（适用于首次检验）</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（2）当控制装置被设计和构造成能完成一个以上的功能时，每一单独功能都应当做出清晰的标志；（适用于首次检验）</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（3）控制装置应当操作灵活，被释放时，应当自动回到中位，并且停止相应的载荷移动；</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（4）属具不应有裂纹、起皮、堆积及起泡等缺陷。属具应在明显位置固定永久清晰的标牌，属具在门架上固定牢靠，且设置了能防止属具意外侧向滑移和脱落装置；</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（5）起升链条、油缸、销轴、锁止机件齐全、无裂纹，无变形，连接配合良好，各运动机构应当配合良好、工作灵敏可靠，运动无阻滞现象；</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（6）属具无裂纹和变形，磨损量不超过原值的10%；</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（7）属具应在设计和规定的流量和压力下工作且动作必须同步；</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FF0000"/>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（8）车辆综合承载能力应符合出厂要求，无法获取出厂要求的按附录B内容验证。</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目测检查、现场试验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6" w:hRule="atLeast"/>
          <w:jc w:val="center"/>
        </w:trPr>
        <w:tc>
          <w:tcPr>
            <w:tcW w:w="579" w:type="dxa"/>
            <w:vMerge w:val="restart"/>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检查</w:t>
            </w: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2.13</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安全保护和防护装置检查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w:t>
            </w:r>
            <w:bookmarkStart w:id="43" w:name="bookmark409"/>
            <w:bookmarkEnd w:id="43"/>
            <w:bookmarkStart w:id="44" w:name="bookmark404"/>
            <w:bookmarkEnd w:id="44"/>
            <w:bookmarkStart w:id="45" w:name="bookmark403"/>
            <w:bookmarkEnd w:id="45"/>
            <w:bookmarkStart w:id="46" w:name="bookmark410"/>
            <w:bookmarkEnd w:id="46"/>
            <w:bookmarkStart w:id="47" w:name="bookmark411"/>
            <w:bookmarkEnd w:id="47"/>
            <w:bookmarkStart w:id="48" w:name="bookmark402"/>
            <w:bookmarkEnd w:id="48"/>
            <w:bookmarkStart w:id="49" w:name="bookmark412"/>
            <w:bookmarkEnd w:id="49"/>
            <w:bookmarkStart w:id="50" w:name="bookmark405"/>
            <w:bookmarkEnd w:id="50"/>
            <w:bookmarkStart w:id="51" w:name="bookmark408"/>
            <w:bookmarkEnd w:id="51"/>
            <w:bookmarkStart w:id="52" w:name="bookmark407"/>
            <w:bookmarkEnd w:id="52"/>
            <w:r>
              <w:rPr>
                <w:rFonts w:hint="eastAsia" w:ascii="宋体" w:hAnsi="宋体" w:eastAsia="宋体" w:cs="宋体"/>
                <w:snapToGrid w:val="0"/>
                <w:color w:val="auto"/>
                <w:spacing w:val="-6"/>
                <w:kern w:val="0"/>
                <w:sz w:val="18"/>
                <w:szCs w:val="18"/>
                <w:lang w:val="en-US" w:eastAsia="zh-CN"/>
              </w:rPr>
              <w:t>起升高度大于</w:t>
            </w:r>
            <w:r>
              <w:rPr>
                <w:rFonts w:hint="eastAsia" w:ascii="宋体" w:hAnsi="宋体" w:eastAsia="宋体" w:cs="宋体"/>
                <w:snapToGrid w:val="0"/>
                <w:color w:val="auto"/>
                <w:spacing w:val="-6"/>
                <w:kern w:val="0"/>
                <w:sz w:val="18"/>
                <w:szCs w:val="18"/>
                <w:lang w:val="en-US" w:eastAsia="en-US"/>
              </w:rPr>
              <w:t>1800mm</w:t>
            </w:r>
            <w:r>
              <w:rPr>
                <w:rFonts w:hint="eastAsia" w:ascii="宋体" w:hAnsi="宋体" w:eastAsia="宋体" w:cs="宋体"/>
                <w:snapToGrid w:val="0"/>
                <w:color w:val="auto"/>
                <w:spacing w:val="-6"/>
                <w:kern w:val="0"/>
                <w:sz w:val="18"/>
                <w:szCs w:val="18"/>
                <w:lang w:val="en-US" w:eastAsia="zh-CN"/>
              </w:rPr>
              <w:t>的乘驾式车辆或者载荷起升高度超过操作平台</w:t>
            </w:r>
            <w:r>
              <w:rPr>
                <w:rFonts w:hint="eastAsia" w:ascii="宋体" w:hAnsi="宋体" w:eastAsia="宋体" w:cs="宋体"/>
                <w:snapToGrid w:val="0"/>
                <w:color w:val="auto"/>
                <w:spacing w:val="-6"/>
                <w:kern w:val="0"/>
                <w:sz w:val="18"/>
                <w:szCs w:val="18"/>
                <w:lang w:val="en-US" w:eastAsia="en-US"/>
              </w:rPr>
              <w:t>1800mm</w:t>
            </w:r>
            <w:r>
              <w:rPr>
                <w:rFonts w:hint="eastAsia" w:ascii="宋体" w:hAnsi="宋体" w:eastAsia="宋体" w:cs="宋体"/>
                <w:snapToGrid w:val="0"/>
                <w:color w:val="auto"/>
                <w:spacing w:val="-6"/>
                <w:kern w:val="0"/>
                <w:sz w:val="18"/>
                <w:szCs w:val="18"/>
                <w:lang w:val="en-US" w:eastAsia="zh-CN"/>
              </w:rPr>
              <w:t>的车辆应当装有护顶架或者司机室；</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（2）乘驾式车辆应当设置由司机控制、能够发出清晰声响的警示装置（至少包括喇叭、倒车蜂鸣器），其中，设计为司机侧站或者侧坐驾驶的车辆可不设置倒车蜂鸣器；</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（3）坐驾式平衡重式车辆和侧面式车辆应当设置后视镜，侧面式车辆属具侧和额定起重量大于</w:t>
            </w:r>
            <w:r>
              <w:rPr>
                <w:rFonts w:hint="eastAsia" w:ascii="宋体" w:hAnsi="宋体" w:eastAsia="宋体" w:cs="宋体"/>
                <w:snapToGrid w:val="0"/>
                <w:color w:val="auto"/>
                <w:spacing w:val="-6"/>
                <w:kern w:val="0"/>
                <w:sz w:val="18"/>
                <w:szCs w:val="18"/>
                <w:lang w:val="en-US" w:eastAsia="en-US"/>
              </w:rPr>
              <w:t>10000kg</w:t>
            </w:r>
            <w:r>
              <w:rPr>
                <w:rFonts w:hint="eastAsia" w:ascii="宋体" w:hAnsi="宋体" w:eastAsia="宋体" w:cs="宋体"/>
                <w:snapToGrid w:val="0"/>
                <w:color w:val="auto"/>
                <w:spacing w:val="-6"/>
                <w:kern w:val="0"/>
                <w:sz w:val="18"/>
                <w:szCs w:val="18"/>
                <w:lang w:val="en-US" w:eastAsia="zh-CN"/>
              </w:rPr>
              <w:t>的坐驾式平衡重式车辆后方还应当设置视频监视装置；</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（4）额定起重量不大于</w:t>
            </w:r>
            <w:r>
              <w:rPr>
                <w:rFonts w:hint="eastAsia" w:ascii="宋体" w:hAnsi="宋体" w:eastAsia="宋体" w:cs="宋体"/>
                <w:snapToGrid w:val="0"/>
                <w:color w:val="auto"/>
                <w:spacing w:val="-6"/>
                <w:kern w:val="0"/>
                <w:sz w:val="18"/>
                <w:szCs w:val="18"/>
                <w:lang w:val="en-US" w:eastAsia="en-US"/>
              </w:rPr>
              <w:t>10000kg</w:t>
            </w:r>
            <w:r>
              <w:rPr>
                <w:rFonts w:hint="eastAsia" w:ascii="宋体" w:hAnsi="宋体" w:eastAsia="宋体" w:cs="宋体"/>
                <w:snapToGrid w:val="0"/>
                <w:color w:val="auto"/>
                <w:spacing w:val="-6"/>
                <w:kern w:val="0"/>
                <w:sz w:val="18"/>
                <w:szCs w:val="18"/>
                <w:lang w:val="en-US" w:eastAsia="zh-CN"/>
              </w:rPr>
              <w:t>的坐驾式平衡重式车辆和侧面式车辆（单侧）应当配备司机防护约束装置（如安全带）；</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（5）前风窗玻璃应当设置刮水器，刮水器应当能正常工作，且关闭时刮片应当能自动返回至初始位置；</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（6）应当设置下降限速装置、门架前倾自锁装置，如果下降限速阀与升降油缸采用软管连接，还应当有防止爆管装置；</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（7）起升装置应当设置防越程装置，避免属具和门架上的运动部件从门架上端意外脱落；</w:t>
            </w:r>
            <w:bookmarkStart w:id="53" w:name="bookmark406"/>
            <w:bookmarkEnd w:id="53"/>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（8）应当有避免正常操作的司机与车轮接触以及被车轮甩出物体伤害的保护装置；对于转向轮，只需对其直线行驶状态进行防护；</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（9）护顶架（司机室）与车辆连接应当紧固，结构件及其配件应当无裂纹、分离,顶棚垂直方向应当无明显的永久变形。</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目测检查、现场试验、测量相应</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尺寸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15"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2.14△ 安全监控装置检查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乘驾式电动车辆、电液换向的乘驾式内燃平衡重式车辆、电液换向的乘驾式内燃侧面式车辆应当设置司机坐（站）姿状态感知系统，当司机不在正常操作位置时,车辆不能进行动力运行，即使操纵载荷装卸控制装置，也不应当出现门架的倾斜和属具的移动；当司机回到正常操作位置，但没有进行额外操作时，动力运行、门架的倾斜和属具的移动均不应当自动发生；</w:t>
            </w:r>
            <w:bookmarkStart w:id="54" w:name="bookmark414"/>
            <w:bookmarkEnd w:id="54"/>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应当设置司机权限信息采集器，通过指纹、虹膜、人脸特征等生物信息或者磁卡等与个人身份信息唯一绑定的媒介，验证司机权限信息采集器是否有效，当该采集器失效、拆除或者司机信息不正确时，车辆不能启动。</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实物检查、</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6" w:hRule="atLeast"/>
          <w:jc w:val="center"/>
        </w:trPr>
        <w:tc>
          <w:tcPr>
            <w:tcW w:w="579"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2.15</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防爆性能检查</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（1）电气部件及发动机均应当釆用防爆型，且其防爆级别不低于整机的防爆要求；</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（2）防爆电气部件外壳应无损伤，透明件无裂纹，结合面应紧固严密，紧固件应无锈蚀、缺损；</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（3）车辆上所有大于</w:t>
            </w:r>
            <w:r>
              <w:rPr>
                <w:rFonts w:hint="eastAsia" w:ascii="宋体" w:hAnsi="宋体" w:eastAsia="宋体" w:cs="宋体"/>
                <w:snapToGrid w:val="0"/>
                <w:color w:val="auto"/>
                <w:spacing w:val="-6"/>
                <w:kern w:val="0"/>
                <w:sz w:val="18"/>
                <w:szCs w:val="18"/>
                <w:lang w:val="en-US" w:eastAsia="en-US"/>
              </w:rPr>
              <w:t>100cm</w:t>
            </w:r>
            <w:r>
              <w:rPr>
                <w:rFonts w:hint="eastAsia" w:ascii="宋体" w:hAnsi="宋体" w:eastAsia="宋体" w:cs="宋体"/>
                <w:snapToGrid w:val="0"/>
                <w:color w:val="auto"/>
                <w:spacing w:val="-6"/>
                <w:kern w:val="0"/>
                <w:sz w:val="18"/>
                <w:szCs w:val="18"/>
                <w:vertAlign w:val="superscript"/>
                <w:lang w:val="en-US" w:eastAsia="en-US"/>
              </w:rPr>
              <w:t>2</w:t>
            </w:r>
            <w:r>
              <w:rPr>
                <w:rFonts w:hint="eastAsia" w:ascii="宋体" w:hAnsi="宋体" w:eastAsia="宋体" w:cs="宋体"/>
                <w:snapToGrid w:val="0"/>
                <w:color w:val="auto"/>
                <w:spacing w:val="-6"/>
                <w:kern w:val="0"/>
                <w:sz w:val="18"/>
                <w:szCs w:val="18"/>
                <w:lang w:val="en-US" w:eastAsia="zh-CN"/>
              </w:rPr>
              <w:t>的金属部件应当等电位地连接到车架上，并且最终通过非火花导电带、导电轮胎等方式与大地良好导通；</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（4）蓄电池箱体上应当设置清晰的永久性</w:t>
            </w:r>
            <w:r>
              <w:rPr>
                <w:rFonts w:hint="eastAsia" w:ascii="宋体" w:hAnsi="宋体" w:eastAsia="宋体" w:cs="宋体"/>
                <w:snapToGrid w:val="0"/>
                <w:color w:val="auto"/>
                <w:spacing w:val="-6"/>
                <w:kern w:val="0"/>
                <w:sz w:val="18"/>
                <w:szCs w:val="18"/>
                <w:lang w:val="en-US" w:eastAsia="en-US"/>
              </w:rPr>
              <w:t>“Ex”</w:t>
            </w:r>
            <w:r>
              <w:rPr>
                <w:rFonts w:hint="eastAsia" w:ascii="宋体" w:hAnsi="宋体" w:eastAsia="宋体" w:cs="宋体"/>
                <w:snapToGrid w:val="0"/>
                <w:color w:val="auto"/>
                <w:spacing w:val="-6"/>
                <w:kern w:val="0"/>
                <w:sz w:val="18"/>
                <w:szCs w:val="18"/>
                <w:lang w:val="en-US" w:eastAsia="zh-CN"/>
              </w:rPr>
              <w:t>标志和</w:t>
            </w:r>
            <w:r>
              <w:rPr>
                <w:rFonts w:hint="eastAsia" w:ascii="宋体" w:hAnsi="宋体" w:eastAsia="宋体" w:cs="宋体"/>
                <w:snapToGrid w:val="0"/>
                <w:color w:val="auto"/>
                <w:spacing w:val="-6"/>
                <w:kern w:val="0"/>
                <w:sz w:val="18"/>
                <w:szCs w:val="18"/>
                <w:lang w:val="zh-CN" w:eastAsia="zh-CN"/>
              </w:rPr>
              <w:t>“危</w:t>
            </w:r>
            <w:r>
              <w:rPr>
                <w:rFonts w:hint="eastAsia" w:ascii="宋体" w:hAnsi="宋体" w:eastAsia="宋体" w:cs="宋体"/>
                <w:snapToGrid w:val="0"/>
                <w:color w:val="auto"/>
                <w:spacing w:val="-6"/>
                <w:kern w:val="0"/>
                <w:sz w:val="18"/>
                <w:szCs w:val="18"/>
                <w:lang w:val="en-US" w:eastAsia="zh-CN"/>
              </w:rPr>
              <w:t>险场所严禁打开”字样的警告牌，箱体和箱盖应当设置用专用工具才能打开的锁紧机构；</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5）发动机的进气管应当设置阻火器，排气管应当设置阻火器和火星熄灭器，进气管道、排气管道不应当有裂纹；进气系统还应当设置进气截止阀，进气截止阀应当能手动操作，手动操作时，发动机应当能可靠停机；</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（6）载荷装卸装置接触或者可能接触地面或者载荷的所有表面，应当用铜、铜锌合金、不锈钢或者非金属材料（如橡胶、塑料）包覆。</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资料核查、目测检查、现场试验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5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试验</w:t>
            </w:r>
          </w:p>
        </w:tc>
        <w:tc>
          <w:tcPr>
            <w:tcW w:w="8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3.1</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制动性能试验</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3.5.1 坡道驻车制动试验：在无载状态下，变速箱置空挡（如有时），发动机熄火或关闭运行电动机，将车辆停放在作业区域中较大坡道上，检査车辆能否停稳。上、下坡方向各进行一次。</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5" w:hRule="atLeast"/>
          <w:jc w:val="center"/>
        </w:trPr>
        <w:tc>
          <w:tcPr>
            <w:tcW w:w="5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8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3.5.3 制动距离测定：在无载状态下，车辆在直线道路上以现场所能达到的最大速度运行时，实施制动，从实施制动开始时，测量制动距离。往返各测量1次，取平均值，制动距离应符合附表的要求。</w:t>
            </w: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方法1：制动性能测试仪测量</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方法2：痕迹法测量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5" w:hRule="atLeast"/>
          <w:jc w:val="center"/>
        </w:trPr>
        <w:tc>
          <w:tcPr>
            <w:tcW w:w="5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3.2</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下滑</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试验</w:t>
            </w:r>
          </w:p>
        </w:tc>
        <w:tc>
          <w:tcPr>
            <w:tcW w:w="72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正常工作时，载荷与夹板之间的相对滑动应满足：</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纸卷夹不大于30mm；软包夹不大于5mm。</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0" w:lineRule="exact"/>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车辆关闭动力源后10min内载荷不应出现滑落现象；</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p>
        </w:tc>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napToGrid w:val="0"/>
                <w:color w:val="auto"/>
                <w:spacing w:val="-6"/>
                <w:kern w:val="0"/>
                <w:sz w:val="18"/>
                <w:szCs w:val="18"/>
                <w:lang w:val="en-US" w:eastAsia="zh-CN"/>
              </w:rPr>
            </w:pPr>
            <w:r>
              <w:rPr>
                <w:rFonts w:hint="eastAsia" w:ascii="宋体" w:hAnsi="宋体" w:eastAsia="宋体" w:cs="宋体"/>
                <w:snapToGrid w:val="0"/>
                <w:color w:val="auto"/>
                <w:spacing w:val="-6"/>
                <w:kern w:val="0"/>
                <w:sz w:val="18"/>
                <w:szCs w:val="18"/>
                <w:lang w:val="en-US" w:eastAsia="zh-CN"/>
              </w:rPr>
              <w:t>现场试验</w:t>
            </w:r>
          </w:p>
        </w:tc>
      </w:tr>
    </w:tbl>
    <w:p>
      <w:pPr>
        <w:rPr>
          <w:rFonts w:hint="eastAsia" w:ascii="黑体" w:hAnsi="黑体" w:eastAsia="黑体" w:cs="黑体"/>
          <w:color w:val="000000"/>
          <w:sz w:val="24"/>
          <w:szCs w:val="24"/>
        </w:rPr>
      </w:pPr>
    </w:p>
    <w:p>
      <w:pPr>
        <w:rPr>
          <w:rFonts w:hint="eastAsia" w:ascii="黑体" w:hAnsi="黑体" w:eastAsia="黑体" w:cs="黑体"/>
          <w:color w:val="000000"/>
          <w:sz w:val="24"/>
          <w:szCs w:val="24"/>
        </w:rPr>
      </w:pPr>
    </w:p>
    <w:p>
      <w:pPr>
        <w:rPr>
          <w:rFonts w:hint="eastAsia" w:ascii="宋体" w:hAnsi="宋体"/>
          <w:color w:val="FF0000"/>
          <w:sz w:val="24"/>
          <w:szCs w:val="24"/>
        </w:rPr>
      </w:pPr>
      <w:r>
        <w:rPr>
          <w:rFonts w:hint="eastAsia" w:ascii="黑体" w:hAnsi="黑体" w:eastAsia="黑体" w:cs="黑体"/>
          <w:color w:val="000000"/>
          <w:sz w:val="24"/>
          <w:szCs w:val="24"/>
        </w:rPr>
        <w:t>附表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color w:val="auto"/>
          <w:sz w:val="30"/>
          <w:szCs w:val="30"/>
        </w:rPr>
      </w:pPr>
      <w:r>
        <w:rPr>
          <w:rFonts w:hint="eastAsia" w:ascii="黑体" w:hAnsi="黑体" w:eastAsia="黑体" w:cs="黑体"/>
          <w:b w:val="0"/>
          <w:bCs w:val="0"/>
          <w:color w:val="auto"/>
          <w:sz w:val="30"/>
          <w:szCs w:val="30"/>
          <w:lang w:eastAsia="zh-CN"/>
        </w:rPr>
        <w:t>车辆</w:t>
      </w:r>
      <w:r>
        <w:rPr>
          <w:rFonts w:hint="eastAsia" w:ascii="黑体" w:hAnsi="黑体" w:eastAsia="黑体" w:cs="黑体"/>
          <w:b w:val="0"/>
          <w:bCs w:val="0"/>
          <w:color w:val="auto"/>
          <w:sz w:val="30"/>
          <w:szCs w:val="30"/>
        </w:rPr>
        <w:t>制动距离数据表</w:t>
      </w:r>
    </w:p>
    <w:tbl>
      <w:tblPr>
        <w:tblStyle w:val="14"/>
        <w:tblW w:w="95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2466"/>
        <w:gridCol w:w="2415"/>
        <w:gridCol w:w="2220"/>
        <w:gridCol w:w="2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2466" w:type="dxa"/>
            <w:shd w:val="clear" w:color="auto" w:fill="FFFFFF"/>
            <w:noWrap w:val="0"/>
            <w:vAlign w:val="center"/>
          </w:tcPr>
          <w:p>
            <w:pPr>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车辆</w:t>
            </w:r>
            <w:r>
              <w:rPr>
                <w:rFonts w:hint="eastAsia" w:ascii="宋体" w:hAnsi="宋体" w:eastAsia="宋体" w:cs="宋体"/>
                <w:color w:val="auto"/>
                <w:sz w:val="28"/>
                <w:szCs w:val="28"/>
              </w:rPr>
              <w:t>速度v</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km/h</w:t>
            </w:r>
            <w:r>
              <w:rPr>
                <w:rFonts w:hint="eastAsia" w:ascii="宋体" w:hAnsi="宋体" w:eastAsia="宋体" w:cs="宋体"/>
                <w:color w:val="auto"/>
                <w:sz w:val="28"/>
                <w:szCs w:val="28"/>
                <w:lang w:eastAsia="zh-CN"/>
              </w:rPr>
              <w:t>）</w:t>
            </w:r>
          </w:p>
        </w:tc>
        <w:tc>
          <w:tcPr>
            <w:tcW w:w="241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v≤</w:t>
            </w:r>
            <w:r>
              <w:rPr>
                <w:rFonts w:hint="eastAsia" w:ascii="宋体" w:hAnsi="宋体" w:eastAsia="宋体" w:cs="宋体"/>
                <w:color w:val="auto"/>
                <w:sz w:val="28"/>
                <w:szCs w:val="28"/>
                <w:lang w:val="en-US" w:eastAsia="zh-CN"/>
              </w:rPr>
              <w:t>4</w:t>
            </w:r>
          </w:p>
        </w:tc>
        <w:tc>
          <w:tcPr>
            <w:tcW w:w="2220" w:type="dxa"/>
            <w:tcBorders>
              <w:right w:val="single" w:color="auto" w:sz="2" w:space="0"/>
            </w:tcBorders>
            <w:shd w:val="clear" w:color="auto" w:fill="FFFFFF"/>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＜v≤13.4</w:t>
            </w:r>
          </w:p>
        </w:tc>
        <w:tc>
          <w:tcPr>
            <w:tcW w:w="2445" w:type="dxa"/>
            <w:tcBorders>
              <w:left w:val="single" w:color="auto" w:sz="2" w:space="0"/>
              <w:right w:val="single" w:color="auto" w:sz="12" w:space="0"/>
            </w:tcBorders>
            <w:shd w:val="clear" w:color="auto" w:fill="FFFFFF"/>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v＞13.4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2466" w:type="dxa"/>
            <w:shd w:val="clear" w:color="auto" w:fill="FFFFFF"/>
            <w:noWrap w:val="0"/>
            <w:vAlign w:val="center"/>
          </w:tcPr>
          <w:p>
            <w:pPr>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制动距离s (m)</w:t>
            </w:r>
          </w:p>
        </w:tc>
        <w:tc>
          <w:tcPr>
            <w:tcW w:w="2415" w:type="dxa"/>
            <w:shd w:val="clear" w:color="auto" w:fill="FFFFFF"/>
            <w:noWrap w:val="0"/>
            <w:vAlign w:val="center"/>
          </w:tcPr>
          <w:p>
            <w:pPr>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S＜0.15v+v</w:t>
            </w:r>
            <w:r>
              <w:rPr>
                <w:rFonts w:hint="eastAsia" w:ascii="宋体" w:hAnsi="宋体" w:eastAsia="宋体" w:cs="宋体"/>
                <w:color w:val="auto"/>
                <w:sz w:val="28"/>
                <w:szCs w:val="28"/>
                <w:vertAlign w:val="superscript"/>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1.4</w:t>
            </w:r>
          </w:p>
        </w:tc>
        <w:tc>
          <w:tcPr>
            <w:tcW w:w="2220" w:type="dxa"/>
            <w:tcBorders>
              <w:right w:val="single" w:color="auto" w:sz="2" w:space="0"/>
            </w:tcBorders>
            <w:shd w:val="clear" w:color="auto" w:fill="FFFFFF"/>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S＜0.15v+v/</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.8</w:t>
            </w:r>
          </w:p>
        </w:tc>
        <w:tc>
          <w:tcPr>
            <w:tcW w:w="2445" w:type="dxa"/>
            <w:tcBorders>
              <w:left w:val="single" w:color="auto" w:sz="2" w:space="0"/>
              <w:right w:val="single" w:color="auto" w:sz="12" w:space="0"/>
            </w:tcBorders>
            <w:shd w:val="clear" w:color="auto" w:fill="FFFFFF"/>
            <w:noWrap w:val="0"/>
            <w:vAlign w:val="center"/>
          </w:tcPr>
          <w:p>
            <w:pPr>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S＜0.15v+v</w:t>
            </w:r>
            <w:r>
              <w:rPr>
                <w:rFonts w:hint="eastAsia" w:ascii="宋体" w:hAnsi="宋体" w:eastAsia="宋体" w:cs="宋体"/>
                <w:color w:val="auto"/>
                <w:sz w:val="28"/>
                <w:szCs w:val="28"/>
                <w:vertAlign w:val="superscript"/>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9546" w:type="dxa"/>
            <w:gridSpan w:val="4"/>
            <w:tcBorders>
              <w:right w:val="single" w:color="auto" w:sz="12" w:space="0"/>
            </w:tcBorders>
            <w:shd w:val="clear" w:color="auto" w:fill="FFFFFF"/>
            <w:noWrap w:val="0"/>
            <w:vAlign w:val="center"/>
          </w:tcPr>
          <w:p>
            <w:pPr>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lang w:val="en-US" w:eastAsia="zh-CN"/>
              </w:rPr>
              <w:t>车辆</w:t>
            </w:r>
            <w:r>
              <w:rPr>
                <w:rFonts w:hint="eastAsia" w:ascii="宋体" w:hAnsi="宋体" w:eastAsia="宋体" w:cs="宋体"/>
                <w:color w:val="auto"/>
                <w:sz w:val="21"/>
                <w:szCs w:val="21"/>
              </w:rPr>
              <w:t>初速度达不到表中的规定值时应以其最高行驶速度计算。</w:t>
            </w:r>
          </w:p>
        </w:tc>
      </w:tr>
    </w:tbl>
    <w:p>
      <w:pPr>
        <w:pStyle w:val="2"/>
        <w:bidi w:val="0"/>
        <w:rPr>
          <w:rFonts w:hint="eastAsia"/>
          <w:sz w:val="24"/>
          <w:szCs w:val="36"/>
          <w:lang w:val="en-US" w:eastAsia="zh-CN"/>
        </w:rPr>
        <w:sectPr>
          <w:footerReference r:id="rId4" w:type="default"/>
          <w:footerReference r:id="rId5" w:type="even"/>
          <w:pgSz w:w="11906" w:h="16838"/>
          <w:pgMar w:top="1440" w:right="1511" w:bottom="1246"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bidi w:val="0"/>
        <w:rPr>
          <w:rFonts w:hint="eastAsia"/>
          <w:sz w:val="24"/>
          <w:szCs w:val="36"/>
          <w:lang w:val="en-US" w:eastAsia="zh-CN"/>
        </w:rPr>
      </w:pPr>
      <w:bookmarkStart w:id="55" w:name="_Toc8657"/>
      <w:r>
        <w:rPr>
          <w:rFonts w:hint="eastAsia"/>
          <w:sz w:val="24"/>
          <w:szCs w:val="36"/>
          <w:lang w:val="en-US" w:eastAsia="zh-CN"/>
        </w:rPr>
        <w:t>附录B  车辆（或属具）综合承载能力验证</w:t>
      </w:r>
      <w:bookmarkEnd w:id="55"/>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承载能力是抱夹类厂内机动车辆与属具选型过程中必须考虑的重要因素，安装上属具后的厂内机动车辆的整体综合承载能力将下降：</w:t>
      </w:r>
    </w:p>
    <w:p>
      <w:pPr>
        <w:pStyle w:val="4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属具的自重产生的力矩抵消了车辆的一部分承载力矩；</w:t>
      </w:r>
    </w:p>
    <w:p>
      <w:pPr>
        <w:pStyle w:val="4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righ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属具后补框架结构的厚度造成实际作业时，货物的载荷中心前移。</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1"/>
          <w:szCs w:val="21"/>
          <w:lang w:val="en-US" w:eastAsia="zh-CN"/>
        </w:rPr>
      </w:pP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综合承载能力参考公式：</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center"/>
        <w:textAlignment w:val="auto"/>
        <w:rPr>
          <w:rFonts w:hint="eastAsia" w:ascii="宋体" w:hAnsi="宋体" w:eastAsia="宋体" w:cs="宋体"/>
          <w:i w:val="0"/>
          <w:kern w:val="2"/>
          <w:sz w:val="21"/>
          <w:szCs w:val="21"/>
          <w:u w:val="none"/>
          <w:shd w:val="clear" w:color="auto" w:fill="auto"/>
          <w:lang w:val="en-US" w:bidi="zh-TW"/>
        </w:rPr>
      </w:pPr>
      <w:r>
        <w:rPr>
          <w:rFonts w:hint="eastAsia" w:ascii="宋体" w:hAnsi="宋体" w:eastAsia="宋体" w:cs="宋体"/>
          <w:kern w:val="2"/>
          <w:sz w:val="21"/>
          <w:szCs w:val="21"/>
          <w:u w:val="none"/>
          <w:shd w:val="clear" w:color="auto" w:fill="auto"/>
          <w:lang w:val="en-US" w:eastAsia="zh-CN" w:bidi="zh-TW"/>
        </w:rPr>
        <w:t>C</w:t>
      </w:r>
      <w:r>
        <w:rPr>
          <w:rFonts w:hint="eastAsia" w:ascii="宋体" w:hAnsi="宋体" w:eastAsia="宋体" w:cs="宋体"/>
          <w:kern w:val="2"/>
          <w:sz w:val="21"/>
          <w:szCs w:val="21"/>
          <w:u w:val="none"/>
          <w:shd w:val="clear" w:color="auto" w:fill="auto"/>
          <w:vertAlign w:val="subscript"/>
          <w:lang w:val="en-US" w:eastAsia="zh-CN" w:bidi="zh-TW"/>
        </w:rPr>
        <w:t>N</w:t>
      </w:r>
      <w:r>
        <w:rPr>
          <w:rFonts w:hint="eastAsia" w:ascii="宋体" w:hAnsi="宋体" w:eastAsia="宋体" w:cs="宋体"/>
          <w:kern w:val="2"/>
          <w:sz w:val="21"/>
          <w:szCs w:val="21"/>
          <w:u w:val="none"/>
          <w:shd w:val="clear" w:color="auto" w:fill="auto"/>
          <w:lang w:val="en-US" w:eastAsia="zh-CN" w:bidi="zh-TW"/>
        </w:rPr>
        <w:t xml:space="preserve"> =</w:t>
      </w:r>
      <m:oMath>
        <m:f>
          <m:fPr>
            <m:ctrlPr>
              <w:rPr>
                <w:rFonts w:hint="eastAsia" w:ascii="Cambria Math" w:hAnsi="Cambria Math" w:eastAsia="宋体" w:cs="宋体"/>
                <w:i/>
                <w:kern w:val="2"/>
                <w:sz w:val="21"/>
                <w:szCs w:val="21"/>
                <w:u w:val="none"/>
                <w:shd w:val="clear" w:color="auto" w:fill="auto"/>
                <w:lang w:val="en-US" w:bidi="zh-TW"/>
              </w:rPr>
            </m:ctrlPr>
          </m:fPr>
          <m:num>
            <m:r>
              <m:rPr/>
              <w:rPr>
                <w:rFonts w:hint="eastAsia" w:ascii="Cambria Math" w:hAnsi="Cambria Math" w:eastAsia="宋体" w:cs="宋体"/>
                <w:kern w:val="2"/>
                <w:sz w:val="21"/>
                <w:szCs w:val="21"/>
                <w:u w:val="none"/>
                <w:shd w:val="clear" w:color="auto" w:fill="auto"/>
                <w:lang w:val="en-US" w:eastAsia="zh-CN" w:bidi="zh-TW"/>
              </w:rPr>
              <m:t>Q(X+C)−M(A+HCG)</m:t>
            </m:r>
            <m:ctrlPr>
              <w:rPr>
                <w:rFonts w:hint="eastAsia" w:ascii="Cambria Math" w:hAnsi="Cambria Math" w:eastAsia="宋体" w:cs="宋体"/>
                <w:i/>
                <w:kern w:val="2"/>
                <w:sz w:val="21"/>
                <w:szCs w:val="21"/>
                <w:u w:val="none"/>
                <w:shd w:val="clear" w:color="auto" w:fill="auto"/>
                <w:lang w:val="en-US" w:bidi="zh-TW"/>
              </w:rPr>
            </m:ctrlPr>
          </m:num>
          <m:den>
            <m:r>
              <m:rPr/>
              <w:rPr>
                <w:rFonts w:hint="eastAsia" w:ascii="Cambria Math" w:hAnsi="Cambria Math" w:eastAsia="宋体" w:cs="宋体"/>
                <w:kern w:val="2"/>
                <w:sz w:val="21"/>
                <w:szCs w:val="21"/>
                <w:u w:val="none"/>
                <w:shd w:val="clear" w:color="auto" w:fill="auto"/>
                <w:lang w:val="en-US" w:eastAsia="zh-CN" w:bidi="zh-TW"/>
              </w:rPr>
              <m:t>A+ET+L</m:t>
            </m:r>
            <m:ctrlPr>
              <w:rPr>
                <w:rFonts w:hint="eastAsia" w:ascii="Cambria Math" w:hAnsi="Cambria Math" w:eastAsia="宋体" w:cs="宋体"/>
                <w:i/>
                <w:kern w:val="2"/>
                <w:sz w:val="21"/>
                <w:szCs w:val="21"/>
                <w:u w:val="none"/>
                <w:shd w:val="clear" w:color="auto" w:fill="auto"/>
                <w:lang w:val="en-US" w:bidi="zh-TW"/>
              </w:rPr>
            </m:ctrlPr>
          </m:den>
        </m:f>
      </m:oMath>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center"/>
        <w:textAlignment w:val="auto"/>
        <w:rPr>
          <w:rFonts w:hint="eastAsia" w:ascii="宋体" w:hAnsi="宋体" w:eastAsia="宋体" w:cs="宋体"/>
          <w:i w:val="0"/>
          <w:kern w:val="2"/>
          <w:sz w:val="21"/>
          <w:szCs w:val="21"/>
          <w:u w:val="none"/>
          <w:shd w:val="clear" w:color="auto" w:fill="auto"/>
          <w:lang w:val="en-US" w:bidi="zh-TW"/>
        </w:rPr>
      </w:pP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式中：</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Q：车辆额定承载能力（Kg）；（注；车辆的额定承载能力与最大起升高度有关）</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M：属具自重(Kg)；</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1470" w:leftChars="200" w:right="0" w:rightChars="0" w:hanging="1050" w:hangingChars="50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b w:val="0"/>
          <w:bCs w:val="0"/>
          <w:i w:val="0"/>
          <w:kern w:val="2"/>
          <w:sz w:val="21"/>
          <w:szCs w:val="21"/>
          <w:u w:val="none"/>
          <w:shd w:val="clear" w:color="auto" w:fill="auto"/>
          <w:lang w:val="en-US" w:eastAsia="zh-CN" w:bidi="zh-TW"/>
        </w:rPr>
        <w:t>A</w:t>
      </w:r>
      <w:r>
        <w:rPr>
          <w:rFonts w:hint="eastAsia" w:ascii="宋体" w:hAnsi="宋体" w:eastAsia="宋体" w:cs="宋体"/>
          <w:i w:val="0"/>
          <w:kern w:val="2"/>
          <w:sz w:val="21"/>
          <w:szCs w:val="21"/>
          <w:u w:val="none"/>
          <w:shd w:val="clear" w:color="auto" w:fill="auto"/>
          <w:lang w:val="en-US" w:eastAsia="zh-CN" w:bidi="zh-TW"/>
        </w:rPr>
        <w:t xml:space="preserve">：前轮中心至货叉架前端面的水平距离(mm),对于由普通叉车改造而成的车辆A=X-S， </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1449" w:leftChars="390" w:right="0" w:rightChars="0" w:hanging="630" w:hangingChars="30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X为前轮中心至货叉前端面的水平距离（mm），S为货叉厚度（mm）；</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20" w:firstLine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HCG：货叉架前端面至属具重心的水平距离（mm）；</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20" w:firstLine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ET：货叉架前端面至载荷后端面的水平距离（mm）；</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20" w:firstLineChars="0"/>
        <w:jc w:val="left"/>
        <w:textAlignment w:val="auto"/>
        <w:rPr>
          <w:rFonts w:hint="eastAsia" w:ascii="宋体" w:hAnsi="宋体" w:eastAsia="宋体" w:cs="宋体"/>
          <w:i w:val="0"/>
          <w:kern w:val="2"/>
          <w:sz w:val="21"/>
          <w:szCs w:val="21"/>
          <w:u w:val="none"/>
          <w:shd w:val="clear" w:color="auto" w:fill="auto"/>
          <w:lang w:val="en-US" w:eastAsia="zh-CN" w:bidi="zh-TW"/>
        </w:rPr>
      </w:pPr>
      <w:r>
        <w:rPr>
          <w:rFonts w:hint="eastAsia" w:ascii="宋体" w:hAnsi="宋体" w:eastAsia="宋体" w:cs="宋体"/>
          <w:i w:val="0"/>
          <w:kern w:val="2"/>
          <w:sz w:val="21"/>
          <w:szCs w:val="21"/>
          <w:u w:val="none"/>
          <w:shd w:val="clear" w:color="auto" w:fill="auto"/>
          <w:lang w:val="en-US" w:eastAsia="zh-CN" w:bidi="zh-TW"/>
        </w:rPr>
        <w:t>L：载荷后载面到载荷中心的水平距离（mm）</w:t>
      </w:r>
    </w:p>
    <w:p>
      <w:pPr>
        <w:pStyle w:val="4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firstLine="420" w:firstLineChars="0"/>
        <w:jc w:val="left"/>
        <w:textAlignment w:val="auto"/>
        <w:rPr>
          <w:rFonts w:hint="eastAsia" w:ascii="宋体" w:hAnsi="宋体" w:eastAsia="宋体" w:cs="宋体"/>
          <w:i w:val="0"/>
          <w:kern w:val="2"/>
          <w:sz w:val="21"/>
          <w:szCs w:val="21"/>
          <w:u w:val="none"/>
          <w:shd w:val="clear" w:color="auto" w:fill="auto"/>
          <w:lang w:val="en-US" w:eastAsia="zh-CN" w:bidi="zh-TW"/>
        </w:rPr>
      </w:pPr>
    </w:p>
    <w:p>
      <w:pPr>
        <w:pStyle w:val="2"/>
        <w:bidi w:val="0"/>
        <w:rPr>
          <w:rFonts w:hint="eastAsia" w:ascii="宋体" w:hAnsi="宋体" w:eastAsia="宋体" w:cs="宋体"/>
          <w:sz w:val="21"/>
          <w:szCs w:val="21"/>
          <w:lang w:val="en-US" w:eastAsia="zh-CN"/>
        </w:rPr>
        <w:sectPr>
          <w:pgSz w:w="11906" w:h="16838"/>
          <w:pgMar w:top="1440" w:right="1511" w:bottom="1246"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bidi w:val="0"/>
        <w:rPr>
          <w:rFonts w:hint="eastAsia"/>
          <w:b/>
          <w:bCs/>
          <w:color w:val="auto"/>
          <w:sz w:val="24"/>
        </w:rPr>
      </w:pPr>
      <w:bookmarkStart w:id="56" w:name="_Toc8714"/>
      <w:r>
        <w:rPr>
          <w:rFonts w:hint="eastAsia"/>
          <w:sz w:val="24"/>
          <w:szCs w:val="36"/>
          <w:lang w:val="en-US" w:eastAsia="zh-CN"/>
        </w:rPr>
        <w:t>附录</w:t>
      </w:r>
      <w:bookmarkStart w:id="57" w:name="_Toc31171"/>
      <w:r>
        <w:rPr>
          <w:rFonts w:hint="eastAsia"/>
          <w:sz w:val="24"/>
          <w:szCs w:val="36"/>
          <w:lang w:val="en-US" w:eastAsia="zh-CN"/>
        </w:rPr>
        <w:t>C</w:t>
      </w:r>
      <w:r>
        <w:rPr>
          <w:rFonts w:hint="eastAsia"/>
          <w:sz w:val="24"/>
          <w:szCs w:val="36"/>
          <w:lang w:eastAsia="zh-CN"/>
        </w:rPr>
        <w:t>抱夹类场（厂）内专用机动车辆</w:t>
      </w:r>
      <w:r>
        <w:rPr>
          <w:rFonts w:hint="eastAsia"/>
          <w:sz w:val="24"/>
          <w:szCs w:val="36"/>
        </w:rPr>
        <w:t>检验报告</w:t>
      </w:r>
      <w:bookmarkEnd w:id="56"/>
      <w:bookmarkEnd w:id="57"/>
    </w:p>
    <w:p>
      <w:pPr>
        <w:ind w:firstLine="5400" w:firstLineChars="2250"/>
        <w:rPr>
          <w:rFonts w:hint="eastAsia" w:ascii="宋体"/>
          <w:color w:val="auto"/>
          <w:sz w:val="24"/>
          <w:u w:val="single"/>
        </w:rPr>
      </w:pPr>
      <w:r>
        <w:rPr>
          <w:rFonts w:hint="eastAsia" w:ascii="宋体"/>
          <w:color w:val="auto"/>
          <w:sz w:val="24"/>
        </w:rPr>
        <w:t>报告编号:</w:t>
      </w:r>
      <w:r>
        <w:rPr>
          <w:rFonts w:hint="eastAsia" w:ascii="宋体"/>
          <w:color w:val="auto"/>
          <w:sz w:val="24"/>
          <w:u w:val="single"/>
        </w:rPr>
        <w:t xml:space="preserve">                     </w:t>
      </w:r>
    </w:p>
    <w:p>
      <w:pPr>
        <w:rPr>
          <w:rFonts w:hint="eastAsia" w:ascii="宋体"/>
          <w:color w:val="auto"/>
          <w:sz w:val="24"/>
          <w:u w:val="single"/>
        </w:rPr>
      </w:pPr>
    </w:p>
    <w:p>
      <w:pPr>
        <w:jc w:val="center"/>
        <w:rPr>
          <w:rFonts w:hint="eastAsia" w:ascii="黑体" w:eastAsia="黑体"/>
          <w:b/>
          <w:bCs/>
          <w:color w:val="auto"/>
          <w:sz w:val="44"/>
          <w:szCs w:val="44"/>
        </w:rPr>
      </w:pPr>
    </w:p>
    <w:p>
      <w:pPr>
        <w:spacing w:line="360" w:lineRule="auto"/>
        <w:jc w:val="center"/>
        <w:rPr>
          <w:rFonts w:hint="eastAsia" w:ascii="黑体" w:eastAsia="黑体"/>
          <w:b/>
          <w:bCs/>
          <w:color w:val="auto"/>
          <w:sz w:val="48"/>
          <w:szCs w:val="48"/>
        </w:rPr>
      </w:pPr>
      <w:r>
        <w:rPr>
          <w:rFonts w:hint="eastAsia" w:ascii="黑体" w:eastAsia="黑体"/>
          <w:b/>
          <w:bCs/>
          <w:color w:val="auto"/>
          <w:sz w:val="48"/>
          <w:szCs w:val="48"/>
        </w:rPr>
        <w:t>抱夹类场(厂)内专用机动车辆</w:t>
      </w:r>
    </w:p>
    <w:p>
      <w:pPr>
        <w:spacing w:line="360" w:lineRule="auto"/>
        <w:jc w:val="center"/>
        <w:rPr>
          <w:rFonts w:hint="eastAsia" w:ascii="黑体" w:eastAsia="黑体"/>
          <w:b/>
          <w:bCs/>
          <w:color w:val="auto"/>
          <w:sz w:val="48"/>
          <w:szCs w:val="48"/>
        </w:rPr>
      </w:pPr>
      <w:r>
        <w:rPr>
          <w:rFonts w:hint="eastAsia" w:ascii="黑体" w:eastAsia="黑体"/>
          <w:b/>
          <w:bCs/>
          <w:color w:val="auto"/>
          <w:sz w:val="48"/>
          <w:szCs w:val="48"/>
        </w:rPr>
        <w:t>检验报告</w:t>
      </w:r>
    </w:p>
    <w:p>
      <w:pPr>
        <w:spacing w:line="360" w:lineRule="auto"/>
        <w:jc w:val="center"/>
        <w:rPr>
          <w:rFonts w:hint="eastAsia" w:ascii="黑体" w:eastAsia="黑体"/>
          <w:b/>
          <w:bCs/>
          <w:color w:val="auto"/>
          <w:sz w:val="48"/>
          <w:szCs w:val="48"/>
        </w:rPr>
      </w:pPr>
    </w:p>
    <w:p>
      <w:pPr>
        <w:spacing w:line="360" w:lineRule="auto"/>
        <w:jc w:val="both"/>
        <w:rPr>
          <w:rFonts w:hint="eastAsia" w:ascii="黑体" w:eastAsia="黑体"/>
          <w:b/>
          <w:bCs/>
          <w:color w:val="auto"/>
          <w:sz w:val="48"/>
          <w:szCs w:val="48"/>
        </w:rPr>
      </w:pPr>
    </w:p>
    <w:p>
      <w:pPr>
        <w:spacing w:line="360" w:lineRule="auto"/>
        <w:jc w:val="both"/>
        <w:rPr>
          <w:rFonts w:hint="eastAsia" w:ascii="黑体" w:eastAsia="黑体"/>
          <w:b/>
          <w:bCs/>
          <w:color w:val="auto"/>
          <w:sz w:val="48"/>
          <w:szCs w:val="48"/>
        </w:rPr>
      </w:pPr>
    </w:p>
    <w:p>
      <w:pPr>
        <w:rPr>
          <w:rFonts w:hint="eastAsia" w:ascii="宋体"/>
          <w:color w:val="auto"/>
          <w:sz w:val="32"/>
          <w:szCs w:val="32"/>
        </w:rPr>
      </w:pPr>
    </w:p>
    <w:p>
      <w:pPr>
        <w:ind w:firstLine="960" w:firstLineChars="300"/>
        <w:rPr>
          <w:rFonts w:ascii="宋体" w:hAnsi="宋体"/>
          <w:color w:val="auto"/>
          <w:spacing w:val="-16"/>
          <w:sz w:val="32"/>
          <w:szCs w:val="32"/>
        </w:rPr>
      </w:pPr>
      <w:r>
        <w:rPr>
          <w:rFonts w:hint="eastAsia" w:ascii="宋体" w:hAnsi="宋体"/>
          <w:color w:val="auto"/>
          <w:sz w:val="32"/>
          <w:szCs w:val="32"/>
        </w:rPr>
        <w:t>使</w:t>
      </w:r>
      <w:r>
        <w:rPr>
          <w:rFonts w:hint="eastAsia" w:ascii="宋体" w:hAnsi="宋体"/>
          <w:color w:val="auto"/>
          <w:sz w:val="32"/>
          <w:szCs w:val="32"/>
          <w:lang w:val="en-US" w:eastAsia="zh-CN"/>
        </w:rPr>
        <w:t xml:space="preserve">  </w:t>
      </w:r>
      <w:r>
        <w:rPr>
          <w:rFonts w:hint="eastAsia" w:ascii="宋体" w:hAnsi="宋体"/>
          <w:color w:val="auto"/>
          <w:sz w:val="32"/>
          <w:szCs w:val="32"/>
        </w:rPr>
        <w:t>用</w:t>
      </w:r>
      <w:r>
        <w:rPr>
          <w:rFonts w:hint="eastAsia" w:ascii="宋体" w:hAnsi="宋体"/>
          <w:color w:val="auto"/>
          <w:sz w:val="32"/>
          <w:szCs w:val="32"/>
          <w:lang w:val="en-US" w:eastAsia="zh-CN"/>
        </w:rPr>
        <w:t xml:space="preserve">  </w:t>
      </w:r>
      <w:r>
        <w:rPr>
          <w:rFonts w:hint="eastAsia" w:ascii="宋体" w:hAnsi="宋体"/>
          <w:color w:val="auto"/>
          <w:sz w:val="32"/>
          <w:szCs w:val="32"/>
        </w:rPr>
        <w:t>单</w:t>
      </w:r>
      <w:r>
        <w:rPr>
          <w:rFonts w:hint="eastAsia" w:ascii="宋体" w:hAnsi="宋体"/>
          <w:color w:val="auto"/>
          <w:sz w:val="32"/>
          <w:szCs w:val="32"/>
          <w:lang w:val="en-US" w:eastAsia="zh-CN"/>
        </w:rPr>
        <w:t xml:space="preserve">  </w:t>
      </w:r>
      <w:r>
        <w:rPr>
          <w:rFonts w:hint="eastAsia" w:ascii="宋体" w:hAnsi="宋体"/>
          <w:color w:val="auto"/>
          <w:sz w:val="32"/>
          <w:szCs w:val="32"/>
        </w:rPr>
        <w:t>位</w:t>
      </w:r>
      <w:r>
        <w:rPr>
          <w:rFonts w:ascii="宋体" w:hAnsi="宋体"/>
          <w:color w:val="auto"/>
          <w:sz w:val="32"/>
          <w:szCs w:val="32"/>
        </w:rPr>
        <w:t>:</w:t>
      </w:r>
      <w:r>
        <w:rPr>
          <w:rFonts w:hint="eastAsia" w:ascii="宋体" w:hAnsi="宋体"/>
          <w:color w:val="auto"/>
          <w:sz w:val="32"/>
          <w:szCs w:val="32"/>
        </w:rPr>
        <w:t xml:space="preserve"> </w:t>
      </w:r>
      <w:r>
        <w:rPr>
          <w:rFonts w:ascii="宋体" w:hAnsi="宋体"/>
          <w:color w:val="auto"/>
          <w:spacing w:val="-16"/>
          <w:sz w:val="32"/>
          <w:szCs w:val="32"/>
          <w:u w:val="single"/>
        </w:rPr>
        <w:t xml:space="preserve">                        </w:t>
      </w:r>
      <w:r>
        <w:rPr>
          <w:rFonts w:hint="eastAsia" w:ascii="宋体" w:hAnsi="宋体"/>
          <w:color w:val="auto"/>
          <w:spacing w:val="-16"/>
          <w:sz w:val="32"/>
          <w:szCs w:val="32"/>
          <w:u w:val="single"/>
        </w:rPr>
        <w:t xml:space="preserve">       </w:t>
      </w:r>
      <w:r>
        <w:rPr>
          <w:rFonts w:ascii="宋体" w:hAnsi="宋体"/>
          <w:color w:val="auto"/>
          <w:spacing w:val="-16"/>
          <w:sz w:val="32"/>
          <w:szCs w:val="32"/>
          <w:u w:val="single"/>
        </w:rPr>
        <w:t xml:space="preserve"> </w:t>
      </w:r>
    </w:p>
    <w:p>
      <w:pPr>
        <w:ind w:firstLine="960" w:firstLineChars="300"/>
        <w:rPr>
          <w:rFonts w:hint="eastAsia" w:ascii="宋体" w:hAnsi="宋体"/>
          <w:color w:val="auto"/>
          <w:sz w:val="32"/>
          <w:szCs w:val="32"/>
          <w:u w:val="single"/>
        </w:rPr>
      </w:pPr>
      <w:r>
        <w:rPr>
          <w:rFonts w:hint="eastAsia" w:ascii="宋体" w:hAnsi="宋体"/>
          <w:color w:val="auto"/>
          <w:sz w:val="32"/>
          <w:szCs w:val="32"/>
          <w:lang w:val="en-US" w:eastAsia="zh-CN"/>
        </w:rPr>
        <w:t xml:space="preserve">产  品 </w:t>
      </w:r>
      <w:r>
        <w:rPr>
          <w:rFonts w:hint="eastAsia" w:ascii="宋体" w:hAnsi="宋体"/>
          <w:color w:val="auto"/>
          <w:sz w:val="32"/>
          <w:szCs w:val="32"/>
        </w:rPr>
        <w:t xml:space="preserve"> 名 </w:t>
      </w:r>
      <w:r>
        <w:rPr>
          <w:rFonts w:hint="eastAsia" w:ascii="宋体" w:hAnsi="宋体"/>
          <w:color w:val="auto"/>
          <w:sz w:val="32"/>
          <w:szCs w:val="32"/>
          <w:lang w:val="en-US" w:eastAsia="zh-CN"/>
        </w:rPr>
        <w:t xml:space="preserve"> </w:t>
      </w:r>
      <w:r>
        <w:rPr>
          <w:rFonts w:hint="eastAsia" w:ascii="宋体" w:hAnsi="宋体"/>
          <w:color w:val="auto"/>
          <w:sz w:val="32"/>
          <w:szCs w:val="32"/>
        </w:rPr>
        <w:t>称</w:t>
      </w:r>
      <w:r>
        <w:rPr>
          <w:rFonts w:ascii="宋体" w:hAnsi="宋体"/>
          <w:color w:val="auto"/>
          <w:sz w:val="32"/>
          <w:szCs w:val="32"/>
        </w:rPr>
        <w:t>:</w:t>
      </w:r>
      <w:r>
        <w:rPr>
          <w:rFonts w:hint="eastAsia" w:ascii="宋体" w:hAnsi="宋体"/>
          <w:color w:val="auto"/>
          <w:sz w:val="32"/>
          <w:szCs w:val="32"/>
          <w:lang w:val="en-US" w:eastAsia="zh-CN"/>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p>
    <w:p>
      <w:pPr>
        <w:ind w:firstLine="960" w:firstLineChars="300"/>
        <w:rPr>
          <w:rFonts w:hint="eastAsia" w:ascii="宋体" w:hAnsi="宋体"/>
          <w:color w:val="auto"/>
          <w:sz w:val="32"/>
          <w:szCs w:val="32"/>
          <w:u w:val="single"/>
        </w:rPr>
      </w:pPr>
      <w:r>
        <w:rPr>
          <w:rFonts w:hint="eastAsia" w:ascii="宋体" w:hAnsi="宋体"/>
          <w:color w:val="auto"/>
          <w:sz w:val="32"/>
          <w:szCs w:val="32"/>
          <w:lang w:val="en-US" w:eastAsia="zh-CN"/>
        </w:rPr>
        <w:t>产  品  型  号</w:t>
      </w:r>
      <w:r>
        <w:rPr>
          <w:rFonts w:ascii="宋体" w:hAnsi="宋体"/>
          <w:color w:val="auto"/>
          <w:sz w:val="32"/>
          <w:szCs w:val="32"/>
        </w:rPr>
        <w:t>:</w:t>
      </w:r>
      <w:r>
        <w:rPr>
          <w:rFonts w:hint="eastAsia" w:ascii="宋体" w:hAnsi="宋体"/>
          <w:color w:val="auto"/>
          <w:sz w:val="32"/>
          <w:szCs w:val="32"/>
          <w:lang w:val="en-US" w:eastAsia="zh-CN"/>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ind w:firstLine="960" w:firstLineChars="300"/>
        <w:rPr>
          <w:rFonts w:hint="default" w:ascii="宋体" w:hAnsi="宋体" w:eastAsia="宋体"/>
          <w:color w:val="auto"/>
          <w:sz w:val="32"/>
          <w:szCs w:val="32"/>
          <w:u w:val="single"/>
          <w:lang w:val="en-US" w:eastAsia="zh-CN"/>
        </w:rPr>
      </w:pPr>
      <w:r>
        <w:rPr>
          <w:rFonts w:hint="eastAsia" w:ascii="宋体" w:hAnsi="宋体"/>
          <w:color w:val="auto"/>
          <w:sz w:val="32"/>
          <w:szCs w:val="32"/>
        </w:rPr>
        <w:t xml:space="preserve">设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备 </w:t>
      </w:r>
      <w:r>
        <w:rPr>
          <w:rFonts w:hint="eastAsia" w:ascii="宋体" w:hAnsi="宋体"/>
          <w:color w:val="auto"/>
          <w:sz w:val="32"/>
          <w:szCs w:val="32"/>
          <w:lang w:val="en-US" w:eastAsia="zh-CN"/>
        </w:rPr>
        <w:t xml:space="preserve"> </w:t>
      </w:r>
      <w:r>
        <w:rPr>
          <w:rFonts w:hint="eastAsia" w:ascii="宋体" w:hAnsi="宋体"/>
          <w:color w:val="auto"/>
          <w:sz w:val="32"/>
          <w:szCs w:val="32"/>
        </w:rPr>
        <w:t>代</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码</w:t>
      </w:r>
      <w:r>
        <w:rPr>
          <w:rFonts w:ascii="宋体" w:hAnsi="宋体"/>
          <w:color w:val="auto"/>
          <w:sz w:val="32"/>
          <w:szCs w:val="32"/>
        </w:rPr>
        <w:t>:</w:t>
      </w:r>
      <w:r>
        <w:rPr>
          <w:rFonts w:hint="eastAsia" w:ascii="宋体" w:hAnsi="宋体"/>
          <w:color w:val="auto"/>
          <w:sz w:val="32"/>
          <w:szCs w:val="32"/>
          <w:lang w:val="en-US" w:eastAsia="zh-CN"/>
        </w:rPr>
        <w:t xml:space="preserve"> </w:t>
      </w:r>
      <w:r>
        <w:rPr>
          <w:rFonts w:ascii="宋体" w:hAnsi="宋体"/>
          <w:color w:val="auto"/>
          <w:sz w:val="32"/>
          <w:szCs w:val="32"/>
          <w:u w:val="single"/>
        </w:rPr>
        <w:t xml:space="preserve">                          </w:t>
      </w:r>
    </w:p>
    <w:p>
      <w:pPr>
        <w:ind w:firstLine="960" w:firstLineChars="300"/>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检  验  类  别</w:t>
      </w:r>
      <w:r>
        <w:rPr>
          <w:rFonts w:ascii="宋体" w:hAnsi="宋体"/>
          <w:color w:val="auto"/>
          <w:sz w:val="32"/>
          <w:szCs w:val="32"/>
        </w:rPr>
        <w:t>:</w:t>
      </w:r>
      <w:r>
        <w:rPr>
          <w:rFonts w:hint="eastAsia" w:ascii="宋体" w:hAnsi="宋体"/>
          <w:color w:val="auto"/>
          <w:sz w:val="32"/>
          <w:szCs w:val="32"/>
          <w:lang w:val="en-US" w:eastAsia="zh-CN"/>
        </w:rPr>
        <w:t xml:space="preserve"> </w:t>
      </w:r>
      <w:r>
        <w:rPr>
          <w:rFonts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ascii="宋体" w:hAnsi="宋体"/>
          <w:color w:val="auto"/>
          <w:sz w:val="32"/>
          <w:szCs w:val="32"/>
          <w:u w:val="single"/>
        </w:rPr>
        <w:t xml:space="preserve"> </w:t>
      </w:r>
    </w:p>
    <w:p>
      <w:pPr>
        <w:ind w:firstLine="960" w:firstLineChars="300"/>
        <w:rPr>
          <w:rFonts w:ascii="宋体" w:hAnsi="宋体"/>
          <w:color w:val="auto"/>
          <w:sz w:val="32"/>
          <w:szCs w:val="32"/>
        </w:rPr>
      </w:pPr>
      <w:r>
        <w:rPr>
          <w:rFonts w:hint="eastAsia" w:ascii="宋体" w:hAnsi="宋体"/>
          <w:color w:val="auto"/>
          <w:sz w:val="32"/>
          <w:szCs w:val="32"/>
        </w:rPr>
        <w:t xml:space="preserve">检 </w:t>
      </w:r>
      <w:r>
        <w:rPr>
          <w:rFonts w:hint="eastAsia" w:ascii="宋体" w:hAnsi="宋体"/>
          <w:color w:val="auto"/>
          <w:sz w:val="32"/>
          <w:szCs w:val="32"/>
          <w:lang w:val="en-US" w:eastAsia="zh-CN"/>
        </w:rPr>
        <w:t xml:space="preserve"> </w:t>
      </w:r>
      <w:r>
        <w:rPr>
          <w:rFonts w:hint="eastAsia" w:ascii="宋体" w:hAnsi="宋体"/>
          <w:color w:val="auto"/>
          <w:sz w:val="32"/>
          <w:szCs w:val="32"/>
        </w:rPr>
        <w:t>验</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日</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期</w:t>
      </w:r>
      <w:r>
        <w:rPr>
          <w:rFonts w:ascii="宋体" w:hAnsi="宋体"/>
          <w:color w:val="auto"/>
          <w:sz w:val="32"/>
          <w:szCs w:val="32"/>
        </w:rPr>
        <w:t>:</w:t>
      </w:r>
      <w:r>
        <w:rPr>
          <w:rFonts w:hint="eastAsia" w:ascii="宋体" w:hAnsi="宋体"/>
          <w:color w:val="auto"/>
          <w:sz w:val="32"/>
          <w:szCs w:val="32"/>
          <w:lang w:val="en-US" w:eastAsia="zh-CN"/>
        </w:rPr>
        <w:t xml:space="preserve"> </w:t>
      </w:r>
      <w:r>
        <w:rPr>
          <w:rFonts w:ascii="宋体" w:hAnsi="宋体"/>
          <w:color w:val="auto"/>
          <w:sz w:val="32"/>
          <w:szCs w:val="32"/>
          <w:u w:val="single"/>
        </w:rPr>
        <w:t xml:space="preserve">                          </w:t>
      </w:r>
    </w:p>
    <w:p>
      <w:pPr>
        <w:jc w:val="center"/>
        <w:rPr>
          <w:rFonts w:hint="eastAsia"/>
          <w:b/>
          <w:bCs/>
          <w:color w:val="auto"/>
          <w:sz w:val="30"/>
        </w:rPr>
      </w:pPr>
    </w:p>
    <w:p>
      <w:pPr>
        <w:jc w:val="center"/>
        <w:rPr>
          <w:rFonts w:hint="eastAsia"/>
          <w:b/>
          <w:bCs/>
          <w:color w:val="auto"/>
          <w:sz w:val="36"/>
        </w:rPr>
      </w:pPr>
    </w:p>
    <w:p>
      <w:pPr>
        <w:jc w:val="center"/>
        <w:rPr>
          <w:rFonts w:hint="eastAsia"/>
          <w:b/>
          <w:bCs/>
          <w:color w:val="auto"/>
          <w:sz w:val="36"/>
        </w:rPr>
      </w:pPr>
    </w:p>
    <w:p>
      <w:pPr>
        <w:adjustRightInd w:val="0"/>
        <w:snapToGrid w:val="0"/>
        <w:spacing w:line="360" w:lineRule="auto"/>
        <w:jc w:val="center"/>
        <w:rPr>
          <w:rFonts w:hint="eastAsia"/>
          <w:b/>
          <w:bCs/>
          <w:color w:val="auto"/>
          <w:sz w:val="30"/>
        </w:rPr>
      </w:pPr>
      <w:r>
        <w:rPr>
          <w:rFonts w:hint="eastAsia" w:ascii="宋体" w:hAnsi="宋体"/>
          <w:b/>
          <w:color w:val="auto"/>
          <w:sz w:val="32"/>
          <w:szCs w:val="44"/>
        </w:rPr>
        <w:t>陕西省特种设备检验检测研究院</w:t>
      </w:r>
    </w:p>
    <w:p>
      <w:pPr>
        <w:adjustRightInd w:val="0"/>
        <w:spacing w:line="360" w:lineRule="auto"/>
        <w:jc w:val="center"/>
        <w:outlineLvl w:val="0"/>
        <w:rPr>
          <w:rFonts w:hint="eastAsia" w:eastAsia="黑体"/>
          <w:color w:val="auto"/>
          <w:kern w:val="0"/>
          <w:sz w:val="32"/>
          <w:szCs w:val="32"/>
        </w:rPr>
        <w:sectPr>
          <w:pgSz w:w="11906" w:h="16838"/>
          <w:pgMar w:top="1440" w:right="1511" w:bottom="1246"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pacing w:line="360" w:lineRule="auto"/>
        <w:jc w:val="center"/>
        <w:outlineLvl w:val="0"/>
        <w:rPr>
          <w:rFonts w:hint="eastAsia" w:eastAsia="黑体"/>
          <w:color w:val="auto"/>
          <w:kern w:val="0"/>
          <w:sz w:val="32"/>
          <w:szCs w:val="32"/>
        </w:rPr>
      </w:pPr>
    </w:p>
    <w:p>
      <w:pPr>
        <w:bidi w:val="0"/>
        <w:jc w:val="center"/>
        <w:rPr>
          <w:rFonts w:hint="eastAsia"/>
          <w:sz w:val="30"/>
          <w:szCs w:val="30"/>
        </w:rPr>
      </w:pPr>
      <w:r>
        <w:rPr>
          <w:rFonts w:hint="eastAsia"/>
          <w:sz w:val="30"/>
          <w:szCs w:val="30"/>
        </w:rPr>
        <w:t xml:space="preserve">注 </w:t>
      </w:r>
      <w:r>
        <w:rPr>
          <w:sz w:val="30"/>
          <w:szCs w:val="30"/>
        </w:rPr>
        <w:t xml:space="preserve"> </w:t>
      </w:r>
      <w:r>
        <w:rPr>
          <w:rFonts w:hint="eastAsia"/>
          <w:sz w:val="30"/>
          <w:szCs w:val="30"/>
        </w:rPr>
        <w:t xml:space="preserve">意 </w:t>
      </w:r>
      <w:r>
        <w:rPr>
          <w:sz w:val="30"/>
          <w:szCs w:val="30"/>
        </w:rPr>
        <w:t xml:space="preserve"> </w:t>
      </w:r>
      <w:r>
        <w:rPr>
          <w:rFonts w:hint="eastAsia"/>
          <w:sz w:val="30"/>
          <w:szCs w:val="30"/>
        </w:rPr>
        <w:t xml:space="preserve">事 </w:t>
      </w:r>
      <w:r>
        <w:rPr>
          <w:sz w:val="30"/>
          <w:szCs w:val="30"/>
        </w:rPr>
        <w:t xml:space="preserve"> </w:t>
      </w:r>
      <w:r>
        <w:rPr>
          <w:rFonts w:hint="eastAsia"/>
          <w:sz w:val="30"/>
          <w:szCs w:val="30"/>
        </w:rPr>
        <w:t>项</w:t>
      </w:r>
    </w:p>
    <w:p>
      <w:pPr>
        <w:spacing w:line="360" w:lineRule="auto"/>
        <w:ind w:left="-525" w:leftChars="-250" w:firstLine="480" w:firstLineChars="200"/>
        <w:rPr>
          <w:rFonts w:hint="eastAsia" w:ascii="宋体"/>
          <w:bCs/>
          <w:color w:val="auto"/>
          <w:sz w:val="24"/>
        </w:rPr>
      </w:pPr>
    </w:p>
    <w:p>
      <w:pPr>
        <w:spacing w:line="360" w:lineRule="auto"/>
        <w:ind w:left="-525" w:leftChars="-250" w:firstLine="480" w:firstLineChars="200"/>
        <w:rPr>
          <w:rFonts w:hint="eastAsia" w:ascii="宋体"/>
          <w:bCs/>
          <w:color w:val="auto"/>
          <w:sz w:val="24"/>
        </w:rPr>
      </w:pPr>
      <w:r>
        <w:rPr>
          <w:rFonts w:hint="eastAsia" w:ascii="宋体"/>
          <w:bCs/>
          <w:color w:val="auto"/>
          <w:sz w:val="24"/>
        </w:rPr>
        <w:t>1、本报告</w:t>
      </w:r>
      <w:r>
        <w:rPr>
          <w:rFonts w:hint="eastAsia" w:ascii="宋体"/>
          <w:bCs/>
          <w:color w:val="auto"/>
          <w:sz w:val="24"/>
          <w:lang w:val="en-US" w:eastAsia="zh-CN"/>
        </w:rPr>
        <w:t>依据《场（厂）内专用机动车辆安全技术规程》（TSG 81-2022）和《抱夹类场（厂）内专用机动车辆检验规则》（</w:t>
      </w:r>
      <w:r>
        <w:rPr>
          <w:color w:val="auto"/>
        </w:rPr>
        <w:t>DB61/ ××××—20</w:t>
      </w:r>
      <w:r>
        <w:rPr>
          <w:rFonts w:hint="eastAsia"/>
          <w:color w:val="auto"/>
        </w:rPr>
        <w:t>2</w:t>
      </w:r>
      <w:r>
        <w:rPr>
          <w:color w:val="auto"/>
        </w:rPr>
        <w:t>×</w:t>
      </w:r>
      <w:r>
        <w:rPr>
          <w:rFonts w:hint="eastAsia" w:ascii="宋体"/>
          <w:bCs/>
          <w:color w:val="auto"/>
          <w:sz w:val="24"/>
          <w:lang w:val="en-US" w:eastAsia="zh-CN"/>
        </w:rPr>
        <w:t>）制定，</w:t>
      </w:r>
      <w:r>
        <w:rPr>
          <w:rFonts w:hint="eastAsia" w:ascii="宋体"/>
          <w:bCs/>
          <w:color w:val="auto"/>
          <w:sz w:val="24"/>
        </w:rPr>
        <w:t>适用于</w:t>
      </w:r>
      <w:r>
        <w:rPr>
          <w:rFonts w:hint="eastAsia" w:ascii="宋体"/>
          <w:bCs/>
          <w:color w:val="auto"/>
          <w:sz w:val="24"/>
          <w:lang w:val="en-US" w:eastAsia="zh-CN"/>
        </w:rPr>
        <w:t>抱夹类场（厂）内专用机动车辆的</w:t>
      </w:r>
      <w:r>
        <w:rPr>
          <w:rFonts w:hint="eastAsia" w:ascii="宋体"/>
          <w:bCs/>
          <w:color w:val="auto"/>
          <w:sz w:val="24"/>
        </w:rPr>
        <w:t>检验。</w:t>
      </w:r>
    </w:p>
    <w:p>
      <w:pPr>
        <w:spacing w:line="360" w:lineRule="auto"/>
        <w:ind w:left="-525" w:leftChars="-250" w:firstLine="480" w:firstLineChars="200"/>
        <w:rPr>
          <w:rFonts w:hint="eastAsia" w:ascii="宋体"/>
          <w:bCs/>
          <w:color w:val="auto"/>
          <w:sz w:val="24"/>
        </w:rPr>
      </w:pPr>
      <w:r>
        <w:rPr>
          <w:rFonts w:hint="eastAsia" w:ascii="宋体"/>
          <w:bCs/>
          <w:color w:val="000000"/>
          <w:sz w:val="24"/>
        </w:rPr>
        <w:t>2、本报告应</w:t>
      </w:r>
      <w:r>
        <w:rPr>
          <w:rFonts w:hint="eastAsia" w:ascii="宋体"/>
          <w:bCs/>
          <w:color w:val="000000"/>
          <w:sz w:val="24"/>
          <w:lang w:val="en-US" w:eastAsia="zh-CN"/>
        </w:rPr>
        <w:t>当</w:t>
      </w:r>
      <w:r>
        <w:rPr>
          <w:rFonts w:hint="eastAsia" w:ascii="宋体"/>
          <w:bCs/>
          <w:color w:val="000000"/>
          <w:sz w:val="24"/>
        </w:rPr>
        <w:t>由计算机打印输出</w:t>
      </w:r>
      <w:r>
        <w:rPr>
          <w:rFonts w:hint="eastAsia" w:ascii="宋体"/>
          <w:bCs/>
          <w:color w:val="000000"/>
          <w:sz w:val="24"/>
          <w:lang w:eastAsia="zh-CN"/>
        </w:rPr>
        <w:t>，</w:t>
      </w:r>
      <w:r>
        <w:rPr>
          <w:rFonts w:hint="eastAsia" w:ascii="宋体"/>
          <w:bCs/>
          <w:color w:val="000000"/>
          <w:sz w:val="24"/>
        </w:rPr>
        <w:t>或</w:t>
      </w:r>
      <w:r>
        <w:rPr>
          <w:rFonts w:hint="eastAsia" w:ascii="宋体"/>
          <w:bCs/>
          <w:color w:val="000000"/>
          <w:sz w:val="24"/>
          <w:lang w:val="en-US" w:eastAsia="zh-CN"/>
        </w:rPr>
        <w:t>者</w:t>
      </w:r>
      <w:r>
        <w:rPr>
          <w:rFonts w:hint="eastAsia" w:ascii="宋体"/>
          <w:bCs/>
          <w:color w:val="000000"/>
          <w:sz w:val="24"/>
        </w:rPr>
        <w:t>用钢笔</w:t>
      </w:r>
      <w:r>
        <w:rPr>
          <w:rFonts w:hint="eastAsia" w:ascii="宋体"/>
          <w:bCs/>
          <w:color w:val="000000"/>
          <w:sz w:val="24"/>
          <w:lang w:eastAsia="zh-CN"/>
        </w:rPr>
        <w:t>、</w:t>
      </w:r>
      <w:r>
        <w:rPr>
          <w:rFonts w:hint="eastAsia" w:ascii="宋体"/>
          <w:bCs/>
          <w:color w:val="000000"/>
          <w:sz w:val="24"/>
          <w:lang w:val="en-US" w:eastAsia="zh-CN"/>
        </w:rPr>
        <w:t>签字笔</w:t>
      </w:r>
      <w:r>
        <w:rPr>
          <w:rFonts w:hint="eastAsia" w:ascii="宋体"/>
          <w:bCs/>
          <w:color w:val="000000"/>
          <w:sz w:val="24"/>
        </w:rPr>
        <w:t>填写，字迹应</w:t>
      </w:r>
      <w:r>
        <w:rPr>
          <w:rFonts w:hint="eastAsia" w:ascii="宋体"/>
          <w:bCs/>
          <w:color w:val="000000"/>
          <w:sz w:val="24"/>
          <w:lang w:val="en-US" w:eastAsia="zh-CN"/>
        </w:rPr>
        <w:t>当</w:t>
      </w:r>
      <w:r>
        <w:rPr>
          <w:rFonts w:hint="eastAsia" w:ascii="宋体"/>
          <w:bCs/>
          <w:color w:val="000000"/>
          <w:sz w:val="24"/>
        </w:rPr>
        <w:t>工整，涂改</w:t>
      </w:r>
      <w:r>
        <w:rPr>
          <w:rFonts w:hint="eastAsia" w:ascii="宋体"/>
          <w:bCs/>
          <w:color w:val="auto"/>
          <w:sz w:val="24"/>
        </w:rPr>
        <w:t>无效。</w:t>
      </w:r>
    </w:p>
    <w:p>
      <w:pPr>
        <w:spacing w:line="360" w:lineRule="auto"/>
        <w:ind w:left="-525" w:leftChars="-250" w:firstLine="480" w:firstLineChars="200"/>
        <w:rPr>
          <w:rFonts w:hint="eastAsia" w:ascii="宋体"/>
          <w:bCs/>
          <w:color w:val="auto"/>
          <w:sz w:val="24"/>
        </w:rPr>
      </w:pPr>
      <w:r>
        <w:rPr>
          <w:rFonts w:hint="eastAsia" w:ascii="宋体"/>
          <w:bCs/>
          <w:color w:val="auto"/>
          <w:sz w:val="24"/>
        </w:rPr>
        <w:t>3、本报告无检验、审核、批准人员签</w:t>
      </w:r>
      <w:r>
        <w:rPr>
          <w:rFonts w:hint="eastAsia" w:ascii="宋体"/>
          <w:bCs/>
          <w:color w:val="auto"/>
          <w:sz w:val="24"/>
          <w:lang w:val="en-US" w:eastAsia="zh-CN"/>
        </w:rPr>
        <w:t>字</w:t>
      </w:r>
      <w:r>
        <w:rPr>
          <w:rFonts w:hint="eastAsia" w:ascii="宋体"/>
          <w:bCs/>
          <w:color w:val="auto"/>
          <w:sz w:val="24"/>
        </w:rPr>
        <w:t>和检验机构的</w:t>
      </w:r>
      <w:r>
        <w:rPr>
          <w:rFonts w:hint="eastAsia" w:ascii="宋体"/>
          <w:bCs/>
          <w:color w:val="auto"/>
          <w:sz w:val="24"/>
          <w:lang w:val="en-US" w:eastAsia="zh-CN"/>
        </w:rPr>
        <w:t>核准证号、</w:t>
      </w:r>
      <w:r>
        <w:rPr>
          <w:rFonts w:hint="eastAsia" w:ascii="宋体"/>
          <w:bCs/>
          <w:color w:val="auto"/>
          <w:sz w:val="24"/>
        </w:rPr>
        <w:t>检验专用章或</w:t>
      </w:r>
      <w:r>
        <w:rPr>
          <w:rFonts w:hint="eastAsia" w:ascii="宋体"/>
          <w:bCs/>
          <w:color w:val="auto"/>
          <w:sz w:val="24"/>
          <w:lang w:val="en-US" w:eastAsia="zh-CN"/>
        </w:rPr>
        <w:t>者</w:t>
      </w:r>
      <w:r>
        <w:rPr>
          <w:rFonts w:hint="eastAsia" w:ascii="宋体"/>
          <w:bCs/>
          <w:color w:val="auto"/>
          <w:sz w:val="24"/>
        </w:rPr>
        <w:t>公章无效。</w:t>
      </w:r>
    </w:p>
    <w:p>
      <w:pPr>
        <w:tabs>
          <w:tab w:val="left" w:pos="8598"/>
        </w:tabs>
        <w:spacing w:line="360" w:lineRule="auto"/>
        <w:ind w:left="-525" w:leftChars="-250" w:right="-115" w:rightChars="-55" w:firstLine="480" w:firstLineChars="200"/>
        <w:rPr>
          <w:rFonts w:hint="eastAsia" w:ascii="宋体"/>
          <w:bCs/>
          <w:color w:val="auto"/>
          <w:sz w:val="24"/>
        </w:rPr>
      </w:pPr>
      <w:r>
        <w:rPr>
          <w:rFonts w:hint="eastAsia" w:ascii="宋体"/>
          <w:bCs/>
          <w:color w:val="auto"/>
          <w:sz w:val="24"/>
        </w:rPr>
        <w:t>4、本报告一式</w:t>
      </w:r>
      <w:r>
        <w:rPr>
          <w:rFonts w:hint="eastAsia" w:ascii="宋体"/>
          <w:bCs/>
          <w:color w:val="auto"/>
          <w:sz w:val="24"/>
          <w:lang w:val="en-US" w:eastAsia="zh-CN"/>
        </w:rPr>
        <w:t>两</w:t>
      </w:r>
      <w:r>
        <w:rPr>
          <w:rFonts w:hint="eastAsia" w:ascii="宋体"/>
          <w:bCs/>
          <w:color w:val="auto"/>
          <w:sz w:val="24"/>
        </w:rPr>
        <w:t>份，由检验机构</w:t>
      </w:r>
      <w:r>
        <w:rPr>
          <w:rFonts w:hint="eastAsia" w:ascii="宋体"/>
          <w:bCs/>
          <w:color w:val="auto"/>
          <w:sz w:val="24"/>
          <w:lang w:val="en-US" w:eastAsia="zh-CN"/>
        </w:rPr>
        <w:t>和</w:t>
      </w:r>
      <w:r>
        <w:rPr>
          <w:rFonts w:hint="eastAsia" w:ascii="宋体"/>
          <w:bCs/>
          <w:color w:val="auto"/>
          <w:sz w:val="24"/>
        </w:rPr>
        <w:t>使用单位分别保存。</w:t>
      </w:r>
    </w:p>
    <w:p>
      <w:pPr>
        <w:spacing w:line="360" w:lineRule="auto"/>
        <w:ind w:left="-525" w:leftChars="-250" w:firstLine="480" w:firstLineChars="200"/>
        <w:rPr>
          <w:rFonts w:hint="eastAsia" w:ascii="宋体"/>
          <w:bCs/>
          <w:color w:val="auto"/>
          <w:sz w:val="24"/>
        </w:rPr>
      </w:pPr>
      <w:r>
        <w:rPr>
          <w:rFonts w:hint="eastAsia" w:ascii="宋体"/>
          <w:bCs/>
          <w:color w:val="auto"/>
          <w:sz w:val="24"/>
        </w:rPr>
        <w:t>5、</w:t>
      </w:r>
      <w:r>
        <w:rPr>
          <w:rFonts w:hint="eastAsia" w:ascii="宋体"/>
          <w:bCs/>
          <w:color w:val="auto"/>
          <w:sz w:val="24"/>
          <w:lang w:val="en-US" w:eastAsia="zh-CN"/>
        </w:rPr>
        <w:t>使用</w:t>
      </w:r>
      <w:r>
        <w:rPr>
          <w:rFonts w:hint="eastAsia" w:ascii="宋体"/>
          <w:bCs/>
          <w:color w:val="auto"/>
          <w:sz w:val="24"/>
        </w:rPr>
        <w:t>单位对</w:t>
      </w:r>
      <w:r>
        <w:rPr>
          <w:rFonts w:hint="eastAsia" w:ascii="宋体"/>
          <w:bCs/>
          <w:color w:val="auto"/>
          <w:sz w:val="24"/>
          <w:lang w:val="en-US" w:eastAsia="zh-CN"/>
        </w:rPr>
        <w:t>本报告</w:t>
      </w:r>
      <w:r>
        <w:rPr>
          <w:rFonts w:hint="eastAsia" w:ascii="宋体"/>
          <w:bCs/>
          <w:color w:val="auto"/>
          <w:sz w:val="24"/>
        </w:rPr>
        <w:t>结论如有异议，应</w:t>
      </w:r>
      <w:r>
        <w:rPr>
          <w:rFonts w:hint="eastAsia" w:ascii="宋体"/>
          <w:bCs/>
          <w:color w:val="auto"/>
          <w:sz w:val="24"/>
          <w:lang w:val="en-US" w:eastAsia="zh-CN"/>
        </w:rPr>
        <w:t>当</w:t>
      </w:r>
      <w:r>
        <w:rPr>
          <w:rFonts w:hint="eastAsia" w:ascii="宋体"/>
          <w:bCs/>
          <w:color w:val="auto"/>
          <w:sz w:val="24"/>
        </w:rPr>
        <w:t>在</w:t>
      </w:r>
      <w:r>
        <w:rPr>
          <w:rFonts w:hint="eastAsia" w:ascii="宋体"/>
          <w:bCs/>
          <w:color w:val="auto"/>
          <w:sz w:val="24"/>
          <w:lang w:val="en-US" w:eastAsia="zh-CN"/>
        </w:rPr>
        <w:t>取得本</w:t>
      </w:r>
      <w:r>
        <w:rPr>
          <w:rFonts w:hint="eastAsia" w:ascii="宋体"/>
          <w:bCs/>
          <w:color w:val="auto"/>
          <w:sz w:val="24"/>
        </w:rPr>
        <w:t>报告</w:t>
      </w:r>
      <w:r>
        <w:rPr>
          <w:rFonts w:hint="eastAsia" w:ascii="宋体"/>
          <w:bCs/>
          <w:color w:val="auto"/>
          <w:sz w:val="24"/>
          <w:lang w:val="en-US" w:eastAsia="zh-CN"/>
        </w:rPr>
        <w:t>后</w:t>
      </w:r>
      <w:r>
        <w:rPr>
          <w:rFonts w:hint="eastAsia" w:ascii="宋体"/>
          <w:bCs/>
          <w:color w:val="auto"/>
          <w:sz w:val="24"/>
        </w:rPr>
        <w:t>15</w:t>
      </w:r>
      <w:r>
        <w:rPr>
          <w:rFonts w:hint="eastAsia" w:ascii="宋体"/>
          <w:bCs/>
          <w:color w:val="auto"/>
          <w:sz w:val="24"/>
          <w:lang w:val="en-US" w:eastAsia="zh-CN"/>
        </w:rPr>
        <w:t>个工作日</w:t>
      </w:r>
      <w:r>
        <w:rPr>
          <w:rFonts w:hint="eastAsia" w:ascii="宋体"/>
          <w:bCs/>
          <w:color w:val="auto"/>
          <w:sz w:val="24"/>
        </w:rPr>
        <w:t>内向检验机构提出书面</w:t>
      </w:r>
      <w:r>
        <w:rPr>
          <w:rFonts w:hint="eastAsia" w:ascii="宋体"/>
          <w:bCs/>
          <w:color w:val="auto"/>
          <w:sz w:val="24"/>
          <w:lang w:val="en-US" w:eastAsia="zh-CN"/>
        </w:rPr>
        <w:t>意见</w:t>
      </w:r>
      <w:r>
        <w:rPr>
          <w:rFonts w:hint="eastAsia" w:ascii="宋体"/>
          <w:bCs/>
          <w:color w:val="auto"/>
          <w:sz w:val="24"/>
        </w:rPr>
        <w:t>。</w:t>
      </w:r>
    </w:p>
    <w:p>
      <w:pPr>
        <w:spacing w:line="360" w:lineRule="auto"/>
        <w:ind w:left="-525" w:leftChars="-250" w:firstLine="480" w:firstLineChars="200"/>
        <w:rPr>
          <w:rFonts w:hint="default" w:ascii="宋体" w:eastAsia="宋体"/>
          <w:bCs/>
          <w:color w:val="auto"/>
          <w:sz w:val="24"/>
          <w:lang w:val="en-US" w:eastAsia="zh-CN"/>
        </w:rPr>
      </w:pPr>
      <w:r>
        <w:rPr>
          <w:rFonts w:hint="eastAsia" w:ascii="宋体"/>
          <w:bCs/>
          <w:color w:val="auto"/>
          <w:sz w:val="24"/>
          <w:lang w:val="en-US" w:eastAsia="zh-CN"/>
        </w:rPr>
        <w:t>6、</w:t>
      </w:r>
      <w:r>
        <w:rPr>
          <w:rFonts w:hint="eastAsia" w:ascii="宋体"/>
          <w:bCs/>
          <w:color w:val="auto"/>
          <w:sz w:val="24"/>
        </w:rPr>
        <w:t>本报告</w:t>
      </w:r>
      <w:r>
        <w:rPr>
          <w:rFonts w:hint="eastAsia" w:ascii="宋体"/>
          <w:bCs/>
          <w:color w:val="auto"/>
          <w:sz w:val="24"/>
          <w:lang w:val="en-US" w:eastAsia="zh-CN"/>
        </w:rPr>
        <w:t>仅对设备检验时的状况负责。</w:t>
      </w:r>
    </w:p>
    <w:p>
      <w:pPr>
        <w:ind w:left="615"/>
        <w:rPr>
          <w:rFonts w:hint="eastAsia" w:ascii="宋体"/>
          <w:color w:val="auto"/>
          <w:spacing w:val="20"/>
          <w:position w:val="-6"/>
          <w:sz w:val="24"/>
        </w:rPr>
      </w:pPr>
    </w:p>
    <w:p>
      <w:pPr>
        <w:ind w:left="615"/>
        <w:rPr>
          <w:rFonts w:hint="eastAsia" w:ascii="宋体"/>
          <w:color w:val="auto"/>
          <w:sz w:val="24"/>
        </w:rPr>
      </w:pPr>
    </w:p>
    <w:p>
      <w:pPr>
        <w:ind w:left="615"/>
        <w:rPr>
          <w:rFonts w:hint="eastAsia" w:ascii="宋体"/>
          <w:color w:val="auto"/>
          <w:sz w:val="24"/>
        </w:rPr>
      </w:pPr>
    </w:p>
    <w:p>
      <w:pPr>
        <w:ind w:left="615"/>
        <w:rPr>
          <w:rFonts w:hint="eastAsia" w:ascii="宋体"/>
          <w:color w:val="auto"/>
          <w:sz w:val="24"/>
        </w:rPr>
      </w:pPr>
    </w:p>
    <w:p>
      <w:pPr>
        <w:ind w:left="615"/>
        <w:rPr>
          <w:rFonts w:hint="eastAsia" w:ascii="宋体"/>
          <w:color w:val="auto"/>
          <w:sz w:val="24"/>
        </w:rPr>
      </w:pPr>
    </w:p>
    <w:p>
      <w:pPr>
        <w:ind w:left="615"/>
        <w:rPr>
          <w:rFonts w:hint="eastAsia" w:ascii="宋体"/>
          <w:color w:val="auto"/>
          <w:sz w:val="24"/>
        </w:rPr>
      </w:pPr>
    </w:p>
    <w:p>
      <w:pPr>
        <w:adjustRightInd w:val="0"/>
        <w:spacing w:line="480" w:lineRule="auto"/>
        <w:ind w:firstLine="2400" w:firstLineChars="1000"/>
        <w:rPr>
          <w:rFonts w:hint="eastAsia" w:ascii="宋体"/>
          <w:bCs/>
          <w:color w:val="auto"/>
          <w:sz w:val="24"/>
        </w:rPr>
      </w:pPr>
      <w:r>
        <w:rPr>
          <w:rFonts w:hint="eastAsia" w:ascii="宋体"/>
          <w:bCs/>
          <w:color w:val="auto"/>
          <w:sz w:val="24"/>
        </w:rPr>
        <w:t>检验机构地址：西安市咸宁西路30号质检大厦</w:t>
      </w:r>
    </w:p>
    <w:p>
      <w:pPr>
        <w:adjustRightInd w:val="0"/>
        <w:spacing w:line="480" w:lineRule="auto"/>
        <w:ind w:firstLine="2400" w:firstLineChars="1000"/>
        <w:rPr>
          <w:rFonts w:hint="eastAsia" w:ascii="宋体"/>
          <w:bCs/>
          <w:color w:val="auto"/>
          <w:sz w:val="24"/>
        </w:rPr>
      </w:pPr>
      <w:r>
        <w:rPr>
          <w:rFonts w:hint="eastAsia" w:ascii="宋体"/>
          <w:bCs/>
          <w:color w:val="auto"/>
          <w:sz w:val="24"/>
        </w:rPr>
        <w:t>邮政编码：710048</w:t>
      </w:r>
    </w:p>
    <w:p>
      <w:pPr>
        <w:adjustRightInd w:val="0"/>
        <w:spacing w:line="480" w:lineRule="auto"/>
        <w:ind w:firstLine="2400" w:firstLineChars="1000"/>
        <w:rPr>
          <w:rFonts w:hint="eastAsia" w:ascii="宋体"/>
          <w:bCs/>
          <w:color w:val="auto"/>
          <w:sz w:val="24"/>
        </w:rPr>
      </w:pPr>
      <w:r>
        <w:rPr>
          <w:rFonts w:hint="eastAsia" w:ascii="宋体"/>
          <w:bCs/>
          <w:color w:val="auto"/>
          <w:sz w:val="24"/>
        </w:rPr>
        <w:t xml:space="preserve">联系电话：029-83263500   </w:t>
      </w:r>
    </w:p>
    <w:p>
      <w:pPr>
        <w:jc w:val="center"/>
        <w:rPr>
          <w:b/>
          <w:bCs/>
          <w:color w:val="auto"/>
          <w:sz w:val="24"/>
        </w:rPr>
        <w:sectPr>
          <w:footerReference r:id="rId6" w:type="default"/>
          <w:pgSz w:w="11906" w:h="16838"/>
          <w:pgMar w:top="1440" w:right="1511" w:bottom="1246"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黑体" w:eastAsia="黑体"/>
          <w:b/>
          <w:bCs/>
          <w:color w:val="auto"/>
          <w:sz w:val="32"/>
          <w:szCs w:val="32"/>
        </w:rPr>
      </w:pPr>
      <w:r>
        <w:rPr>
          <w:rFonts w:hint="eastAsia" w:ascii="黑体" w:eastAsia="黑体"/>
          <w:b/>
          <w:bCs/>
          <w:color w:val="auto"/>
          <w:sz w:val="32"/>
          <w:szCs w:val="32"/>
        </w:rPr>
        <w:t>抱夹类场(厂)内专用机动车辆</w:t>
      </w:r>
      <w:r>
        <w:rPr>
          <w:rFonts w:hint="eastAsia" w:ascii="黑体" w:eastAsia="黑体"/>
          <w:b/>
          <w:bCs/>
          <w:color w:val="auto"/>
          <w:sz w:val="32"/>
          <w:szCs w:val="32"/>
          <w:lang w:val="en-US" w:eastAsia="zh-CN"/>
        </w:rPr>
        <w:t>定期</w:t>
      </w:r>
      <w:r>
        <w:rPr>
          <w:rFonts w:hint="eastAsia" w:ascii="黑体" w:eastAsia="黑体"/>
          <w:b/>
          <w:bCs/>
          <w:color w:val="auto"/>
          <w:sz w:val="32"/>
          <w:szCs w:val="32"/>
        </w:rPr>
        <w:t>检验报告</w:t>
      </w:r>
    </w:p>
    <w:p>
      <w:pPr>
        <w:ind w:right="-535" w:rightChars="-255" w:firstLine="6000" w:firstLineChars="2500"/>
        <w:rPr>
          <w:rFonts w:hint="eastAsia"/>
          <w:b/>
          <w:bCs/>
          <w:color w:val="auto"/>
          <w:sz w:val="24"/>
        </w:rPr>
      </w:pPr>
      <w:r>
        <w:rPr>
          <w:rFonts w:hint="eastAsia" w:ascii="宋体"/>
          <w:color w:val="auto"/>
          <w:sz w:val="24"/>
        </w:rPr>
        <w:t>报告编号:</w:t>
      </w:r>
      <w:r>
        <w:rPr>
          <w:rFonts w:hint="eastAsia"/>
          <w:b/>
          <w:bCs/>
          <w:color w:val="auto"/>
          <w:sz w:val="24"/>
        </w:rPr>
        <w:t xml:space="preserve">                               </w:t>
      </w:r>
      <w:r>
        <w:rPr>
          <w:b/>
          <w:bCs/>
          <w:color w:val="auto"/>
          <w:sz w:val="24"/>
        </w:rPr>
        <w:t xml:space="preserve">           </w:t>
      </w:r>
      <w:r>
        <w:rPr>
          <w:rFonts w:hint="eastAsia"/>
          <w:b/>
          <w:bCs/>
          <w:color w:val="auto"/>
          <w:sz w:val="24"/>
        </w:rPr>
        <w:t xml:space="preserve">         </w:t>
      </w:r>
    </w:p>
    <w:tbl>
      <w:tblPr>
        <w:tblStyle w:val="14"/>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37"/>
        <w:gridCol w:w="513"/>
        <w:gridCol w:w="462"/>
        <w:gridCol w:w="1500"/>
        <w:gridCol w:w="2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使用单位名称</w:t>
            </w:r>
          </w:p>
        </w:tc>
        <w:tc>
          <w:tcPr>
            <w:tcW w:w="6895" w:type="dxa"/>
            <w:gridSpan w:val="5"/>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使用单位地址</w:t>
            </w:r>
          </w:p>
        </w:tc>
        <w:tc>
          <w:tcPr>
            <w:tcW w:w="6895" w:type="dxa"/>
            <w:gridSpan w:val="5"/>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联系人</w:t>
            </w:r>
          </w:p>
        </w:tc>
        <w:tc>
          <w:tcPr>
            <w:tcW w:w="2237" w:type="dxa"/>
            <w:tcBorders>
              <w:tl2br w:val="nil"/>
              <w:tr2bl w:val="nil"/>
            </w:tcBorders>
            <w:noWrap w:val="0"/>
            <w:vAlign w:val="center"/>
          </w:tcPr>
          <w:p>
            <w:pPr>
              <w:adjustRightInd w:val="0"/>
              <w:snapToGrid w:val="0"/>
              <w:spacing w:line="240" w:lineRule="atLeast"/>
              <w:rPr>
                <w:rFonts w:ascii="宋体" w:hAnsi="宋体"/>
                <w:color w:val="auto"/>
                <w:szCs w:val="21"/>
              </w:rPr>
            </w:pPr>
          </w:p>
        </w:tc>
        <w:tc>
          <w:tcPr>
            <w:tcW w:w="2475" w:type="dxa"/>
            <w:gridSpan w:val="3"/>
            <w:tcBorders>
              <w:tl2br w:val="nil"/>
              <w:tr2bl w:val="nil"/>
            </w:tcBorders>
            <w:noWrap w:val="0"/>
            <w:vAlign w:val="center"/>
          </w:tcPr>
          <w:p>
            <w:pPr>
              <w:adjustRightInd w:val="0"/>
              <w:snapToGrid w:val="0"/>
              <w:spacing w:line="240" w:lineRule="atLeast"/>
              <w:jc w:val="distribute"/>
              <w:rPr>
                <w:rFonts w:hint="default" w:ascii="宋体" w:hAnsi="宋体" w:eastAsia="宋体"/>
                <w:color w:val="auto"/>
                <w:sz w:val="24"/>
                <w:lang w:val="en-US" w:eastAsia="zh-CN"/>
              </w:rPr>
            </w:pPr>
            <w:r>
              <w:rPr>
                <w:rFonts w:hint="eastAsia" w:ascii="宋体" w:hAnsi="宋体"/>
                <w:color w:val="auto"/>
                <w:sz w:val="24"/>
                <w:lang w:val="en-US" w:eastAsia="zh-CN"/>
              </w:rPr>
              <w:t>联系电话</w:t>
            </w:r>
          </w:p>
        </w:tc>
        <w:tc>
          <w:tcPr>
            <w:tcW w:w="2183" w:type="dxa"/>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统一社会信用代码</w:t>
            </w:r>
          </w:p>
        </w:tc>
        <w:tc>
          <w:tcPr>
            <w:tcW w:w="2237" w:type="dxa"/>
            <w:tcBorders>
              <w:tl2br w:val="nil"/>
              <w:tr2bl w:val="nil"/>
            </w:tcBorders>
            <w:noWrap w:val="0"/>
            <w:vAlign w:val="center"/>
          </w:tcPr>
          <w:p>
            <w:pPr>
              <w:adjustRightInd w:val="0"/>
              <w:snapToGrid w:val="0"/>
              <w:spacing w:line="240" w:lineRule="atLeast"/>
              <w:rPr>
                <w:rFonts w:ascii="宋体" w:hAnsi="宋体"/>
                <w:color w:val="auto"/>
                <w:szCs w:val="21"/>
              </w:rPr>
            </w:pPr>
          </w:p>
        </w:tc>
        <w:tc>
          <w:tcPr>
            <w:tcW w:w="2475" w:type="dxa"/>
            <w:gridSpan w:val="3"/>
            <w:tcBorders>
              <w:tl2br w:val="nil"/>
              <w:tr2bl w:val="nil"/>
            </w:tcBorders>
            <w:noWrap w:val="0"/>
            <w:vAlign w:val="center"/>
          </w:tcPr>
          <w:p>
            <w:pPr>
              <w:adjustRightInd w:val="0"/>
              <w:snapToGrid w:val="0"/>
              <w:spacing w:line="240" w:lineRule="atLeast"/>
              <w:jc w:val="distribute"/>
              <w:rPr>
                <w:rFonts w:hint="default" w:ascii="宋体" w:hAnsi="宋体" w:eastAsia="宋体"/>
                <w:color w:val="auto"/>
                <w:sz w:val="24"/>
                <w:lang w:val="en-US" w:eastAsia="zh-CN"/>
              </w:rPr>
            </w:pPr>
            <w:r>
              <w:rPr>
                <w:rFonts w:hint="eastAsia" w:ascii="宋体" w:hAnsi="宋体"/>
                <w:color w:val="auto"/>
                <w:sz w:val="24"/>
                <w:lang w:val="en-US" w:eastAsia="zh-CN"/>
              </w:rPr>
              <w:t>使用登记证编号</w:t>
            </w:r>
          </w:p>
        </w:tc>
        <w:tc>
          <w:tcPr>
            <w:tcW w:w="2183" w:type="dxa"/>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leftChars="0" w:firstLine="0" w:firstLineChars="0"/>
              <w:jc w:val="distribute"/>
              <w:rPr>
                <w:rFonts w:hint="eastAsia" w:ascii="宋体" w:hAnsi="宋体"/>
                <w:bCs/>
                <w:color w:val="auto"/>
                <w:sz w:val="24"/>
                <w:szCs w:val="24"/>
              </w:rPr>
            </w:pPr>
            <w:r>
              <w:rPr>
                <w:rFonts w:hint="eastAsia" w:ascii="宋体" w:hAnsi="宋体"/>
                <w:bCs/>
                <w:color w:val="auto"/>
                <w:sz w:val="24"/>
                <w:szCs w:val="24"/>
              </w:rPr>
              <w:t>制造单位名称</w:t>
            </w:r>
          </w:p>
        </w:tc>
        <w:tc>
          <w:tcPr>
            <w:tcW w:w="6895" w:type="dxa"/>
            <w:gridSpan w:val="5"/>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eastAsia" w:ascii="宋体" w:hAnsi="宋体"/>
                <w:bCs/>
                <w:color w:val="auto"/>
                <w:sz w:val="24"/>
                <w:szCs w:val="24"/>
              </w:rPr>
            </w:pPr>
            <w:r>
              <w:rPr>
                <w:rFonts w:hint="eastAsia" w:ascii="宋体" w:hAnsi="宋体"/>
                <w:bCs/>
                <w:color w:val="auto"/>
                <w:sz w:val="24"/>
                <w:szCs w:val="24"/>
              </w:rPr>
              <w:t>改造单位名称</w:t>
            </w:r>
          </w:p>
        </w:tc>
        <w:tc>
          <w:tcPr>
            <w:tcW w:w="6895" w:type="dxa"/>
            <w:gridSpan w:val="5"/>
            <w:tcBorders>
              <w:tl2br w:val="nil"/>
              <w:tr2bl w:val="nil"/>
            </w:tcBorders>
            <w:noWrap w:val="0"/>
            <w:vAlign w:val="center"/>
          </w:tcPr>
          <w:p>
            <w:pPr>
              <w:adjustRightInd w:val="0"/>
              <w:snapToGrid w:val="0"/>
              <w:spacing w:line="240" w:lineRule="atLeas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default" w:ascii="宋体" w:hAnsi="宋体"/>
                <w:bCs/>
                <w:color w:val="auto"/>
                <w:sz w:val="24"/>
                <w:szCs w:val="24"/>
                <w:lang w:val="en-US" w:eastAsia="zh-CN"/>
              </w:rPr>
            </w:pPr>
            <w:r>
              <w:rPr>
                <w:rFonts w:hint="eastAsia" w:ascii="宋体" w:hAnsi="宋体"/>
                <w:bCs/>
                <w:color w:val="auto"/>
                <w:sz w:val="24"/>
                <w:szCs w:val="24"/>
                <w:lang w:val="en-US" w:eastAsia="zh-CN"/>
              </w:rPr>
              <w:t>产品名称</w:t>
            </w:r>
          </w:p>
        </w:tc>
        <w:tc>
          <w:tcPr>
            <w:tcW w:w="2237" w:type="dxa"/>
            <w:tcBorders>
              <w:tl2br w:val="nil"/>
              <w:tr2bl w:val="nil"/>
            </w:tcBorders>
            <w:noWrap w:val="0"/>
            <w:vAlign w:val="center"/>
          </w:tcPr>
          <w:p>
            <w:pPr>
              <w:adjustRightInd w:val="0"/>
              <w:snapToGrid w:val="0"/>
              <w:spacing w:line="240" w:lineRule="atLeast"/>
              <w:rPr>
                <w:rFonts w:ascii="宋体" w:hAnsi="宋体"/>
                <w:bCs/>
                <w:color w:val="auto"/>
                <w:szCs w:val="21"/>
              </w:rPr>
            </w:pPr>
          </w:p>
        </w:tc>
        <w:tc>
          <w:tcPr>
            <w:tcW w:w="2475" w:type="dxa"/>
            <w:gridSpan w:val="3"/>
            <w:tcBorders>
              <w:tl2br w:val="nil"/>
              <w:tr2bl w:val="nil"/>
            </w:tcBorders>
            <w:noWrap w:val="0"/>
            <w:vAlign w:val="center"/>
          </w:tcPr>
          <w:p>
            <w:pPr>
              <w:pStyle w:val="44"/>
              <w:adjustRightInd w:val="0"/>
              <w:snapToGrid w:val="0"/>
              <w:spacing w:line="240" w:lineRule="atLeast"/>
              <w:ind w:left="0" w:firstLine="0"/>
              <w:jc w:val="distribute"/>
              <w:rPr>
                <w:rFonts w:hint="default" w:ascii="宋体" w:hAnsi="宋体"/>
                <w:bCs/>
                <w:color w:val="auto"/>
                <w:sz w:val="24"/>
                <w:szCs w:val="24"/>
                <w:lang w:val="en-US" w:eastAsia="zh-CN"/>
              </w:rPr>
            </w:pPr>
            <w:r>
              <w:rPr>
                <w:rFonts w:hint="eastAsia" w:ascii="宋体" w:hAnsi="宋体"/>
                <w:bCs/>
                <w:color w:val="auto"/>
                <w:sz w:val="24"/>
                <w:szCs w:val="24"/>
                <w:lang w:val="en-US" w:eastAsia="zh-CN"/>
              </w:rPr>
              <w:t>设备代码</w:t>
            </w:r>
          </w:p>
        </w:tc>
        <w:tc>
          <w:tcPr>
            <w:tcW w:w="2183" w:type="dxa"/>
            <w:tcBorders>
              <w:tl2br w:val="nil"/>
              <w:tr2bl w:val="nil"/>
            </w:tcBorders>
            <w:noWrap w:val="0"/>
            <w:vAlign w:val="center"/>
          </w:tcPr>
          <w:p>
            <w:pPr>
              <w:adjustRightInd w:val="0"/>
              <w:snapToGrid w:val="0"/>
              <w:spacing w:line="240" w:lineRule="atLeast"/>
              <w:jc w:val="distribute"/>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eastAsia" w:ascii="宋体" w:hAnsi="宋体"/>
                <w:color w:val="auto"/>
                <w:sz w:val="24"/>
                <w:szCs w:val="24"/>
              </w:rPr>
            </w:pPr>
            <w:r>
              <w:rPr>
                <w:rFonts w:hint="eastAsia" w:ascii="宋体" w:hAnsi="宋体"/>
                <w:bCs/>
                <w:color w:val="auto"/>
                <w:sz w:val="24"/>
                <w:szCs w:val="24"/>
              </w:rPr>
              <w:t>产品型号</w:t>
            </w:r>
          </w:p>
        </w:tc>
        <w:tc>
          <w:tcPr>
            <w:tcW w:w="2237" w:type="dxa"/>
            <w:tcBorders>
              <w:tl2br w:val="nil"/>
              <w:tr2bl w:val="nil"/>
            </w:tcBorders>
            <w:noWrap w:val="0"/>
            <w:vAlign w:val="center"/>
          </w:tcPr>
          <w:p>
            <w:pPr>
              <w:pStyle w:val="44"/>
              <w:adjustRightInd w:val="0"/>
              <w:snapToGrid w:val="0"/>
              <w:spacing w:line="240" w:lineRule="auto"/>
              <w:ind w:left="0" w:firstLine="0"/>
              <w:jc w:val="right"/>
              <w:rPr>
                <w:rFonts w:hint="eastAsia" w:ascii="宋体" w:hAnsi="宋体"/>
                <w:color w:val="auto"/>
                <w:szCs w:val="21"/>
              </w:rPr>
            </w:pPr>
          </w:p>
        </w:tc>
        <w:tc>
          <w:tcPr>
            <w:tcW w:w="2475" w:type="dxa"/>
            <w:gridSpan w:val="3"/>
            <w:tcBorders>
              <w:tl2br w:val="nil"/>
              <w:tr2bl w:val="nil"/>
            </w:tcBorders>
            <w:noWrap w:val="0"/>
            <w:vAlign w:val="center"/>
          </w:tcPr>
          <w:p>
            <w:pPr>
              <w:pStyle w:val="44"/>
              <w:adjustRightInd w:val="0"/>
              <w:snapToGrid w:val="0"/>
              <w:spacing w:line="240" w:lineRule="atLeast"/>
              <w:ind w:left="0" w:firstLine="0"/>
              <w:jc w:val="distribute"/>
              <w:rPr>
                <w:rFonts w:hint="eastAsia" w:ascii="宋体" w:hAnsi="宋体"/>
                <w:bCs/>
                <w:color w:val="auto"/>
                <w:sz w:val="24"/>
                <w:szCs w:val="24"/>
              </w:rPr>
            </w:pPr>
            <w:r>
              <w:rPr>
                <w:rFonts w:hint="eastAsia" w:ascii="宋体" w:hAnsi="宋体"/>
                <w:bCs/>
                <w:color w:val="auto"/>
                <w:sz w:val="24"/>
                <w:szCs w:val="24"/>
              </w:rPr>
              <w:t>产品编号</w:t>
            </w:r>
          </w:p>
        </w:tc>
        <w:tc>
          <w:tcPr>
            <w:tcW w:w="2183" w:type="dxa"/>
            <w:tcBorders>
              <w:tl2br w:val="nil"/>
              <w:tr2bl w:val="nil"/>
            </w:tcBorders>
            <w:noWrap w:val="0"/>
            <w:vAlign w:val="center"/>
          </w:tcPr>
          <w:p>
            <w:pPr>
              <w:adjustRightInd w:val="0"/>
              <w:snapToGrid w:val="0"/>
              <w:spacing w:line="240" w:lineRule="atLeast"/>
              <w:jc w:val="center"/>
              <w:rPr>
                <w:rFonts w:ascii="宋体" w:hAnsi="宋体"/>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tLeast"/>
              <w:ind w:left="0" w:firstLine="0"/>
              <w:jc w:val="distribute"/>
              <w:rPr>
                <w:rFonts w:hint="eastAsia" w:ascii="宋体" w:hAnsi="宋体"/>
                <w:bCs/>
                <w:color w:val="auto"/>
                <w:sz w:val="24"/>
                <w:szCs w:val="24"/>
                <w:lang w:val="en-US" w:eastAsia="zh-CN"/>
              </w:rPr>
            </w:pPr>
            <w:r>
              <w:rPr>
                <w:rFonts w:hint="eastAsia" w:ascii="宋体" w:hAnsi="宋体"/>
                <w:bCs/>
                <w:color w:val="auto"/>
                <w:sz w:val="24"/>
                <w:szCs w:val="24"/>
                <w:lang w:val="en-US" w:eastAsia="zh-CN"/>
              </w:rPr>
              <w:t>车架编号</w:t>
            </w:r>
          </w:p>
        </w:tc>
        <w:tc>
          <w:tcPr>
            <w:tcW w:w="2237" w:type="dxa"/>
            <w:tcBorders>
              <w:tl2br w:val="nil"/>
              <w:tr2bl w:val="nil"/>
            </w:tcBorders>
            <w:noWrap w:val="0"/>
            <w:vAlign w:val="center"/>
          </w:tcPr>
          <w:p>
            <w:pPr>
              <w:pStyle w:val="44"/>
              <w:adjustRightInd w:val="0"/>
              <w:snapToGrid w:val="0"/>
              <w:spacing w:line="240" w:lineRule="auto"/>
              <w:ind w:left="0" w:firstLine="0"/>
              <w:jc w:val="center"/>
              <w:rPr>
                <w:rFonts w:hint="eastAsia" w:ascii="宋体"/>
                <w:color w:val="auto"/>
                <w:szCs w:val="21"/>
              </w:rPr>
            </w:pPr>
          </w:p>
        </w:tc>
        <w:tc>
          <w:tcPr>
            <w:tcW w:w="2475" w:type="dxa"/>
            <w:gridSpan w:val="3"/>
            <w:tcBorders>
              <w:tl2br w:val="nil"/>
              <w:tr2bl w:val="nil"/>
            </w:tcBorders>
            <w:noWrap w:val="0"/>
            <w:vAlign w:val="center"/>
          </w:tcPr>
          <w:p>
            <w:pPr>
              <w:pStyle w:val="44"/>
              <w:adjustRightInd w:val="0"/>
              <w:snapToGrid w:val="0"/>
              <w:spacing w:line="240" w:lineRule="auto"/>
              <w:ind w:left="0" w:firstLine="0"/>
              <w:jc w:val="distribute"/>
              <w:rPr>
                <w:rFonts w:hint="eastAsia" w:ascii="宋体" w:hAnsi="宋体"/>
                <w:color w:val="auto"/>
                <w:szCs w:val="21"/>
              </w:rPr>
            </w:pPr>
            <w:r>
              <w:rPr>
                <w:rFonts w:hint="eastAsia" w:ascii="宋体" w:hAnsi="宋体"/>
                <w:snapToGrid w:val="0"/>
                <w:color w:val="auto"/>
                <w:spacing w:val="-12"/>
                <w:kern w:val="0"/>
                <w:sz w:val="24"/>
                <w:szCs w:val="24"/>
              </w:rPr>
              <w:t>发动机(</w:t>
            </w:r>
            <w:r>
              <w:rPr>
                <w:rFonts w:hint="eastAsia" w:ascii="宋体" w:hAnsi="宋体"/>
                <w:snapToGrid w:val="0"/>
                <w:color w:val="auto"/>
                <w:spacing w:val="-12"/>
                <w:kern w:val="0"/>
                <w:sz w:val="24"/>
                <w:szCs w:val="24"/>
                <w:lang w:val="en-US" w:eastAsia="zh-CN"/>
              </w:rPr>
              <w:t>行走</w:t>
            </w:r>
            <w:r>
              <w:rPr>
                <w:rFonts w:hint="eastAsia" w:ascii="宋体" w:hAnsi="宋体"/>
                <w:snapToGrid w:val="0"/>
                <w:color w:val="auto"/>
                <w:spacing w:val="-12"/>
                <w:kern w:val="0"/>
                <w:sz w:val="24"/>
                <w:szCs w:val="24"/>
              </w:rPr>
              <w:t>电机)编号</w:t>
            </w:r>
          </w:p>
        </w:tc>
        <w:tc>
          <w:tcPr>
            <w:tcW w:w="2183" w:type="dxa"/>
            <w:tcBorders>
              <w:tl2br w:val="nil"/>
              <w:tr2bl w:val="nil"/>
            </w:tcBorders>
            <w:noWrap w:val="0"/>
            <w:vAlign w:val="center"/>
          </w:tcPr>
          <w:p>
            <w:pPr>
              <w:pStyle w:val="44"/>
              <w:adjustRightInd w:val="0"/>
              <w:snapToGrid w:val="0"/>
              <w:spacing w:line="240" w:lineRule="auto"/>
              <w:ind w:left="0" w:right="840" w:firstLine="0"/>
              <w:rPr>
                <w:rFonts w:hint="eastAsia" w:ascii="宋体" w:hAnsi="宋体"/>
                <w:b/>
                <w:color w:val="auto"/>
                <w:szCs w:val="21"/>
              </w:rPr>
            </w:pPr>
            <w:r>
              <w:rPr>
                <w:rFonts w:ascii="宋体" w:hAnsi="宋体"/>
                <w:b/>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eastAsia" w:ascii="宋体" w:hAnsi="宋体"/>
                <w:bCs/>
                <w:color w:val="auto"/>
                <w:sz w:val="24"/>
                <w:szCs w:val="24"/>
              </w:rPr>
            </w:pPr>
            <w:r>
              <w:rPr>
                <w:rFonts w:hint="eastAsia" w:ascii="宋体" w:hAnsi="宋体"/>
                <w:bCs/>
                <w:color w:val="auto"/>
                <w:sz w:val="24"/>
                <w:szCs w:val="24"/>
              </w:rPr>
              <w:t>额定起重量</w:t>
            </w:r>
          </w:p>
        </w:tc>
        <w:tc>
          <w:tcPr>
            <w:tcW w:w="2237" w:type="dxa"/>
            <w:tcBorders>
              <w:tl2br w:val="nil"/>
              <w:tr2bl w:val="nil"/>
            </w:tcBorders>
            <w:noWrap w:val="0"/>
            <w:vAlign w:val="center"/>
          </w:tcPr>
          <w:p>
            <w:pPr>
              <w:pStyle w:val="44"/>
              <w:adjustRightInd w:val="0"/>
              <w:snapToGrid w:val="0"/>
              <w:spacing w:line="240" w:lineRule="auto"/>
              <w:ind w:left="0" w:right="-227" w:rightChars="-108" w:firstLine="0"/>
              <w:jc w:val="center"/>
              <w:rPr>
                <w:rFonts w:hint="eastAsia" w:ascii="宋体" w:hAnsi="宋体"/>
                <w:color w:val="auto"/>
                <w:szCs w:val="21"/>
              </w:rPr>
            </w:pPr>
            <w:r>
              <w:rPr>
                <w:rFonts w:hint="eastAsia" w:ascii="宋体" w:hAnsi="宋体"/>
                <w:color w:val="auto"/>
                <w:szCs w:val="21"/>
              </w:rPr>
              <w:t xml:space="preserve">               kg</w:t>
            </w:r>
          </w:p>
        </w:tc>
        <w:tc>
          <w:tcPr>
            <w:tcW w:w="513" w:type="dxa"/>
            <w:vMerge w:val="restart"/>
            <w:tcBorders>
              <w:tl2br w:val="nil"/>
              <w:tr2bl w:val="nil"/>
            </w:tcBorders>
            <w:noWrap w:val="0"/>
            <w:vAlign w:val="center"/>
          </w:tcPr>
          <w:p>
            <w:pPr>
              <w:pStyle w:val="44"/>
              <w:adjustRightInd w:val="0"/>
              <w:snapToGrid w:val="0"/>
              <w:spacing w:line="240" w:lineRule="auto"/>
              <w:ind w:left="0" w:firstLine="0"/>
              <w:jc w:val="distribute"/>
              <w:rPr>
                <w:rFonts w:hint="eastAsia" w:ascii="宋体" w:eastAsia="宋体"/>
                <w:bCs/>
                <w:color w:val="auto"/>
                <w:sz w:val="24"/>
                <w:szCs w:val="24"/>
                <w:lang w:val="en-US" w:eastAsia="zh-CN"/>
              </w:rPr>
            </w:pPr>
            <w:r>
              <w:rPr>
                <w:rFonts w:hint="eastAsia" w:ascii="宋体"/>
                <w:bCs/>
                <w:color w:val="auto"/>
                <w:sz w:val="24"/>
                <w:szCs w:val="24"/>
                <w:lang w:val="en-US" w:eastAsia="zh-CN"/>
              </w:rPr>
              <w:t>防爆</w:t>
            </w:r>
          </w:p>
        </w:tc>
        <w:tc>
          <w:tcPr>
            <w:tcW w:w="1962" w:type="dxa"/>
            <w:gridSpan w:val="2"/>
            <w:tcBorders>
              <w:tl2br w:val="nil"/>
              <w:tr2bl w:val="nil"/>
            </w:tcBorders>
            <w:noWrap w:val="0"/>
            <w:vAlign w:val="center"/>
          </w:tcPr>
          <w:p>
            <w:pPr>
              <w:pStyle w:val="44"/>
              <w:adjustRightInd w:val="0"/>
              <w:snapToGrid w:val="0"/>
              <w:spacing w:line="240" w:lineRule="auto"/>
              <w:ind w:left="0" w:firstLine="0"/>
              <w:jc w:val="distribute"/>
              <w:rPr>
                <w:rFonts w:hint="default" w:ascii="宋体" w:eastAsia="宋体"/>
                <w:bCs/>
                <w:color w:val="auto"/>
                <w:sz w:val="24"/>
                <w:szCs w:val="24"/>
                <w:lang w:val="en-US" w:eastAsia="zh-CN"/>
              </w:rPr>
            </w:pPr>
            <w:r>
              <w:rPr>
                <w:rFonts w:hint="eastAsia" w:ascii="宋体"/>
                <w:bCs/>
                <w:color w:val="auto"/>
                <w:sz w:val="24"/>
                <w:szCs w:val="24"/>
                <w:lang w:val="en-US" w:eastAsia="zh-CN"/>
              </w:rPr>
              <w:t>设备保护级别</w:t>
            </w:r>
          </w:p>
        </w:tc>
        <w:tc>
          <w:tcPr>
            <w:tcW w:w="2183" w:type="dxa"/>
            <w:tcBorders>
              <w:tl2br w:val="nil"/>
              <w:tr2bl w:val="nil"/>
            </w:tcBorders>
            <w:noWrap w:val="0"/>
            <w:vAlign w:val="center"/>
          </w:tcPr>
          <w:p>
            <w:pPr>
              <w:pStyle w:val="44"/>
              <w:adjustRightInd w:val="0"/>
              <w:snapToGrid w:val="0"/>
              <w:spacing w:line="240" w:lineRule="auto"/>
              <w:ind w:left="0"/>
              <w:jc w:val="right"/>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eastAsia" w:ascii="宋体" w:hAnsi="宋体"/>
                <w:bCs/>
                <w:color w:val="auto"/>
                <w:sz w:val="24"/>
                <w:szCs w:val="24"/>
              </w:rPr>
            </w:pPr>
            <w:r>
              <w:rPr>
                <w:rFonts w:hint="eastAsia" w:ascii="宋体"/>
                <w:bCs/>
                <w:color w:val="auto"/>
                <w:sz w:val="24"/>
                <w:szCs w:val="24"/>
              </w:rPr>
              <w:t>动力方式</w:t>
            </w:r>
          </w:p>
        </w:tc>
        <w:tc>
          <w:tcPr>
            <w:tcW w:w="2237" w:type="dxa"/>
            <w:tcBorders>
              <w:tl2br w:val="nil"/>
              <w:tr2bl w:val="nil"/>
            </w:tcBorders>
            <w:noWrap w:val="0"/>
            <w:vAlign w:val="center"/>
          </w:tcPr>
          <w:p>
            <w:pPr>
              <w:pStyle w:val="44"/>
              <w:adjustRightInd w:val="0"/>
              <w:snapToGrid w:val="0"/>
              <w:spacing w:line="240" w:lineRule="auto"/>
              <w:ind w:left="0" w:right="-227" w:rightChars="-108" w:firstLine="0"/>
              <w:jc w:val="center"/>
              <w:rPr>
                <w:rFonts w:hint="eastAsia" w:ascii="宋体" w:hAnsi="宋体"/>
                <w:color w:val="auto"/>
                <w:szCs w:val="21"/>
              </w:rPr>
            </w:pPr>
          </w:p>
        </w:tc>
        <w:tc>
          <w:tcPr>
            <w:tcW w:w="513" w:type="dxa"/>
            <w:vMerge w:val="continue"/>
            <w:tcBorders>
              <w:tl2br w:val="nil"/>
              <w:tr2bl w:val="nil"/>
            </w:tcBorders>
            <w:noWrap w:val="0"/>
            <w:vAlign w:val="center"/>
          </w:tcPr>
          <w:p>
            <w:pPr>
              <w:pStyle w:val="44"/>
              <w:adjustRightInd w:val="0"/>
              <w:snapToGrid w:val="0"/>
              <w:spacing w:line="240" w:lineRule="auto"/>
              <w:ind w:left="0" w:firstLine="0"/>
              <w:jc w:val="distribute"/>
              <w:rPr>
                <w:rFonts w:hint="eastAsia" w:ascii="宋体"/>
                <w:bCs/>
                <w:color w:val="auto"/>
                <w:sz w:val="24"/>
                <w:szCs w:val="24"/>
              </w:rPr>
            </w:pPr>
          </w:p>
        </w:tc>
        <w:tc>
          <w:tcPr>
            <w:tcW w:w="1962" w:type="dxa"/>
            <w:gridSpan w:val="2"/>
            <w:tcBorders>
              <w:tl2br w:val="nil"/>
              <w:tr2bl w:val="nil"/>
            </w:tcBorders>
            <w:noWrap w:val="0"/>
            <w:vAlign w:val="center"/>
          </w:tcPr>
          <w:p>
            <w:pPr>
              <w:pStyle w:val="44"/>
              <w:adjustRightInd w:val="0"/>
              <w:snapToGrid w:val="0"/>
              <w:spacing w:line="240" w:lineRule="auto"/>
              <w:ind w:left="0" w:firstLine="0"/>
              <w:jc w:val="distribute"/>
              <w:rPr>
                <w:rFonts w:hint="default" w:ascii="宋体" w:eastAsia="宋体"/>
                <w:bCs/>
                <w:color w:val="auto"/>
                <w:sz w:val="24"/>
                <w:szCs w:val="24"/>
                <w:lang w:val="en-US" w:eastAsia="zh-CN"/>
              </w:rPr>
            </w:pPr>
            <w:r>
              <w:rPr>
                <w:rFonts w:hint="eastAsia" w:ascii="宋体"/>
                <w:bCs/>
                <w:color w:val="auto"/>
                <w:sz w:val="24"/>
                <w:szCs w:val="24"/>
                <w:lang w:val="en-US" w:eastAsia="zh-CN"/>
              </w:rPr>
              <w:t>气体/粉尘组别</w:t>
            </w:r>
          </w:p>
        </w:tc>
        <w:tc>
          <w:tcPr>
            <w:tcW w:w="2183" w:type="dxa"/>
            <w:tcBorders>
              <w:tl2br w:val="nil"/>
              <w:tr2bl w:val="nil"/>
            </w:tcBorders>
            <w:noWrap w:val="0"/>
            <w:vAlign w:val="center"/>
          </w:tcPr>
          <w:p>
            <w:pPr>
              <w:pStyle w:val="44"/>
              <w:adjustRightInd w:val="0"/>
              <w:snapToGrid w:val="0"/>
              <w:spacing w:line="240" w:lineRule="auto"/>
              <w:ind w:left="0"/>
              <w:jc w:val="right"/>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default" w:ascii="宋体" w:eastAsia="宋体"/>
                <w:bCs/>
                <w:color w:val="auto"/>
                <w:sz w:val="24"/>
                <w:szCs w:val="24"/>
                <w:lang w:val="en-US" w:eastAsia="zh-CN"/>
              </w:rPr>
            </w:pPr>
            <w:r>
              <w:rPr>
                <w:rFonts w:hint="eastAsia" w:ascii="宋体"/>
                <w:bCs/>
                <w:color w:val="auto"/>
                <w:sz w:val="24"/>
                <w:szCs w:val="24"/>
                <w:lang w:val="en-US" w:eastAsia="zh-CN"/>
              </w:rPr>
              <w:t>传动方式</w:t>
            </w:r>
          </w:p>
        </w:tc>
        <w:tc>
          <w:tcPr>
            <w:tcW w:w="2237" w:type="dxa"/>
            <w:tcBorders>
              <w:tl2br w:val="nil"/>
              <w:tr2bl w:val="nil"/>
            </w:tcBorders>
            <w:noWrap w:val="0"/>
            <w:vAlign w:val="center"/>
          </w:tcPr>
          <w:p>
            <w:pPr>
              <w:pStyle w:val="44"/>
              <w:adjustRightInd w:val="0"/>
              <w:snapToGrid w:val="0"/>
              <w:spacing w:line="240" w:lineRule="auto"/>
              <w:ind w:left="0" w:right="-227" w:rightChars="-108" w:firstLine="0"/>
              <w:jc w:val="center"/>
              <w:rPr>
                <w:rFonts w:hint="eastAsia" w:ascii="宋体" w:hAnsi="宋体"/>
                <w:color w:val="auto"/>
                <w:szCs w:val="21"/>
              </w:rPr>
            </w:pPr>
          </w:p>
        </w:tc>
        <w:tc>
          <w:tcPr>
            <w:tcW w:w="513" w:type="dxa"/>
            <w:vMerge w:val="continue"/>
            <w:tcBorders>
              <w:tl2br w:val="nil"/>
              <w:tr2bl w:val="nil"/>
            </w:tcBorders>
            <w:noWrap w:val="0"/>
            <w:vAlign w:val="center"/>
          </w:tcPr>
          <w:p>
            <w:pPr>
              <w:pStyle w:val="44"/>
              <w:adjustRightInd w:val="0"/>
              <w:snapToGrid w:val="0"/>
              <w:spacing w:line="240" w:lineRule="auto"/>
              <w:ind w:left="0" w:firstLine="0"/>
              <w:jc w:val="distribute"/>
              <w:rPr>
                <w:rFonts w:hint="eastAsia" w:ascii="宋体"/>
                <w:bCs/>
                <w:color w:val="auto"/>
                <w:sz w:val="24"/>
                <w:szCs w:val="24"/>
              </w:rPr>
            </w:pPr>
          </w:p>
        </w:tc>
        <w:tc>
          <w:tcPr>
            <w:tcW w:w="1962" w:type="dxa"/>
            <w:gridSpan w:val="2"/>
            <w:tcBorders>
              <w:tl2br w:val="nil"/>
              <w:tr2bl w:val="nil"/>
            </w:tcBorders>
            <w:noWrap w:val="0"/>
            <w:vAlign w:val="center"/>
          </w:tcPr>
          <w:p>
            <w:pPr>
              <w:pStyle w:val="44"/>
              <w:adjustRightInd w:val="0"/>
              <w:snapToGrid w:val="0"/>
              <w:spacing w:line="240" w:lineRule="auto"/>
              <w:ind w:left="0" w:firstLine="0"/>
              <w:jc w:val="distribute"/>
              <w:rPr>
                <w:rFonts w:hint="default" w:ascii="宋体" w:eastAsia="宋体"/>
                <w:bCs/>
                <w:color w:val="auto"/>
                <w:sz w:val="24"/>
                <w:szCs w:val="24"/>
                <w:lang w:val="en-US" w:eastAsia="zh-CN"/>
              </w:rPr>
            </w:pPr>
            <w:r>
              <w:rPr>
                <w:rFonts w:hint="eastAsia" w:ascii="宋体"/>
                <w:bCs/>
                <w:color w:val="auto"/>
                <w:sz w:val="24"/>
                <w:szCs w:val="24"/>
                <w:lang w:val="en-US" w:eastAsia="zh-CN"/>
              </w:rPr>
              <w:t>温度组别</w:t>
            </w:r>
          </w:p>
        </w:tc>
        <w:tc>
          <w:tcPr>
            <w:tcW w:w="2183" w:type="dxa"/>
            <w:tcBorders>
              <w:tl2br w:val="nil"/>
              <w:tr2bl w:val="nil"/>
            </w:tcBorders>
            <w:noWrap w:val="0"/>
            <w:vAlign w:val="center"/>
          </w:tcPr>
          <w:p>
            <w:pPr>
              <w:pStyle w:val="44"/>
              <w:adjustRightInd w:val="0"/>
              <w:snapToGrid w:val="0"/>
              <w:spacing w:line="240" w:lineRule="auto"/>
              <w:ind w:left="0"/>
              <w:jc w:val="right"/>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车架结构</w:t>
            </w:r>
          </w:p>
        </w:tc>
        <w:tc>
          <w:tcPr>
            <w:tcW w:w="2237" w:type="dxa"/>
            <w:tcBorders>
              <w:tl2br w:val="nil"/>
              <w:tr2bl w:val="nil"/>
            </w:tcBorders>
            <w:noWrap w:val="0"/>
            <w:vAlign w:val="center"/>
          </w:tcPr>
          <w:p>
            <w:pPr>
              <w:pStyle w:val="44"/>
              <w:adjustRightInd w:val="0"/>
              <w:snapToGrid w:val="0"/>
              <w:spacing w:line="240" w:lineRule="auto"/>
              <w:ind w:left="0" w:right="-227" w:rightChars="-108" w:firstLine="0"/>
              <w:jc w:val="center"/>
              <w:rPr>
                <w:rFonts w:hint="eastAsia" w:ascii="宋体" w:hAnsi="宋体"/>
                <w:color w:val="auto"/>
                <w:szCs w:val="21"/>
              </w:rPr>
            </w:pPr>
          </w:p>
        </w:tc>
        <w:tc>
          <w:tcPr>
            <w:tcW w:w="2475" w:type="dxa"/>
            <w:gridSpan w:val="3"/>
            <w:tcBorders>
              <w:tl2br w:val="nil"/>
              <w:tr2bl w:val="nil"/>
            </w:tcBorders>
            <w:noWrap w:val="0"/>
            <w:vAlign w:val="center"/>
          </w:tcPr>
          <w:p>
            <w:pPr>
              <w:pStyle w:val="44"/>
              <w:adjustRightInd w:val="0"/>
              <w:snapToGrid w:val="0"/>
              <w:spacing w:line="240" w:lineRule="auto"/>
              <w:ind w:left="0" w:firstLine="0"/>
              <w:jc w:val="distribute"/>
              <w:rPr>
                <w:rFonts w:hint="default" w:ascii="宋体" w:eastAsia="宋体"/>
                <w:bCs/>
                <w:color w:val="auto"/>
                <w:sz w:val="24"/>
                <w:szCs w:val="24"/>
                <w:lang w:val="en-US" w:eastAsia="zh-CN"/>
              </w:rPr>
            </w:pPr>
            <w:r>
              <w:rPr>
                <w:rFonts w:hint="eastAsia" w:ascii="宋体"/>
                <w:bCs/>
                <w:color w:val="auto"/>
                <w:sz w:val="24"/>
                <w:szCs w:val="24"/>
                <w:lang w:val="en-US" w:eastAsia="zh-CN"/>
              </w:rPr>
              <w:t>驾驶方式</w:t>
            </w:r>
          </w:p>
        </w:tc>
        <w:tc>
          <w:tcPr>
            <w:tcW w:w="2183" w:type="dxa"/>
            <w:tcBorders>
              <w:tl2br w:val="nil"/>
              <w:tr2bl w:val="nil"/>
            </w:tcBorders>
            <w:noWrap w:val="0"/>
            <w:vAlign w:val="center"/>
          </w:tcPr>
          <w:p>
            <w:pPr>
              <w:pStyle w:val="44"/>
              <w:adjustRightInd w:val="0"/>
              <w:snapToGrid w:val="0"/>
              <w:spacing w:line="240" w:lineRule="auto"/>
              <w:ind w:left="0"/>
              <w:jc w:val="right"/>
              <w:rPr>
                <w:rFonts w:hint="eastAsia"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eastAsia" w:ascii="宋体"/>
                <w:bCs/>
                <w:color w:val="auto"/>
                <w:sz w:val="24"/>
                <w:szCs w:val="24"/>
              </w:rPr>
            </w:pPr>
            <w:r>
              <w:rPr>
                <w:rFonts w:hint="eastAsia" w:ascii="宋体"/>
                <w:bCs/>
                <w:color w:val="auto"/>
                <w:sz w:val="24"/>
                <w:szCs w:val="24"/>
              </w:rPr>
              <w:t>自重</w:t>
            </w:r>
          </w:p>
        </w:tc>
        <w:tc>
          <w:tcPr>
            <w:tcW w:w="2237" w:type="dxa"/>
            <w:tcBorders>
              <w:tl2br w:val="nil"/>
              <w:tr2bl w:val="nil"/>
            </w:tcBorders>
            <w:noWrap w:val="0"/>
            <w:vAlign w:val="center"/>
          </w:tcPr>
          <w:p>
            <w:pPr>
              <w:pStyle w:val="44"/>
              <w:adjustRightInd w:val="0"/>
              <w:snapToGrid w:val="0"/>
              <w:spacing w:line="240" w:lineRule="auto"/>
              <w:ind w:left="0"/>
              <w:jc w:val="right"/>
              <w:rPr>
                <w:rFonts w:hint="eastAsia" w:ascii="宋体"/>
                <w:color w:val="auto"/>
                <w:szCs w:val="21"/>
              </w:rPr>
            </w:pPr>
            <w:r>
              <w:rPr>
                <w:rFonts w:hint="eastAsia" w:ascii="宋体" w:hAnsi="宋体"/>
                <w:color w:val="auto"/>
                <w:szCs w:val="21"/>
              </w:rPr>
              <w:t>kg</w:t>
            </w:r>
          </w:p>
        </w:tc>
        <w:tc>
          <w:tcPr>
            <w:tcW w:w="2475" w:type="dxa"/>
            <w:gridSpan w:val="3"/>
            <w:tcBorders>
              <w:tl2br w:val="nil"/>
              <w:tr2bl w:val="nil"/>
            </w:tcBorders>
            <w:noWrap w:val="0"/>
            <w:vAlign w:val="center"/>
          </w:tcPr>
          <w:p>
            <w:pPr>
              <w:snapToGrid w:val="0"/>
              <w:jc w:val="distribute"/>
              <w:rPr>
                <w:rFonts w:hint="eastAsia" w:ascii="宋体" w:hAnsi="宋体"/>
                <w:bCs/>
                <w:color w:val="auto"/>
                <w:sz w:val="24"/>
              </w:rPr>
            </w:pPr>
            <w:r>
              <w:rPr>
                <w:rFonts w:hint="eastAsia" w:ascii="宋体" w:hAnsi="宋体"/>
                <w:bCs/>
                <w:color w:val="auto"/>
                <w:sz w:val="24"/>
                <w:lang w:val="en-US" w:eastAsia="zh-CN"/>
              </w:rPr>
              <w:t>空载</w:t>
            </w:r>
            <w:r>
              <w:rPr>
                <w:rFonts w:hint="eastAsia" w:ascii="宋体" w:hAnsi="宋体"/>
                <w:bCs/>
                <w:color w:val="auto"/>
                <w:sz w:val="24"/>
              </w:rPr>
              <w:t>最大运行速度</w:t>
            </w:r>
          </w:p>
        </w:tc>
        <w:tc>
          <w:tcPr>
            <w:tcW w:w="2183" w:type="dxa"/>
            <w:tcBorders>
              <w:tl2br w:val="nil"/>
              <w:tr2bl w:val="nil"/>
            </w:tcBorders>
            <w:noWrap w:val="0"/>
            <w:vAlign w:val="center"/>
          </w:tcPr>
          <w:p>
            <w:pPr>
              <w:rPr>
                <w:rFonts w:hint="eastAsia" w:ascii="宋体"/>
                <w:color w:val="auto"/>
                <w:szCs w:val="21"/>
              </w:rPr>
            </w:pPr>
            <w:r>
              <w:rPr>
                <w:rFonts w:hint="eastAsia" w:ascii="宋体"/>
                <w:color w:val="auto"/>
                <w:szCs w:val="21"/>
              </w:rPr>
              <w:t xml:space="preserve">              km/h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54" w:type="dxa"/>
            <w:tcBorders>
              <w:tl2br w:val="nil"/>
              <w:tr2bl w:val="nil"/>
            </w:tcBorders>
            <w:noWrap w:val="0"/>
            <w:vAlign w:val="center"/>
          </w:tcPr>
          <w:p>
            <w:pPr>
              <w:snapToGrid w:val="0"/>
              <w:jc w:val="distribute"/>
              <w:rPr>
                <w:rFonts w:hint="default" w:ascii="宋体" w:eastAsia="宋体"/>
                <w:bCs/>
                <w:color w:val="auto"/>
                <w:sz w:val="24"/>
                <w:szCs w:val="24"/>
                <w:lang w:val="en-US" w:eastAsia="zh-CN"/>
              </w:rPr>
            </w:pPr>
            <w:r>
              <w:rPr>
                <w:rFonts w:hint="eastAsia" w:ascii="宋体" w:hAnsi="宋体"/>
                <w:bCs/>
                <w:color w:val="auto"/>
                <w:sz w:val="24"/>
                <w:lang w:val="en-US" w:eastAsia="zh-CN"/>
              </w:rPr>
              <w:t>空载</w:t>
            </w:r>
            <w:r>
              <w:rPr>
                <w:rFonts w:hint="eastAsia" w:ascii="宋体" w:hAnsi="宋体"/>
                <w:bCs/>
                <w:color w:val="auto"/>
                <w:sz w:val="24"/>
              </w:rPr>
              <w:t>最大</w:t>
            </w:r>
            <w:r>
              <w:rPr>
                <w:rFonts w:hint="eastAsia" w:ascii="宋体" w:hAnsi="宋体"/>
                <w:bCs/>
                <w:color w:val="auto"/>
                <w:sz w:val="24"/>
                <w:lang w:val="en-US" w:eastAsia="zh-CN"/>
              </w:rPr>
              <w:t>起升高度</w:t>
            </w:r>
          </w:p>
        </w:tc>
        <w:tc>
          <w:tcPr>
            <w:tcW w:w="6895" w:type="dxa"/>
            <w:gridSpan w:val="5"/>
            <w:tcBorders>
              <w:tl2br w:val="nil"/>
              <w:tr2bl w:val="nil"/>
            </w:tcBorders>
            <w:noWrap w:val="0"/>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 xml:space="preserve">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eastAsia" w:ascii="宋体"/>
                <w:bCs/>
                <w:color w:val="auto"/>
                <w:sz w:val="24"/>
                <w:szCs w:val="24"/>
              </w:rPr>
            </w:pPr>
            <w:r>
              <w:rPr>
                <w:rFonts w:hint="eastAsia" w:ascii="宋体"/>
                <w:bCs/>
                <w:color w:val="auto"/>
                <w:sz w:val="24"/>
                <w:szCs w:val="24"/>
              </w:rPr>
              <w:t>检验依据</w:t>
            </w:r>
          </w:p>
        </w:tc>
        <w:tc>
          <w:tcPr>
            <w:tcW w:w="6895"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 w:val="24"/>
                <w:lang w:val="en-US" w:eastAsia="zh-CN"/>
              </w:rPr>
            </w:pPr>
            <w:r>
              <w:rPr>
                <w:rFonts w:hint="eastAsia" w:ascii="宋体" w:hAnsi="宋体"/>
                <w:bCs/>
                <w:color w:val="auto"/>
                <w:sz w:val="24"/>
                <w:lang w:val="en-US" w:eastAsia="zh-CN"/>
              </w:rPr>
              <w:t>《场（厂）内专用机动车辆安全技术规程》（TSG 81-2022）</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bCs/>
                <w:color w:val="FF0000"/>
                <w:sz w:val="24"/>
                <w:lang w:val="en-US" w:eastAsia="zh-CN"/>
              </w:rPr>
            </w:pPr>
            <w:r>
              <w:rPr>
                <w:rFonts w:hint="eastAsia" w:ascii="宋体" w:hAnsi="宋体"/>
                <w:bCs/>
                <w:color w:val="auto"/>
                <w:sz w:val="24"/>
                <w:lang w:val="en-US" w:eastAsia="zh-CN"/>
              </w:rPr>
              <w:t>《抱夹类场（厂）内专用机动车辆检验规则》</w:t>
            </w:r>
            <w:r>
              <w:rPr>
                <w:rFonts w:hint="eastAsia" w:ascii="宋体"/>
                <w:bCs/>
                <w:color w:val="auto"/>
                <w:sz w:val="24"/>
                <w:lang w:val="en-US" w:eastAsia="zh-CN"/>
              </w:rPr>
              <w:t>（</w:t>
            </w:r>
            <w:r>
              <w:rPr>
                <w:color w:val="auto"/>
              </w:rPr>
              <w:t>DB61/ ××××—20</w:t>
            </w:r>
            <w:r>
              <w:rPr>
                <w:rFonts w:hint="eastAsia"/>
                <w:color w:val="auto"/>
              </w:rPr>
              <w:t>2</w:t>
            </w:r>
            <w:r>
              <w:rPr>
                <w:color w:val="auto"/>
              </w:rPr>
              <w:t>×</w:t>
            </w:r>
            <w:r>
              <w:rPr>
                <w:rFonts w:hint="eastAsia" w:ascii="宋体"/>
                <w:bCs/>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default" w:ascii="宋体"/>
                <w:bCs/>
                <w:color w:val="auto"/>
                <w:sz w:val="24"/>
                <w:szCs w:val="24"/>
                <w:lang w:val="en-US" w:eastAsia="zh-CN"/>
              </w:rPr>
            </w:pPr>
            <w:r>
              <w:rPr>
                <w:rFonts w:hint="eastAsia" w:ascii="宋体"/>
                <w:bCs/>
                <w:color w:val="auto"/>
                <w:sz w:val="24"/>
                <w:szCs w:val="24"/>
                <w:lang w:val="en-US" w:eastAsia="zh-CN"/>
              </w:rPr>
              <w:t>检验结论</w:t>
            </w:r>
          </w:p>
        </w:tc>
        <w:tc>
          <w:tcPr>
            <w:tcW w:w="6895" w:type="dxa"/>
            <w:gridSpan w:val="5"/>
            <w:tcBorders>
              <w:tl2br w:val="nil"/>
              <w:tr2bl w:val="nil"/>
            </w:tcBorders>
            <w:noWrap w:val="0"/>
            <w:vAlign w:val="top"/>
          </w:tcPr>
          <w:p>
            <w:pPr>
              <w:snapToGrid w:val="0"/>
              <w:spacing w:line="360" w:lineRule="exact"/>
              <w:rPr>
                <w:rFonts w:hint="eastAsia" w:asci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154" w:type="dxa"/>
            <w:tcBorders>
              <w:tl2br w:val="nil"/>
              <w:tr2bl w:val="nil"/>
            </w:tcBorders>
            <w:noWrap w:val="0"/>
            <w:vAlign w:val="center"/>
          </w:tcPr>
          <w:p>
            <w:pPr>
              <w:pStyle w:val="44"/>
              <w:adjustRightInd w:val="0"/>
              <w:snapToGrid w:val="0"/>
              <w:spacing w:line="240" w:lineRule="auto"/>
              <w:ind w:left="0" w:firstLine="0"/>
              <w:jc w:val="distribute"/>
              <w:rPr>
                <w:rFonts w:hint="default" w:ascii="宋体"/>
                <w:bCs/>
                <w:color w:val="auto"/>
                <w:sz w:val="24"/>
                <w:szCs w:val="24"/>
                <w:lang w:val="en-US" w:eastAsia="zh-CN"/>
              </w:rPr>
            </w:pPr>
            <w:r>
              <w:rPr>
                <w:rFonts w:hint="eastAsia" w:ascii="宋体"/>
                <w:bCs/>
                <w:color w:val="auto"/>
                <w:sz w:val="24"/>
                <w:szCs w:val="24"/>
                <w:lang w:val="en-US" w:eastAsia="zh-CN"/>
              </w:rPr>
              <w:t>备注</w:t>
            </w:r>
          </w:p>
        </w:tc>
        <w:tc>
          <w:tcPr>
            <w:tcW w:w="6895" w:type="dxa"/>
            <w:gridSpan w:val="5"/>
            <w:tcBorders>
              <w:tl2br w:val="nil"/>
              <w:tr2bl w:val="nil"/>
            </w:tcBorders>
            <w:noWrap w:val="0"/>
            <w:vAlign w:val="top"/>
          </w:tcPr>
          <w:p>
            <w:pPr>
              <w:snapToGrid w:val="0"/>
              <w:spacing w:line="360" w:lineRule="exact"/>
              <w:rPr>
                <w:rFonts w:hint="eastAsia" w:asci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5366" w:type="dxa"/>
            <w:gridSpan w:val="4"/>
            <w:tcBorders>
              <w:tl2br w:val="nil"/>
              <w:tr2bl w:val="nil"/>
            </w:tcBorders>
            <w:noWrap w:val="0"/>
            <w:vAlign w:val="center"/>
          </w:tcPr>
          <w:p>
            <w:pPr>
              <w:spacing w:before="156" w:beforeLines="50" w:after="156" w:afterLines="50"/>
              <w:rPr>
                <w:rFonts w:hint="eastAsia" w:ascii="宋体"/>
                <w:color w:val="auto"/>
                <w:sz w:val="24"/>
              </w:rPr>
            </w:pPr>
            <w:r>
              <w:rPr>
                <w:rFonts w:hint="eastAsia" w:ascii="宋体"/>
                <w:color w:val="auto"/>
                <w:sz w:val="24"/>
              </w:rPr>
              <w:t>下次检验日期</w:t>
            </w:r>
            <w:r>
              <w:rPr>
                <w:rFonts w:hint="eastAsia" w:ascii="宋体"/>
                <w:color w:val="auto"/>
                <w:sz w:val="24"/>
                <w:lang w:eastAsia="zh-CN"/>
              </w:rPr>
              <w:t>：</w:t>
            </w:r>
            <w:r>
              <w:rPr>
                <w:rFonts w:hint="eastAsia" w:ascii="宋体"/>
                <w:color w:val="auto"/>
                <w:sz w:val="24"/>
                <w:lang w:val="en-US" w:eastAsia="zh-CN"/>
              </w:rPr>
              <w:t xml:space="preserve">           </w:t>
            </w:r>
            <w:r>
              <w:rPr>
                <w:rFonts w:hint="eastAsia" w:ascii="宋体"/>
                <w:color w:val="auto"/>
                <w:sz w:val="24"/>
              </w:rPr>
              <w:t>年    月</w:t>
            </w:r>
          </w:p>
        </w:tc>
        <w:tc>
          <w:tcPr>
            <w:tcW w:w="3683" w:type="dxa"/>
            <w:gridSpan w:val="2"/>
            <w:vMerge w:val="restart"/>
            <w:tcBorders>
              <w:tl2br w:val="nil"/>
              <w:tr2bl w:val="nil"/>
            </w:tcBorders>
            <w:noWrap w:val="0"/>
            <w:vAlign w:val="center"/>
          </w:tcPr>
          <w:p>
            <w:pPr>
              <w:spacing w:before="156" w:beforeLines="50" w:after="156" w:afterLines="50"/>
              <w:rPr>
                <w:rFonts w:hint="eastAsia" w:ascii="宋体"/>
                <w:color w:val="auto"/>
                <w:sz w:val="24"/>
                <w:lang w:val="en-US" w:eastAsia="zh-CN"/>
              </w:rPr>
            </w:pPr>
            <w:r>
              <w:rPr>
                <w:rFonts w:hint="eastAsia" w:ascii="宋体"/>
                <w:color w:val="auto"/>
                <w:sz w:val="24"/>
                <w:lang w:val="en-US" w:eastAsia="zh-CN"/>
              </w:rPr>
              <w:t>检验机构核准证号：</w:t>
            </w:r>
          </w:p>
          <w:p>
            <w:pPr>
              <w:spacing w:before="156" w:beforeLines="50" w:after="156" w:afterLines="50"/>
              <w:ind w:firstLine="2160" w:firstLineChars="900"/>
              <w:rPr>
                <w:rFonts w:hint="eastAsia" w:ascii="宋体"/>
                <w:color w:val="auto"/>
                <w:sz w:val="24"/>
                <w:lang w:val="en-US" w:eastAsia="zh-CN"/>
              </w:rPr>
            </w:pPr>
          </w:p>
          <w:p>
            <w:pPr>
              <w:spacing w:before="156" w:beforeLines="50" w:after="156" w:afterLines="50"/>
              <w:ind w:firstLine="2160" w:firstLineChars="900"/>
              <w:rPr>
                <w:rFonts w:hint="default" w:ascii="宋体"/>
                <w:color w:val="auto"/>
                <w:sz w:val="21"/>
                <w:szCs w:val="21"/>
                <w:lang w:val="en-US" w:eastAsia="zh-CN"/>
              </w:rPr>
            </w:pPr>
            <w:r>
              <w:rPr>
                <w:rFonts w:hint="eastAsia" w:ascii="宋体"/>
                <w:color w:val="auto"/>
                <w:sz w:val="24"/>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3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eastAsia="宋体"/>
                <w:color w:val="auto"/>
                <w:sz w:val="24"/>
                <w:lang w:val="en-US" w:eastAsia="zh-CN"/>
              </w:rPr>
            </w:pPr>
            <w:r>
              <w:rPr>
                <w:rFonts w:hint="eastAsia" w:ascii="宋体"/>
                <w:color w:val="auto"/>
                <w:sz w:val="24"/>
                <w:lang w:val="en-US" w:eastAsia="zh-CN"/>
              </w:rPr>
              <w:t>检验：                   日期：</w:t>
            </w:r>
          </w:p>
        </w:tc>
        <w:tc>
          <w:tcPr>
            <w:tcW w:w="3683" w:type="dxa"/>
            <w:gridSpan w:val="2"/>
            <w:vMerge w:val="continue"/>
            <w:tcBorders>
              <w:tl2br w:val="nil"/>
              <w:tr2bl w:val="nil"/>
            </w:tcBorders>
            <w:noWrap w:val="0"/>
            <w:vAlign w:val="center"/>
          </w:tcPr>
          <w:p>
            <w:pPr>
              <w:spacing w:before="156" w:beforeLines="50" w:after="156" w:afterLines="50"/>
              <w:rPr>
                <w:rFonts w:hint="eastAsia"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3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eastAsia="宋体"/>
                <w:color w:val="auto"/>
                <w:sz w:val="24"/>
                <w:lang w:val="en-US" w:eastAsia="zh-CN"/>
              </w:rPr>
            </w:pPr>
            <w:r>
              <w:rPr>
                <w:rFonts w:hint="eastAsia" w:ascii="宋体"/>
                <w:color w:val="auto"/>
                <w:sz w:val="24"/>
                <w:lang w:val="en-US" w:eastAsia="zh-CN"/>
              </w:rPr>
              <w:t>审核：                   日期：</w:t>
            </w:r>
          </w:p>
        </w:tc>
        <w:tc>
          <w:tcPr>
            <w:tcW w:w="3683" w:type="dxa"/>
            <w:gridSpan w:val="2"/>
            <w:vMerge w:val="continue"/>
            <w:tcBorders>
              <w:tl2br w:val="nil"/>
              <w:tr2bl w:val="nil"/>
            </w:tcBorders>
            <w:noWrap w:val="0"/>
            <w:vAlign w:val="center"/>
          </w:tcPr>
          <w:p>
            <w:pPr>
              <w:spacing w:before="156" w:beforeLines="50" w:after="156" w:afterLines="50"/>
              <w:rPr>
                <w:rFonts w:hint="eastAsia"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36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eastAsia="宋体"/>
                <w:color w:val="auto"/>
                <w:sz w:val="24"/>
                <w:lang w:val="en-US" w:eastAsia="zh-CN"/>
              </w:rPr>
            </w:pPr>
            <w:r>
              <w:rPr>
                <w:rFonts w:hint="eastAsia" w:ascii="宋体"/>
                <w:color w:val="auto"/>
                <w:sz w:val="24"/>
                <w:lang w:val="en-US" w:eastAsia="zh-CN"/>
              </w:rPr>
              <w:t>批准：                   日期：</w:t>
            </w:r>
          </w:p>
        </w:tc>
        <w:tc>
          <w:tcPr>
            <w:tcW w:w="3683" w:type="dxa"/>
            <w:gridSpan w:val="2"/>
            <w:vMerge w:val="continue"/>
            <w:tcBorders>
              <w:tl2br w:val="nil"/>
              <w:tr2bl w:val="nil"/>
            </w:tcBorders>
            <w:noWrap w:val="0"/>
            <w:vAlign w:val="center"/>
          </w:tcPr>
          <w:p>
            <w:pPr>
              <w:spacing w:before="156" w:beforeLines="50" w:after="156" w:afterLines="50"/>
              <w:rPr>
                <w:rFonts w:hint="eastAsia" w:ascii="宋体"/>
                <w:color w:val="auto"/>
                <w:sz w:val="24"/>
              </w:rPr>
            </w:pPr>
          </w:p>
        </w:tc>
      </w:tr>
    </w:tbl>
    <w:p>
      <w:pPr>
        <w:spacing w:line="240" w:lineRule="auto"/>
        <w:ind w:right="-535" w:rightChars="-255"/>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抱夹类场（厂）专用机动车辆检验报告附页</w:t>
      </w:r>
    </w:p>
    <w:p>
      <w:pPr>
        <w:spacing w:line="240" w:lineRule="auto"/>
        <w:ind w:right="-535" w:rightChars="-255" w:firstLine="5760" w:firstLineChars="2400"/>
        <w:rPr>
          <w:rFonts w:hint="eastAsia"/>
          <w:color w:val="auto"/>
          <w:sz w:val="24"/>
        </w:rPr>
      </w:pPr>
      <w:r>
        <w:rPr>
          <w:rFonts w:hint="eastAsia" w:ascii="宋体"/>
          <w:color w:val="auto"/>
          <w:sz w:val="24"/>
        </w:rPr>
        <w:t>报告编号</w:t>
      </w:r>
      <w:r>
        <w:rPr>
          <w:rFonts w:hint="eastAsia"/>
          <w:color w:val="auto"/>
          <w:sz w:val="24"/>
        </w:rPr>
        <w:t xml:space="preserve">：                                                </w:t>
      </w:r>
    </w:p>
    <w:tbl>
      <w:tblPr>
        <w:tblStyle w:val="14"/>
        <w:tblW w:w="99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66"/>
        <w:gridCol w:w="1071"/>
        <w:gridCol w:w="5243"/>
        <w:gridCol w:w="1110"/>
        <w:gridCol w:w="705"/>
        <w:gridCol w:w="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blHeader/>
          <w:jc w:val="center"/>
        </w:trPr>
        <w:tc>
          <w:tcPr>
            <w:tcW w:w="650" w:type="dxa"/>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1737" w:type="dxa"/>
            <w:gridSpan w:val="2"/>
            <w:tcBorders>
              <w:bottom w:val="single" w:color="auto" w:sz="6" w:space="0"/>
            </w:tcBorders>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检验项目</w:t>
            </w:r>
          </w:p>
        </w:tc>
        <w:tc>
          <w:tcPr>
            <w:tcW w:w="5243" w:type="dxa"/>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xml:space="preserve">检 验 </w:t>
            </w:r>
            <w:r>
              <w:rPr>
                <w:rFonts w:hint="eastAsia" w:ascii="黑体" w:hAnsi="黑体" w:eastAsia="黑体" w:cs="黑体"/>
                <w:b w:val="0"/>
                <w:bCs w:val="0"/>
                <w:color w:val="auto"/>
                <w:sz w:val="21"/>
                <w:szCs w:val="21"/>
                <w:lang w:val="en-US" w:eastAsia="zh-CN"/>
              </w:rPr>
              <w:t>内 容</w:t>
            </w:r>
          </w:p>
        </w:tc>
        <w:tc>
          <w:tcPr>
            <w:tcW w:w="1110" w:type="dxa"/>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检验结果</w:t>
            </w:r>
          </w:p>
        </w:tc>
        <w:tc>
          <w:tcPr>
            <w:tcW w:w="705" w:type="dxa"/>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检验结论</w:t>
            </w:r>
          </w:p>
        </w:tc>
        <w:tc>
          <w:tcPr>
            <w:tcW w:w="489" w:type="dxa"/>
            <w:noWrap w:val="0"/>
            <w:vAlign w:val="center"/>
          </w:tcPr>
          <w:p>
            <w:pPr>
              <w:pStyle w:val="9"/>
              <w:keepNext w:val="0"/>
              <w:keepLines w:val="0"/>
              <w:pageBreakBefore w:val="0"/>
              <w:widowControl w:val="0"/>
              <w:tabs>
                <w:tab w:val="clear" w:pos="4153"/>
                <w:tab w:val="clear" w:pos="8306"/>
              </w:tabs>
              <w:kinsoku/>
              <w:wordWrap/>
              <w:overflowPunct/>
              <w:topLinePunct w:val="0"/>
              <w:autoSpaceDE/>
              <w:autoSpaceDN/>
              <w:bidi w:val="0"/>
              <w:adjustRightInd w:val="0"/>
              <w:spacing w:before="32" w:beforeLines="10" w:after="32" w:afterLines="10" w:line="240" w:lineRule="auto"/>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restart"/>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66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C1</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技术资料审查</w:t>
            </w:r>
          </w:p>
        </w:tc>
        <w:tc>
          <w:tcPr>
            <w:tcW w:w="1071"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C1.2</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sz w:val="21"/>
                <w:szCs w:val="21"/>
              </w:rPr>
              <w:t>制造资料审查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适用于首次检验</w:t>
            </w:r>
            <w:r>
              <w:rPr>
                <w:rFonts w:hint="eastAsia" w:ascii="宋体" w:hAnsi="宋体" w:cs="宋体"/>
                <w:color w:val="auto"/>
                <w:sz w:val="21"/>
                <w:szCs w:val="21"/>
                <w:lang w:eastAsia="zh-CN"/>
              </w:rPr>
              <w:t>）</w:t>
            </w: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(1)境内制造单位的特种设备生产许可证明；</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(2)型式试验证书；</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(3)型式试验报告(必要时)；</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(4)产品质量合格证明、使用维护说明书；</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(5)具有防爆功能的</w:t>
            </w:r>
            <w:r>
              <w:rPr>
                <w:rFonts w:hint="eastAsia" w:ascii="宋体" w:hAnsi="宋体" w:eastAsia="宋体" w:cs="宋体"/>
                <w:sz w:val="21"/>
                <w:szCs w:val="21"/>
                <w:lang w:eastAsia="zh-CN"/>
              </w:rPr>
              <w:t>车辆</w:t>
            </w:r>
            <w:r>
              <w:rPr>
                <w:rFonts w:hint="eastAsia" w:ascii="宋体" w:hAnsi="宋体" w:eastAsia="宋体" w:cs="宋体"/>
                <w:sz w:val="21"/>
                <w:szCs w:val="21"/>
              </w:rPr>
              <w:t>的整机防爆合格证；或者所用发动机(行走电机)、隔爆箱、蓄电池、接线盒、灯具、电气声响警示装置等部件的防爆合格证，其防爆级别不低于整机的防爆要求。</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 w:hRule="atLeast"/>
          <w:jc w:val="center"/>
        </w:trPr>
        <w:tc>
          <w:tcPr>
            <w:tcW w:w="650" w:type="dxa"/>
            <w:vMerge w:val="restart"/>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C1.3</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改造资料审查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适用于首次检验</w:t>
            </w:r>
            <w:r>
              <w:rPr>
                <w:rFonts w:hint="eastAsia" w:ascii="宋体" w:hAnsi="宋体" w:cs="宋体"/>
                <w:color w:val="auto"/>
                <w:sz w:val="21"/>
                <w:szCs w:val="21"/>
                <w:lang w:eastAsia="zh-CN"/>
              </w:rPr>
              <w:t>）</w:t>
            </w: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(1)改造单位的特种设备生产许可证；</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(2)改造施工告知证明材料；</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(3)改造后的产品质量合格证明；</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(4)首次检验或者上一周期的定期检验报告；</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9"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(5)改造项目清单。</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restart"/>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66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C1.4</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使用资料审查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适用于定期检验</w:t>
            </w:r>
            <w:r>
              <w:rPr>
                <w:rFonts w:hint="eastAsia" w:ascii="宋体" w:hAnsi="宋体" w:cs="宋体"/>
                <w:color w:val="auto"/>
                <w:sz w:val="21"/>
                <w:szCs w:val="21"/>
                <w:lang w:eastAsia="zh-CN"/>
              </w:rPr>
              <w:t>）</w:t>
            </w:r>
          </w:p>
        </w:tc>
        <w:tc>
          <w:tcPr>
            <w:tcW w:w="5243" w:type="dxa"/>
            <w:tcBorders>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(1)上一周期的定期检验报告；</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sz w:val="21"/>
                <w:szCs w:val="21"/>
              </w:rPr>
            </w:pPr>
          </w:p>
        </w:tc>
        <w:tc>
          <w:tcPr>
            <w:tcW w:w="666" w:type="dxa"/>
            <w:vMerge w:val="continue"/>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tcBorders>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(2)最近一次的自行检查记录或者报告；</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(3)场车使用记录、维护保养记录、运行故障和事故记录；</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650" w:type="dxa"/>
            <w:vMerge w:val="continue"/>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666" w:type="dxa"/>
            <w:vMerge w:val="continue"/>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vMerge w:val="continue"/>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tcBorders>
              <w:left w:val="sing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(4)本周期内修理的自检报告、相关技术资料、修理单位的生产许可证(如涉及)。</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ind w:firstLine="210" w:firstLineChars="100"/>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p>
        </w:tc>
        <w:tc>
          <w:tcPr>
            <w:tcW w:w="666" w:type="dxa"/>
            <w:vMerge w:val="restart"/>
            <w:tcBorders>
              <w:top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检查</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1071" w:type="dxa"/>
            <w:tcBorders>
              <w:top w:val="single" w:color="auto" w:sz="6" w:space="0"/>
            </w:tcBorders>
            <w:noWrap w:val="0"/>
            <w:vAlign w:val="center"/>
          </w:tcPr>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C2.1</w:t>
            </w:r>
          </w:p>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rPr>
            </w:pPr>
            <w:r>
              <w:rPr>
                <w:rFonts w:hint="eastAsia" w:ascii="宋体" w:hAnsi="宋体" w:eastAsia="宋体" w:cs="宋体"/>
                <w:sz w:val="21"/>
                <w:szCs w:val="21"/>
              </w:rPr>
              <w:t>结构型式检查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检查车辆的主参数、主要结构型式与技术资料的描述是否一致。</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napToGrid w:val="0"/>
                <w:color w:val="auto"/>
                <w:spacing w:val="-6"/>
                <w:kern w:val="0"/>
                <w:sz w:val="21"/>
                <w:szCs w:val="21"/>
                <w:lang w:val="en-US" w:eastAsia="zh-CN"/>
              </w:rPr>
            </w:pPr>
            <w:r>
              <w:rPr>
                <w:rFonts w:hint="eastAsia" w:ascii="宋体" w:hAnsi="宋体" w:eastAsia="宋体" w:cs="宋体"/>
                <w:snapToGrid w:val="0"/>
                <w:color w:val="auto"/>
                <w:spacing w:val="-6"/>
                <w:kern w:val="0"/>
                <w:sz w:val="21"/>
                <w:szCs w:val="21"/>
                <w:lang w:val="en-US" w:eastAsia="zh-CN"/>
              </w:rPr>
              <w:t>5</w:t>
            </w:r>
          </w:p>
        </w:tc>
        <w:tc>
          <w:tcPr>
            <w:tcW w:w="666" w:type="dxa"/>
            <w:vMerge w:val="continue"/>
            <w:noWrap w:val="0"/>
            <w:vAlign w:val="top"/>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整车外观检查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)车架易见部位应当有清晰的永久编号，且与有关资料一致；</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top"/>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)防爆功能的</w:t>
            </w:r>
            <w:r>
              <w:rPr>
                <w:rFonts w:hint="eastAsia" w:ascii="宋体" w:hAnsi="宋体" w:eastAsia="宋体" w:cs="宋体"/>
                <w:sz w:val="21"/>
                <w:szCs w:val="21"/>
                <w:lang w:eastAsia="zh-CN"/>
              </w:rPr>
              <w:t>车辆</w:t>
            </w:r>
            <w:r>
              <w:rPr>
                <w:rFonts w:hint="eastAsia" w:ascii="宋体" w:hAnsi="宋体" w:eastAsia="宋体" w:cs="宋体"/>
                <w:sz w:val="21"/>
                <w:szCs w:val="21"/>
              </w:rPr>
              <w:t>应当在明显部位设置和车辆体积相适合的永久性“Ex”标志和使用说明牌；</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napToGrid w:val="0"/>
                <w:color w:val="auto"/>
                <w:spacing w:val="-6"/>
                <w:kern w:val="0"/>
                <w:sz w:val="21"/>
                <w:szCs w:val="21"/>
                <w:lang w:val="en-US" w:eastAsia="zh-CN"/>
              </w:rPr>
            </w:pPr>
          </w:p>
        </w:tc>
        <w:tc>
          <w:tcPr>
            <w:tcW w:w="666" w:type="dxa"/>
            <w:vMerge w:val="continue"/>
            <w:noWrap w:val="0"/>
            <w:vAlign w:val="top"/>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napToGrid w:val="0"/>
                <w:color w:val="auto"/>
                <w:spacing w:val="-6"/>
                <w:kern w:val="0"/>
                <w:sz w:val="21"/>
                <w:szCs w:val="21"/>
                <w:lang w:val="en-US" w:eastAsia="zh-CN"/>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)仪表或者指示器应当指(显)示清晰醒目、灵敏有效；</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napToGrid w:val="0"/>
                <w:color w:val="auto"/>
                <w:spacing w:val="-6"/>
                <w:kern w:val="0"/>
                <w:sz w:val="21"/>
                <w:szCs w:val="21"/>
                <w:lang w:val="en-US" w:eastAsia="zh-CN"/>
              </w:rPr>
            </w:pPr>
          </w:p>
        </w:tc>
        <w:tc>
          <w:tcPr>
            <w:tcW w:w="666" w:type="dxa"/>
            <w:vMerge w:val="continue"/>
            <w:noWrap w:val="0"/>
            <w:vAlign w:val="top"/>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napToGrid w:val="0"/>
                <w:color w:val="auto"/>
                <w:spacing w:val="-6"/>
                <w:kern w:val="0"/>
                <w:sz w:val="21"/>
                <w:szCs w:val="21"/>
                <w:lang w:val="en-US" w:eastAsia="zh-CN"/>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)车身应当周正，各部件齐全、完整，连接紧固，无缺损；</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napToGrid w:val="0"/>
                <w:color w:val="auto"/>
                <w:spacing w:val="-6"/>
                <w:kern w:val="0"/>
                <w:sz w:val="21"/>
                <w:szCs w:val="21"/>
                <w:lang w:val="en-US" w:eastAsia="zh-CN"/>
              </w:rPr>
            </w:pPr>
          </w:p>
        </w:tc>
        <w:tc>
          <w:tcPr>
            <w:tcW w:w="666" w:type="dxa"/>
            <w:vMerge w:val="continue"/>
            <w:noWrap w:val="0"/>
            <w:vAlign w:val="top"/>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napToGrid w:val="0"/>
                <w:color w:val="auto"/>
                <w:spacing w:val="-6"/>
                <w:kern w:val="0"/>
                <w:sz w:val="21"/>
                <w:szCs w:val="21"/>
                <w:lang w:val="en-US" w:eastAsia="zh-CN"/>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)应当将车牌固定在车辆明显部位，车牌编号与使用登记信息一</w:t>
            </w:r>
            <w:r>
              <w:rPr>
                <w:rFonts w:hint="eastAsia" w:ascii="宋体" w:hAnsi="宋体" w:eastAsia="宋体" w:cs="宋体"/>
                <w:color w:val="auto"/>
                <w:sz w:val="21"/>
                <w:szCs w:val="21"/>
              </w:rPr>
              <w:t>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适用于定期检验</w:t>
            </w:r>
            <w:r>
              <w:rPr>
                <w:rFonts w:hint="eastAsia" w:ascii="宋体" w:hAnsi="宋体" w:cs="宋体"/>
                <w:color w:val="auto"/>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napToGrid w:val="0"/>
                <w:color w:val="auto"/>
                <w:spacing w:val="-6"/>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3</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主要受力结构件检查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)主要受力结构件的焊缝外部宏观检查，不得有可见的漏焊、裂纹、烧穿、严重咬边等缺陷</w:t>
            </w:r>
            <w:r>
              <w:rPr>
                <w:rFonts w:hint="eastAsia" w:ascii="宋体" w:hAnsi="宋体" w:eastAsia="宋体" w:cs="宋体"/>
                <w:b w:val="0"/>
                <w:bCs w:val="0"/>
                <w:color w:val="auto"/>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)主要受力结构件应当无明显变形、裂纹和锈蚀，螺栓等连接件不应当缺少和松动。</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w:t>
            </w:r>
          </w:p>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检查</w:t>
            </w: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C2.4</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宋体" w:hAnsi="宋体" w:cs="宋体"/>
                <w:color w:val="auto"/>
                <w:kern w:val="2"/>
                <w:sz w:val="21"/>
                <w:szCs w:val="21"/>
                <w:lang w:val="en-US" w:eastAsia="zh-CN" w:bidi="ar-SA"/>
              </w:rPr>
            </w:pPr>
            <w:r>
              <w:rPr>
                <w:rFonts w:hint="eastAsia" w:ascii="宋体" w:hAnsi="宋体" w:eastAsia="宋体" w:cs="宋体"/>
                <w:sz w:val="21"/>
                <w:szCs w:val="21"/>
              </w:rPr>
              <w:t>铭牌和安全标志检查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(1)铭牌、载荷曲线、安全标志应当符合TSG</w:t>
            </w:r>
            <w:r>
              <w:rPr>
                <w:rFonts w:hint="eastAsia" w:ascii="宋体" w:hAnsi="宋体" w:cs="宋体"/>
                <w:sz w:val="21"/>
                <w:szCs w:val="21"/>
                <w:lang w:val="en-US" w:eastAsia="zh-CN"/>
              </w:rPr>
              <w:t xml:space="preserve"> </w:t>
            </w:r>
            <w:r>
              <w:rPr>
                <w:rFonts w:hint="eastAsia" w:ascii="宋体" w:hAnsi="宋体" w:eastAsia="宋体" w:cs="宋体"/>
                <w:sz w:val="21"/>
                <w:szCs w:val="21"/>
              </w:rPr>
              <w:t>81</w:t>
            </w:r>
            <w:r>
              <w:rPr>
                <w:rFonts w:hint="eastAsia" w:ascii="宋体" w:hAnsi="宋体" w:eastAsia="宋体" w:cs="宋体"/>
                <w:sz w:val="21"/>
                <w:szCs w:val="21"/>
                <w:lang w:val="en-US" w:eastAsia="zh-CN"/>
              </w:rPr>
              <w:t>-</w:t>
            </w:r>
            <w:r>
              <w:rPr>
                <w:rFonts w:hint="eastAsia" w:ascii="宋体" w:hAnsi="宋体" w:eastAsia="宋体" w:cs="宋体"/>
                <w:sz w:val="21"/>
                <w:szCs w:val="21"/>
              </w:rPr>
              <w:t>2022的要求；</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2"/>
                <w:sz w:val="21"/>
                <w:szCs w:val="21"/>
                <w:u w:val="none"/>
                <w:shd w:val="clear" w:color="auto" w:fill="auto"/>
                <w:lang w:val="en-US" w:eastAsia="zh-CN" w:bidi="ar-SA"/>
              </w:rPr>
            </w:pPr>
            <w:r>
              <w:rPr>
                <w:rFonts w:hint="eastAsia" w:ascii="宋体" w:hAnsi="宋体" w:eastAsia="宋体" w:cs="宋体"/>
                <w:sz w:val="21"/>
                <w:szCs w:val="21"/>
              </w:rPr>
              <w:t>(2)铭牌、载荷曲线、安全标志应当置于</w:t>
            </w:r>
            <w:r>
              <w:rPr>
                <w:rFonts w:hint="eastAsia" w:ascii="宋体" w:hAnsi="宋体" w:eastAsia="宋体" w:cs="宋体"/>
                <w:sz w:val="21"/>
                <w:szCs w:val="21"/>
                <w:lang w:eastAsia="zh-CN"/>
              </w:rPr>
              <w:t>车辆</w:t>
            </w:r>
            <w:r>
              <w:rPr>
                <w:rFonts w:hint="eastAsia" w:ascii="宋体" w:hAnsi="宋体" w:eastAsia="宋体" w:cs="宋体"/>
                <w:sz w:val="21"/>
                <w:szCs w:val="21"/>
              </w:rPr>
              <w:t>的显著位置，并且保持清晰。</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2"/>
                <w:sz w:val="21"/>
                <w:szCs w:val="21"/>
                <w:u w:val="none"/>
                <w:shd w:val="clear" w:color="auto" w:fill="auto"/>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2"/>
                <w:sz w:val="21"/>
                <w:szCs w:val="21"/>
                <w:u w:val="none"/>
                <w:shd w:val="clear" w:color="auto" w:fill="auto"/>
                <w:lang w:val="en-US" w:eastAsia="zh-CN" w:bidi="ar-SA"/>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2"/>
                <w:sz w:val="21"/>
                <w:szCs w:val="21"/>
                <w:u w:val="none"/>
                <w:shd w:val="clear" w:color="auto" w:fill="auto"/>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5</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动力系统检查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)动力源为蓄电池的</w:t>
            </w:r>
            <w:r>
              <w:rPr>
                <w:rFonts w:hint="eastAsia" w:ascii="宋体" w:hAnsi="宋体" w:eastAsia="宋体" w:cs="宋体"/>
                <w:sz w:val="21"/>
                <w:szCs w:val="21"/>
                <w:lang w:eastAsia="zh-CN"/>
              </w:rPr>
              <w:t>车辆</w:t>
            </w:r>
            <w:r>
              <w:rPr>
                <w:rFonts w:hint="eastAsia" w:ascii="宋体" w:hAnsi="宋体" w:eastAsia="宋体" w:cs="宋体"/>
                <w:sz w:val="21"/>
                <w:szCs w:val="21"/>
              </w:rPr>
              <w:t>，蓄电池金属盖或者非金属盖的金属部件与蓄电池带电部分之间应当有30mm以上的间隙；若盖板和带电部分被有效绝缘，则其间隙至少有10mm；</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)由于意外的关闭会造成伤害的，应当在罩壳处(如牵引蓄电池或者发动机罩)设置防止意外关闭的装置，并且永久地固定在车辆上或者安装在车辆的安全处；</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)发动机(行走电机)应当运转平稳，无异响，能正常启动、熄火(关闭)；</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)动力系统线路应当无漏电现象，管路应当无漏水、漏油现象；</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)发动机(行走电机)的安装应当牢固可靠，连接部分无松动、脱落、损坏；</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)车辆配置车用气瓶时，气瓶应当在检验有效期内。</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6</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传动系统检查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(1)静压传动</w:t>
            </w:r>
            <w:r>
              <w:rPr>
                <w:rFonts w:hint="eastAsia" w:ascii="宋体" w:hAnsi="宋体" w:eastAsia="宋体" w:cs="宋体"/>
                <w:sz w:val="21"/>
                <w:szCs w:val="21"/>
                <w:lang w:eastAsia="zh-CN"/>
              </w:rPr>
              <w:t>车辆</w:t>
            </w:r>
            <w:r>
              <w:rPr>
                <w:rFonts w:hint="eastAsia" w:ascii="宋体" w:hAnsi="宋体" w:eastAsia="宋体" w:cs="宋体"/>
                <w:sz w:val="21"/>
                <w:szCs w:val="21"/>
              </w:rPr>
              <w:t>，只有处于制动状态时才能启动发动机；</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(2)机械传动和液力传动的内燃</w:t>
            </w:r>
            <w:r>
              <w:rPr>
                <w:rFonts w:hint="eastAsia" w:ascii="宋体" w:hAnsi="宋体" w:eastAsia="宋体" w:cs="宋体"/>
                <w:sz w:val="21"/>
                <w:szCs w:val="21"/>
                <w:lang w:eastAsia="zh-CN"/>
              </w:rPr>
              <w:t>车辆</w:t>
            </w:r>
            <w:r>
              <w:rPr>
                <w:rFonts w:hint="eastAsia" w:ascii="宋体" w:hAnsi="宋体" w:eastAsia="宋体" w:cs="宋体"/>
                <w:sz w:val="21"/>
                <w:szCs w:val="21"/>
              </w:rPr>
              <w:t>，应当配备在传动装置处于接合状态时，能防止发动机启动的装置；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(3)传动系统及其零部件运转平稳，不应当有异常声响；</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(4)变速箱不应当有自动脱挡、串挡现象，运行正常，倒挡可靠；</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(5)离合器应当分离彻底，接合平稳，工作时无异响、抖动和不正常打滑等现象。</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6"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行驶系统检查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)同一轴上的轮胎规格和花纹应当相同；</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)轮辋应完整无损，螺栓、螺母应当齐全紧固；</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3"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)前后桥与车架的连接应当紧固；</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)充气轮胎胎面和胎壁应当无长度超过25mm或者深度足以暴露出轮胎帘布层的破裂和割伤；实心轮胎(包括工业脚轮和车轮轮胎)应当无胶层气泡和脱层、钢圈与胶层松脱等缺陷。</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6"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C2.8</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转向系统检查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(1)转向系统应当转动灵活、操纵方便、无卡滞，在任意转向操作时不得与其他部件有干涉；</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(2)向前运行时，顺时针转动方向盘或者对转向控制装置的等同操作，应当使</w:t>
            </w:r>
            <w:r>
              <w:rPr>
                <w:rFonts w:hint="eastAsia" w:ascii="宋体" w:hAnsi="宋体" w:eastAsia="宋体" w:cs="宋体"/>
                <w:sz w:val="21"/>
                <w:szCs w:val="21"/>
                <w:lang w:eastAsia="zh-CN"/>
              </w:rPr>
              <w:t>车辆</w:t>
            </w:r>
            <w:r>
              <w:rPr>
                <w:rFonts w:hint="eastAsia" w:ascii="宋体" w:hAnsi="宋体" w:eastAsia="宋体" w:cs="宋体"/>
                <w:sz w:val="21"/>
                <w:szCs w:val="21"/>
              </w:rPr>
              <w:t>右转，并且乘驾式</w:t>
            </w:r>
            <w:r>
              <w:rPr>
                <w:rFonts w:hint="eastAsia" w:ascii="宋体" w:hAnsi="宋体" w:eastAsia="宋体" w:cs="宋体"/>
                <w:sz w:val="21"/>
                <w:szCs w:val="21"/>
                <w:lang w:eastAsia="zh-CN"/>
              </w:rPr>
              <w:t>车辆</w:t>
            </w:r>
            <w:r>
              <w:rPr>
                <w:rFonts w:hint="eastAsia" w:ascii="宋体" w:hAnsi="宋体" w:eastAsia="宋体" w:cs="宋体"/>
                <w:sz w:val="21"/>
                <w:szCs w:val="21"/>
              </w:rPr>
              <w:t>的控制装置应当被限制在</w:t>
            </w:r>
            <w:r>
              <w:rPr>
                <w:rFonts w:hint="eastAsia" w:ascii="宋体" w:hAnsi="宋体" w:eastAsia="宋体" w:cs="宋体"/>
                <w:sz w:val="21"/>
                <w:szCs w:val="21"/>
                <w:lang w:eastAsia="zh-CN"/>
              </w:rPr>
              <w:t>车辆</w:t>
            </w:r>
            <w:r>
              <w:rPr>
                <w:rFonts w:hint="eastAsia" w:ascii="宋体" w:hAnsi="宋体" w:eastAsia="宋体" w:cs="宋体"/>
                <w:sz w:val="21"/>
                <w:szCs w:val="21"/>
              </w:rPr>
              <w:t>轮廓内；</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11</w:t>
            </w: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w:t>
            </w:r>
          </w:p>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检查</w:t>
            </w: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C2.8</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宋体" w:hAnsi="宋体" w:cs="宋体"/>
                <w:color w:val="auto"/>
                <w:kern w:val="0"/>
                <w:sz w:val="21"/>
                <w:szCs w:val="21"/>
                <w:lang w:val="en-US" w:eastAsia="zh-CN"/>
              </w:rPr>
            </w:pPr>
            <w:r>
              <w:rPr>
                <w:rFonts w:hint="eastAsia" w:ascii="宋体" w:hAnsi="宋体" w:eastAsia="宋体" w:cs="宋体"/>
                <w:sz w:val="21"/>
                <w:szCs w:val="21"/>
              </w:rPr>
              <w:t>转向系统检查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)转向装置中的转向节臂，转向横、直拉杆不应当有裂纹、损伤，球销不应当松旷，转向油缸不应当有泄漏油现象。</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C2.</w:t>
            </w:r>
            <w:r>
              <w:rPr>
                <w:rFonts w:hint="eastAsia" w:ascii="宋体" w:hAnsi="宋体" w:eastAsia="宋体" w:cs="宋体"/>
                <w:sz w:val="21"/>
                <w:szCs w:val="21"/>
                <w:lang w:val="en-US" w:eastAsia="zh-CN"/>
              </w:rPr>
              <w:t>9</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压</w:t>
            </w:r>
            <w:r>
              <w:rPr>
                <w:rFonts w:hint="eastAsia" w:ascii="宋体" w:hAnsi="宋体" w:eastAsia="宋体" w:cs="宋体"/>
                <w:sz w:val="21"/>
                <w:szCs w:val="21"/>
                <w:lang w:val="en-US" w:eastAsia="zh-CN"/>
              </w:rPr>
              <w:t>力</w:t>
            </w:r>
            <w:r>
              <w:rPr>
                <w:rFonts w:hint="eastAsia" w:ascii="宋体" w:hAnsi="宋体" w:eastAsia="宋体" w:cs="宋体"/>
                <w:sz w:val="21"/>
                <w:szCs w:val="21"/>
              </w:rPr>
              <w:t>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压力</w:t>
            </w:r>
            <w:r>
              <w:rPr>
                <w:rFonts w:hint="eastAsia" w:ascii="宋体" w:hAnsi="宋体" w:eastAsia="宋体" w:cs="宋体"/>
                <w:sz w:val="21"/>
                <w:szCs w:val="21"/>
              </w:rPr>
              <w:t>管路布置与其他运动机件应当无相互干涉；</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)液压系统固定接口应当无渗油，运动接口应当无漏油，各部位应当无泄漏现象。</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0</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制动系统检查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(1)应当具有行车、驻车制动系统，并且设置相应的制动装置；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(2)坐驾式</w:t>
            </w:r>
            <w:r>
              <w:rPr>
                <w:rFonts w:hint="eastAsia" w:ascii="宋体" w:hAnsi="宋体" w:eastAsia="宋体" w:cs="宋体"/>
                <w:sz w:val="21"/>
                <w:szCs w:val="21"/>
                <w:lang w:eastAsia="zh-CN"/>
              </w:rPr>
              <w:t>车辆</w:t>
            </w:r>
            <w:r>
              <w:rPr>
                <w:rFonts w:hint="eastAsia" w:ascii="宋体" w:hAnsi="宋体" w:eastAsia="宋体" w:cs="宋体"/>
                <w:sz w:val="21"/>
                <w:szCs w:val="21"/>
              </w:rPr>
              <w:t>的行车制动与驻车制动系统应当由独立的装置进行操纵；</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(3)站驾式和步驾式</w:t>
            </w:r>
            <w:r>
              <w:rPr>
                <w:rFonts w:hint="eastAsia" w:ascii="宋体" w:hAnsi="宋体" w:eastAsia="宋体" w:cs="宋体"/>
                <w:sz w:val="21"/>
                <w:szCs w:val="21"/>
                <w:lang w:eastAsia="zh-CN"/>
              </w:rPr>
              <w:t>车辆</w:t>
            </w:r>
            <w:r>
              <w:rPr>
                <w:rFonts w:hint="eastAsia" w:ascii="宋体" w:hAnsi="宋体" w:eastAsia="宋体" w:cs="宋体"/>
                <w:sz w:val="21"/>
                <w:szCs w:val="21"/>
              </w:rPr>
              <w:t>应当带有一个制动装置，该装置应当自动闭合直到其被司机释放；</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(4)驻车制动系统应当通过纯机械装置把工作部件锁止，手柄操纵的驻车制动控制装置应当有防止意外释放的功能；</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sz w:val="21"/>
                <w:szCs w:val="21"/>
              </w:rPr>
              <w:t>(5)用踏板操纵运行和制动控制装置的</w:t>
            </w:r>
            <w:r>
              <w:rPr>
                <w:rFonts w:hint="eastAsia" w:ascii="宋体" w:hAnsi="宋体" w:eastAsia="宋体" w:cs="宋体"/>
                <w:sz w:val="21"/>
                <w:szCs w:val="21"/>
                <w:lang w:eastAsia="zh-CN"/>
              </w:rPr>
              <w:t>车辆</w:t>
            </w:r>
            <w:r>
              <w:rPr>
                <w:rFonts w:hint="eastAsia" w:ascii="宋体" w:hAnsi="宋体" w:eastAsia="宋体" w:cs="宋体"/>
                <w:sz w:val="21"/>
                <w:szCs w:val="21"/>
              </w:rPr>
              <w:t>，应当符合GB/T 26562。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适用于首次检验</w:t>
            </w:r>
            <w:r>
              <w:rPr>
                <w:rFonts w:hint="eastAsia" w:ascii="宋体" w:hAnsi="宋体" w:eastAsia="宋体" w:cs="宋体"/>
                <w:color w:val="auto"/>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电气和控制系统检查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(1)启动应当设置开关装置，需要由钥匙、密码或者磁卡等才能启动；</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(2)电动</w:t>
            </w:r>
            <w:r>
              <w:rPr>
                <w:rFonts w:hint="eastAsia" w:ascii="宋体" w:hAnsi="宋体" w:eastAsia="宋体" w:cs="宋体"/>
                <w:sz w:val="21"/>
                <w:szCs w:val="21"/>
                <w:lang w:eastAsia="zh-CN"/>
              </w:rPr>
              <w:t>车辆</w:t>
            </w:r>
            <w:r>
              <w:rPr>
                <w:rFonts w:hint="eastAsia" w:ascii="宋体" w:hAnsi="宋体" w:eastAsia="宋体" w:cs="宋体"/>
                <w:sz w:val="21"/>
                <w:szCs w:val="21"/>
              </w:rPr>
              <w:t>的电气系统应当采用双线制；</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(3)坐驾式平衡重式</w:t>
            </w:r>
            <w:r>
              <w:rPr>
                <w:rFonts w:hint="eastAsia" w:ascii="宋体" w:hAnsi="宋体" w:eastAsia="宋体" w:cs="宋体"/>
                <w:sz w:val="21"/>
                <w:szCs w:val="21"/>
                <w:lang w:eastAsia="zh-CN"/>
              </w:rPr>
              <w:t>车辆</w:t>
            </w:r>
            <w:r>
              <w:rPr>
                <w:rFonts w:hint="eastAsia" w:ascii="宋体" w:hAnsi="宋体" w:eastAsia="宋体" w:cs="宋体"/>
                <w:sz w:val="21"/>
                <w:szCs w:val="21"/>
              </w:rPr>
              <w:t>和侧面式</w:t>
            </w:r>
            <w:r>
              <w:rPr>
                <w:rFonts w:hint="eastAsia" w:ascii="宋体" w:hAnsi="宋体" w:eastAsia="宋体" w:cs="宋体"/>
                <w:sz w:val="21"/>
                <w:szCs w:val="21"/>
                <w:lang w:eastAsia="zh-CN"/>
              </w:rPr>
              <w:t>车辆</w:t>
            </w:r>
            <w:r>
              <w:rPr>
                <w:rFonts w:hint="eastAsia" w:ascii="宋体" w:hAnsi="宋体" w:eastAsia="宋体" w:cs="宋体"/>
                <w:sz w:val="21"/>
                <w:szCs w:val="21"/>
              </w:rPr>
              <w:t>应当设置前照灯、制动灯、转向灯，其他</w:t>
            </w:r>
            <w:r>
              <w:rPr>
                <w:rFonts w:hint="eastAsia" w:ascii="宋体" w:hAnsi="宋体" w:eastAsia="宋体" w:cs="宋体"/>
                <w:sz w:val="21"/>
                <w:szCs w:val="21"/>
                <w:lang w:eastAsia="zh-CN"/>
              </w:rPr>
              <w:t>车辆</w:t>
            </w:r>
            <w:r>
              <w:rPr>
                <w:rFonts w:hint="eastAsia" w:ascii="宋体" w:hAnsi="宋体" w:eastAsia="宋体" w:cs="宋体"/>
                <w:sz w:val="21"/>
                <w:szCs w:val="21"/>
              </w:rPr>
              <w:t>根据使用工况设置照明和信号装置，照明和信号装置应当功能完好；</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(4)电动</w:t>
            </w:r>
            <w:r>
              <w:rPr>
                <w:rFonts w:hint="eastAsia" w:ascii="宋体" w:hAnsi="宋体" w:eastAsia="宋体" w:cs="宋体"/>
                <w:sz w:val="21"/>
                <w:szCs w:val="21"/>
                <w:lang w:eastAsia="zh-CN"/>
              </w:rPr>
              <w:t>车辆</w:t>
            </w:r>
            <w:r>
              <w:rPr>
                <w:rFonts w:hint="eastAsia" w:ascii="宋体" w:hAnsi="宋体" w:eastAsia="宋体" w:cs="宋体"/>
                <w:sz w:val="21"/>
                <w:szCs w:val="21"/>
              </w:rPr>
              <w:t>应当设置非自动复位且能切断所有驱动部件电源的紧急断电开关；</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(5)动力源为蓄电池的</w:t>
            </w:r>
            <w:r>
              <w:rPr>
                <w:rFonts w:hint="eastAsia" w:ascii="宋体" w:hAnsi="宋体" w:eastAsia="宋体" w:cs="宋体"/>
                <w:sz w:val="21"/>
                <w:szCs w:val="21"/>
                <w:lang w:eastAsia="zh-CN"/>
              </w:rPr>
              <w:t>车辆</w:t>
            </w:r>
            <w:r>
              <w:rPr>
                <w:rFonts w:hint="eastAsia" w:ascii="宋体" w:hAnsi="宋体" w:eastAsia="宋体" w:cs="宋体"/>
                <w:sz w:val="21"/>
                <w:szCs w:val="21"/>
              </w:rPr>
              <w:t>充电时，应当保证电源与车辆控制电路分离，车辆不能通过自身的驱动系统行驶；插接器应当有定向防护，防止插接器接反；</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(6)电气部件及线路的带电部分不得因使用损耗或者老化而裸露。</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92"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工作装置检查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(1)在</w:t>
            </w:r>
            <w:r>
              <w:rPr>
                <w:rFonts w:hint="eastAsia" w:ascii="宋体" w:hAnsi="宋体" w:eastAsia="宋体" w:cs="宋体"/>
                <w:sz w:val="21"/>
                <w:szCs w:val="21"/>
                <w:lang w:eastAsia="zh-CN"/>
              </w:rPr>
              <w:t>车辆</w:t>
            </w:r>
            <w:r>
              <w:rPr>
                <w:rFonts w:hint="eastAsia" w:ascii="宋体" w:hAnsi="宋体" w:eastAsia="宋体" w:cs="宋体"/>
                <w:sz w:val="21"/>
                <w:szCs w:val="21"/>
              </w:rPr>
              <w:t>(除装有伸缩门架和</w:t>
            </w:r>
            <w:r>
              <w:rPr>
                <w:rFonts w:hint="eastAsia" w:ascii="宋体" w:hAnsi="宋体" w:eastAsia="宋体" w:cs="宋体"/>
                <w:sz w:val="21"/>
                <w:szCs w:val="21"/>
                <w:lang w:eastAsia="zh-CN"/>
              </w:rPr>
              <w:t>属具</w:t>
            </w:r>
            <w:r>
              <w:rPr>
                <w:rFonts w:hint="eastAsia" w:ascii="宋体" w:hAnsi="宋体" w:eastAsia="宋体" w:cs="宋体"/>
                <w:sz w:val="21"/>
                <w:szCs w:val="21"/>
              </w:rPr>
              <w:t>的前移式</w:t>
            </w:r>
            <w:r>
              <w:rPr>
                <w:rFonts w:hint="eastAsia" w:ascii="宋体" w:hAnsi="宋体" w:eastAsia="宋体" w:cs="宋体"/>
                <w:sz w:val="21"/>
                <w:szCs w:val="21"/>
                <w:lang w:eastAsia="zh-CN"/>
              </w:rPr>
              <w:t>车辆</w:t>
            </w:r>
            <w:r>
              <w:rPr>
                <w:rFonts w:hint="eastAsia" w:ascii="宋体" w:hAnsi="宋体" w:eastAsia="宋体" w:cs="宋体"/>
                <w:sz w:val="21"/>
                <w:szCs w:val="21"/>
              </w:rPr>
              <w:t>)上使用一组单一功能的操纵杆时，离司机最近的操纵杆控制起升和下降，第二近的操纵杆控制倾斜功能，第三近的操纵杆控制侧移功能，第四近的操纵杆控制辅助功能；在装有伸缩门架或者</w:t>
            </w:r>
            <w:r>
              <w:rPr>
                <w:rFonts w:hint="eastAsia" w:ascii="宋体" w:hAnsi="宋体" w:eastAsia="宋体" w:cs="宋体"/>
                <w:sz w:val="21"/>
                <w:szCs w:val="21"/>
                <w:lang w:eastAsia="zh-CN"/>
              </w:rPr>
              <w:t>属具</w:t>
            </w:r>
            <w:r>
              <w:rPr>
                <w:rFonts w:hint="eastAsia" w:ascii="宋体" w:hAnsi="宋体" w:eastAsia="宋体" w:cs="宋体"/>
                <w:sz w:val="21"/>
                <w:szCs w:val="21"/>
              </w:rPr>
              <w:t>的前移式</w:t>
            </w:r>
            <w:r>
              <w:rPr>
                <w:rFonts w:hint="eastAsia" w:ascii="宋体" w:hAnsi="宋体" w:eastAsia="宋体" w:cs="宋体"/>
                <w:sz w:val="21"/>
                <w:szCs w:val="21"/>
                <w:lang w:eastAsia="zh-CN"/>
              </w:rPr>
              <w:t>车辆</w:t>
            </w:r>
            <w:r>
              <w:rPr>
                <w:rFonts w:hint="eastAsia" w:ascii="宋体" w:hAnsi="宋体" w:eastAsia="宋体" w:cs="宋体"/>
                <w:sz w:val="21"/>
                <w:szCs w:val="21"/>
              </w:rPr>
              <w:t>上使用一组单一功能的操纵杆时，离司机最近的操纵杆控制起升和下降，第二近的操纵杆控制门架或者</w:t>
            </w:r>
            <w:r>
              <w:rPr>
                <w:rFonts w:hint="eastAsia" w:ascii="宋体" w:hAnsi="宋体" w:eastAsia="宋体" w:cs="宋体"/>
                <w:sz w:val="21"/>
                <w:szCs w:val="21"/>
                <w:lang w:eastAsia="zh-CN"/>
              </w:rPr>
              <w:t>属具</w:t>
            </w:r>
            <w:r>
              <w:rPr>
                <w:rFonts w:hint="eastAsia" w:ascii="宋体" w:hAnsi="宋体" w:eastAsia="宋体" w:cs="宋体"/>
                <w:sz w:val="21"/>
                <w:szCs w:val="21"/>
              </w:rPr>
              <w:t>的移动，第三近的操纵杆控制倾斜功能，第四近的操纵杆控制侧移功能，第五近的操纵杆控制辅助功能；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适用于首次检验</w:t>
            </w:r>
            <w:r>
              <w:rPr>
                <w:rFonts w:hint="eastAsia" w:ascii="宋体" w:hAnsi="宋体" w:eastAsia="宋体" w:cs="宋体"/>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w:t>
            </w:r>
          </w:p>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检查</w:t>
            </w: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(2)当控制装置被设计和构造成能完成一个以上的功能时，每一单独功能都应当做出清晰的标志；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适用于首次检验</w:t>
            </w:r>
            <w:r>
              <w:rPr>
                <w:rFonts w:hint="eastAsia" w:ascii="宋体" w:hAnsi="宋体" w:eastAsia="宋体" w:cs="宋体"/>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(3)控制装置应当操作灵活，被释放时，应当自动回到中位，并且停止相应的载荷移动；</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属具不应有裂纹、起皮、堆积及起泡等缺陷，且</w:t>
            </w:r>
            <w:r>
              <w:rPr>
                <w:rFonts w:hint="eastAsia" w:ascii="宋体" w:hAnsi="宋体" w:eastAsia="宋体" w:cs="宋体"/>
                <w:color w:val="auto"/>
                <w:sz w:val="21"/>
                <w:szCs w:val="21"/>
              </w:rPr>
              <w:t>设置防止</w:t>
            </w:r>
            <w:r>
              <w:rPr>
                <w:rFonts w:hint="eastAsia" w:ascii="宋体" w:hAnsi="宋体" w:eastAsia="宋体" w:cs="宋体"/>
                <w:color w:val="auto"/>
                <w:sz w:val="21"/>
                <w:szCs w:val="21"/>
                <w:lang w:eastAsia="zh-CN"/>
              </w:rPr>
              <w:t>属具</w:t>
            </w:r>
            <w:r>
              <w:rPr>
                <w:rFonts w:hint="eastAsia" w:ascii="宋体" w:hAnsi="宋体" w:eastAsia="宋体" w:cs="宋体"/>
                <w:color w:val="auto"/>
                <w:sz w:val="21"/>
                <w:szCs w:val="21"/>
              </w:rPr>
              <w:t>意外侧向滑移或者脱落的装置；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(5)各运动机构应当配合良好，无异响，运动无阻滞现象；起升链条应完整无裂纹，无变形，连接配合良好，工作灵敏可靠</w:t>
            </w:r>
            <w:r>
              <w:rPr>
                <w:rFonts w:hint="eastAsia" w:ascii="宋体" w:hAnsi="宋体" w:eastAsia="宋体" w:cs="宋体"/>
                <w:color w:val="auto"/>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(6)属具无裂纹和变形，磨损量不超过原值的10%；</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（7）工作时，载荷与夹板之间的相对滑动应满足：纸卷夹不大于30mm；软包夹不大于5mm。车辆关闭动力源后10min内载荷不应出现滑落现象；</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（8）属具应在设计和规定的流量和压力下工作且动作必须同步；</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（9）车辆综合承载能力验证。</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3</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sz w:val="21"/>
                <w:szCs w:val="21"/>
              </w:rPr>
              <w:t>安全保护与防护装置检查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)起升高度大于1800mm的乘驾式</w:t>
            </w:r>
            <w:r>
              <w:rPr>
                <w:rFonts w:hint="eastAsia" w:ascii="宋体" w:hAnsi="宋体" w:eastAsia="宋体" w:cs="宋体"/>
                <w:sz w:val="21"/>
                <w:szCs w:val="21"/>
                <w:lang w:eastAsia="zh-CN"/>
              </w:rPr>
              <w:t>车辆</w:t>
            </w:r>
            <w:r>
              <w:rPr>
                <w:rFonts w:hint="eastAsia" w:ascii="宋体" w:hAnsi="宋体" w:eastAsia="宋体" w:cs="宋体"/>
                <w:sz w:val="21"/>
                <w:szCs w:val="21"/>
              </w:rPr>
              <w:t>或者载荷起升高度超过操作平台1800mm的</w:t>
            </w:r>
            <w:r>
              <w:rPr>
                <w:rFonts w:hint="eastAsia" w:ascii="宋体" w:hAnsi="宋体" w:eastAsia="宋体" w:cs="宋体"/>
                <w:sz w:val="21"/>
                <w:szCs w:val="21"/>
                <w:lang w:eastAsia="zh-CN"/>
              </w:rPr>
              <w:t>车辆</w:t>
            </w:r>
            <w:r>
              <w:rPr>
                <w:rFonts w:hint="eastAsia" w:ascii="宋体" w:hAnsi="宋体" w:eastAsia="宋体" w:cs="宋体"/>
                <w:sz w:val="21"/>
                <w:szCs w:val="21"/>
              </w:rPr>
              <w:t>应当装有护顶架或者司机室；</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)乘驾式</w:t>
            </w:r>
            <w:r>
              <w:rPr>
                <w:rFonts w:hint="eastAsia" w:ascii="宋体" w:hAnsi="宋体" w:eastAsia="宋体" w:cs="宋体"/>
                <w:sz w:val="21"/>
                <w:szCs w:val="21"/>
                <w:lang w:eastAsia="zh-CN"/>
              </w:rPr>
              <w:t>车辆</w:t>
            </w:r>
            <w:r>
              <w:rPr>
                <w:rFonts w:hint="eastAsia" w:ascii="宋体" w:hAnsi="宋体" w:eastAsia="宋体" w:cs="宋体"/>
                <w:sz w:val="21"/>
                <w:szCs w:val="21"/>
              </w:rPr>
              <w:t>应当设置由司机控制、能够发出清晰声响的警示装置(至少包括喇叭、倒车蜂鸣器)，其中，设计为司机侧站或者侧坐驾驶的</w:t>
            </w:r>
            <w:r>
              <w:rPr>
                <w:rFonts w:hint="eastAsia" w:ascii="宋体" w:hAnsi="宋体" w:eastAsia="宋体" w:cs="宋体"/>
                <w:sz w:val="21"/>
                <w:szCs w:val="21"/>
                <w:lang w:eastAsia="zh-CN"/>
              </w:rPr>
              <w:t>车辆</w:t>
            </w:r>
            <w:r>
              <w:rPr>
                <w:rFonts w:hint="eastAsia" w:ascii="宋体" w:hAnsi="宋体" w:eastAsia="宋体" w:cs="宋体"/>
                <w:sz w:val="21"/>
                <w:szCs w:val="21"/>
              </w:rPr>
              <w:t>可不设置倒车蜂鸣器；</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)坐驾式平衡重式</w:t>
            </w:r>
            <w:r>
              <w:rPr>
                <w:rFonts w:hint="eastAsia" w:ascii="宋体" w:hAnsi="宋体" w:eastAsia="宋体" w:cs="宋体"/>
                <w:sz w:val="21"/>
                <w:szCs w:val="21"/>
                <w:lang w:eastAsia="zh-CN"/>
              </w:rPr>
              <w:t>车辆</w:t>
            </w:r>
            <w:r>
              <w:rPr>
                <w:rFonts w:hint="eastAsia" w:ascii="宋体" w:hAnsi="宋体" w:eastAsia="宋体" w:cs="宋体"/>
                <w:sz w:val="21"/>
                <w:szCs w:val="21"/>
              </w:rPr>
              <w:t>和侧面式</w:t>
            </w:r>
            <w:r>
              <w:rPr>
                <w:rFonts w:hint="eastAsia" w:ascii="宋体" w:hAnsi="宋体" w:eastAsia="宋体" w:cs="宋体"/>
                <w:sz w:val="21"/>
                <w:szCs w:val="21"/>
                <w:lang w:eastAsia="zh-CN"/>
              </w:rPr>
              <w:t>车辆</w:t>
            </w:r>
            <w:r>
              <w:rPr>
                <w:rFonts w:hint="eastAsia" w:ascii="宋体" w:hAnsi="宋体" w:eastAsia="宋体" w:cs="宋体"/>
                <w:sz w:val="21"/>
                <w:szCs w:val="21"/>
              </w:rPr>
              <w:t>应当设置后视镜，侧面式</w:t>
            </w:r>
            <w:r>
              <w:rPr>
                <w:rFonts w:hint="eastAsia" w:ascii="宋体" w:hAnsi="宋体" w:eastAsia="宋体" w:cs="宋体"/>
                <w:sz w:val="21"/>
                <w:szCs w:val="21"/>
                <w:lang w:eastAsia="zh-CN"/>
              </w:rPr>
              <w:t>车辆属具</w:t>
            </w:r>
            <w:r>
              <w:rPr>
                <w:rFonts w:hint="eastAsia" w:ascii="宋体" w:hAnsi="宋体" w:eastAsia="宋体" w:cs="宋体"/>
                <w:sz w:val="21"/>
                <w:szCs w:val="21"/>
              </w:rPr>
              <w:t>侧和额定起重量大于10000kg的坐驾式平衡重式</w:t>
            </w:r>
            <w:r>
              <w:rPr>
                <w:rFonts w:hint="eastAsia" w:ascii="宋体" w:hAnsi="宋体" w:eastAsia="宋体" w:cs="宋体"/>
                <w:sz w:val="21"/>
                <w:szCs w:val="21"/>
                <w:lang w:eastAsia="zh-CN"/>
              </w:rPr>
              <w:t>车辆</w:t>
            </w:r>
            <w:r>
              <w:rPr>
                <w:rFonts w:hint="eastAsia" w:ascii="宋体" w:hAnsi="宋体" w:eastAsia="宋体" w:cs="宋体"/>
                <w:sz w:val="21"/>
                <w:szCs w:val="21"/>
              </w:rPr>
              <w:t>后方还应当设置视频监视装置；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)额定起重量不大于10000kg的坐驾式平衡重式</w:t>
            </w:r>
            <w:r>
              <w:rPr>
                <w:rFonts w:hint="eastAsia" w:ascii="宋体" w:hAnsi="宋体" w:eastAsia="宋体" w:cs="宋体"/>
                <w:sz w:val="21"/>
                <w:szCs w:val="21"/>
                <w:lang w:eastAsia="zh-CN"/>
              </w:rPr>
              <w:t>车辆</w:t>
            </w:r>
            <w:r>
              <w:rPr>
                <w:rFonts w:hint="eastAsia" w:ascii="宋体" w:hAnsi="宋体" w:eastAsia="宋体" w:cs="宋体"/>
                <w:sz w:val="21"/>
                <w:szCs w:val="21"/>
              </w:rPr>
              <w:t>和侧面式</w:t>
            </w:r>
            <w:r>
              <w:rPr>
                <w:rFonts w:hint="eastAsia" w:ascii="宋体" w:hAnsi="宋体" w:eastAsia="宋体" w:cs="宋体"/>
                <w:sz w:val="21"/>
                <w:szCs w:val="21"/>
                <w:lang w:eastAsia="zh-CN"/>
              </w:rPr>
              <w:t>车辆</w:t>
            </w:r>
            <w:r>
              <w:rPr>
                <w:rFonts w:hint="eastAsia" w:ascii="宋体" w:hAnsi="宋体" w:eastAsia="宋体" w:cs="宋体"/>
                <w:sz w:val="21"/>
                <w:szCs w:val="21"/>
              </w:rPr>
              <w:t>(单侧)应当配备司机防护约束装置(如安全带)；</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)前风窗玻璃应当设置刮水器，刮水器应当能正常工作，且关闭时刮片应当能自动返回至初始位置；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)应当设置下降限速装置、门架前倾自锁装置，如果下降限速阀与升降油缸采用软管连接，还应当有防止爆管装置；</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5"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)起升装置应当设置防越程装置，避免</w:t>
            </w:r>
            <w:r>
              <w:rPr>
                <w:rFonts w:hint="eastAsia" w:ascii="宋体" w:hAnsi="宋体" w:eastAsia="宋体" w:cs="宋体"/>
                <w:sz w:val="21"/>
                <w:szCs w:val="21"/>
                <w:lang w:eastAsia="zh-CN"/>
              </w:rPr>
              <w:t>属具</w:t>
            </w:r>
            <w:r>
              <w:rPr>
                <w:rFonts w:hint="eastAsia" w:ascii="宋体" w:hAnsi="宋体" w:eastAsia="宋体" w:cs="宋体"/>
                <w:sz w:val="21"/>
                <w:szCs w:val="21"/>
              </w:rPr>
              <w:t>和门架上的运动部件从门架上端意外脱落；</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48" w:beforeLines="15" w:after="48" w:afterLines="15"/>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)应当有避免正常操作的司机与车轮接触以及被车轮甩出物体伤害的保护装置；对于转向轮，只需对其直线行驶状态进行防护；</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)护顶架(司机室)与车辆连接应当紧固，结构件及其配件应当无裂纹、分离，顶棚垂直方向应当无明显的永久变形。</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5"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5</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sz w:val="21"/>
                <w:szCs w:val="21"/>
              </w:rPr>
              <w:t>安全监控装置检查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(1)乘驾式电动</w:t>
            </w:r>
            <w:r>
              <w:rPr>
                <w:rFonts w:hint="eastAsia" w:ascii="宋体" w:hAnsi="宋体" w:eastAsia="宋体" w:cs="宋体"/>
                <w:sz w:val="21"/>
                <w:szCs w:val="21"/>
                <w:lang w:eastAsia="zh-CN"/>
              </w:rPr>
              <w:t>车辆</w:t>
            </w:r>
            <w:r>
              <w:rPr>
                <w:rFonts w:hint="eastAsia" w:ascii="宋体" w:hAnsi="宋体" w:eastAsia="宋体" w:cs="宋体"/>
                <w:sz w:val="21"/>
                <w:szCs w:val="21"/>
              </w:rPr>
              <w:t>、电液换向的乘驾式内燃平衡重式</w:t>
            </w:r>
            <w:r>
              <w:rPr>
                <w:rFonts w:hint="eastAsia" w:ascii="宋体" w:hAnsi="宋体" w:eastAsia="宋体" w:cs="宋体"/>
                <w:sz w:val="21"/>
                <w:szCs w:val="21"/>
                <w:lang w:eastAsia="zh-CN"/>
              </w:rPr>
              <w:t>车辆</w:t>
            </w:r>
            <w:r>
              <w:rPr>
                <w:rFonts w:hint="eastAsia" w:ascii="宋体" w:hAnsi="宋体" w:eastAsia="宋体" w:cs="宋体"/>
                <w:sz w:val="21"/>
                <w:szCs w:val="21"/>
              </w:rPr>
              <w:t>、电液换向的乘驾式内燃侧面式</w:t>
            </w:r>
            <w:r>
              <w:rPr>
                <w:rFonts w:hint="eastAsia" w:ascii="宋体" w:hAnsi="宋体" w:eastAsia="宋体" w:cs="宋体"/>
                <w:sz w:val="21"/>
                <w:szCs w:val="21"/>
                <w:lang w:eastAsia="zh-CN"/>
              </w:rPr>
              <w:t>车辆</w:t>
            </w:r>
            <w:r>
              <w:rPr>
                <w:rFonts w:hint="eastAsia" w:ascii="宋体" w:hAnsi="宋体" w:eastAsia="宋体" w:cs="宋体"/>
                <w:sz w:val="21"/>
                <w:szCs w:val="21"/>
              </w:rPr>
              <w:t>应当设置司机坐(站)姿状态感知系统，当司机不在正常操作位置时，车辆不能进行动力运行，即使操纵载荷装卸控制装置，也不应当出现门架的倾斜和</w:t>
            </w:r>
            <w:r>
              <w:rPr>
                <w:rFonts w:hint="eastAsia" w:ascii="宋体" w:hAnsi="宋体" w:eastAsia="宋体" w:cs="宋体"/>
                <w:sz w:val="21"/>
                <w:szCs w:val="21"/>
                <w:lang w:eastAsia="zh-CN"/>
              </w:rPr>
              <w:t>属具</w:t>
            </w:r>
            <w:r>
              <w:rPr>
                <w:rFonts w:hint="eastAsia" w:ascii="宋体" w:hAnsi="宋体" w:eastAsia="宋体" w:cs="宋体"/>
                <w:sz w:val="21"/>
                <w:szCs w:val="21"/>
              </w:rPr>
              <w:t>的移动；当司机回到正常操作位置，但没有进行额外操作时，动力运行、门架的倾斜和</w:t>
            </w:r>
            <w:r>
              <w:rPr>
                <w:rFonts w:hint="eastAsia" w:ascii="宋体" w:hAnsi="宋体" w:eastAsia="宋体" w:cs="宋体"/>
                <w:sz w:val="21"/>
                <w:szCs w:val="21"/>
                <w:lang w:eastAsia="zh-CN"/>
              </w:rPr>
              <w:t>属具</w:t>
            </w:r>
            <w:r>
              <w:rPr>
                <w:rFonts w:hint="eastAsia" w:ascii="宋体" w:hAnsi="宋体" w:eastAsia="宋体" w:cs="宋体"/>
                <w:sz w:val="21"/>
                <w:szCs w:val="21"/>
              </w:rPr>
              <w:t>的移动均不应当自动发生；</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(2)应当设置符合TSG 81</w:t>
            </w:r>
            <w:r>
              <w:rPr>
                <w:rFonts w:hint="eastAsia" w:ascii="宋体" w:hAnsi="宋体" w:eastAsia="宋体" w:cs="宋体"/>
                <w:sz w:val="21"/>
                <w:szCs w:val="21"/>
                <w:lang w:val="en-US" w:eastAsia="zh-CN"/>
              </w:rPr>
              <w:t>-</w:t>
            </w:r>
            <w:r>
              <w:rPr>
                <w:rFonts w:hint="eastAsia" w:ascii="宋体" w:hAnsi="宋体" w:eastAsia="宋体" w:cs="宋体"/>
                <w:sz w:val="21"/>
                <w:szCs w:val="21"/>
              </w:rPr>
              <w:t>2022的司机权限信息采集器，验证司机权限信息采集器是否有效，当该采集器失效、拆除或者司机信息不正确时，车辆不能启动。</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sz w:val="21"/>
                <w:szCs w:val="21"/>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6</w:t>
            </w:r>
          </w:p>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sz w:val="21"/>
                <w:szCs w:val="21"/>
              </w:rPr>
              <w:t>防爆性能检查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(1)电气部件及发动机均应当采用防爆型，且其防爆级别不低于整机的防爆要求；</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(2)防爆电气部件外壳应当无损伤，透明件无裂纹，结合面应当紧固严密，紧固件应当无锈蚀、缺损；</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val="en-US"/>
              </w:rPr>
            </w:pPr>
            <w:r>
              <w:rPr>
                <w:rFonts w:hint="eastAsia" w:ascii="宋体" w:hAnsi="宋体" w:eastAsia="宋体" w:cs="宋体"/>
                <w:sz w:val="21"/>
                <w:szCs w:val="21"/>
              </w:rPr>
              <w:t>(3)车辆上所有大于l00 cm2的金属部件应当等电位地连接到车架上，并且最终通过非火花导电带、导电轮胎等方式与大地良好导通；</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(4)蓄电池箱体上应当设置清晰的永久性“Ex”标志和“危险场所严禁打开”字样的警告牌，箱体和箱盖应当设置用专用工具才能打开的锁紧机构；</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8"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both"/>
              <w:textAlignment w:val="auto"/>
              <w:rPr>
                <w:rFonts w:hint="eastAsia" w:ascii="宋体" w:hAnsi="宋体" w:eastAsia="宋体" w:cs="宋体"/>
                <w:color w:val="auto"/>
                <w:kern w:val="0"/>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(5)发动机的进气管应当设置阻火器，排气管应当设置阻火器和火星熄灭器，进气管道、排气管道不应当有裂纹；进气系统还应当设置进气截止阀，进气截止阀应当能手动操作，手动操作时，发动机应当能可靠停机；</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18</w:t>
            </w:r>
          </w:p>
        </w:tc>
        <w:tc>
          <w:tcPr>
            <w:tcW w:w="66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r>
              <w:rPr>
                <w:rFonts w:hint="eastAsia" w:ascii="宋体" w:hAnsi="宋体" w:eastAsia="宋体" w:cs="宋体"/>
                <w:sz w:val="21"/>
                <w:szCs w:val="21"/>
              </w:rPr>
              <w:t>C2</w:t>
            </w:r>
          </w:p>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检查</w:t>
            </w:r>
          </w:p>
        </w:tc>
        <w:tc>
          <w:tcPr>
            <w:tcW w:w="1071"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C2.1</w:t>
            </w:r>
            <w:r>
              <w:rPr>
                <w:rFonts w:hint="eastAsia" w:ascii="宋体" w:hAnsi="宋体" w:eastAsia="宋体" w:cs="宋体"/>
                <w:sz w:val="21"/>
                <w:szCs w:val="21"/>
                <w:lang w:val="en-US" w:eastAsia="zh-CN"/>
              </w:rPr>
              <w:t>7</w:t>
            </w:r>
          </w:p>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sz w:val="21"/>
                <w:szCs w:val="21"/>
              </w:rPr>
              <w:t>防爆性能检查</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(6)载荷装卸装置接触或者可能接触地面或者载荷的所有表面，应当用铜、铜锌合金、不锈钢或者非金属材料(如橡胶、塑料)包覆。</w:t>
            </w:r>
          </w:p>
        </w:tc>
        <w:tc>
          <w:tcPr>
            <w:tcW w:w="1110" w:type="dxa"/>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val="en-US" w:eastAsia="zh-CN"/>
              </w:rPr>
            </w:pPr>
            <w:r>
              <w:rPr>
                <w:rFonts w:hint="eastAsia" w:ascii="宋体"/>
                <w:szCs w:val="21"/>
              </w:rPr>
              <w:t>1</w:t>
            </w:r>
            <w:r>
              <w:rPr>
                <w:rFonts w:hint="eastAsia" w:ascii="宋体"/>
                <w:szCs w:val="21"/>
                <w:lang w:val="en-US" w:eastAsia="zh-CN"/>
              </w:rPr>
              <w:t>9</w:t>
            </w: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Cs w:val="21"/>
              </w:rPr>
            </w:pPr>
            <w:r>
              <w:rPr>
                <w:rFonts w:hint="eastAsia" w:ascii="宋体" w:hAnsi="宋体" w:eastAsia="宋体" w:cs="宋体"/>
                <w:szCs w:val="21"/>
              </w:rPr>
              <w:t>C3</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Cs w:val="21"/>
              </w:rPr>
              <w:t>试验</w:t>
            </w: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C3.</w:t>
            </w: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sz w:val="21"/>
                <w:szCs w:val="21"/>
              </w:rPr>
              <w:t>制动性能试验</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sz w:val="21"/>
                <w:szCs w:val="21"/>
              </w:rPr>
              <w:t>C3.</w:t>
            </w:r>
            <w:r>
              <w:rPr>
                <w:rFonts w:hint="eastAsia" w:ascii="宋体" w:hAnsi="宋体" w:eastAsia="宋体" w:cs="宋体"/>
                <w:sz w:val="21"/>
                <w:szCs w:val="21"/>
                <w:lang w:val="en-US" w:eastAsia="zh-CN"/>
              </w:rPr>
              <w:t>1</w:t>
            </w:r>
            <w:r>
              <w:rPr>
                <w:rFonts w:hint="eastAsia" w:ascii="宋体" w:hAnsi="宋体" w:eastAsia="宋体" w:cs="宋体"/>
                <w:sz w:val="21"/>
                <w:szCs w:val="21"/>
              </w:rPr>
              <w:t>.1 坡道驻车制动试验：按GB/T 18849-2011中6.1规定的工况、试验方法和要求进行试验，检查其结果是否符合标准要求。定期(首次)检验时，允许以无载状态在作业区域中较大坡道上进行试验</w:t>
            </w:r>
            <w:r>
              <w:rPr>
                <w:rFonts w:hint="eastAsia" w:ascii="宋体" w:hAnsi="宋体" w:eastAsia="宋体" w:cs="宋体"/>
                <w:sz w:val="21"/>
                <w:szCs w:val="21"/>
                <w:lang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c>
          <w:tcPr>
            <w:tcW w:w="48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center"/>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sz w:val="21"/>
                <w:szCs w:val="21"/>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rPr>
            </w:pP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color w:val="auto"/>
                <w:kern w:val="0"/>
                <w:sz w:val="21"/>
                <w:szCs w:val="21"/>
              </w:rPr>
            </w:pPr>
            <w:r>
              <w:rPr>
                <w:rFonts w:hint="eastAsia" w:ascii="宋体" w:hAnsi="宋体" w:eastAsia="宋体" w:cs="宋体"/>
                <w:sz w:val="21"/>
                <w:szCs w:val="21"/>
              </w:rPr>
              <w:t>C3.</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制动距离测定：按照GB/T 18849</w:t>
            </w:r>
            <w:r>
              <w:rPr>
                <w:rFonts w:hint="eastAsia" w:ascii="宋体" w:hAnsi="宋体" w:eastAsia="宋体" w:cs="宋体"/>
                <w:sz w:val="21"/>
                <w:szCs w:val="21"/>
                <w:lang w:val="en-US" w:eastAsia="zh-CN"/>
              </w:rPr>
              <w:t>-</w:t>
            </w:r>
            <w:r>
              <w:rPr>
                <w:rFonts w:hint="eastAsia" w:ascii="宋体" w:hAnsi="宋体" w:eastAsia="宋体" w:cs="宋体"/>
                <w:sz w:val="21"/>
                <w:szCs w:val="21"/>
              </w:rPr>
              <w:t>2011中6.2.1规定的工况、试验方法和要求进行试验，检查其结果是否符合标准要求。定期(首次)检验时，允许以无载工况和检验现场实际可达到的最大车速进行试验。</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650" w:type="dxa"/>
            <w:vMerge w:val="continue"/>
            <w:noWrap w:val="0"/>
            <w:vAlign w:val="center"/>
          </w:tcPr>
          <w:p>
            <w:pPr>
              <w:keepNext w:val="0"/>
              <w:keepLines w:val="0"/>
              <w:pageBreakBefore w:val="0"/>
              <w:widowControl w:val="0"/>
              <w:kinsoku/>
              <w:wordWrap/>
              <w:overflowPunct/>
              <w:topLinePunct w:val="0"/>
              <w:autoSpaceDE/>
              <w:autoSpaceDN/>
              <w:bidi w:val="0"/>
              <w:spacing w:before="32" w:beforeLines="10" w:after="32" w:afterLines="10" w:line="240" w:lineRule="auto"/>
              <w:jc w:val="center"/>
              <w:textAlignment w:val="auto"/>
              <w:rPr>
                <w:rFonts w:hint="eastAsia" w:ascii="宋体" w:hAnsi="宋体" w:eastAsia="宋体" w:cs="宋体"/>
                <w:sz w:val="21"/>
                <w:szCs w:val="21"/>
                <w:lang w:val="en-US"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sz w:val="21"/>
                <w:szCs w:val="21"/>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C3.2</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下滑</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试验</w:t>
            </w:r>
          </w:p>
        </w:tc>
        <w:tc>
          <w:tcPr>
            <w:tcW w:w="524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正常工作时，载荷与夹板之间的相对滑动应满足：纸卷夹不大于30mm；软包夹不大于5mm。车辆关闭动力源后10min内载荷不应出现滑落现象。</w:t>
            </w:r>
          </w:p>
        </w:tc>
        <w:tc>
          <w:tcPr>
            <w:tcW w:w="1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c>
          <w:tcPr>
            <w:tcW w:w="48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40" w:lineRule="auto"/>
              <w:jc w:val="left"/>
              <w:textAlignment w:val="auto"/>
              <w:rPr>
                <w:rFonts w:hint="eastAsia" w:ascii="宋体" w:hAnsi="宋体" w:eastAsia="宋体" w:cs="宋体"/>
                <w:color w:val="auto"/>
                <w:kern w:val="0"/>
                <w:sz w:val="21"/>
                <w:szCs w:val="21"/>
              </w:rPr>
            </w:pPr>
          </w:p>
        </w:tc>
      </w:tr>
    </w:tbl>
    <w:p>
      <w:pPr>
        <w:autoSpaceDE w:val="0"/>
        <w:autoSpaceDN w:val="0"/>
        <w:ind w:firstLine="3600" w:firstLineChars="2000"/>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共  页  第  页</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br w:type="page"/>
      </w:r>
    </w:p>
    <w:p>
      <w:pPr>
        <w:pStyle w:val="2"/>
        <w:keepNext/>
        <w:keepLines/>
        <w:pageBreakBefore w:val="0"/>
        <w:widowControl w:val="0"/>
        <w:kinsoku/>
        <w:wordWrap/>
        <w:overflowPunct/>
        <w:topLinePunct w:val="0"/>
        <w:autoSpaceDE/>
        <w:autoSpaceDN/>
        <w:bidi w:val="0"/>
        <w:adjustRightInd/>
        <w:snapToGrid/>
        <w:spacing w:before="0" w:after="0" w:line="579" w:lineRule="auto"/>
        <w:textAlignment w:val="auto"/>
        <w:rPr>
          <w:sz w:val="24"/>
          <w:szCs w:val="36"/>
          <w:lang w:val="en-US" w:eastAsia="zh-CN"/>
        </w:rPr>
      </w:pPr>
      <w:bookmarkStart w:id="58" w:name="_Toc67038528"/>
      <w:bookmarkStart w:id="59" w:name="_Toc20032"/>
      <w:r>
        <w:rPr>
          <w:rFonts w:hint="eastAsia"/>
          <w:sz w:val="24"/>
          <w:szCs w:val="36"/>
          <w:lang w:val="en-US" w:eastAsia="zh-CN"/>
        </w:rPr>
        <w:t>附录</w:t>
      </w:r>
      <w:bookmarkEnd w:id="58"/>
      <w:r>
        <w:rPr>
          <w:rFonts w:hint="eastAsia"/>
          <w:sz w:val="24"/>
          <w:szCs w:val="36"/>
          <w:lang w:val="en-US" w:eastAsia="zh-CN"/>
        </w:rPr>
        <w:t>D抱夹类场（厂）内专用机动车辆检验备忘录</w:t>
      </w:r>
      <w:bookmarkEnd w:id="59"/>
    </w:p>
    <w:p>
      <w:pPr>
        <w:keepNext w:val="0"/>
        <w:keepLines w:val="0"/>
        <w:pageBreakBefore w:val="0"/>
        <w:widowControl w:val="0"/>
        <w:kinsoku/>
        <w:wordWrap/>
        <w:overflowPunct/>
        <w:topLinePunct w:val="0"/>
        <w:autoSpaceDE/>
        <w:autoSpaceDN/>
        <w:bidi w:val="0"/>
        <w:adjustRightInd/>
        <w:snapToGrid/>
        <w:spacing w:line="240" w:lineRule="atLeast"/>
        <w:ind w:firstLine="320" w:firstLineChars="100"/>
        <w:jc w:val="center"/>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特种设备检验意见通知书（1）</w:t>
      </w:r>
    </w:p>
    <w:p>
      <w:pPr>
        <w:ind w:firstLine="320" w:firstLineChars="10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28"/>
          <w:szCs w:val="28"/>
          <w:lang w:val="en-US" w:eastAsia="zh-CN"/>
        </w:rPr>
        <w:t>编号：</w:t>
      </w:r>
    </w:p>
    <w:tbl>
      <w:tblPr>
        <w:tblStyle w:val="15"/>
        <w:tblW w:w="91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2845"/>
        <w:gridCol w:w="3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使用单位</w:t>
            </w:r>
          </w:p>
        </w:tc>
        <w:tc>
          <w:tcPr>
            <w:tcW w:w="6115" w:type="dxa"/>
            <w:gridSpan w:val="2"/>
            <w:tcBorders>
              <w:tl2br w:val="nil"/>
              <w:tr2bl w:val="nil"/>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设备代码</w:t>
            </w:r>
          </w:p>
        </w:tc>
        <w:tc>
          <w:tcPr>
            <w:tcW w:w="2845" w:type="dxa"/>
            <w:tcBorders>
              <w:tl2br w:val="nil"/>
              <w:tr2bl w:val="nil"/>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产品编号</w:t>
            </w:r>
          </w:p>
        </w:tc>
        <w:tc>
          <w:tcPr>
            <w:tcW w:w="3270" w:type="dxa"/>
            <w:tcBorders>
              <w:tl2br w:val="nil"/>
              <w:tr2bl w:val="nil"/>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车牌编号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2845"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3270"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2845"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3270"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2845"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3270"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07"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2845"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c>
          <w:tcPr>
            <w:tcW w:w="3270" w:type="dxa"/>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122" w:type="dxa"/>
            <w:gridSpan w:val="3"/>
            <w:tcBorders>
              <w:tl2br w:val="nil"/>
              <w:tr2bl w:val="nil"/>
            </w:tcBorders>
            <w:noWrap w:val="0"/>
            <w:vAlign w:val="top"/>
          </w:tcPr>
          <w:p>
            <w:pPr>
              <w:spacing w:line="360" w:lineRule="auto"/>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初步结论：</w:t>
            </w:r>
          </w:p>
          <w:p>
            <w:pPr>
              <w:spacing w:line="360" w:lineRule="auto"/>
              <w:ind w:firstLine="420" w:firstLineChars="200"/>
              <w:jc w:val="left"/>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z w:val="21"/>
                <w:szCs w:val="21"/>
                <w:vertAlign w:val="baseline"/>
                <w:lang w:val="en-US" w:eastAsia="zh-CN"/>
              </w:rPr>
              <w:t>经检验，初步结论为合格，</w:t>
            </w:r>
            <w:r>
              <w:rPr>
                <w:rFonts w:hint="eastAsia" w:ascii="宋体" w:hAnsi="宋体" w:eastAsia="宋体" w:cs="宋体"/>
                <w:color w:val="auto"/>
                <w:spacing w:val="0"/>
                <w:w w:val="100"/>
                <w:position w:val="0"/>
                <w:sz w:val="21"/>
                <w:szCs w:val="21"/>
              </w:rPr>
              <w:t>上述所检设备允许使用。本通知书的有效期自本通知签字之日起至</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 xml:space="preserve"> 年</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 xml:space="preserve"> 月</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rPr>
              <w:t xml:space="preserve"> 日止，最终检验结论以正式报告为准。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9122" w:type="dxa"/>
            <w:gridSpan w:val="3"/>
            <w:tcBorders>
              <w:tl2br w:val="nil"/>
              <w:tr2bl w:val="nil"/>
            </w:tcBorders>
            <w:noWrap w:val="0"/>
            <w:vAlign w:val="top"/>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需要说明的情况：</w:t>
            </w: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122" w:type="dxa"/>
            <w:gridSpan w:val="3"/>
            <w:tcBorders>
              <w:tl2br w:val="nil"/>
              <w:tr2bl w:val="nil"/>
            </w:tcBorders>
            <w:noWrap w:val="0"/>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w:t>
            </w:r>
          </w:p>
          <w:p>
            <w:pPr>
              <w:jc w:val="center"/>
              <w:rPr>
                <w:rFonts w:hint="eastAsia" w:ascii="宋体" w:hAnsi="宋体" w:eastAsia="宋体" w:cs="宋体"/>
                <w:color w:val="auto"/>
                <w:sz w:val="21"/>
                <w:szCs w:val="21"/>
                <w:vertAlign w:val="baseline"/>
                <w:lang w:val="en-US" w:eastAsia="zh-CN"/>
              </w:rPr>
            </w:pPr>
          </w:p>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w:t>
            </w:r>
          </w:p>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（检验机构检验专用章或者公章）</w:t>
            </w:r>
          </w:p>
          <w:p>
            <w:pPr>
              <w:jc w:val="center"/>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检验人员（签字）：                                        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22" w:type="dxa"/>
            <w:gridSpan w:val="3"/>
            <w:tcBorders>
              <w:tl2br w:val="nil"/>
              <w:tr2bl w:val="nil"/>
            </w:tcBorders>
            <w:noWrap w:val="0"/>
            <w:vAlign w:val="top"/>
          </w:tcPr>
          <w:p>
            <w:pPr>
              <w:jc w:val="both"/>
              <w:rPr>
                <w:rFonts w:hint="eastAsia" w:ascii="宋体" w:hAnsi="宋体" w:eastAsia="宋体" w:cs="宋体"/>
                <w:color w:val="auto"/>
                <w:sz w:val="21"/>
                <w:szCs w:val="21"/>
                <w:vertAlign w:val="baseline"/>
                <w:lang w:val="en-US" w:eastAsia="zh-CN"/>
              </w:rPr>
            </w:pP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使用单位代表（签字）：                                    日期：     年    月    日</w:t>
            </w:r>
          </w:p>
        </w:tc>
      </w:tr>
    </w:tbl>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00" w:firstLineChars="200"/>
        <w:jc w:val="left"/>
        <w:textAlignment w:val="auto"/>
        <w:rPr>
          <w:rFonts w:hint="default" w:hAnsi="Cambria Math" w:cs="宋体"/>
          <w:i w:val="0"/>
          <w:kern w:val="2"/>
          <w:sz w:val="20"/>
          <w:szCs w:val="20"/>
          <w:u w:val="none"/>
          <w:shd w:val="clear" w:color="auto" w:fill="auto"/>
          <w:lang w:val="en-US" w:eastAsia="zh-CN" w:bidi="zh-TW"/>
        </w:rPr>
      </w:pPr>
      <w:r>
        <w:rPr>
          <w:rFonts w:hint="eastAsia" w:eastAsia="宋体"/>
          <w:lang w:eastAsia="zh-CN"/>
        </w:rPr>
        <w:t>注：本通知书是在检验报告出具前对检验结果出具的初步结论意见，一式两份，检验机构和使用单位各一份，本通知在有效期内有效。</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FZSSJW--GB1-0">
    <w:altName w:val="汉仪仿宋S"/>
    <w:panose1 w:val="00000000000000000000"/>
    <w:charset w:val="86"/>
    <w:family w:val="auto"/>
    <w:pitch w:val="default"/>
    <w:sig w:usb0="00000000" w:usb1="00000000" w:usb2="00000010" w:usb3="00000000" w:csb0="00040000" w:csb1="00000000"/>
  </w:font>
  <w:font w:name="TimesNewRoman">
    <w:altName w:val="DejaVu Sans"/>
    <w:panose1 w:val="00000000000000000000"/>
    <w:charset w:val="00"/>
    <w:family w:val="roman"/>
    <w:pitch w:val="default"/>
    <w:sig w:usb0="00000000" w:usb1="00000000" w:usb2="00000000"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60" w:right="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60" w:right="18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60" w:right="180"/>
    </w:pPr>
    <w:r>
      <w:rPr>
        <w:sz w:val="1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3BBDC"/>
    <w:multiLevelType w:val="singleLevel"/>
    <w:tmpl w:val="E1C3BBDC"/>
    <w:lvl w:ilvl="0" w:tentative="0">
      <w:start w:val="1"/>
      <w:numFmt w:val="decimal"/>
      <w:suff w:val="nothing"/>
      <w:lvlText w:val="（%1）"/>
      <w:lvlJc w:val="left"/>
    </w:lvl>
  </w:abstractNum>
  <w:abstractNum w:abstractNumId="1">
    <w:nsid w:val="00DCE515"/>
    <w:multiLevelType w:val="singleLevel"/>
    <w:tmpl w:val="00DCE5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jM2E0N2RlNDVjMDMzMGEyM2Y4N2E5YTJlZmViY2QifQ=="/>
  </w:docVars>
  <w:rsids>
    <w:rsidRoot w:val="00FF02EF"/>
    <w:rsid w:val="000829C6"/>
    <w:rsid w:val="00135C28"/>
    <w:rsid w:val="00185A0A"/>
    <w:rsid w:val="001C6947"/>
    <w:rsid w:val="001D6EC5"/>
    <w:rsid w:val="001F0B29"/>
    <w:rsid w:val="00230FB1"/>
    <w:rsid w:val="00247000"/>
    <w:rsid w:val="002944D8"/>
    <w:rsid w:val="002D61CC"/>
    <w:rsid w:val="003A291A"/>
    <w:rsid w:val="003A31CC"/>
    <w:rsid w:val="003C4C36"/>
    <w:rsid w:val="00426695"/>
    <w:rsid w:val="00446DB4"/>
    <w:rsid w:val="004E4DA9"/>
    <w:rsid w:val="00511C6A"/>
    <w:rsid w:val="005B499F"/>
    <w:rsid w:val="006765FA"/>
    <w:rsid w:val="00691325"/>
    <w:rsid w:val="00691496"/>
    <w:rsid w:val="00691ED8"/>
    <w:rsid w:val="006B00B1"/>
    <w:rsid w:val="007011EA"/>
    <w:rsid w:val="007C1EB5"/>
    <w:rsid w:val="007D4F29"/>
    <w:rsid w:val="008629B7"/>
    <w:rsid w:val="008B5FB8"/>
    <w:rsid w:val="008D6162"/>
    <w:rsid w:val="009557DD"/>
    <w:rsid w:val="00976AF1"/>
    <w:rsid w:val="00A10F69"/>
    <w:rsid w:val="00AF3F5D"/>
    <w:rsid w:val="00B84F37"/>
    <w:rsid w:val="00C3444E"/>
    <w:rsid w:val="00C57DAB"/>
    <w:rsid w:val="00C74F96"/>
    <w:rsid w:val="00CB3A90"/>
    <w:rsid w:val="00D1425B"/>
    <w:rsid w:val="00DC0A85"/>
    <w:rsid w:val="00DC0BD8"/>
    <w:rsid w:val="00E41933"/>
    <w:rsid w:val="00EC3421"/>
    <w:rsid w:val="00ED0128"/>
    <w:rsid w:val="00F02320"/>
    <w:rsid w:val="00F05191"/>
    <w:rsid w:val="00F51A9D"/>
    <w:rsid w:val="00FC3F7F"/>
    <w:rsid w:val="00FF02EF"/>
    <w:rsid w:val="01E31888"/>
    <w:rsid w:val="032B6D01"/>
    <w:rsid w:val="054B5778"/>
    <w:rsid w:val="05642386"/>
    <w:rsid w:val="0A31472A"/>
    <w:rsid w:val="10382074"/>
    <w:rsid w:val="10827BD8"/>
    <w:rsid w:val="13DC3506"/>
    <w:rsid w:val="17353ACB"/>
    <w:rsid w:val="1ED24561"/>
    <w:rsid w:val="22016073"/>
    <w:rsid w:val="282E4839"/>
    <w:rsid w:val="2B8D2542"/>
    <w:rsid w:val="333F431D"/>
    <w:rsid w:val="33CE2B4F"/>
    <w:rsid w:val="3AEB3F28"/>
    <w:rsid w:val="3BB62295"/>
    <w:rsid w:val="3E682BF5"/>
    <w:rsid w:val="3EA5125D"/>
    <w:rsid w:val="40CF635A"/>
    <w:rsid w:val="40D811E7"/>
    <w:rsid w:val="40FA5C91"/>
    <w:rsid w:val="430C499C"/>
    <w:rsid w:val="44DB433A"/>
    <w:rsid w:val="487C6652"/>
    <w:rsid w:val="4C8420FB"/>
    <w:rsid w:val="4E73754F"/>
    <w:rsid w:val="4EE37B42"/>
    <w:rsid w:val="57345BD6"/>
    <w:rsid w:val="57DE2D07"/>
    <w:rsid w:val="5D3844ED"/>
    <w:rsid w:val="5E545770"/>
    <w:rsid w:val="5F6C73D3"/>
    <w:rsid w:val="650F0356"/>
    <w:rsid w:val="658044D5"/>
    <w:rsid w:val="665E23A1"/>
    <w:rsid w:val="69981B0B"/>
    <w:rsid w:val="6AE611AF"/>
    <w:rsid w:val="6BEF255F"/>
    <w:rsid w:val="6C331BA3"/>
    <w:rsid w:val="6D5A0CD2"/>
    <w:rsid w:val="6E5E68C5"/>
    <w:rsid w:val="73577F22"/>
    <w:rsid w:val="78686DF7"/>
    <w:rsid w:val="7B9E5D8F"/>
    <w:rsid w:val="7D30598B"/>
    <w:rsid w:val="7DD07508"/>
    <w:rsid w:val="7FD40F24"/>
    <w:rsid w:val="BFF1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Cs w:val="32"/>
    </w:rPr>
  </w:style>
  <w:style w:type="paragraph" w:styleId="4">
    <w:name w:val="heading 3"/>
    <w:basedOn w:val="1"/>
    <w:next w:val="1"/>
    <w:qFormat/>
    <w:uiPriority w:val="0"/>
    <w:pPr>
      <w:keepNext/>
      <w:keepLines/>
      <w:spacing w:before="260" w:after="260" w:line="416" w:lineRule="auto"/>
      <w:outlineLvl w:val="2"/>
    </w:pPr>
    <w:rPr>
      <w:rFonts w:eastAsia="黑体"/>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ody Text Indent 2"/>
    <w:basedOn w:val="1"/>
    <w:qFormat/>
    <w:uiPriority w:val="0"/>
    <w:pPr>
      <w:spacing w:after="120" w:line="480" w:lineRule="auto"/>
      <w:ind w:left="200" w:leftChars="200"/>
    </w:pPr>
  </w:style>
  <w:style w:type="paragraph" w:styleId="8">
    <w:name w:val="Balloon Text"/>
    <w:basedOn w:val="1"/>
    <w:link w:val="24"/>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next w:val="1"/>
    <w:qFormat/>
    <w:uiPriority w:val="39"/>
    <w:pPr>
      <w:jc w:val="both"/>
    </w:pPr>
    <w:rPr>
      <w:rFonts w:ascii="宋体" w:hAnsi="Times New Roman" w:eastAsia="宋体" w:cs="Times New Roman"/>
      <w:sz w:val="21"/>
      <w:lang w:val="en-US" w:eastAsia="zh-CN" w:bidi="ar-SA"/>
    </w:rPr>
  </w:style>
  <w:style w:type="paragraph" w:styleId="12">
    <w:name w:val="toc 2"/>
    <w:basedOn w:val="11"/>
    <w:next w:val="1"/>
    <w:qFormat/>
    <w:uiPriority w:val="39"/>
  </w:style>
  <w:style w:type="paragraph" w:styleId="13">
    <w:name w:val="annotation subject"/>
    <w:basedOn w:val="5"/>
    <w:next w:val="5"/>
    <w:link w:val="23"/>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semiHidden/>
    <w:qFormat/>
    <w:uiPriority w:val="0"/>
    <w:rPr>
      <w:rFonts w:ascii="Times New Roman" w:hAnsi="Times New Roman" w:eastAsia="宋体"/>
      <w:sz w:val="18"/>
    </w:rPr>
  </w:style>
  <w:style w:type="character" w:styleId="18">
    <w:name w:val="Hyperlink"/>
    <w:qFormat/>
    <w:uiPriority w:val="99"/>
    <w:rPr>
      <w:rFonts w:ascii="Times New Roman" w:hAnsi="Times New Roman" w:eastAsia="宋体"/>
      <w:color w:val="auto"/>
      <w:spacing w:val="0"/>
      <w:w w:val="100"/>
      <w:position w:val="0"/>
      <w:sz w:val="21"/>
      <w:u w:val="none"/>
      <w:vertAlign w:val="baseline"/>
    </w:rPr>
  </w:style>
  <w:style w:type="character" w:styleId="19">
    <w:name w:val="annotation reference"/>
    <w:basedOn w:val="16"/>
    <w:unhideWhenUsed/>
    <w:qFormat/>
    <w:uiPriority w:val="99"/>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批注文字 Char"/>
    <w:basedOn w:val="16"/>
    <w:link w:val="5"/>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6"/>
    <w:link w:val="8"/>
    <w:semiHidden/>
    <w:qFormat/>
    <w:uiPriority w:val="99"/>
    <w:rPr>
      <w:sz w:val="18"/>
      <w:szCs w:val="18"/>
    </w:rPr>
  </w:style>
  <w:style w:type="paragraph" w:customStyle="1" w:styleId="2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0">
    <w:name w:val="实施日期"/>
    <w:basedOn w:val="29"/>
    <w:qFormat/>
    <w:uiPriority w:val="0"/>
    <w:pPr>
      <w:framePr w:hSpace="0" w:xAlign="right"/>
      <w:jc w:val="right"/>
    </w:pPr>
  </w:style>
  <w:style w:type="paragraph" w:customStyle="1" w:styleId="31">
    <w:name w:val="发布部门"/>
    <w:next w:val="3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发布"/>
    <w:basedOn w:val="16"/>
    <w:qFormat/>
    <w:uiPriority w:val="0"/>
    <w:rPr>
      <w:rFonts w:ascii="黑体" w:eastAsia="黑体"/>
      <w:spacing w:val="22"/>
      <w:w w:val="100"/>
      <w:position w:val="3"/>
      <w:sz w:val="28"/>
    </w:rPr>
  </w:style>
  <w:style w:type="paragraph" w:customStyle="1" w:styleId="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2E75B5" w:themeColor="accent1" w:themeShade="BF"/>
      <w:kern w:val="0"/>
      <w:sz w:val="28"/>
      <w:szCs w:val="28"/>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二级条标题"/>
    <w:basedOn w:val="39"/>
    <w:next w:val="32"/>
    <w:qFormat/>
    <w:uiPriority w:val="0"/>
    <w:pPr>
      <w:outlineLvl w:val="3"/>
    </w:pPr>
  </w:style>
  <w:style w:type="paragraph" w:customStyle="1" w:styleId="39">
    <w:name w:val="一级条标题"/>
    <w:next w:val="32"/>
    <w:qFormat/>
    <w:uiPriority w:val="0"/>
    <w:pPr>
      <w:outlineLvl w:val="2"/>
    </w:pPr>
    <w:rPr>
      <w:rFonts w:ascii="Times New Roman" w:hAnsi="Times New Roman" w:eastAsia="黑体" w:cs="Times New Roman"/>
      <w:sz w:val="21"/>
      <w:lang w:val="en-US" w:eastAsia="zh-CN" w:bidi="ar-SA"/>
    </w:rPr>
  </w:style>
  <w:style w:type="paragraph" w:customStyle="1" w:styleId="40">
    <w:name w:val="Table Paragraph"/>
    <w:basedOn w:val="1"/>
    <w:unhideWhenUsed/>
    <w:qFormat/>
    <w:uiPriority w:val="1"/>
    <w:pPr>
      <w:spacing w:beforeLines="0" w:afterLines="0"/>
    </w:pPr>
    <w:rPr>
      <w:rFonts w:hint="default"/>
      <w:sz w:val="24"/>
      <w:szCs w:val="24"/>
    </w:rPr>
  </w:style>
  <w:style w:type="character" w:customStyle="1" w:styleId="41">
    <w:name w:val="fontstyle01"/>
    <w:basedOn w:val="16"/>
    <w:qFormat/>
    <w:uiPriority w:val="0"/>
    <w:rPr>
      <w:rFonts w:hint="eastAsia" w:ascii="FZSSJW--GB1-0" w:eastAsia="FZSSJW--GB1-0"/>
      <w:color w:val="000000"/>
      <w:sz w:val="24"/>
      <w:szCs w:val="24"/>
    </w:rPr>
  </w:style>
  <w:style w:type="character" w:customStyle="1" w:styleId="42">
    <w:name w:val="fontstyle21"/>
    <w:basedOn w:val="16"/>
    <w:qFormat/>
    <w:uiPriority w:val="0"/>
    <w:rPr>
      <w:rFonts w:hint="default" w:ascii="TimesNewRoman" w:hAnsi="TimesNewRoman"/>
      <w:color w:val="000000"/>
      <w:sz w:val="24"/>
      <w:szCs w:val="24"/>
    </w:rPr>
  </w:style>
  <w:style w:type="paragraph" w:customStyle="1" w:styleId="43">
    <w:name w:val="Body text|1"/>
    <w:basedOn w:val="1"/>
    <w:qFormat/>
    <w:uiPriority w:val="0"/>
    <w:pPr>
      <w:widowControl w:val="0"/>
      <w:shd w:val="clear" w:color="auto" w:fill="auto"/>
      <w:spacing w:line="348" w:lineRule="auto"/>
      <w:ind w:firstLine="400"/>
    </w:pPr>
    <w:rPr>
      <w:rFonts w:ascii="宋体" w:hAnsi="宋体" w:eastAsia="宋体" w:cs="宋体"/>
      <w:u w:val="none"/>
      <w:shd w:val="clear" w:color="auto" w:fill="auto"/>
      <w:lang w:val="zh-TW" w:eastAsia="zh-TW" w:bidi="zh-TW"/>
    </w:rPr>
  </w:style>
  <w:style w:type="paragraph" w:customStyle="1" w:styleId="44">
    <w:name w:val="2"/>
    <w:basedOn w:val="1"/>
    <w:next w:val="7"/>
    <w:qFormat/>
    <w:uiPriority w:val="0"/>
    <w:pPr>
      <w:spacing w:line="360" w:lineRule="auto"/>
      <w:ind w:left="525" w:firstLine="480"/>
    </w:pPr>
    <w:rPr>
      <w:szCs w:val="20"/>
    </w:rPr>
  </w:style>
  <w:style w:type="paragraph" w:customStyle="1" w:styleId="45">
    <w:name w:val="Table caption|1"/>
    <w:basedOn w:val="1"/>
    <w:qFormat/>
    <w:uiPriority w:val="0"/>
    <w:pPr>
      <w:widowControl w:val="0"/>
      <w:shd w:val="clear" w:color="auto" w:fill="auto"/>
      <w:spacing w:line="341" w:lineRule="exact"/>
      <w:ind w:firstLine="44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027"/>
    <customShpInfo spid="_x0000_s1026"/>
    <customShpInfo spid="_x0000_s1028"/>
    <customShpInfo spid="_x0000_s1029"/>
    <customShpInfo spid="_x0000_s1030"/>
    <customShpInfo spid="_x0000_s1031"/>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27</Pages>
  <Words>17598</Words>
  <Characters>18873</Characters>
  <Lines>126</Lines>
  <Paragraphs>35</Paragraphs>
  <TotalTime>2</TotalTime>
  <ScaleCrop>false</ScaleCrop>
  <LinksUpToDate>false</LinksUpToDate>
  <CharactersWithSpaces>72804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2017-05-04T08:55:00Z</dcterms:created>
  <dc:creator>冯光辉</dc:creator>
  <cp:lastModifiedBy>guest</cp:lastModifiedBy>
  <cp:lastPrinted>2017-04-07T00:43:00Z</cp:lastPrinted>
  <dcterms:modified xsi:type="dcterms:W3CDTF">2024-04-02T10:32:38Z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7B606A67AF2A4FA1B21FB073BA9266DE</vt:lpwstr>
  </property>
</Properties>
</file>