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both"/>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t>附件2：</w:t>
      </w:r>
      <w:bookmarkStart w:id="2" w:name="_GoBack"/>
      <w:bookmarkEnd w:id="2"/>
    </w:p>
    <w:p>
      <w:pPr>
        <w:widowControl w:val="0"/>
        <w:numPr>
          <w:ilvl w:val="0"/>
          <w:numId w:val="0"/>
        </w:numPr>
        <w:jc w:val="both"/>
        <w:rPr>
          <w:rFonts w:hint="default"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t>《猕猴桃高架牵引栽培技术规程》地方标准</w:t>
      </w: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t>编制说明</w:t>
      </w:r>
    </w:p>
    <w:p>
      <w:pPr>
        <w:keepNext w:val="0"/>
        <w:keepLines w:val="0"/>
        <w:widowControl/>
        <w:suppressLineNumbers w:val="0"/>
        <w:jc w:val="left"/>
        <w:rPr>
          <w:rFonts w:hint="eastAsia" w:ascii="楷体" w:hAnsi="楷体" w:eastAsia="楷体" w:cs="楷体"/>
          <w:b/>
          <w:bCs/>
          <w:color w:val="000000" w:themeColor="text1"/>
          <w:kern w:val="0"/>
          <w:sz w:val="31"/>
          <w:szCs w:val="31"/>
          <w:lang w:val="en-US" w:eastAsia="zh-CN" w:bidi="ar"/>
          <w14:textFill>
            <w14:solidFill>
              <w14:schemeClr w14:val="tx1"/>
            </w14:solidFill>
          </w14:textFill>
        </w:rPr>
      </w:pP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t xml:space="preserve">  </w:t>
      </w:r>
    </w:p>
    <w:p>
      <w:pPr>
        <w:pStyle w:val="15"/>
        <w:jc w:val="both"/>
        <w:rPr>
          <w:rFonts w:hint="eastAsia"/>
          <w:color w:val="000000"/>
        </w:rPr>
      </w:pPr>
    </w:p>
    <w:p>
      <w:pPr>
        <w:pStyle w:val="15"/>
        <w:rPr>
          <w:rFonts w:hint="eastAsia"/>
          <w:color w:val="000000"/>
        </w:rPr>
      </w:pPr>
    </w:p>
    <w:p>
      <w:pPr>
        <w:pStyle w:val="15"/>
        <w:rPr>
          <w:rFonts w:hint="eastAsia"/>
          <w:color w:val="000000"/>
        </w:rPr>
      </w:pPr>
      <w:r>
        <w:rPr>
          <w:rFonts w:hint="eastAsia"/>
          <w:color w:val="000000"/>
        </w:rPr>
        <w:t>编制说明</w:t>
      </w:r>
    </w:p>
    <w:p>
      <w:pPr>
        <w:jc w:val="center"/>
        <w:rPr>
          <w:rFonts w:hint="eastAsia"/>
          <w:b/>
          <w:color w:val="000000"/>
          <w:sz w:val="44"/>
          <w:szCs w:val="44"/>
        </w:rPr>
      </w:pPr>
    </w:p>
    <w:p>
      <w:pPr>
        <w:jc w:val="center"/>
        <w:rPr>
          <w:rFonts w:hint="eastAsia"/>
          <w:b/>
          <w:color w:val="000000"/>
          <w:sz w:val="44"/>
          <w:szCs w:val="44"/>
        </w:rPr>
      </w:pPr>
    </w:p>
    <w:p>
      <w:pPr>
        <w:jc w:val="center"/>
        <w:rPr>
          <w:rFonts w:hint="eastAsia"/>
          <w:b/>
          <w:color w:val="000000"/>
          <w:sz w:val="44"/>
          <w:szCs w:val="44"/>
        </w:rPr>
      </w:pPr>
    </w:p>
    <w:p>
      <w:pPr>
        <w:jc w:val="center"/>
        <w:rPr>
          <w:rFonts w:hint="eastAsia"/>
          <w:b/>
          <w:color w:val="000000"/>
          <w:sz w:val="44"/>
          <w:szCs w:val="44"/>
        </w:rPr>
      </w:pPr>
    </w:p>
    <w:p>
      <w:pPr>
        <w:rPr>
          <w:rFonts w:hint="eastAsia"/>
          <w:b/>
          <w:color w:val="000000"/>
          <w:sz w:val="44"/>
          <w:szCs w:val="44"/>
        </w:rPr>
      </w:pPr>
    </w:p>
    <w:p>
      <w:pPr>
        <w:keepNext w:val="0"/>
        <w:keepLines w:val="0"/>
        <w:widowControl/>
        <w:suppressLineNumbers w:val="0"/>
        <w:jc w:val="center"/>
        <w:rPr>
          <w:rFonts w:hint="eastAsia" w:ascii="仿宋" w:hAnsi="仿宋" w:eastAsia="仿宋" w:cs="仿宋"/>
          <w:b/>
          <w:bCs/>
          <w:color w:val="000000" w:themeColor="text1"/>
          <w:kern w:val="0"/>
          <w:sz w:val="31"/>
          <w:szCs w:val="31"/>
          <w:lang w:val="en-US" w:eastAsia="zh-CN" w:bidi="ar"/>
          <w14:textFill>
            <w14:solidFill>
              <w14:schemeClr w14:val="tx1"/>
            </w14:solidFill>
          </w14:textFill>
        </w:rPr>
      </w:pPr>
      <w:r>
        <w:rPr>
          <w:rFonts w:hint="eastAsia" w:ascii="仿宋" w:hAnsi="仿宋" w:eastAsia="仿宋" w:cs="仿宋"/>
          <w:b/>
          <w:bCs/>
          <w:color w:val="000000" w:themeColor="text1"/>
          <w:kern w:val="0"/>
          <w:sz w:val="31"/>
          <w:szCs w:val="31"/>
          <w:lang w:val="en-US" w:eastAsia="zh-CN" w:bidi="ar"/>
          <w14:textFill>
            <w14:solidFill>
              <w14:schemeClr w14:val="tx1"/>
            </w14:solidFill>
          </w14:textFill>
        </w:rPr>
        <w:t>汉中市农业技术推广与培训中心（汉中市种子推广中心</w:t>
      </w:r>
    </w:p>
    <w:p>
      <w:pPr>
        <w:keepNext w:val="0"/>
        <w:keepLines w:val="0"/>
        <w:widowControl/>
        <w:suppressLineNumbers w:val="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kern w:val="0"/>
          <w:sz w:val="31"/>
          <w:szCs w:val="31"/>
          <w:lang w:val="en-US" w:eastAsia="zh-CN" w:bidi="ar"/>
          <w14:textFill>
            <w14:solidFill>
              <w14:schemeClr w14:val="tx1"/>
            </w14:solidFill>
          </w14:textFill>
        </w:rPr>
        <w:t xml:space="preserve"> 汉中市农业科学研究所）</w:t>
      </w:r>
    </w:p>
    <w:p>
      <w:pPr>
        <w:jc w:val="center"/>
        <w:rPr>
          <w:rFonts w:hint="eastAsia" w:ascii="楷体" w:hAnsi="楷体" w:eastAsia="楷体"/>
          <w:b/>
          <w:color w:val="000000"/>
          <w:spacing w:val="20"/>
          <w:w w:val="135"/>
          <w:kern w:val="0"/>
          <w:sz w:val="28"/>
          <w:szCs w:val="28"/>
        </w:rPr>
      </w:pPr>
    </w:p>
    <w:p>
      <w:pPr>
        <w:jc w:val="both"/>
        <w:rPr>
          <w:rFonts w:hint="eastAsia" w:ascii="楷体" w:hAnsi="楷体" w:eastAsia="楷体"/>
          <w:b/>
          <w:color w:val="000000"/>
          <w:spacing w:val="20"/>
          <w:w w:val="135"/>
          <w:kern w:val="0"/>
          <w:sz w:val="28"/>
          <w:szCs w:val="28"/>
        </w:rPr>
      </w:pPr>
    </w:p>
    <w:p>
      <w:pPr>
        <w:jc w:val="center"/>
        <w:rPr>
          <w:rFonts w:hint="eastAsia" w:ascii="楷体" w:hAnsi="楷体" w:eastAsia="楷体"/>
          <w:color w:val="000000"/>
          <w:sz w:val="36"/>
          <w:szCs w:val="36"/>
        </w:rPr>
      </w:pPr>
      <w:r>
        <w:rPr>
          <w:rFonts w:hint="eastAsia" w:ascii="楷体" w:hAnsi="楷体" w:eastAsia="楷体"/>
          <w:b/>
          <w:color w:val="000000"/>
          <w:spacing w:val="20"/>
          <w:w w:val="135"/>
          <w:kern w:val="0"/>
          <w:sz w:val="28"/>
          <w:szCs w:val="28"/>
          <w:lang w:val="en-US" w:eastAsia="zh-CN"/>
        </w:rPr>
        <w:t xml:space="preserve">  </w:t>
      </w:r>
      <w:r>
        <w:rPr>
          <w:rFonts w:hint="eastAsia" w:ascii="楷体" w:hAnsi="楷体" w:eastAsia="楷体"/>
          <w:b/>
          <w:color w:val="000000"/>
          <w:spacing w:val="20"/>
          <w:w w:val="135"/>
          <w:kern w:val="0"/>
          <w:sz w:val="28"/>
          <w:szCs w:val="28"/>
        </w:rPr>
        <w:t>二〇二</w:t>
      </w:r>
      <w:r>
        <w:rPr>
          <w:rFonts w:hint="eastAsia" w:ascii="楷体" w:hAnsi="楷体" w:eastAsia="楷体"/>
          <w:b/>
          <w:color w:val="000000"/>
          <w:spacing w:val="20"/>
          <w:w w:val="135"/>
          <w:kern w:val="0"/>
          <w:sz w:val="28"/>
          <w:szCs w:val="28"/>
          <w:lang w:eastAsia="zh-CN"/>
        </w:rPr>
        <w:t>四</w:t>
      </w:r>
      <w:r>
        <w:rPr>
          <w:rFonts w:hint="eastAsia" w:ascii="楷体" w:hAnsi="楷体" w:eastAsia="楷体"/>
          <w:b/>
          <w:color w:val="000000"/>
          <w:spacing w:val="20"/>
          <w:w w:val="135"/>
          <w:kern w:val="0"/>
          <w:sz w:val="28"/>
          <w:szCs w:val="28"/>
        </w:rPr>
        <w:t>年</w:t>
      </w:r>
      <w:r>
        <w:rPr>
          <w:rFonts w:hint="eastAsia" w:ascii="楷体" w:hAnsi="楷体" w:eastAsia="楷体"/>
          <w:b/>
          <w:color w:val="000000"/>
          <w:spacing w:val="20"/>
          <w:w w:val="135"/>
          <w:kern w:val="0"/>
          <w:sz w:val="28"/>
          <w:szCs w:val="28"/>
          <w:lang w:eastAsia="zh-CN"/>
        </w:rPr>
        <w:t>三</w:t>
      </w:r>
      <w:r>
        <w:rPr>
          <w:rFonts w:hint="eastAsia" w:ascii="楷体" w:hAnsi="楷体" w:eastAsia="楷体"/>
          <w:b/>
          <w:color w:val="000000"/>
          <w:spacing w:val="20"/>
          <w:w w:val="135"/>
          <w:kern w:val="0"/>
          <w:sz w:val="28"/>
          <w:szCs w:val="28"/>
        </w:rPr>
        <w:t>月</w:t>
      </w: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t>《猕猴桃高架牵引栽培技术规程》地方标准</w:t>
      </w:r>
    </w:p>
    <w:p>
      <w:pPr>
        <w:widowControl w:val="0"/>
        <w:numPr>
          <w:ilvl w:val="0"/>
          <w:numId w:val="0"/>
        </w:numPr>
        <w:jc w:val="cente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b/>
          <w:bCs/>
          <w:color w:val="000000" w:themeColor="text1"/>
          <w:sz w:val="44"/>
          <w:szCs w:val="44"/>
          <w:lang w:val="en-US" w:eastAsia="zh-CN"/>
          <w14:textFill>
            <w14:solidFill>
              <w14:schemeClr w14:val="tx1"/>
            </w14:solidFill>
          </w14:textFill>
        </w:rPr>
        <w:t>编制说明</w:t>
      </w:r>
    </w:p>
    <w:p>
      <w:pPr>
        <w:keepNext w:val="0"/>
        <w:keepLines w:val="0"/>
        <w:pageBreakBefore w:val="0"/>
        <w:widowControl w:val="0"/>
        <w:numPr>
          <w:ilvl w:val="0"/>
          <w:numId w:val="0"/>
        </w:numPr>
        <w:tabs>
          <w:tab w:val="left" w:pos="2650"/>
        </w:tabs>
        <w:kinsoku/>
        <w:wordWrap/>
        <w:overflowPunct/>
        <w:topLinePunct w:val="0"/>
        <w:autoSpaceDE/>
        <w:autoSpaceDN/>
        <w:bidi w:val="0"/>
        <w:adjustRightInd/>
        <w:snapToGrid/>
        <w:spacing w:before="161" w:beforeLines="50" w:after="161" w:afterLines="50" w:line="600" w:lineRule="exact"/>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p>
    <w:p>
      <w:pPr>
        <w:keepNext w:val="0"/>
        <w:keepLines w:val="0"/>
        <w:pageBreakBefore w:val="0"/>
        <w:widowControl w:val="0"/>
        <w:numPr>
          <w:ilvl w:val="0"/>
          <w:numId w:val="0"/>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一、工作概况</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t>（一）任务来源</w:t>
      </w:r>
    </w:p>
    <w:p>
      <w:pPr>
        <w:keepNext w:val="0"/>
        <w:keepLines w:val="0"/>
        <w:pageBreakBefore w:val="0"/>
        <w:kinsoku/>
        <w:wordWrap/>
        <w:overflowPunct/>
        <w:topLinePunct w:val="0"/>
        <w:bidi w:val="0"/>
        <w:spacing w:line="600" w:lineRule="exact"/>
        <w:ind w:firstLine="640" w:firstLineChars="200"/>
        <w:textAlignment w:val="auto"/>
        <w:rPr>
          <w:rFonts w:hAnsi="宋体"/>
          <w:color w:val="000000" w:themeColor="text1"/>
          <w:sz w:val="24"/>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根据陕西省市场监督管理局《关于下达2023年度陕西省地方标准制修订项目计划的通知》（陕市监函〔2023〕410号）文件精神，我单位及时组织申报了《猕猴桃高架牵引栽培技术规程》项目，经过评审委员会的答辩评审，5月10日正式获得立项。2023年将编制《猕猴桃高架牵引栽培技术规程》作为年度重点工作内容。本标准由汉中市农业技术推广与培训中心根据猕猴桃生产发展实际需求提出。</w:t>
      </w:r>
    </w:p>
    <w:p>
      <w:pPr>
        <w:keepNext w:val="0"/>
        <w:keepLines w:val="0"/>
        <w:pageBreakBefore w:val="0"/>
        <w:kinsoku/>
        <w:wordWrap/>
        <w:overflowPunct/>
        <w:topLinePunct w:val="0"/>
        <w:autoSpaceDE w:val="0"/>
        <w:autoSpaceDN w:val="0"/>
        <w:bidi w:val="0"/>
        <w:adjustRightInd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本标准的具体制定由汉中市农业技术推广与培训中心具体负责。标准的编制是在大量实地调研、试验示范、跨区交流、意见征求、专家审查、反馈意见修改、企业试验验证等过程后编制而成。</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t>（二）目的意义</w:t>
      </w:r>
    </w:p>
    <w:p>
      <w:pPr>
        <w:keepNext w:val="0"/>
        <w:keepLines w:val="0"/>
        <w:pageBreakBefore w:val="0"/>
        <w:kinsoku/>
        <w:wordWrap/>
        <w:overflowPunct/>
        <w:topLinePunct w:val="0"/>
        <w:autoSpaceDE w:val="0"/>
        <w:autoSpaceDN w:val="0"/>
        <w:bidi w:val="0"/>
        <w:adjustRightInd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猕猴桃属于藤本攀缘类果树，营养价值丰富，含有多种微量元素和人体所需的17种氨基酸，被誉为水果中的“VC之冠”。目前，陕西省种植总面积已达97万亩，种植面积和总产量处于全国第一。我省猕猴桃主产区地处秦秦岭山片区，种质资源丰富，是全国知名的猕猴桃原产地，也是国内外专家公认的猕猴桃最佳优生区。</w:t>
      </w:r>
    </w:p>
    <w:p>
      <w:pPr>
        <w:keepNext w:val="0"/>
        <w:keepLines w:val="0"/>
        <w:pageBreakBefore w:val="0"/>
        <w:kinsoku/>
        <w:wordWrap/>
        <w:overflowPunct/>
        <w:topLinePunct w:val="0"/>
        <w:autoSpaceDE w:val="0"/>
        <w:autoSpaceDN w:val="0"/>
        <w:bidi w:val="0"/>
        <w:adjustRightInd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当前猕猴桃主要架型为棚架或“T型架”，结果枝和预备枝混合生长，且只有一个层次，若种植密度大，则猕猴桃枝叶彼此遮光阻碍，造成果园通风透光性能降低。若种植密度小，对空间、光照等资源利用率偏低，难以实现高产高效绿色持久的理想种植效果。为了解决上述问题，2017～2020年我们结合当地实际，研发了一种猕猴桃高枝牵引架，对猕猴桃新稍进行针对性的培养和立体牵引生长。通过试验，发现该架型易于实现高产高效的种植效果，所产果品更加符合绿色生态种植要求，增效作用十分显著，吸引了众多地公司、种植大户来陕参观考察，竞相开展牵引栽培。2022年，陕西省农业农村厅已将该项技术列入陕西省“十四五”现代果业发展规划，大力推广牵引栽培技术。截止目前全国累计应用牵引面积超过20万亩。鉴于良好的应用效果，较高的产出/投入比，该项技术将成为未来猕猴桃提质增效的核心技术，应用面积将会越来越大。</w:t>
      </w:r>
    </w:p>
    <w:p>
      <w:pPr>
        <w:keepNext w:val="0"/>
        <w:keepLines w:val="0"/>
        <w:pageBreakBefore w:val="0"/>
        <w:kinsoku/>
        <w:wordWrap/>
        <w:overflowPunct/>
        <w:topLinePunct w:val="0"/>
        <w:autoSpaceDE w:val="0"/>
        <w:autoSpaceDN w:val="0"/>
        <w:bidi w:val="0"/>
        <w:adjustRightInd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在实际应用过程中，由于搭建核心技术要领掌握不够，与之配套轻简化的系列技术研制、更新、宣传推广欠缺，造成应用成本居高不下、果园用工成本飙升、枝条生长量和结果量达不到预期等诸多问题频发。为了降低使用成本，简化使用流程，大大提高猕猴桃的产量和品质，提高猕猴桃的市场竞争力，带动猕猴桃果园整体升级，实现猕猴桃节本增效，我们将继续开展猕猴桃高架牵引栽培系列技术的研制工作，并将这一新技术进行标准化集成，指导全省乃至全国猕猴桃新园扩建、老园改造工作，全面提升猕猴桃产业的市场竞争力和品牌影响力。为果农增收、果业增产和乡村振兴做出新的贡献。同时，对于涵养水源，治理水土流失，降低农药、化肥等面源污染具有重大意义。</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t>（三）主导单位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本标准由汉中市农业技术推广与培训中心（汉中市种子推广中心 汉中市农业科学研究所）主导，汉中市科技资源统筹中心、安康市农业科学研究院、商洛市特色产业与休闲农业指导中心、汉中市汉台区蔬菜果品技术推广中心、城固县果业技术指导站、勉县农业技术推广中心等单位组成。主要工作职责包括：（1）编制标准制定工作计划；（2）确定制定标准的原则和依据；（3）展开猕猴桃牵引架应用现状调研；（4）编制《猕猴桃高架牵引栽培技术规程》征求意见稿；（5）编制标准送审稿，并负责送审稿的修改、完善。</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t>（四）主要工作过程</w:t>
      </w:r>
    </w:p>
    <w:p>
      <w:pPr>
        <w:keepNext w:val="0"/>
        <w:keepLines w:val="0"/>
        <w:pageBreakBefore w:val="0"/>
        <w:kinsoku/>
        <w:wordWrap/>
        <w:overflowPunct/>
        <w:topLinePunct w:val="0"/>
        <w:autoSpaceDE w:val="0"/>
        <w:autoSpaceDN w:val="0"/>
        <w:bidi w:val="0"/>
        <w:adjustRightInd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在2017-至今，针对生产上猕猴桃园枝条分布混乱，相互缠绕，叶片之间严重遮光，致使病虫蔓延、果园产量和果实品质得不到实质性提高的背景条件下进行设计和研发的，先后经历了多位专家讨论论证、工艺改进、示范验证、多次完善等综合性试验研究，积累了一定试验数据和经验，开展了示范推广工作，为制定高架牵引技术规范积累了大量的第一手数据资料。围绕“一种猕猴桃高枝牵引架”（专利号：ZL 2020 2 0626618.X）成果的研制，我们取得了多项国家实用新型专利技术。并于2022年获得陕西省“三新三小”创新竞赛二等奖。</w:t>
      </w:r>
    </w:p>
    <w:p>
      <w:pPr>
        <w:keepNext w:val="0"/>
        <w:keepLines w:val="0"/>
        <w:pageBreakBefore w:val="0"/>
        <w:kinsoku/>
        <w:wordWrap/>
        <w:overflowPunct/>
        <w:topLinePunct w:val="0"/>
        <w:autoSpaceDE w:val="0"/>
        <w:autoSpaceDN w:val="0"/>
        <w:bidi w:val="0"/>
        <w:adjustRightInd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1、前期研究工作：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①技术探索阶段（2016-2018年）。</w:t>
      </w:r>
    </w:p>
    <w:p>
      <w:pPr>
        <w:keepNext w:val="0"/>
        <w:keepLines w:val="0"/>
        <w:pageBreakBefore w:val="0"/>
        <w:kinsoku/>
        <w:wordWrap/>
        <w:overflowPunct/>
        <w:topLinePunct w:val="0"/>
        <w:bidi w:val="0"/>
        <w:snapToGrid w:val="0"/>
        <w:spacing w:line="600" w:lineRule="exact"/>
        <w:ind w:firstLine="640" w:firstLineChars="200"/>
        <w:textAlignment w:val="auto"/>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2016年我们了解到猕猴桃可以进行牵引，于是开始初次</w:t>
      </w:r>
      <w:r>
        <w:rPr>
          <w:rFonts w:hint="eastAsia" w:ascii="仿宋" w:hAnsi="仿宋" w:eastAsia="仿宋"/>
          <w:color w:val="000000" w:themeColor="text1"/>
          <w:sz w:val="32"/>
          <w:szCs w:val="32"/>
          <w:lang w:eastAsia="zh-CN"/>
          <w14:textFill>
            <w14:solidFill>
              <w14:schemeClr w14:val="tx1"/>
            </w14:solidFill>
          </w14:textFill>
        </w:rPr>
        <w:t>尝试</w:t>
      </w:r>
      <w:r>
        <w:rPr>
          <w:rFonts w:hint="eastAsia" w:ascii="仿宋" w:hAnsi="仿宋" w:eastAsia="仿宋"/>
          <w:color w:val="000000" w:themeColor="text1"/>
          <w:sz w:val="32"/>
          <w:szCs w:val="32"/>
          <w14:textFill>
            <w14:solidFill>
              <w14:schemeClr w14:val="tx1"/>
            </w14:solidFill>
          </w14:textFill>
        </w:rPr>
        <w:t>牵引技术</w:t>
      </w:r>
      <w:r>
        <w:rPr>
          <w:rFonts w:hint="eastAsia" w:ascii="仿宋" w:hAnsi="仿宋" w:eastAsia="仿宋"/>
          <w:color w:val="000000" w:themeColor="text1"/>
          <w:sz w:val="32"/>
          <w:szCs w:val="32"/>
          <w:lang w:eastAsia="zh-CN"/>
          <w14:textFill>
            <w14:solidFill>
              <w14:schemeClr w14:val="tx1"/>
            </w14:solidFill>
          </w14:textFill>
        </w:rPr>
        <w:t>研究，由于没有专们制作做过该项技术先例和经验，牵引技术的优势并没有得到充分地发现，导致该项技术的研究制作过程主要依赖于边实践边总结经验。</w:t>
      </w:r>
      <w:r>
        <w:rPr>
          <w:rFonts w:hint="eastAsia" w:ascii="仿宋" w:hAnsi="仿宋" w:eastAsia="仿宋"/>
          <w:color w:val="000000" w:themeColor="text1"/>
          <w:sz w:val="32"/>
          <w:szCs w:val="32"/>
          <w14:textFill>
            <w14:solidFill>
              <w14:schemeClr w14:val="tx1"/>
            </w14:solidFill>
          </w14:textFill>
        </w:rPr>
        <w:t>由于所应用的</w:t>
      </w:r>
      <w:r>
        <w:rPr>
          <w:rFonts w:hint="eastAsia" w:ascii="仿宋" w:hAnsi="仿宋" w:eastAsia="仿宋"/>
          <w:color w:val="000000" w:themeColor="text1"/>
          <w:sz w:val="32"/>
          <w:szCs w:val="32"/>
          <w:lang w:eastAsia="zh-CN"/>
          <w14:textFill>
            <w14:solidFill>
              <w14:schemeClr w14:val="tx1"/>
            </w14:solidFill>
          </w14:textFill>
        </w:rPr>
        <w:t>地力</w:t>
      </w:r>
      <w:r>
        <w:rPr>
          <w:rFonts w:hint="eastAsia" w:ascii="仿宋" w:hAnsi="仿宋" w:eastAsia="仿宋"/>
          <w:color w:val="000000" w:themeColor="text1"/>
          <w:sz w:val="32"/>
          <w:szCs w:val="32"/>
          <w14:textFill>
            <w14:solidFill>
              <w14:schemeClr w14:val="tx1"/>
            </w14:solidFill>
          </w14:textFill>
        </w:rPr>
        <w:t>环境不同，</w:t>
      </w:r>
      <w:r>
        <w:rPr>
          <w:rFonts w:hint="eastAsia" w:ascii="仿宋" w:hAnsi="仿宋" w:eastAsia="仿宋"/>
          <w:color w:val="000000" w:themeColor="text1"/>
          <w:sz w:val="32"/>
          <w:szCs w:val="32"/>
          <w:lang w:eastAsia="zh-CN"/>
          <w14:textFill>
            <w14:solidFill>
              <w14:schemeClr w14:val="tx1"/>
            </w14:solidFill>
          </w14:textFill>
        </w:rPr>
        <w:t>加之树形管理和土壤肥力管理方面经验不足，尤其在土壤培肥方面与先进国家相比，存在着明显的滞后和差距。加之缺乏</w:t>
      </w:r>
      <w:r>
        <w:rPr>
          <w:rFonts w:hint="eastAsia" w:ascii="仿宋" w:hAnsi="仿宋" w:eastAsia="仿宋"/>
          <w:color w:val="000000" w:themeColor="text1"/>
          <w:sz w:val="32"/>
          <w:szCs w:val="32"/>
          <w14:textFill>
            <w14:solidFill>
              <w14:schemeClr w14:val="tx1"/>
            </w14:solidFill>
          </w14:textFill>
        </w:rPr>
        <w:t>系统性</w:t>
      </w:r>
      <w:r>
        <w:rPr>
          <w:rFonts w:hint="eastAsia" w:ascii="仿宋" w:hAnsi="仿宋" w:eastAsia="仿宋"/>
          <w:color w:val="000000" w:themeColor="text1"/>
          <w:sz w:val="32"/>
          <w:szCs w:val="32"/>
          <w:lang w:eastAsia="zh-CN"/>
          <w14:textFill>
            <w14:solidFill>
              <w14:schemeClr w14:val="tx1"/>
            </w14:solidFill>
          </w14:textFill>
        </w:rPr>
        <w:t>研究</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导致应用牵引架的效果不稳定，主要表现在制作过程繁琐，搭建费时费工，需要多人配合才能完成，作业成本高，应用牵引技术后树冠长势不均匀不整齐，产量和品质提升效果不明显，经济效益不突出，导致</w:t>
      </w:r>
      <w:r>
        <w:rPr>
          <w:rFonts w:hint="eastAsia" w:ascii="仿宋" w:hAnsi="仿宋" w:eastAsia="仿宋"/>
          <w:color w:val="000000" w:themeColor="text1"/>
          <w:sz w:val="32"/>
          <w:szCs w:val="32"/>
          <w14:textFill>
            <w14:solidFill>
              <w14:schemeClr w14:val="tx1"/>
            </w14:solidFill>
          </w14:textFill>
        </w:rPr>
        <w:t>该</w:t>
      </w:r>
      <w:r>
        <w:rPr>
          <w:rFonts w:hint="eastAsia" w:ascii="仿宋" w:hAnsi="仿宋" w:eastAsia="仿宋"/>
          <w:color w:val="000000" w:themeColor="text1"/>
          <w:sz w:val="32"/>
          <w:szCs w:val="32"/>
          <w:lang w:eastAsia="zh-CN"/>
          <w14:textFill>
            <w14:solidFill>
              <w14:schemeClr w14:val="tx1"/>
            </w14:solidFill>
          </w14:textFill>
        </w:rPr>
        <w:t>项</w:t>
      </w:r>
      <w:r>
        <w:rPr>
          <w:rFonts w:hint="eastAsia" w:ascii="仿宋" w:hAnsi="仿宋" w:eastAsia="仿宋"/>
          <w:color w:val="000000" w:themeColor="text1"/>
          <w:sz w:val="32"/>
          <w:szCs w:val="32"/>
          <w14:textFill>
            <w14:solidFill>
              <w14:schemeClr w14:val="tx1"/>
            </w14:solidFill>
          </w14:textFill>
        </w:rPr>
        <w:t>技术没有得到</w:t>
      </w:r>
      <w:r>
        <w:rPr>
          <w:rFonts w:hint="eastAsia" w:ascii="仿宋" w:hAnsi="仿宋" w:eastAsia="仿宋"/>
          <w:color w:val="000000" w:themeColor="text1"/>
          <w:sz w:val="32"/>
          <w:szCs w:val="32"/>
          <w:lang w:eastAsia="zh-CN"/>
          <w14:textFill>
            <w14:solidFill>
              <w14:schemeClr w14:val="tx1"/>
            </w14:solidFill>
          </w14:textFill>
        </w:rPr>
        <w:t>应有的重视</w:t>
      </w:r>
      <w:r>
        <w:rPr>
          <w:rFonts w:hint="eastAsia" w:ascii="仿宋" w:hAnsi="仿宋" w:eastAsia="仿宋"/>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default" w:ascii="Calibri" w:hAnsi="Calibri" w:eastAsia="仿宋" w:cs="Calibri"/>
          <w:b w:val="0"/>
          <w:bCs w:val="0"/>
          <w:color w:val="000000" w:themeColor="text1"/>
          <w:sz w:val="32"/>
          <w:szCs w:val="32"/>
          <w:lang w:val="en-US" w:eastAsia="zh-CN"/>
          <w14:textFill>
            <w14:solidFill>
              <w14:schemeClr w14:val="tx1"/>
            </w14:solidFill>
          </w14:textFill>
        </w:rPr>
        <w:t>②</w:t>
      </w:r>
      <w:r>
        <w:rPr>
          <w:rFonts w:hint="eastAsia" w:ascii="Calibri" w:hAnsi="Calibri" w:eastAsia="仿宋" w:cs="Calibri"/>
          <w:b w:val="0"/>
          <w:bCs w:val="0"/>
          <w:color w:val="000000" w:themeColor="text1"/>
          <w:sz w:val="32"/>
          <w:szCs w:val="32"/>
          <w:lang w:val="en-US" w:eastAsia="zh-CN"/>
          <w14:textFill>
            <w14:solidFill>
              <w14:schemeClr w14:val="tx1"/>
            </w14:solidFill>
          </w14:textFill>
        </w:rPr>
        <w:t>技术总结及</w:t>
      </w:r>
      <w:r>
        <w:rPr>
          <w:rFonts w:hint="eastAsia" w:ascii="仿宋" w:hAnsi="仿宋" w:eastAsia="仿宋" w:cs="仿宋"/>
          <w:b w:val="0"/>
          <w:bCs w:val="0"/>
          <w:color w:val="000000" w:themeColor="text1"/>
          <w:sz w:val="32"/>
          <w:szCs w:val="32"/>
          <w:lang w:val="en-US" w:eastAsia="zh-CN"/>
          <w14:textFill>
            <w14:solidFill>
              <w14:schemeClr w14:val="tx1"/>
            </w14:solidFill>
          </w14:textFill>
        </w:rPr>
        <w:t>提升阶段（</w:t>
      </w:r>
      <w:r>
        <w:rPr>
          <w:rFonts w:hint="eastAsia" w:ascii="Calibri" w:hAnsi="Calibri" w:eastAsia="仿宋" w:cs="Calibri"/>
          <w:b w:val="0"/>
          <w:bCs w:val="0"/>
          <w:color w:val="000000" w:themeColor="text1"/>
          <w:sz w:val="32"/>
          <w:szCs w:val="32"/>
          <w:lang w:val="en-US" w:eastAsia="zh-CN"/>
          <w14:textFill>
            <w14:solidFill>
              <w14:schemeClr w14:val="tx1"/>
            </w14:solidFill>
          </w14:textFill>
        </w:rPr>
        <w:t>2018-2020</w:t>
      </w:r>
      <w:r>
        <w:rPr>
          <w:rFonts w:hint="eastAsia" w:ascii="仿宋" w:hAnsi="仿宋" w:eastAsia="仿宋" w:cs="仿宋"/>
          <w:b w:val="0"/>
          <w:bCs w:val="0"/>
          <w:color w:val="000000" w:themeColor="text1"/>
          <w:sz w:val="32"/>
          <w:szCs w:val="32"/>
          <w:lang w:val="en-US" w:eastAsia="zh-CN"/>
          <w14:textFill>
            <w14:solidFill>
              <w14:schemeClr w14:val="tx1"/>
            </w14:solidFill>
          </w14:textFill>
        </w:rPr>
        <w:t>）</w:t>
      </w:r>
      <w:r>
        <w:rPr>
          <w:rFonts w:hint="eastAsia" w:ascii="Calibri" w:hAnsi="Calibri" w:eastAsia="仿宋" w:cs="Calibri"/>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基于前期牵引经验的积累总结，与当前</w:t>
      </w:r>
      <w:r>
        <w:rPr>
          <w:rFonts w:hint="eastAsia" w:ascii="仿宋" w:hAnsi="仿宋" w:eastAsia="仿宋"/>
          <w:color w:val="000000" w:themeColor="text1"/>
          <w:sz w:val="32"/>
          <w:szCs w:val="32"/>
          <w14:textFill>
            <w14:solidFill>
              <w14:schemeClr w14:val="tx1"/>
            </w14:solidFill>
          </w14:textFill>
        </w:rPr>
        <w:t>猕猴桃生产中应用的主要架型</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棚架</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或“T型架”</w:t>
      </w:r>
      <w:r>
        <w:rPr>
          <w:rFonts w:hint="eastAsia" w:ascii="仿宋" w:hAnsi="仿宋" w:eastAsia="仿宋"/>
          <w:color w:val="000000" w:themeColor="text1"/>
          <w:sz w:val="32"/>
          <w:szCs w:val="32"/>
          <w:lang w:eastAsia="zh-CN"/>
          <w14:textFill>
            <w14:solidFill>
              <w14:schemeClr w14:val="tx1"/>
            </w14:solidFill>
          </w14:textFill>
        </w:rPr>
        <w:t>进行比较后认为，当前的架型存在的问题较多，表现在</w:t>
      </w:r>
      <w:r>
        <w:rPr>
          <w:rFonts w:hint="eastAsia" w:ascii="仿宋" w:hAnsi="仿宋" w:eastAsia="仿宋"/>
          <w:color w:val="000000" w:themeColor="text1"/>
          <w:sz w:val="32"/>
          <w:szCs w:val="32"/>
          <w14:textFill>
            <w14:solidFill>
              <w14:schemeClr w14:val="tx1"/>
            </w14:solidFill>
          </w14:textFill>
        </w:rPr>
        <w:t>结果枝和预备枝混合生长，且只有一个层次，</w:t>
      </w:r>
      <w:r>
        <w:rPr>
          <w:rFonts w:ascii="仿宋" w:hAnsi="仿宋" w:eastAsia="仿宋"/>
          <w:color w:val="000000" w:themeColor="text1"/>
          <w:sz w:val="32"/>
          <w:szCs w:val="32"/>
          <w14:textFill>
            <w14:solidFill>
              <w14:schemeClr w14:val="tx1"/>
            </w14:solidFill>
          </w14:textFill>
        </w:rPr>
        <w:t>若种植密度大，则猕猴桃枝条</w:t>
      </w:r>
      <w:r>
        <w:rPr>
          <w:rFonts w:hint="eastAsia" w:ascii="仿宋" w:hAnsi="仿宋" w:eastAsia="仿宋"/>
          <w:color w:val="000000" w:themeColor="text1"/>
          <w:sz w:val="32"/>
          <w:szCs w:val="32"/>
          <w14:textFill>
            <w14:solidFill>
              <w14:schemeClr w14:val="tx1"/>
            </w14:solidFill>
          </w14:textFill>
        </w:rPr>
        <w:t>和叶片</w:t>
      </w:r>
      <w:r>
        <w:rPr>
          <w:rFonts w:ascii="仿宋" w:hAnsi="仿宋" w:eastAsia="仿宋"/>
          <w:color w:val="000000" w:themeColor="text1"/>
          <w:sz w:val="32"/>
          <w:szCs w:val="32"/>
          <w14:textFill>
            <w14:solidFill>
              <w14:schemeClr w14:val="tx1"/>
            </w14:solidFill>
          </w14:textFill>
        </w:rPr>
        <w:t>生长混乱，彼此</w:t>
      </w:r>
      <w:r>
        <w:rPr>
          <w:rFonts w:hint="eastAsia" w:ascii="仿宋" w:hAnsi="仿宋" w:eastAsia="仿宋"/>
          <w:color w:val="000000" w:themeColor="text1"/>
          <w:sz w:val="32"/>
          <w:szCs w:val="32"/>
          <w:lang w:eastAsia="zh-CN"/>
          <w14:textFill>
            <w14:solidFill>
              <w14:schemeClr w14:val="tx1"/>
            </w14:solidFill>
          </w14:textFill>
        </w:rPr>
        <w:t>缠绕</w:t>
      </w:r>
      <w:r>
        <w:rPr>
          <w:rFonts w:hint="eastAsia" w:ascii="仿宋" w:hAnsi="仿宋" w:eastAsia="仿宋"/>
          <w:color w:val="000000" w:themeColor="text1"/>
          <w:sz w:val="32"/>
          <w:szCs w:val="32"/>
          <w14:textFill>
            <w14:solidFill>
              <w14:schemeClr w14:val="tx1"/>
            </w14:solidFill>
          </w14:textFill>
        </w:rPr>
        <w:t>遮挡</w:t>
      </w:r>
      <w:r>
        <w:rPr>
          <w:rFonts w:ascii="仿宋" w:hAnsi="仿宋" w:eastAsia="仿宋"/>
          <w:color w:val="000000" w:themeColor="text1"/>
          <w:sz w:val="32"/>
          <w:szCs w:val="32"/>
          <w14:textFill>
            <w14:solidFill>
              <w14:schemeClr w14:val="tx1"/>
            </w14:solidFill>
          </w14:textFill>
        </w:rPr>
        <w:t>阻碍</w:t>
      </w:r>
      <w:r>
        <w:rPr>
          <w:rFonts w:hint="eastAsia" w:ascii="仿宋" w:hAnsi="仿宋" w:eastAsia="仿宋"/>
          <w:color w:val="000000" w:themeColor="text1"/>
          <w:sz w:val="32"/>
          <w:szCs w:val="32"/>
          <w14:textFill>
            <w14:solidFill>
              <w14:schemeClr w14:val="tx1"/>
            </w14:solidFill>
          </w14:textFill>
        </w:rPr>
        <w:t>，造成果园通风透光性</w:t>
      </w:r>
      <w:r>
        <w:rPr>
          <w:rFonts w:hint="eastAsia" w:ascii="仿宋" w:hAnsi="仿宋" w:eastAsia="仿宋"/>
          <w:color w:val="000000" w:themeColor="text1"/>
          <w:sz w:val="32"/>
          <w:szCs w:val="32"/>
          <w:lang w:eastAsia="zh-CN"/>
          <w14:textFill>
            <w14:solidFill>
              <w14:schemeClr w14:val="tx1"/>
            </w14:solidFill>
          </w14:textFill>
        </w:rPr>
        <w:t>能</w:t>
      </w:r>
      <w:r>
        <w:rPr>
          <w:rFonts w:hint="eastAsia" w:ascii="仿宋" w:hAnsi="仿宋" w:eastAsia="仿宋"/>
          <w:color w:val="000000" w:themeColor="text1"/>
          <w:sz w:val="32"/>
          <w:szCs w:val="32"/>
          <w14:textFill>
            <w14:solidFill>
              <w14:schemeClr w14:val="tx1"/>
            </w14:solidFill>
          </w14:textFill>
        </w:rPr>
        <w:t>降低</w:t>
      </w:r>
      <w:r>
        <w:rPr>
          <w:rFonts w:hint="eastAsia" w:ascii="仿宋" w:hAnsi="仿宋" w:eastAsia="仿宋"/>
          <w:color w:val="000000" w:themeColor="text1"/>
          <w:sz w:val="32"/>
          <w:szCs w:val="32"/>
          <w:lang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若种植密度小，实际增效作用不明显，对空间、光照等资源利用率偏低，</w:t>
      </w:r>
      <w:r>
        <w:rPr>
          <w:rFonts w:hint="eastAsia" w:ascii="仿宋" w:hAnsi="仿宋" w:eastAsia="仿宋"/>
          <w:color w:val="000000" w:themeColor="text1"/>
          <w:sz w:val="32"/>
          <w:szCs w:val="32"/>
          <w:lang w:eastAsia="zh-CN"/>
          <w14:textFill>
            <w14:solidFill>
              <w14:schemeClr w14:val="tx1"/>
            </w14:solidFill>
          </w14:textFill>
        </w:rPr>
        <w:t>尤其在冬季修剪时，需要用经过严格培训熟练的技术工人方能进行整形修剪操作，</w:t>
      </w:r>
      <w:r>
        <w:rPr>
          <w:rFonts w:ascii="仿宋" w:hAnsi="仿宋" w:eastAsia="仿宋"/>
          <w:color w:val="000000" w:themeColor="text1"/>
          <w:sz w:val="32"/>
          <w:szCs w:val="32"/>
          <w14:textFill>
            <w14:solidFill>
              <w14:schemeClr w14:val="tx1"/>
            </w14:solidFill>
          </w14:textFill>
        </w:rPr>
        <w:t>难以实现</w:t>
      </w:r>
      <w:r>
        <w:rPr>
          <w:rFonts w:hint="eastAsia" w:ascii="仿宋" w:hAnsi="仿宋" w:eastAsia="仿宋"/>
          <w:color w:val="000000" w:themeColor="text1"/>
          <w:sz w:val="32"/>
          <w:szCs w:val="32"/>
          <w:lang w:eastAsia="zh-CN"/>
          <w14:textFill>
            <w14:solidFill>
              <w14:schemeClr w14:val="tx1"/>
            </w14:solidFill>
          </w14:textFill>
        </w:rPr>
        <w:t>省力</w:t>
      </w:r>
      <w:r>
        <w:rPr>
          <w:rFonts w:ascii="仿宋" w:hAnsi="仿宋" w:eastAsia="仿宋"/>
          <w:color w:val="000000" w:themeColor="text1"/>
          <w:sz w:val="32"/>
          <w:szCs w:val="32"/>
          <w14:textFill>
            <w14:solidFill>
              <w14:schemeClr w14:val="tx1"/>
            </w14:solidFill>
          </w14:textFill>
        </w:rPr>
        <w:t>高产高效</w:t>
      </w:r>
      <w:r>
        <w:rPr>
          <w:rFonts w:hint="eastAsia" w:ascii="仿宋" w:hAnsi="仿宋" w:eastAsia="仿宋"/>
          <w:color w:val="000000" w:themeColor="text1"/>
          <w:sz w:val="32"/>
          <w:szCs w:val="32"/>
          <w:lang w:eastAsia="zh-CN"/>
          <w14:textFill>
            <w14:solidFill>
              <w14:schemeClr w14:val="tx1"/>
            </w14:solidFill>
          </w14:textFill>
        </w:rPr>
        <w:t>并得到普及</w:t>
      </w:r>
      <w:r>
        <w:rPr>
          <w:rFonts w:ascii="仿宋" w:hAnsi="仿宋" w:eastAsia="仿宋"/>
          <w:color w:val="000000" w:themeColor="text1"/>
          <w:sz w:val="32"/>
          <w:szCs w:val="32"/>
          <w14:textFill>
            <w14:solidFill>
              <w14:schemeClr w14:val="tx1"/>
            </w14:solidFill>
          </w14:textFill>
        </w:rPr>
        <w:t>的理想</w:t>
      </w:r>
      <w:r>
        <w:rPr>
          <w:rFonts w:hint="eastAsia" w:ascii="仿宋" w:hAnsi="仿宋" w:eastAsia="仿宋"/>
          <w:color w:val="000000" w:themeColor="text1"/>
          <w:sz w:val="32"/>
          <w:szCs w:val="32"/>
          <w:lang w:eastAsia="zh-CN"/>
          <w14:textFill>
            <w14:solidFill>
              <w14:schemeClr w14:val="tx1"/>
            </w14:solidFill>
          </w14:textFill>
        </w:rPr>
        <w:t>种植</w:t>
      </w:r>
      <w:r>
        <w:rPr>
          <w:rFonts w:ascii="仿宋" w:hAnsi="仿宋" w:eastAsia="仿宋"/>
          <w:color w:val="000000" w:themeColor="text1"/>
          <w:sz w:val="32"/>
          <w:szCs w:val="32"/>
          <w14:textFill>
            <w14:solidFill>
              <w14:schemeClr w14:val="tx1"/>
            </w14:solidFill>
          </w14:textFill>
        </w:rPr>
        <w:t>效果。为了解决上述问题，</w:t>
      </w:r>
      <w:r>
        <w:rPr>
          <w:rFonts w:hint="eastAsia" w:ascii="仿宋" w:hAnsi="仿宋" w:eastAsia="仿宋"/>
          <w:color w:val="000000" w:themeColor="text1"/>
          <w:sz w:val="32"/>
          <w:szCs w:val="32"/>
          <w:lang w:eastAsia="zh-CN"/>
          <w14:textFill>
            <w14:solidFill>
              <w14:schemeClr w14:val="tx1"/>
            </w14:solidFill>
          </w14:textFill>
        </w:rPr>
        <w:t>通过对比发现</w:t>
      </w:r>
      <w:r>
        <w:rPr>
          <w:rFonts w:ascii="仿宋" w:hAnsi="仿宋" w:eastAsia="仿宋"/>
          <w:color w:val="000000" w:themeColor="text1"/>
          <w:sz w:val="32"/>
          <w:szCs w:val="32"/>
          <w14:textFill>
            <w14:solidFill>
              <w14:schemeClr w14:val="tx1"/>
            </w14:solidFill>
          </w14:textFill>
        </w:rPr>
        <w:t>猕猴桃高枝牵引</w:t>
      </w:r>
      <w:r>
        <w:rPr>
          <w:rFonts w:hint="eastAsia" w:ascii="仿宋" w:hAnsi="仿宋" w:eastAsia="仿宋"/>
          <w:color w:val="000000" w:themeColor="text1"/>
          <w:sz w:val="32"/>
          <w:szCs w:val="32"/>
          <w:lang w:eastAsia="zh-CN"/>
          <w14:textFill>
            <w14:solidFill>
              <w14:schemeClr w14:val="tx1"/>
            </w14:solidFill>
          </w14:textFill>
        </w:rPr>
        <w:t>技术具有这方面的明显优势，但需要解决搭建牵引架繁琐工序的优化改进工作，之后就开始进行架型研制和改良工作，并申请了国家专利。经过改良后的牵引技术，</w:t>
      </w:r>
      <w:r>
        <w:rPr>
          <w:rFonts w:ascii="仿宋" w:hAnsi="仿宋" w:eastAsia="仿宋"/>
          <w:color w:val="000000" w:themeColor="text1"/>
          <w:sz w:val="32"/>
          <w:szCs w:val="32"/>
          <w14:textFill>
            <w14:solidFill>
              <w14:schemeClr w14:val="tx1"/>
            </w14:solidFill>
          </w14:textFill>
        </w:rPr>
        <w:t>结构</w:t>
      </w:r>
      <w:r>
        <w:rPr>
          <w:rFonts w:hint="eastAsia" w:ascii="仿宋" w:hAnsi="仿宋" w:eastAsia="仿宋"/>
          <w:color w:val="000000" w:themeColor="text1"/>
          <w:sz w:val="32"/>
          <w:szCs w:val="32"/>
          <w:lang w:eastAsia="zh-CN"/>
          <w14:textFill>
            <w14:solidFill>
              <w14:schemeClr w14:val="tx1"/>
            </w14:solidFill>
          </w14:textFill>
        </w:rPr>
        <w:t>相对</w:t>
      </w:r>
      <w:r>
        <w:rPr>
          <w:rFonts w:ascii="仿宋" w:hAnsi="仿宋" w:eastAsia="仿宋"/>
          <w:color w:val="000000" w:themeColor="text1"/>
          <w:sz w:val="32"/>
          <w:szCs w:val="32"/>
          <w14:textFill>
            <w14:solidFill>
              <w14:schemeClr w14:val="tx1"/>
            </w14:solidFill>
          </w14:textFill>
        </w:rPr>
        <w:t>简单，设计合理，</w:t>
      </w:r>
      <w:r>
        <w:rPr>
          <w:rFonts w:hint="eastAsia" w:ascii="仿宋" w:hAnsi="仿宋" w:eastAsia="仿宋"/>
          <w:color w:val="000000" w:themeColor="text1"/>
          <w:sz w:val="32"/>
          <w:szCs w:val="32"/>
          <w14:textFill>
            <w14:solidFill>
              <w14:schemeClr w14:val="tx1"/>
            </w14:solidFill>
          </w14:textFill>
        </w:rPr>
        <w:t>便于实施，</w:t>
      </w:r>
      <w:r>
        <w:rPr>
          <w:rFonts w:ascii="仿宋" w:hAnsi="仿宋" w:eastAsia="仿宋"/>
          <w:color w:val="000000" w:themeColor="text1"/>
          <w:sz w:val="32"/>
          <w:szCs w:val="32"/>
          <w14:textFill>
            <w14:solidFill>
              <w14:schemeClr w14:val="tx1"/>
            </w14:solidFill>
          </w14:textFill>
        </w:rPr>
        <w:t>对猕猴桃</w:t>
      </w:r>
      <w:r>
        <w:rPr>
          <w:rFonts w:hint="eastAsia" w:ascii="仿宋" w:hAnsi="仿宋" w:eastAsia="仿宋"/>
          <w:color w:val="000000" w:themeColor="text1"/>
          <w:sz w:val="32"/>
          <w:szCs w:val="32"/>
          <w14:textFill>
            <w14:solidFill>
              <w14:schemeClr w14:val="tx1"/>
            </w14:solidFill>
          </w14:textFill>
        </w:rPr>
        <w:t>新稍可</w:t>
      </w:r>
      <w:r>
        <w:rPr>
          <w:rFonts w:ascii="仿宋" w:hAnsi="仿宋" w:eastAsia="仿宋"/>
          <w:color w:val="000000" w:themeColor="text1"/>
          <w:sz w:val="32"/>
          <w:szCs w:val="32"/>
          <w14:textFill>
            <w14:solidFill>
              <w14:schemeClr w14:val="tx1"/>
            </w14:solidFill>
          </w14:textFill>
        </w:rPr>
        <w:t>进行有效的牵引，</w:t>
      </w:r>
      <w:r>
        <w:rPr>
          <w:rFonts w:hint="eastAsia" w:ascii="仿宋" w:hAnsi="仿宋" w:eastAsia="仿宋"/>
          <w:color w:val="000000" w:themeColor="text1"/>
          <w:sz w:val="32"/>
          <w:szCs w:val="32"/>
          <w:lang w:eastAsia="zh-CN"/>
          <w14:textFill>
            <w14:solidFill>
              <w14:schemeClr w14:val="tx1"/>
            </w14:solidFill>
          </w14:textFill>
        </w:rPr>
        <w:t>不仅搭建成本有所降低，而且解决了冬季修剪繁琐等系列问题，经济效益显著，</w:t>
      </w:r>
      <w:r>
        <w:rPr>
          <w:rFonts w:ascii="仿宋" w:hAnsi="仿宋" w:eastAsia="仿宋"/>
          <w:color w:val="000000" w:themeColor="text1"/>
          <w:sz w:val="32"/>
          <w:szCs w:val="32"/>
          <w14:textFill>
            <w14:solidFill>
              <w14:schemeClr w14:val="tx1"/>
            </w14:solidFill>
          </w14:textFill>
        </w:rPr>
        <w:t>增效作用明显，易于实现高产高效</w:t>
      </w:r>
      <w:r>
        <w:rPr>
          <w:rFonts w:hint="eastAsia" w:ascii="仿宋" w:hAnsi="仿宋" w:eastAsia="仿宋"/>
          <w:color w:val="000000" w:themeColor="text1"/>
          <w:sz w:val="32"/>
          <w:szCs w:val="32"/>
          <w:lang w:eastAsia="zh-CN"/>
          <w14:textFill>
            <w14:solidFill>
              <w14:schemeClr w14:val="tx1"/>
            </w14:solidFill>
          </w14:textFill>
        </w:rPr>
        <w:t>节本增效</w:t>
      </w:r>
      <w:r>
        <w:rPr>
          <w:rFonts w:ascii="仿宋" w:hAnsi="仿宋" w:eastAsia="仿宋"/>
          <w:color w:val="000000" w:themeColor="text1"/>
          <w:sz w:val="32"/>
          <w:szCs w:val="32"/>
          <w14:textFill>
            <w14:solidFill>
              <w14:schemeClr w14:val="tx1"/>
            </w14:solidFill>
          </w14:textFill>
        </w:rPr>
        <w:t>的种植效果</w:t>
      </w:r>
      <w:r>
        <w:rPr>
          <w:rFonts w:hint="eastAsia" w:ascii="仿宋" w:hAnsi="仿宋" w:eastAsia="仿宋"/>
          <w:color w:val="000000" w:themeColor="text1"/>
          <w:sz w:val="32"/>
          <w:szCs w:val="32"/>
          <w:lang w:eastAsia="zh-CN"/>
          <w14:textFill>
            <w14:solidFill>
              <w14:schemeClr w14:val="tx1"/>
            </w14:solidFill>
          </w14:textFill>
        </w:rPr>
        <w:t>，社会效益和生态效益实现了双提高。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Calibri" w:hAnsi="Calibri" w:eastAsia="仿宋" w:cs="Calibri"/>
          <w:b w:val="0"/>
          <w:bCs w:val="0"/>
          <w:color w:val="000000" w:themeColor="text1"/>
          <w:sz w:val="32"/>
          <w:szCs w:val="32"/>
          <w:lang w:val="en-US" w:eastAsia="zh-CN"/>
          <w14:textFill>
            <w14:solidFill>
              <w14:schemeClr w14:val="tx1"/>
            </w14:solidFill>
          </w14:textFill>
        </w:rPr>
      </w:pPr>
      <w:r>
        <w:rPr>
          <w:rFonts w:hint="default" w:ascii="Calibri" w:hAnsi="Calibri" w:eastAsia="仿宋" w:cs="Calibri"/>
          <w:b w:val="0"/>
          <w:bCs w:val="0"/>
          <w:color w:val="000000" w:themeColor="text1"/>
          <w:sz w:val="32"/>
          <w:szCs w:val="32"/>
          <w:lang w:val="en-US" w:eastAsia="zh-CN"/>
          <w14:textFill>
            <w14:solidFill>
              <w14:schemeClr w14:val="tx1"/>
            </w14:solidFill>
          </w14:textFill>
        </w:rPr>
        <w:t>③</w:t>
      </w:r>
      <w:r>
        <w:rPr>
          <w:rFonts w:hint="eastAsia" w:ascii="Calibri" w:hAnsi="Calibri" w:eastAsia="仿宋" w:cs="Calibri"/>
          <w:b w:val="0"/>
          <w:bCs w:val="0"/>
          <w:color w:val="000000" w:themeColor="text1"/>
          <w:sz w:val="32"/>
          <w:szCs w:val="32"/>
          <w:lang w:val="en-US" w:eastAsia="zh-CN"/>
          <w14:textFill>
            <w14:solidFill>
              <w14:schemeClr w14:val="tx1"/>
            </w14:solidFill>
          </w14:textFill>
        </w:rPr>
        <w:t>技术完善及推广阶段（2021-至今）。</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针对现有技术上存在的不足，</w:t>
      </w:r>
      <w:r>
        <w:rPr>
          <w:rFonts w:hint="eastAsia" w:ascii="仿宋" w:hAnsi="仿宋" w:eastAsia="仿宋"/>
          <w:color w:val="000000" w:themeColor="text1"/>
          <w:sz w:val="32"/>
          <w:szCs w:val="32"/>
          <w:lang w:eastAsia="zh-CN"/>
          <w14:textFill>
            <w14:solidFill>
              <w14:schemeClr w14:val="tx1"/>
            </w14:solidFill>
          </w14:textFill>
        </w:rPr>
        <w:t>进行了深入全面的研究，并改进了多项技术，申报了多项相关技术发明专利，应用牵引理念及其改进后的栽培技术，果实产量和品质有了很大的提高，尤其在新建猕猴桃果园的建园阶段，具有非常明显的促长效果。在近几年的</w:t>
      </w:r>
      <w:r>
        <w:rPr>
          <w:rFonts w:hint="eastAsia" w:ascii="仿宋" w:hAnsi="仿宋" w:eastAsia="仿宋"/>
          <w:color w:val="000000" w:themeColor="text1"/>
          <w:sz w:val="32"/>
          <w:szCs w:val="32"/>
          <w:lang w:val="en-US" w:eastAsia="zh-CN"/>
          <w14:textFill>
            <w14:solidFill>
              <w14:schemeClr w14:val="tx1"/>
            </w14:solidFill>
          </w14:textFill>
        </w:rPr>
        <w:t>30余场次的涉及猕猴桃产业技术培训授课活动中，面向市县专业技术骨干、企业、种植大户、果农等推广讲解猕猴桃牵引栽培技术。利用汉中市农业技术推广语培训中心抖音号、视频号发布多个牵引技术视频，有力提高了牵引技术的推广力度。</w:t>
      </w:r>
      <w:r>
        <w:rPr>
          <w:rFonts w:hint="eastAsia" w:ascii="仿宋" w:hAnsi="仿宋" w:eastAsia="仿宋"/>
          <w:color w:val="000000" w:themeColor="text1"/>
          <w:sz w:val="32"/>
          <w:szCs w:val="32"/>
          <w:lang w:eastAsia="zh-CN"/>
          <w14:textFill>
            <w14:solidFill>
              <w14:schemeClr w14:val="tx1"/>
            </w14:solidFill>
          </w14:textFill>
        </w:rPr>
        <w:t>随着牵引技术的进一步完善，牵引技术的优势和潜力被进一步挖掘出来，土壤培肥及费工耗时等配套问题将逐一被攻克，技术应用面积将会越来越大，受众面越来越广。由于良好的应用效果，近年来越来越多的同行和技术人员来汉中参观交流猕猴桃高架牵引栽培技术，牵引技术也将会得到进一步广泛的推广和应用。</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项目申报及取得的成效</w:t>
      </w:r>
    </w:p>
    <w:p>
      <w:pPr>
        <w:keepNext w:val="0"/>
        <w:keepLines w:val="0"/>
        <w:pageBreakBefore w:val="0"/>
        <w:kinsoku/>
        <w:wordWrap/>
        <w:overflowPunct/>
        <w:topLinePunct w:val="0"/>
        <w:bidi w:val="0"/>
        <w:spacing w:line="600" w:lineRule="exact"/>
        <w:ind w:firstLine="640" w:firstLineChars="200"/>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2023年，</w:t>
      </w:r>
      <w:r>
        <w:rPr>
          <w:rFonts w:hint="eastAsia" w:ascii="仿宋" w:hAnsi="仿宋" w:eastAsia="仿宋"/>
          <w:color w:val="000000" w:themeColor="text1"/>
          <w:sz w:val="32"/>
          <w:szCs w:val="32"/>
          <w:lang w:eastAsia="zh-CN"/>
          <w14:textFill>
            <w14:solidFill>
              <w14:schemeClr w14:val="tx1"/>
            </w14:solidFill>
          </w14:textFill>
        </w:rPr>
        <w:t>成功立项了科技厅《猕猴桃高架牵引栽培关键技术研究与示范推广》项目，获得第一笔专门用于技术研发与推广的科研经费支持，牵引技术工艺将得到了进一步优化和提升。</w:t>
      </w:r>
      <w:r>
        <w:rPr>
          <w:rFonts w:hint="eastAsia" w:ascii="仿宋" w:hAnsi="仿宋" w:eastAsia="仿宋"/>
          <w:color w:val="000000" w:themeColor="text1"/>
          <w:sz w:val="32"/>
          <w:szCs w:val="32"/>
          <w:lang w:val="en-US" w:eastAsia="zh-CN"/>
          <w14:textFill>
            <w14:solidFill>
              <w14:schemeClr w14:val="tx1"/>
            </w14:solidFill>
          </w14:textFill>
        </w:rPr>
        <w:t>近3年来，申请立项省农业农村厅、省科技厅项目猕猴桃项目3项，获得试验研究、推广经费一百余万元，为高架牵引技术的研制、推广、技术培优提升奠定了坚实的基础。2020年以来，授权了5项与牵引栽培技术相关的专利。以高架牵引技术为核心的创新项目，获得陕西省科学技术协会举办的2022年陕西省“三新三小”创新竞赛二等奖的好成绩。该项技术在猕猴桃产量和品质提升方面，是一项投资小、见效快、易实施、能复制、可推广的具有广泛应用前景的新技术。</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3、标准申报、立项及起草</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课题组成员长期从事猕猴桃栽培技术创新研究与推广工作。在长期做好课题研究及项目申报及实施的同时，亲自管理猕猴桃品种试验园，常年指导大中型猕猴桃园区生产实践工作，在猕猴桃提质增效研究方面，积累了丰富的理论、实践、创新经验，为本标准的制定提供了大量的试验数据和实践经验支撑。2023年根据陕西省农业农村厅《关于征集2023年农业农村领域陕西省地方标准制修订项目的通知》（陕农函〔2023〕24号）文件精神，十多次在汉台、南郑、城固、西乡、勉县等猕猴桃主产县的猕猴桃牵引企业作了实地考察、调研。课题组成员利用省市农技员培训、高素质农民培训等学习考察的各种机会，在眉县、周至县等猕猴桃主产县区考察调研猕猴桃牵引技术实施情况，明确调研重点，验证牵引技术实施效果。在充分调研的基础上，完成了标准申报工作并于2023 年 4 月 12 日参加了在陕西省果蔬标委会组织的立项答辩，2023年5月，正式获得陕西省市场监督管理局立项。标准编制任务下达后，立即组织相关单位联合成立了标准编写组，明确了工作指导思想，制定了工作原则，确定了起草组成员的任务分工。继续开展牵引试验研究，组织团队及相关专家收集中、省、市有关牵引技术资料，采取电话微信咨询、专家座谈交流、深入企业考察等多种形式，对拟制定的标准所涉及的适用范围、技术要求、技术参数、可操作性、适用性等内容进行了多次充分讨论、删减修改、反复完善、形成了征求意见稿，最后形成《猕猴桃高架牵引栽培技术规程》草案。</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t>（五）标准起草工作组成员及任务分工</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为做好《猕猴桃高架牵引栽培技术规程》陕西省地方标准的编制工作，汉中市农业技术推广与培训中心领导高度重视，成立了《猕猴桃高架牵引栽培技术规程》标准编制工作组，果业站高级农艺师、副站长付伟伟同志为组长，成员有：廖孝忠、席彦军、秦晓梅、程丽萍、张  蕊、许云鹏、李俊东、吴  强、张文慧、王  博、封利军、彭  伟、唐晓东、余小丽，分组开展技术标准的总结、完善及编制工作。</w:t>
      </w:r>
    </w:p>
    <w:p>
      <w:pPr>
        <w:keepNext w:val="0"/>
        <w:keepLines w:val="0"/>
        <w:pageBreakBefore w:val="0"/>
        <w:widowControl w:val="0"/>
        <w:numPr>
          <w:ilvl w:val="0"/>
          <w:numId w:val="0"/>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二、标准编制原则和标准主要内容</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cstheme="minorEastAsia"/>
          <w:b/>
          <w:bCs/>
          <w:color w:val="000000" w:themeColor="text1"/>
          <w:sz w:val="32"/>
          <w:szCs w:val="32"/>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32"/>
          <w:szCs w:val="32"/>
          <w:lang w:val="en-US" w:eastAsia="zh-CN"/>
          <w14:textFill>
            <w14:solidFill>
              <w14:schemeClr w14:val="tx1"/>
            </w14:solidFill>
          </w14:textFill>
        </w:rPr>
        <w:t>标准编制原则</w:t>
      </w:r>
    </w:p>
    <w:p>
      <w:pPr>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严格按照《地方标准管理办法》和《地方标准制定规范》相关要求，立足于陕西柑橘生产与老果园现状，充分研究老果园改造的方法和内容，积极借鉴国内柑橘生产的先进标准，在现有国家、地方标准相关要求的基础上，合理确定部分要求和条款，完成本标准制修订工作，并力求提高陕西柑橘生产的水平。使标准能够对陕西柑橘老果园改造起到技术支撑和促进产业健康发展的作用。</w:t>
      </w:r>
    </w:p>
    <w:p>
      <w:pPr>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1、本标准坚持结合陕西省猕猴桃生产实际，在编制过程中，我们遵循了“先进性、实用性、规范性”的原则，充分征求请教咨询陕西关中主产区周至县、眉县、汉中、安康、商洛等猕猴桃主产区应用牵引技术同行专家老师，听取各方面的意见，注重编写质量，最大程度地发挥标准的可操作性和适应性属性，确保标准可以作为政府部门监督、指导生产的依据。</w:t>
      </w:r>
    </w:p>
    <w:p>
      <w:pPr>
        <w:pStyle w:val="11"/>
        <w:keepNext w:val="0"/>
        <w:keepLines w:val="0"/>
        <w:pageBreakBefore w:val="0"/>
        <w:kinsoku/>
        <w:wordWrap/>
        <w:overflowPunct/>
        <w:topLinePunct w:val="0"/>
        <w:bidi w:val="0"/>
        <w:spacing w:before="78" w:after="78" w:line="600" w:lineRule="exac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2、本文件按照GB/T 1.1—2020《标准化工作导则  第1部分：标准化文件的结构和起草规则》的规定起草。</w:t>
      </w:r>
    </w:p>
    <w:p>
      <w:pPr>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3、规范性引用文件必须现行有效。</w:t>
      </w:r>
    </w:p>
    <w:p>
      <w:pPr>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4、标准的内容与现行有关法律、法规和有关上级强制性标准相一致，不得抵触。</w:t>
      </w:r>
    </w:p>
    <w:p>
      <w:pPr>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5、加大技术创新和改进力度，注重《一种猕猴桃高架牵引架》《一种猕猴桃牵引架的引线装置》等国家专利的创新研制工作，结合《猕猴桃高架牵引栽培关键技术研究与示范》等项目实施，开展了标准的研制和验证工作，在技术指标上力求科学、先进、可操作，以便为大规模生产应用提供技术参考和指导。</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cstheme="minorEastAsia"/>
          <w:b/>
          <w:bCs/>
          <w:color w:val="000000" w:themeColor="text1"/>
          <w:sz w:val="32"/>
          <w:szCs w:val="32"/>
          <w:lang w:val="en-US" w:eastAsia="zh-CN"/>
          <w14:textFill>
            <w14:solidFill>
              <w14:schemeClr w14:val="tx1"/>
            </w14:solidFill>
          </w14:textFill>
        </w:rPr>
        <w:t>（二）主要内容</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本标准内容共9部分，主要规定了猕猴桃园牵引栽培技术的适合</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begin" w:fldLock="1"/>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instrText xml:space="preserve"> HYPERLINK \l "_Toc52282643" </w:instrTex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separate"/>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范围</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end"/>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begin" w:fldLock="1"/>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instrText xml:space="preserve"> HYPERLINK \l "_Toc52282643" </w:instrTex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separate"/>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规范性引用</w:t>
      </w:r>
      <w:bookmarkStart w:id="0" w:name="_Hlt127200273"/>
      <w:bookmarkStart w:id="1" w:name="_Hlt127200274"/>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文</w:t>
      </w:r>
      <w:bookmarkEnd w:id="0"/>
      <w:bookmarkEnd w:id="1"/>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件</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end"/>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begin" w:fldLock="1"/>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instrText xml:space="preserve"> HYPERLINK \l "_Toc52282644" </w:instrTex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separate"/>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术语和定义</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fldChar w:fldCharType="end"/>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、园地选择、苗木繁育、建园技术、牵引架搭建、田间管理、鲜果采摘分级包装、病虫害防治等技术指标和方法措施标准。</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1、此标准中的园地选择、苗木繁育、部分建园技术参照陕西省猕猴桃栽培技术规程DB61/T 220-2014 的标准制定。</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2、此标准中的牵引架搭建技术要求，包括架型、牵引方式要求，是根据汉中乃至陕西多年实际实践生产经验反复验证后制定；</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3、此标准中的田间管理技术要求，是根据汉中乃至陕西多年实践生产经验情况制定；</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4、此标准中的建园技术、“T”形架、大棚架建园技术要求，参照NY/T 5108-2002中第9章执行制定。不规则网状棚架是根据汉中多年实践生产经验情况制定；</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5、此标准中的施肥技术是根据汉中乃至陕西多年实践生产经验情况制定；</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6、此标准中的整形、修剪技术，包括树形培养、冬季修剪和夏季修剪技术是根据汉中乃至陕西多年实践生产经验情况制定。</w:t>
      </w:r>
    </w:p>
    <w:p>
      <w:pPr>
        <w:keepNext w:val="0"/>
        <w:keepLines w:val="0"/>
        <w:pageBreakBefore w:val="0"/>
        <w:widowControl w:val="0"/>
        <w:numPr>
          <w:ilvl w:val="0"/>
          <w:numId w:val="0"/>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三、实证研究</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cstheme="minorEastAsia"/>
          <w:b/>
          <w:bCs/>
          <w:color w:val="000000" w:themeColor="text1"/>
          <w:sz w:val="32"/>
          <w:szCs w:val="32"/>
          <w:lang w:val="en-US" w:eastAsia="zh-CN"/>
          <w14:textFill>
            <w14:solidFill>
              <w14:schemeClr w14:val="tx1"/>
            </w14:solidFill>
          </w14:textFill>
        </w:rPr>
        <w:t>（一）试验方法</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试验过程及顺序：调研选题--牵引架试制及搭建--田间观察--分析对比--牵引架型改进完善......，如此循环创制，直至形成较为合理的技术参数。此标准中的牵引栽培技术要求，是根据多年来汉中、陕西猕猴桃牵引技术在实际生产中的经验总结逐步改进而成。牵引技术试验成功后，开展田间试验，试验多采用完全随机设计或随机区组设计。试验调查的内容主要包括：牵引架的高度、牵引杆材质、牵引绳材质、搭建成本核算、架面光照度、亩均产量、果实品质、牵引方式及效果等。</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cstheme="minorEastAsia"/>
          <w:b/>
          <w:bCs/>
          <w:color w:val="000000" w:themeColor="text1"/>
          <w:sz w:val="32"/>
          <w:szCs w:val="32"/>
          <w:lang w:val="en-US" w:eastAsia="zh-CN"/>
          <w14:textFill>
            <w14:solidFill>
              <w14:schemeClr w14:val="tx1"/>
            </w14:solidFill>
          </w14:textFill>
        </w:rPr>
        <w:t>（二）调查、测量分析、数据统计情况</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试验调查主要从核算搭建牵引架成本、牵引枝条后的效果和效益入手，调查内容包括：枝条长度、叶片数量、受光叶片面积、果园光照强度、果实品质和产量、花芽分化率、成枝率、新稍生长量、坐果率、商品率、果实整齐度等，进行系统性调查研究。在不同物候时期对相关数据进行记录，用Excel和Dps进行统计分析。</w:t>
      </w:r>
    </w:p>
    <w:p>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600" w:lineRule="exact"/>
        <w:ind w:firstLine="643" w:firstLineChars="200"/>
        <w:textAlignment w:val="auto"/>
        <w:rPr>
          <w:rFonts w:hint="eastAsia" w:asciiTheme="minorEastAsia" w:hAnsiTheme="minorEastAsia" w:cstheme="minorEastAsia"/>
          <w:b/>
          <w:bCs/>
          <w:color w:val="000000" w:themeColor="text1"/>
          <w:sz w:val="32"/>
          <w:szCs w:val="32"/>
          <w:lang w:val="en-US" w:eastAsia="zh-CN"/>
          <w14:textFill>
            <w14:solidFill>
              <w14:schemeClr w14:val="tx1"/>
            </w14:solidFill>
          </w14:textFill>
        </w:rPr>
      </w:pPr>
      <w:r>
        <w:rPr>
          <w:rFonts w:hint="eastAsia" w:asciiTheme="minorEastAsia" w:hAnsiTheme="minorEastAsia" w:cstheme="minorEastAsia"/>
          <w:b/>
          <w:bCs/>
          <w:color w:val="000000" w:themeColor="text1"/>
          <w:sz w:val="32"/>
          <w:szCs w:val="32"/>
          <w:lang w:val="en-US" w:eastAsia="zh-CN"/>
          <w14:textFill>
            <w14:solidFill>
              <w14:schemeClr w14:val="tx1"/>
            </w14:solidFill>
          </w14:textFill>
        </w:rPr>
        <w:t>（三）实证效果验证报告</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1、架型形状明显区别传统架型</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s="Calibri"/>
          <w:color w:val="000000" w:themeColor="text1"/>
          <w:sz w:val="32"/>
          <w:szCs w:val="32"/>
          <w:lang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本标准中的架形是本技术的创新点之一。</w:t>
      </w:r>
      <w:r>
        <w:rPr>
          <w:rFonts w:hint="eastAsia" w:ascii="仿宋" w:hAnsi="仿宋" w:eastAsia="仿宋" w:cs="Calibri"/>
          <w:color w:val="000000" w:themeColor="text1"/>
          <w:sz w:val="32"/>
          <w:szCs w:val="32"/>
          <w14:textFill>
            <w14:solidFill>
              <w14:schemeClr w14:val="tx1"/>
            </w14:solidFill>
          </w14:textFill>
        </w:rPr>
        <w:t>传统猕猴桃架型为大棚架或</w:t>
      </w:r>
      <w:r>
        <w:rPr>
          <w:rFonts w:ascii="仿宋" w:hAnsi="仿宋" w:eastAsia="仿宋" w:cs="Calibri"/>
          <w:color w:val="000000" w:themeColor="text1"/>
          <w:sz w:val="32"/>
          <w:szCs w:val="32"/>
          <w14:textFill>
            <w14:solidFill>
              <w14:schemeClr w14:val="tx1"/>
            </w14:solidFill>
          </w14:textFill>
        </w:rPr>
        <w:t>“</w:t>
      </w:r>
      <w:r>
        <w:rPr>
          <w:rFonts w:hint="eastAsia" w:ascii="仿宋" w:hAnsi="仿宋" w:eastAsia="仿宋" w:cs="Calibri"/>
          <w:color w:val="000000" w:themeColor="text1"/>
          <w:sz w:val="32"/>
          <w:szCs w:val="32"/>
          <w14:textFill>
            <w14:solidFill>
              <w14:schemeClr w14:val="tx1"/>
            </w14:solidFill>
          </w14:textFill>
        </w:rPr>
        <w:t>T型架</w:t>
      </w:r>
      <w:r>
        <w:rPr>
          <w:rFonts w:ascii="仿宋" w:hAnsi="仿宋" w:eastAsia="仿宋" w:cs="Calibri"/>
          <w:color w:val="000000" w:themeColor="text1"/>
          <w:sz w:val="32"/>
          <w:szCs w:val="32"/>
          <w14:textFill>
            <w14:solidFill>
              <w14:schemeClr w14:val="tx1"/>
            </w14:solidFill>
          </w14:textFill>
        </w:rPr>
        <w:t>”</w:t>
      </w:r>
      <w:r>
        <w:rPr>
          <w:rFonts w:hint="eastAsia" w:ascii="仿宋" w:hAnsi="仿宋" w:eastAsia="仿宋" w:cs="Calibri"/>
          <w:color w:val="000000" w:themeColor="text1"/>
          <w:sz w:val="32"/>
          <w:szCs w:val="32"/>
          <w14:textFill>
            <w14:solidFill>
              <w14:schemeClr w14:val="tx1"/>
            </w14:solidFill>
          </w14:textFill>
        </w:rPr>
        <w:t>，架面对藤蔓的支撑只是一个水平层次，腋芽容易萌发。该牵引架不仅包括一个水平层次，而且在原来架型的基础上增加了牵引杆、牵引绳，呈现出全新的立体层次，形状上明显区别于传统的大棚架或“T型架”。</w:t>
      </w:r>
      <w:r>
        <w:rPr>
          <w:rFonts w:hint="eastAsia" w:ascii="仿宋" w:hAnsi="仿宋" w:eastAsia="仿宋" w:cs="Calibri"/>
          <w:color w:val="000000" w:themeColor="text1"/>
          <w:sz w:val="32"/>
          <w:szCs w:val="32"/>
          <w:lang w:eastAsia="zh-CN"/>
          <w14:textFill>
            <w14:solidFill>
              <w14:schemeClr w14:val="tx1"/>
            </w14:solidFill>
          </w14:textFill>
        </w:rPr>
        <w:t>建造该</w:t>
      </w:r>
      <w:r>
        <w:rPr>
          <w:rFonts w:hint="eastAsia" w:ascii="仿宋" w:hAnsi="仿宋" w:eastAsia="仿宋" w:cs="Calibri"/>
          <w:color w:val="000000" w:themeColor="text1"/>
          <w:sz w:val="32"/>
          <w:szCs w:val="32"/>
          <w14:textFill>
            <w14:solidFill>
              <w14:schemeClr w14:val="tx1"/>
            </w14:solidFill>
          </w14:textFill>
        </w:rPr>
        <w:t>架型的技术难点是牵引杆的设</w:t>
      </w:r>
      <w:r>
        <w:rPr>
          <w:rFonts w:hint="eastAsia" w:ascii="仿宋" w:hAnsi="仿宋" w:eastAsia="仿宋" w:cs="Calibri"/>
          <w:color w:val="000000" w:themeColor="text1"/>
          <w:sz w:val="32"/>
          <w:szCs w:val="32"/>
          <w:lang w:eastAsia="zh-CN"/>
          <w14:textFill>
            <w14:solidFill>
              <w14:schemeClr w14:val="tx1"/>
            </w14:solidFill>
          </w14:textFill>
        </w:rPr>
        <w:t>计和牵引绳的相互缠绕问题。牵引杆、牵引绳的长度和材质是根据调研实测值确定。按每亩产量实测值净增加</w:t>
      </w:r>
      <w:r>
        <w:rPr>
          <w:rFonts w:hint="eastAsia" w:ascii="仿宋" w:hAnsi="仿宋" w:eastAsia="仿宋" w:cs="Calibri"/>
          <w:color w:val="000000" w:themeColor="text1"/>
          <w:sz w:val="32"/>
          <w:szCs w:val="32"/>
          <w:lang w:val="en-US" w:eastAsia="zh-CN"/>
          <w14:textFill>
            <w14:solidFill>
              <w14:schemeClr w14:val="tx1"/>
            </w14:solidFill>
          </w14:textFill>
        </w:rPr>
        <w:t>20-30%计算，即每亩</w:t>
      </w:r>
      <w:r>
        <w:rPr>
          <w:rFonts w:hint="eastAsia" w:ascii="仿宋" w:hAnsi="仿宋" w:eastAsia="仿宋" w:cs="Calibri"/>
          <w:color w:val="000000" w:themeColor="text1"/>
          <w:sz w:val="32"/>
          <w:szCs w:val="32"/>
          <w:lang w:eastAsia="zh-CN"/>
          <w14:textFill>
            <w14:solidFill>
              <w14:schemeClr w14:val="tx1"/>
            </w14:solidFill>
          </w14:textFill>
        </w:rPr>
        <w:t>净增加最低500斤计，每斤猕猴桃平均批发价按5元计算，每年每亩可净增加250</w:t>
      </w:r>
      <w:r>
        <w:rPr>
          <w:rFonts w:hint="eastAsia" w:ascii="仿宋" w:hAnsi="仿宋" w:eastAsia="仿宋" w:cs="Calibri"/>
          <w:color w:val="000000" w:themeColor="text1"/>
          <w:sz w:val="32"/>
          <w:szCs w:val="32"/>
          <w:lang w:val="en-US" w:eastAsia="zh-CN"/>
          <w14:textFill>
            <w14:solidFill>
              <w14:schemeClr w14:val="tx1"/>
            </w14:solidFill>
          </w14:textFill>
        </w:rPr>
        <w:t>0</w:t>
      </w:r>
      <w:r>
        <w:rPr>
          <w:rFonts w:hint="eastAsia" w:ascii="仿宋" w:hAnsi="仿宋" w:eastAsia="仿宋" w:cs="Calibri"/>
          <w:color w:val="000000" w:themeColor="text1"/>
          <w:sz w:val="32"/>
          <w:szCs w:val="32"/>
          <w:lang w:eastAsia="zh-CN"/>
          <w14:textFill>
            <w14:solidFill>
              <w14:schemeClr w14:val="tx1"/>
            </w14:solidFill>
          </w14:textFill>
        </w:rPr>
        <w:t>元的纯收入。</w:t>
      </w:r>
      <w:r>
        <w:rPr>
          <w:rFonts w:hint="eastAsia" w:ascii="仿宋" w:hAnsi="仿宋" w:eastAsia="仿宋" w:cs="Calibri"/>
          <w:color w:val="000000" w:themeColor="text1"/>
          <w:sz w:val="32"/>
          <w:szCs w:val="32"/>
          <w:lang w:val="en-US" w:eastAsia="zh-CN"/>
          <w14:textFill>
            <w14:solidFill>
              <w14:schemeClr w14:val="tx1"/>
            </w14:solidFill>
          </w14:textFill>
        </w:rPr>
        <w:t>达到了“使用一根杆，亩增二千元”的高效生产模式。</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s="Calibri"/>
          <w:color w:val="000000" w:themeColor="text1"/>
          <w:sz w:val="32"/>
          <w:szCs w:val="32"/>
          <w:lang w:eastAsia="zh-CN"/>
          <w14:textFill>
            <w14:solidFill>
              <w14:schemeClr w14:val="tx1"/>
            </w14:solidFill>
          </w14:textFill>
        </w:rPr>
      </w:pPr>
      <w:r>
        <w:rPr>
          <w:rFonts w:hint="eastAsia" w:ascii="仿宋" w:hAnsi="仿宋" w:eastAsia="仿宋" w:cs="Calibri"/>
          <w:color w:val="000000" w:themeColor="text1"/>
          <w:sz w:val="32"/>
          <w:szCs w:val="32"/>
          <w:lang w:val="en-US" w:eastAsia="zh-CN"/>
          <w14:textFill>
            <w14:solidFill>
              <w14:schemeClr w14:val="tx1"/>
            </w14:solidFill>
          </w14:textFill>
        </w:rPr>
        <w:t>2、</w:t>
      </w:r>
      <w:r>
        <w:rPr>
          <w:rFonts w:hint="eastAsia" w:ascii="仿宋" w:hAnsi="仿宋" w:eastAsia="仿宋" w:cs="Calibri"/>
          <w:color w:val="000000" w:themeColor="text1"/>
          <w:sz w:val="32"/>
          <w:szCs w:val="32"/>
          <w:lang w:eastAsia="zh-CN"/>
          <w14:textFill>
            <w14:solidFill>
              <w14:schemeClr w14:val="tx1"/>
            </w14:solidFill>
          </w14:textFill>
        </w:rPr>
        <w:t>营养枝培养方式更加合理</w:t>
      </w:r>
    </w:p>
    <w:p>
      <w:pPr>
        <w:keepNext w:val="0"/>
        <w:keepLines w:val="0"/>
        <w:pageBreakBefore w:val="0"/>
        <w:kinsoku/>
        <w:wordWrap/>
        <w:overflowPunct/>
        <w:topLinePunct w:val="0"/>
        <w:bidi w:val="0"/>
        <w:spacing w:line="600" w:lineRule="exact"/>
        <w:ind w:firstLine="640" w:firstLineChars="200"/>
        <w:textAlignment w:val="auto"/>
        <w:rPr>
          <w:rFonts w:hint="eastAsia" w:ascii="仿宋" w:hAnsi="仿宋" w:eastAsia="仿宋" w:cs="Calibri"/>
          <w:color w:val="000000" w:themeColor="text1"/>
          <w:sz w:val="32"/>
          <w:szCs w:val="32"/>
          <w:lang w:val="en-US" w:eastAsia="zh-CN"/>
          <w14:textFill>
            <w14:solidFill>
              <w14:schemeClr w14:val="tx1"/>
            </w14:solidFill>
          </w14:textFill>
        </w:rPr>
      </w:pPr>
      <w:r>
        <w:rPr>
          <w:rFonts w:hint="eastAsia" w:ascii="仿宋" w:hAnsi="仿宋" w:eastAsia="仿宋" w:cs="Calibri"/>
          <w:color w:val="000000" w:themeColor="text1"/>
          <w:sz w:val="32"/>
          <w:szCs w:val="32"/>
          <w:lang w:val="en-US" w:eastAsia="zh-CN"/>
          <w14:textFill>
            <w14:solidFill>
              <w14:schemeClr w14:val="tx1"/>
            </w14:solidFill>
          </w14:textFill>
        </w:rPr>
        <w:t>本技术的第二个优点是营养枝培养方式不同于传统方法。该技术对枝条的牵引不仅包括一个水平层次，而且增加了牵引的立体层次，结果枝层和营养枝层有序轮换结果。枝条牵引后，发挥了新稍向上生长的顶端优势，枝条接受了更充分的光照，花芽分化更充分，有机物质积累更多，为第二年果实品质提升奠定了良好的营养基础。牵引后新稍长度对比增加1.2倍～2.0倍，建园速度更快，产量更高。树形上不拘泥于一干两蔓“非”字型或一干多蔓“伞”形，牵引方式也被分为行内牵引、行间牵引、隔行牵引三大类，将牵引技术的具体细节得到了全部体现。该技术是用非化学纯生态的方法来提高果实品质和产量，减少了CPPU等植物生长调节剂的依赖，所产果品更安全，符合消费潮流，并且节约了膨大剂的投用成本。</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 w:hAnsi="仿宋" w:eastAsia="仿宋" w:cs="Calibri"/>
          <w:color w:val="000000" w:themeColor="text1"/>
          <w:kern w:val="2"/>
          <w:sz w:val="32"/>
          <w:szCs w:val="32"/>
          <w:lang w:val="en-US" w:eastAsia="zh-CN" w:bidi="ar-SA"/>
          <w14:textFill>
            <w14:solidFill>
              <w14:schemeClr w14:val="tx1"/>
            </w14:solidFill>
          </w14:textFill>
        </w:rPr>
      </w:pPr>
      <w:r>
        <w:rPr>
          <w:rFonts w:hint="eastAsia" w:ascii="仿宋" w:hAnsi="仿宋" w:eastAsia="仿宋" w:cs="Calibri"/>
          <w:color w:val="000000" w:themeColor="text1"/>
          <w:kern w:val="2"/>
          <w:sz w:val="32"/>
          <w:szCs w:val="32"/>
          <w:lang w:val="en-US" w:eastAsia="zh-CN" w:bidi="ar-SA"/>
          <w14:textFill>
            <w14:solidFill>
              <w14:schemeClr w14:val="tx1"/>
            </w14:solidFill>
          </w14:textFill>
        </w:rPr>
        <w:t>3、冬季修剪方法更加轻简化</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 w:hAnsi="仿宋" w:eastAsia="仿宋" w:cs="Calibri"/>
          <w:color w:val="000000" w:themeColor="text1"/>
          <w:sz w:val="32"/>
          <w:szCs w:val="32"/>
          <w:lang w:eastAsia="zh-CN"/>
          <w14:textFill>
            <w14:solidFill>
              <w14:schemeClr w14:val="tx1"/>
            </w14:solidFill>
          </w14:textFill>
        </w:rPr>
      </w:pPr>
      <w:r>
        <w:rPr>
          <w:rFonts w:hint="eastAsia" w:ascii="仿宋" w:hAnsi="仿宋" w:eastAsia="仿宋" w:cs="Calibri"/>
          <w:color w:val="000000" w:themeColor="text1"/>
          <w:sz w:val="32"/>
          <w:szCs w:val="32"/>
          <w:lang w:eastAsia="zh-CN"/>
          <w14:textFill>
            <w14:solidFill>
              <w14:schemeClr w14:val="tx1"/>
            </w14:solidFill>
          </w14:textFill>
        </w:rPr>
        <w:t>本技术的优点之三就是结果母枝培养方式更加科学合理。传统结果母枝培养多是在当年结果枝上或主蔓上培养，预备枝离主蔓基部较远，2-3年后易出现结果部位明显外移，树形容易紊乱，果园容易郁闭。应用牵引技术后，将当年牵引的枝条放下来当做下年的结果母枝，当年结完果的枝条在冬季进行重短截修剪，使预备枝始终保持在第一道铁丝内部，有效避免了结果部位的外移，确保结果母枝始终处于年轻强旺状态，为连年丰产稳产奠定坚实的基础。通过连续的试验实施，冬季修剪方法更加轻简化，傻瓜化，降低了冬季修剪的难度，有力地解决了冬剪需要熟练劳动力才能完成高质量冬剪的用工难题。而且修剪树形更加美观，更利于果园的丰产管理。</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 w:hAnsi="仿宋" w:eastAsia="仿宋" w:cs="Calibri"/>
          <w:color w:val="000000" w:themeColor="text1"/>
          <w:sz w:val="32"/>
          <w:szCs w:val="32"/>
          <w:lang w:val="en-US" w:eastAsia="zh-CN"/>
          <w14:textFill>
            <w14:solidFill>
              <w14:schemeClr w14:val="tx1"/>
            </w14:solidFill>
          </w14:textFill>
        </w:rPr>
      </w:pPr>
      <w:r>
        <w:rPr>
          <w:rFonts w:hint="eastAsia" w:ascii="仿宋" w:hAnsi="仿宋" w:eastAsia="仿宋" w:cs="Calibri"/>
          <w:color w:val="000000" w:themeColor="text1"/>
          <w:sz w:val="32"/>
          <w:szCs w:val="32"/>
          <w:lang w:val="en-US" w:eastAsia="zh-CN"/>
          <w14:textFill>
            <w14:solidFill>
              <w14:schemeClr w14:val="tx1"/>
            </w14:solidFill>
          </w14:textFill>
        </w:rPr>
        <w:t>4、示范引领作用更加明显</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 w:hAnsi="仿宋" w:eastAsia="仿宋" w:cs="Calibri"/>
          <w:color w:val="000000" w:themeColor="text1"/>
          <w:sz w:val="32"/>
          <w:szCs w:val="32"/>
          <w:lang w:val="en-US" w:eastAsia="zh-CN"/>
          <w14:textFill>
            <w14:solidFill>
              <w14:schemeClr w14:val="tx1"/>
            </w14:solidFill>
          </w14:textFill>
        </w:rPr>
      </w:pPr>
      <w:r>
        <w:rPr>
          <w:rFonts w:hint="eastAsia" w:ascii="仿宋" w:hAnsi="仿宋" w:eastAsia="仿宋" w:cs="Calibri"/>
          <w:color w:val="000000" w:themeColor="text1"/>
          <w:sz w:val="32"/>
          <w:szCs w:val="32"/>
          <w:lang w:val="en-US" w:eastAsia="zh-CN"/>
          <w14:textFill>
            <w14:solidFill>
              <w14:schemeClr w14:val="tx1"/>
            </w14:solidFill>
          </w14:textFill>
        </w:rPr>
        <w:t>通过新型架型的示范推广，全国猕猴桃主产县区的果农和技术人员们纷纷来陕西考察学习该技术，使高枝牵引配套技术应用面积大幅度扩张，有效提高应用的知晓率和普及度，提高建园速度，增加果园收入，促进劳动力就业和创业，带动乡村果业振兴步入良性发展轨道。牵引技术的研发与推广，对优化猕猴桃产业结构、引领产业发展方向、促进新技术创新研发、调整果树品种布局、增加果农收入将会起到重要技术支撑和业态引领作用。</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 w:hAnsi="仿宋" w:eastAsia="仿宋" w:cs="Calibri"/>
          <w:color w:val="000000" w:themeColor="text1"/>
          <w:sz w:val="32"/>
          <w:szCs w:val="32"/>
          <w:lang w:val="en-US" w:eastAsia="zh-CN"/>
          <w14:textFill>
            <w14:solidFill>
              <w14:schemeClr w14:val="tx1"/>
            </w14:solidFill>
          </w14:textFill>
        </w:rPr>
      </w:pPr>
      <w:r>
        <w:rPr>
          <w:rFonts w:hint="eastAsia" w:ascii="仿宋" w:hAnsi="仿宋" w:eastAsia="仿宋" w:cs="Calibri"/>
          <w:color w:val="000000" w:themeColor="text1"/>
          <w:sz w:val="32"/>
          <w:szCs w:val="32"/>
          <w:lang w:val="en-US" w:eastAsia="zh-CN"/>
          <w14:textFill>
            <w14:solidFill>
              <w14:schemeClr w14:val="tx1"/>
            </w14:solidFill>
          </w14:textFill>
        </w:rPr>
        <w:t>5、项目带动助推技术进步完善</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Calibri"/>
          <w:color w:val="000000" w:themeColor="text1"/>
          <w:sz w:val="32"/>
          <w:szCs w:val="32"/>
          <w:lang w:val="en-US" w:eastAsia="zh-CN"/>
          <w14:textFill>
            <w14:solidFill>
              <w14:schemeClr w14:val="tx1"/>
            </w14:solidFill>
          </w14:textFill>
        </w:rPr>
        <w:t>此标准中的猕猴桃高架牵引技术的技术指标确定，是根据汉中农业技术推广与培训中心在</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结合《一种猕猴桃高架牵引技术》国家专利的研制。同时得到了陕西省科技厅《猕猴桃高架牵引栽培关键技术研究与示范》项目</w:t>
      </w:r>
      <w:r>
        <w:rPr>
          <w:rFonts w:hint="eastAsia" w:ascii="仿宋" w:hAnsi="仿宋" w:eastAsia="仿宋" w:cs="Calibri"/>
          <w:color w:val="000000" w:themeColor="text1"/>
          <w:sz w:val="32"/>
          <w:szCs w:val="32"/>
          <w:lang w:val="en-US" w:eastAsia="zh-CN"/>
          <w14:textFill>
            <w14:solidFill>
              <w14:schemeClr w14:val="tx1"/>
            </w14:solidFill>
          </w14:textFill>
        </w:rPr>
        <w:t>、</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陕西</w:t>
      </w:r>
      <w:r>
        <w:rPr>
          <w:rFonts w:hint="eastAsia" w:ascii="仿宋" w:hAnsi="仿宋" w:eastAsia="仿宋" w:cs="Calibri"/>
          <w:color w:val="000000" w:themeColor="text1"/>
          <w:sz w:val="32"/>
          <w:szCs w:val="32"/>
          <w:lang w:val="en-US" w:eastAsia="zh-CN"/>
          <w14:textFill>
            <w14:solidFill>
              <w14:schemeClr w14:val="tx1"/>
            </w14:solidFill>
          </w14:textFill>
        </w:rPr>
        <w:t>省农业农村厅《猕猴桃高质高效栽培技术研究与示范》项目经费的支持。此标准中的主栽品种、苗木繁育、建园技术、花果管理、主要病虫害防治、采收等技术是根据征求意见企业实际生产情况确定，并参考陕西省猕猴桃栽培技术规程DB61/T 220-2014 的标准制定。</w:t>
      </w:r>
    </w:p>
    <w:p>
      <w:pPr>
        <w:keepNext w:val="0"/>
        <w:keepLines w:val="0"/>
        <w:pageBreakBefore w:val="0"/>
        <w:widowControl w:val="0"/>
        <w:numPr>
          <w:ilvl w:val="0"/>
          <w:numId w:val="3"/>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知识产权说明</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本标准从调研到开始研制，历时8年有余，技术指标和关键技术要领才逐渐趋于完善。在架型、材质、品种选择、修剪方法、省时省工等方面都包含在研制的艰辛过程中。与此同时，围绕牵引栽培主持申报专利7项，其中授权5项。分别是：《一种猕猴桃高枝牵引架》，专利号：ZL 2020 2 0626618.X；《一种猕猴桃牵引架引线装置》ZL 2022 2 1597388.4 ;《一种果园农事操作用辅助装置》ZL 2022 2 1841531.X；《一种果树专用摘心装置》ZL 2022 2 0564586.4；《一种果树嫁接用保护装置》ZL 2000 2 0336655.6。其中《一种猕猴桃高枝牵引架》技术，</w:t>
      </w:r>
      <w:r>
        <w:rPr>
          <w:rFonts w:hint="eastAsia" w:ascii="仿宋" w:hAnsi="仿宋" w:eastAsia="仿宋"/>
          <w:color w:val="000000" w:themeColor="text1"/>
          <w:sz w:val="32"/>
          <w:szCs w:val="32"/>
          <w:lang w:val="en-US" w:eastAsia="zh-CN"/>
          <w14:textFill>
            <w14:solidFill>
              <w14:schemeClr w14:val="tx1"/>
            </w14:solidFill>
          </w14:textFill>
        </w:rPr>
        <w:t>获得陕西省科学技术协会举办的2022年陕西省“三新三小”创新竞赛二等奖。近3年来，申请立项省农业农村厅项目猕猴桃项目2项，获得试验研究、推广经费一百余万元。2023年5月，主持制定的《猕猴桃高架牵引栽培技术规程》地方标准正式获得陕西省市场监督管理局立项。同年年底，主持撰写的专门用于猕猴桃牵引技术研究与示范项目--《猕猴桃高架牵引栽培关键技术研究与示范》项目获得陕西省科技厅立项。这是截至目前我省唯一一个为猕猴桃牵引技术研发而获得陕西省科技经费支持的项目，项目的立项为高架牵引技术标准的进一步研制推广、技术提升完善奠定坚实的基础。</w:t>
      </w:r>
    </w:p>
    <w:p>
      <w:pPr>
        <w:keepNext w:val="0"/>
        <w:keepLines w:val="0"/>
        <w:pageBreakBefore w:val="0"/>
        <w:widowControl w:val="0"/>
        <w:numPr>
          <w:ilvl w:val="0"/>
          <w:numId w:val="3"/>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采标情况</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default"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猕猴桃牵引技术理念来源自于新西兰，但本标准的全部技术要领和技术指标均为自行设计，更加适合于中国国内建园实际需要。该猕猴桃牵引栽培技术及其标准全部为国内研制，完全具有自主知识产权，目前还没有查到国内猕猴桃高架牵引方面的标准，故无法参考和比较。由于牵引技术中的牵引架搭建是基于“大棚架”和“T”型架的基础上搭建的，所以标准的编写参考了NY/T 5108-2002 无公害食品 猕猴桃生产技术规程、DB61/T 220-2014 猕猴桃栽培技术规程等的建园技术章节。用牵引技术的新建果园，也是根据以上标准，结合试验结果进行建园。</w:t>
      </w:r>
    </w:p>
    <w:p>
      <w:pPr>
        <w:keepNext w:val="0"/>
        <w:keepLines w:val="0"/>
        <w:pageBreakBefore w:val="0"/>
        <w:widowControl w:val="0"/>
        <w:numPr>
          <w:ilvl w:val="0"/>
          <w:numId w:val="3"/>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参考文献</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1、郭大勇，曾云流，张青林等. 猕猴桃高拉牵引栽培的建园与整形修剪技术.中国南方果树，2023.52（01）：157-159</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default"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2、高磊，罗轩，张蕾等.猕猴桃枝条牵引技术试验与分析.中国果树，2022（07）：50-53</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default"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3、玄志友.枝蔓牵引促进金艳猕猴桃优质高产.中国果业信息，2022.39（04）：47</w:t>
      </w:r>
    </w:p>
    <w:p>
      <w:pPr>
        <w:keepNext w:val="0"/>
        <w:keepLines w:val="0"/>
        <w:pageBreakBefore w:val="0"/>
        <w:numPr>
          <w:ilvl w:val="0"/>
          <w:numId w:val="0"/>
        </w:numPr>
        <w:tabs>
          <w:tab w:val="left" w:pos="2650"/>
        </w:tabs>
        <w:kinsoku/>
        <w:wordWrap/>
        <w:overflowPunct/>
        <w:topLinePunct w:val="0"/>
        <w:bidi w:val="0"/>
        <w:spacing w:line="600" w:lineRule="exact"/>
        <w:ind w:firstLine="640" w:firstLineChars="200"/>
        <w:jc w:val="left"/>
        <w:textAlignment w:val="auto"/>
        <w:rPr>
          <w:rFonts w:hint="default"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4、李尧，张坤，周源洁等.枝蔓牵引对金艳猕猴桃生长的影响.果树学报，2022.39（03）:406-415</w:t>
      </w:r>
    </w:p>
    <w:p>
      <w:pPr>
        <w:keepNext w:val="0"/>
        <w:keepLines w:val="0"/>
        <w:pageBreakBefore w:val="0"/>
        <w:widowControl w:val="0"/>
        <w:numPr>
          <w:ilvl w:val="0"/>
          <w:numId w:val="3"/>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重大意见分歧处理</w:t>
      </w:r>
    </w:p>
    <w:p>
      <w:pPr>
        <w:keepNext w:val="0"/>
        <w:keepLines w:val="0"/>
        <w:pageBreakBefore w:val="0"/>
        <w:widowControl w:val="0"/>
        <w:numPr>
          <w:ilvl w:val="0"/>
          <w:numId w:val="0"/>
        </w:numPr>
        <w:kinsoku/>
        <w:wordWrap/>
        <w:overflowPunct/>
        <w:topLinePunct w:val="0"/>
        <w:autoSpaceDE/>
        <w:autoSpaceDN/>
        <w:bidi w:val="0"/>
        <w:adjustRightInd/>
        <w:snapToGrid/>
        <w:spacing w:after="162" w:afterLines="50" w:afterAutospacing="0" w:line="500" w:lineRule="exact"/>
        <w:ind w:firstLine="640" w:firstLineChars="200"/>
        <w:jc w:val="left"/>
        <w:textAlignment w:val="auto"/>
        <w:rPr>
          <w:rFonts w:hint="default"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无。</w:t>
      </w:r>
    </w:p>
    <w:p>
      <w:pPr>
        <w:keepNext w:val="0"/>
        <w:keepLines w:val="0"/>
        <w:pageBreakBefore w:val="0"/>
        <w:widowControl w:val="0"/>
        <w:numPr>
          <w:ilvl w:val="0"/>
          <w:numId w:val="3"/>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其它应说明的事项</w:t>
      </w:r>
    </w:p>
    <w:p>
      <w:pPr>
        <w:keepNext w:val="0"/>
        <w:keepLines w:val="0"/>
        <w:pageBreakBefore w:val="0"/>
        <w:widowControl w:val="0"/>
        <w:numPr>
          <w:ilvl w:val="0"/>
          <w:numId w:val="0"/>
        </w:numPr>
        <w:kinsoku/>
        <w:wordWrap/>
        <w:overflowPunct/>
        <w:topLinePunct w:val="0"/>
        <w:autoSpaceDE/>
        <w:autoSpaceDN/>
        <w:bidi w:val="0"/>
        <w:adjustRightInd/>
        <w:snapToGrid/>
        <w:spacing w:after="162" w:afterLines="50" w:afterAutospacing="0" w:line="500" w:lineRule="exact"/>
        <w:jc w:val="left"/>
        <w:textAlignment w:val="auto"/>
        <w:rPr>
          <w:rFonts w:hint="default"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 xml:space="preserve">  </w:t>
      </w:r>
      <w:r>
        <w:rPr>
          <w:rFonts w:hint="eastAsia" w:ascii="仿宋" w:hAnsi="仿宋" w:eastAsia="仿宋"/>
          <w:color w:val="000000" w:themeColor="text1"/>
          <w:sz w:val="32"/>
          <w:szCs w:val="32"/>
          <w:lang w:val="en-US" w:eastAsia="zh-CN"/>
          <w14:textFill>
            <w14:solidFill>
              <w14:schemeClr w14:val="tx1"/>
            </w14:solidFill>
          </w14:textFill>
        </w:rPr>
        <w:t xml:space="preserve">  无。</w:t>
      </w:r>
    </w:p>
    <w:p>
      <w:pPr>
        <w:keepNext w:val="0"/>
        <w:keepLines w:val="0"/>
        <w:pageBreakBefore w:val="0"/>
        <w:numPr>
          <w:ilvl w:val="0"/>
          <w:numId w:val="0"/>
        </w:numPr>
        <w:tabs>
          <w:tab w:val="left" w:pos="2650"/>
        </w:tabs>
        <w:kinsoku/>
        <w:wordWrap/>
        <w:overflowPunct/>
        <w:topLinePunct w:val="0"/>
        <w:bidi w:val="0"/>
        <w:spacing w:line="600" w:lineRule="exact"/>
        <w:jc w:val="left"/>
        <w:textAlignment w:val="auto"/>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标准征求意见处理情况汇总：</w:t>
      </w:r>
    </w:p>
    <w:tbl>
      <w:tblPr>
        <w:tblStyle w:val="10"/>
        <w:tblW w:w="91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936"/>
        <w:gridCol w:w="4530"/>
        <w:gridCol w:w="1259"/>
        <w:gridCol w:w="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b/>
                <w:bCs/>
                <w:color w:val="000000" w:themeColor="text1"/>
                <w:sz w:val="18"/>
                <w:szCs w:val="18"/>
                <w:lang w:val="en-US" w:eastAsia="zh-CN"/>
                <w14:textFill>
                  <w14:solidFill>
                    <w14:schemeClr w14:val="tx1"/>
                  </w14:solidFill>
                </w14:textFill>
              </w:rPr>
            </w:pPr>
            <w:r>
              <w:rPr>
                <w:rFonts w:hint="eastAsia" w:ascii="仿宋" w:hAnsi="仿宋" w:eastAsia="仿宋" w:cs="Times New Roman"/>
                <w:b/>
                <w:bCs/>
                <w:color w:val="000000" w:themeColor="text1"/>
                <w:sz w:val="18"/>
                <w:szCs w:val="18"/>
                <w:lang w:val="en-US" w:eastAsia="zh-CN"/>
                <w14:textFill>
                  <w14:solidFill>
                    <w14:schemeClr w14:val="tx1"/>
                  </w14:solidFill>
                </w14:textFill>
              </w:rPr>
              <w:t>序号</w:t>
            </w:r>
          </w:p>
        </w:tc>
        <w:tc>
          <w:tcPr>
            <w:tcW w:w="193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b/>
                <w:bCs/>
                <w:color w:val="000000" w:themeColor="text1"/>
                <w:sz w:val="18"/>
                <w:szCs w:val="18"/>
                <w:lang w:val="en-US" w:eastAsia="zh-CN"/>
                <w14:textFill>
                  <w14:solidFill>
                    <w14:schemeClr w14:val="tx1"/>
                  </w14:solidFill>
                </w14:textFill>
              </w:rPr>
            </w:pPr>
            <w:r>
              <w:rPr>
                <w:rFonts w:hint="eastAsia" w:ascii="仿宋" w:hAnsi="仿宋" w:eastAsia="仿宋" w:cs="Times New Roman"/>
                <w:b/>
                <w:bCs/>
                <w:color w:val="000000" w:themeColor="text1"/>
                <w:sz w:val="18"/>
                <w:szCs w:val="18"/>
                <w:lang w:val="en-US" w:eastAsia="zh-CN"/>
                <w14:textFill>
                  <w14:solidFill>
                    <w14:schemeClr w14:val="tx1"/>
                  </w14:solidFill>
                </w14:textFill>
              </w:rPr>
              <w:t>意见章条及原标准内容</w:t>
            </w:r>
          </w:p>
        </w:tc>
        <w:tc>
          <w:tcPr>
            <w:tcW w:w="45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b/>
                <w:bCs/>
                <w:color w:val="000000" w:themeColor="text1"/>
                <w:sz w:val="18"/>
                <w:szCs w:val="18"/>
                <w:lang w:val="en-US" w:eastAsia="zh-CN"/>
                <w14:textFill>
                  <w14:solidFill>
                    <w14:schemeClr w14:val="tx1"/>
                  </w14:solidFill>
                </w14:textFill>
              </w:rPr>
            </w:pPr>
            <w:r>
              <w:rPr>
                <w:rFonts w:hint="eastAsia" w:ascii="仿宋" w:hAnsi="仿宋" w:eastAsia="仿宋" w:cs="Times New Roman"/>
                <w:b/>
                <w:bCs/>
                <w:color w:val="000000" w:themeColor="text1"/>
                <w:sz w:val="18"/>
                <w:szCs w:val="18"/>
                <w:lang w:val="en-US" w:eastAsia="zh-CN"/>
                <w14:textFill>
                  <w14:solidFill>
                    <w14:schemeClr w14:val="tx1"/>
                  </w14:solidFill>
                </w14:textFill>
              </w:rPr>
              <w:t>修改意见及依据</w:t>
            </w:r>
          </w:p>
        </w:tc>
        <w:tc>
          <w:tcPr>
            <w:tcW w:w="125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b/>
                <w:bCs/>
                <w:color w:val="000000" w:themeColor="text1"/>
                <w:sz w:val="18"/>
                <w:szCs w:val="18"/>
                <w:lang w:val="en-US" w:eastAsia="zh-CN"/>
                <w14:textFill>
                  <w14:solidFill>
                    <w14:schemeClr w14:val="tx1"/>
                  </w14:solidFill>
                </w14:textFill>
              </w:rPr>
            </w:pPr>
            <w:r>
              <w:rPr>
                <w:rFonts w:hint="eastAsia" w:ascii="仿宋" w:hAnsi="仿宋" w:eastAsia="仿宋" w:cs="Times New Roman"/>
                <w:b/>
                <w:bCs/>
                <w:color w:val="000000" w:themeColor="text1"/>
                <w:sz w:val="18"/>
                <w:szCs w:val="18"/>
                <w:lang w:val="en-US" w:eastAsia="zh-CN"/>
                <w14:textFill>
                  <w14:solidFill>
                    <w14:schemeClr w14:val="tx1"/>
                  </w14:solidFill>
                </w14:textFill>
              </w:rPr>
              <w:t>提出单位</w:t>
            </w:r>
          </w:p>
        </w:tc>
        <w:tc>
          <w:tcPr>
            <w:tcW w:w="90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b/>
                <w:bCs/>
                <w:color w:val="000000" w:themeColor="text1"/>
                <w:sz w:val="18"/>
                <w:szCs w:val="18"/>
                <w:lang w:val="en-US" w:eastAsia="zh-CN"/>
                <w14:textFill>
                  <w14:solidFill>
                    <w14:schemeClr w14:val="tx1"/>
                  </w14:solidFill>
                </w14:textFill>
              </w:rPr>
            </w:pPr>
            <w:r>
              <w:rPr>
                <w:rFonts w:hint="eastAsia" w:ascii="仿宋" w:hAnsi="仿宋" w:eastAsia="仿宋" w:cs="Times New Roman"/>
                <w:b/>
                <w:bCs/>
                <w:color w:val="000000" w:themeColor="text1"/>
                <w:sz w:val="18"/>
                <w:szCs w:val="18"/>
                <w:lang w:val="en-US" w:eastAsia="zh-CN"/>
                <w14:textFill>
                  <w14:solidFill>
                    <w14:schemeClr w14:val="tx1"/>
                  </w14:solidFill>
                </w14:textFill>
              </w:rPr>
              <w:t>意见处理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8.7.3 果实套袋</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建议修改为套袋前全园喷杀一次杀菌剂，配合杀虫剂一起使用，套袋应在早晨露水干后进行。</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商洛市特色产业与休闲农业指导中心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4.1海拔高度500-1700米</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b/>
                <w:bCs/>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海拔高度300-1200米。</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周至县农业科学技术试验站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4.2美味最低气温不低于-10℃</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美味最低气温不低于-13℃。</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周至县农业科学技术试验站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4.5园地规划</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顺坡向建园</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增加内容，平原地区以南北向建园为主</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周至县农业科学技术试验站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5</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8.4.1留枝量</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 xml:space="preserve">单株10个-20个 </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按1.2-1.5个/m确定留枝量为宜</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周至县农业科学技术试验站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8.4.2产量控制</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每个结果枝座果3-8个</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每个结果枝3-5个果，应按40-45个果/m2为宜。</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周至县农业科学技术试验站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7</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6.3.1雌雄比例</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雌雄比例4-6:1</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选择花期相遇，花粉质感效果好的雄株。</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商洛市植保植检站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3.3主蔓 在主干上部着生的次级主蔓</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在主干上部着生的次级枝条（或枝蔓）</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岐山县果树蚕桑工作站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9</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7.3牵引杆</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长度250-500</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材质用2.5cm-3.0cm的圆管或3.0*3.0cm热镀锌方管。牵引杆高度与行距相关，行内牵引以牵引绳与架面夹角成35度为宜。（行距3米，牵引杆高出架面2-2.2m，行距3.5-4米，牵引杆高出架面2.5-2.8m。夹角过大增加生产成本及管理难度，过小易引起被引枝条爆芽）。</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岐山县果树蚕桑工作站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10</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6.3.3定植垄</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“南北行向”</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建园要随地形而规划，不宜确定为“南北行向”。修改为“按300cm-600cm行距挖定植沟”。</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西乡县金岭猕猴桃专业合作社</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11</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4.1立地条件</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default" w:ascii="仿宋" w:hAnsi="仿宋" w:eastAsia="仿宋" w:cs="Times New Roman"/>
                <w:color w:val="000000" w:themeColor="text1"/>
                <w:sz w:val="18"/>
                <w:szCs w:val="18"/>
                <w:lang w:val="en-US" w:eastAsia="zh-CN"/>
                <w14:textFill>
                  <w14:solidFill>
                    <w14:schemeClr w14:val="tx1"/>
                  </w14:solidFill>
                </w14:textFill>
              </w:rPr>
              <w:t>“</w:t>
            </w:r>
            <w:r>
              <w:rPr>
                <w:rFonts w:hint="eastAsia" w:ascii="仿宋" w:hAnsi="仿宋" w:eastAsia="仿宋" w:cs="Times New Roman"/>
                <w:color w:val="000000" w:themeColor="text1"/>
                <w:sz w:val="18"/>
                <w:szCs w:val="18"/>
                <w:lang w:val="en-US" w:eastAsia="zh-CN"/>
                <w14:textFill>
                  <w14:solidFill>
                    <w14:schemeClr w14:val="tx1"/>
                  </w14:solidFill>
                </w14:textFill>
              </w:rPr>
              <w:t>海拔高度500-1700m”</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西乡县猕猴桃园海拔400，建议修改为“海拔高度1700m以下”。</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西乡县金太阳农业发展有限责任公司</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12</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4.4土壤条件</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“土层厚度≥40cm”</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土层厚度40cm太浅，建议修改为“土层厚度≥60cm”，与6.3.3定植沟深度一致。</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西乡县金太阳农业发展有限责任公司</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13</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7.4牵引绳</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牵引绳在架面上的间距</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40cm</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建议每株树绑26-32个牵引绳，两绳间距25-30cm。</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西乡鼎丰源农业发展有限公司</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14</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4.5园地规划 坡度&lt;15°的果园顺坡向建园。与主干道连接条数不等的支干道。</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所有支干道与主干道相连。</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15</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6.3.1雌雄比例</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雌雄株搭配比例4-6:1</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雌雄株搭配比例为6-9:1</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16</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8.4.1留枝量</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单株平均选留10-20个粗度≥1cm的结果母枝。</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根据计划产量确定修剪量，因树定产，因产定结果枝量，以枝定果。粗度≥1cm的结果母枝架面间距30cm左右。</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17</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8.4.2产量控制 每个结果枝座果3个-8个。</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结果母枝抽生结果枝条间距20cm左右。结果枝座果：长果枝留果3个-6个，中果枝留果2-3个，短果枝留果1-2个或不留。</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18</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8.6.2.2摘心 结果枝所</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留长度以布满行距为宜。</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结果部位以上4-8片叶摘心，叶幕层厚度1m左右，透光率30%叶面积系数2.8-3.2。</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19</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8.6.2.3疏枝</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疏除过密的结果母枝</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结果母枝疏除与短截一般在冬季修剪时完成。夏季修剪量宜轻，疏除大结果母枝，空挡太大。</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20</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7.3</w:t>
            </w:r>
            <w:r>
              <w:rPr>
                <w:rFonts w:hint="eastAsia" w:ascii="仿宋" w:hAnsi="仿宋" w:eastAsia="仿宋" w:cs="Times New Roman"/>
                <w:color w:val="000000" w:themeColor="text1"/>
                <w:sz w:val="18"/>
                <w:szCs w:val="18"/>
                <w14:textFill>
                  <w14:solidFill>
                    <w14:schemeClr w14:val="tx1"/>
                  </w14:solidFill>
                </w14:textFill>
              </w:rPr>
              <w:t>牵引杆</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长度250～500cm</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立杆高度桩头以上250cm</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21</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7.4</w:t>
            </w:r>
            <w:r>
              <w:rPr>
                <w:rFonts w:hint="eastAsia" w:ascii="仿宋" w:hAnsi="仿宋" w:eastAsia="仿宋" w:cs="Times New Roman"/>
                <w:color w:val="000000" w:themeColor="text1"/>
                <w:sz w:val="18"/>
                <w:szCs w:val="18"/>
                <w14:textFill>
                  <w14:solidFill>
                    <w14:schemeClr w14:val="tx1"/>
                  </w14:solidFill>
                </w14:textFill>
              </w:rPr>
              <w:t>牵引</w:t>
            </w:r>
            <w:r>
              <w:rPr>
                <w:rFonts w:hint="eastAsia" w:ascii="仿宋" w:hAnsi="仿宋" w:eastAsia="仿宋" w:cs="Times New Roman"/>
                <w:color w:val="000000" w:themeColor="text1"/>
                <w:sz w:val="18"/>
                <w:szCs w:val="18"/>
                <w:lang w:eastAsia="zh-CN"/>
                <w14:textFill>
                  <w14:solidFill>
                    <w14:schemeClr w14:val="tx1"/>
                  </w14:solidFill>
                </w14:textFill>
              </w:rPr>
              <w:t>绳</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牵引绳粗0.1cm～0.6cm，</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牵引绳粗</w:t>
            </w:r>
            <w:r>
              <w:rPr>
                <w:rFonts w:hint="eastAsia" w:ascii="仿宋" w:hAnsi="仿宋" w:eastAsia="仿宋" w:cs="Times New Roman"/>
                <w:color w:val="000000" w:themeColor="text1"/>
                <w:sz w:val="18"/>
                <w:szCs w:val="18"/>
                <w:lang w:val="en-US" w:eastAsia="zh-CN"/>
                <w14:textFill>
                  <w14:solidFill>
                    <w14:schemeClr w14:val="tx1"/>
                  </w14:solidFill>
                </w14:textFill>
              </w:rPr>
              <w:t>1.5m</w:t>
            </w:r>
            <w:r>
              <w:rPr>
                <w:rFonts w:hint="eastAsia" w:ascii="仿宋" w:hAnsi="仿宋" w:eastAsia="仿宋" w:cs="Times New Roman"/>
                <w:color w:val="000000" w:themeColor="text1"/>
                <w:sz w:val="18"/>
                <w:szCs w:val="18"/>
                <w14:textFill>
                  <w14:solidFill>
                    <w14:schemeClr w14:val="tx1"/>
                  </w14:solidFill>
                </w14:textFill>
              </w:rPr>
              <w:t>m，</w:t>
            </w:r>
            <w:r>
              <w:rPr>
                <w:rFonts w:hint="eastAsia" w:ascii="仿宋" w:hAnsi="仿宋" w:eastAsia="仿宋" w:cs="Times New Roman"/>
                <w:color w:val="000000" w:themeColor="text1"/>
                <w:sz w:val="18"/>
                <w:szCs w:val="18"/>
                <w:lang w:eastAsia="zh-CN"/>
                <w14:textFill>
                  <w14:solidFill>
                    <w14:schemeClr w14:val="tx1"/>
                  </w14:solidFill>
                </w14:textFill>
              </w:rPr>
              <w:t>每亩立杆</w:t>
            </w:r>
            <w:r>
              <w:rPr>
                <w:rFonts w:hint="eastAsia" w:ascii="仿宋" w:hAnsi="仿宋" w:eastAsia="仿宋" w:cs="Times New Roman"/>
                <w:color w:val="000000" w:themeColor="text1"/>
                <w:sz w:val="18"/>
                <w:szCs w:val="18"/>
                <w:lang w:val="en-US" w:eastAsia="zh-CN"/>
                <w14:textFill>
                  <w14:solidFill>
                    <w14:schemeClr w14:val="tx1"/>
                  </w14:solidFill>
                </w14:textFill>
              </w:rPr>
              <w:t>40个，每立杆牵引绳16根。</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西乡县农业技术推广与培训中心</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22</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eastAsia="zh-CN"/>
                <w14:textFill>
                  <w14:solidFill>
                    <w14:schemeClr w14:val="tx1"/>
                  </w14:solidFill>
                </w14:textFill>
              </w:rPr>
            </w:pPr>
            <w:r>
              <w:rPr>
                <w:rFonts w:hint="eastAsia" w:ascii="仿宋" w:hAnsi="仿宋" w:eastAsia="仿宋" w:cs="Times New Roman"/>
                <w:color w:val="000000" w:themeColor="text1"/>
                <w:sz w:val="18"/>
                <w:szCs w:val="18"/>
                <w:lang w:eastAsia="zh-CN"/>
                <w14:textFill>
                  <w14:solidFill>
                    <w14:schemeClr w14:val="tx1"/>
                  </w14:solidFill>
                </w14:textFill>
              </w:rPr>
              <w:t>目次</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目次之下不要再出现目次</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23</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w:t>
            </w:r>
            <w:r>
              <w:rPr>
                <w:rFonts w:hint="eastAsia" w:ascii="仿宋" w:hAnsi="仿宋" w:eastAsia="仿宋" w:cs="Times New Roman"/>
                <w:color w:val="000000" w:themeColor="text1"/>
                <w:sz w:val="18"/>
                <w:szCs w:val="18"/>
                <w:lang w:eastAsia="zh-CN"/>
                <w14:textFill>
                  <w14:solidFill>
                    <w14:schemeClr w14:val="tx1"/>
                  </w14:solidFill>
                </w14:textFill>
              </w:rPr>
              <w:t>规范性引用文件</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将引用文件再细化下，是否全为必要</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24</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w:t>
            </w:r>
            <w:r>
              <w:rPr>
                <w:rFonts w:hint="eastAsia" w:ascii="仿宋" w:hAnsi="仿宋" w:eastAsia="仿宋" w:cs="Times New Roman"/>
                <w:color w:val="000000" w:themeColor="text1"/>
                <w:sz w:val="18"/>
                <w:szCs w:val="18"/>
                <w:lang w:eastAsia="zh-CN"/>
                <w14:textFill>
                  <w14:solidFill>
                    <w14:schemeClr w14:val="tx1"/>
                  </w14:solidFill>
                </w14:textFill>
              </w:rPr>
              <w:t>术语和定义</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增加主干的解释</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25</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4.2气候条件</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对最低气温进行确认</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26</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4.3产地环境</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引用标准是否有矛盾之处</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27</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6.1品种选择</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审定的美味系、中华系</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审定</w:t>
            </w:r>
            <w:r>
              <w:rPr>
                <w:rFonts w:hint="eastAsia" w:ascii="仿宋" w:hAnsi="仿宋" w:eastAsia="仿宋" w:cs="Times New Roman"/>
                <w:color w:val="000000" w:themeColor="text1"/>
                <w:sz w:val="18"/>
                <w:szCs w:val="18"/>
                <w:lang w:eastAsia="zh-CN"/>
                <w14:textFill>
                  <w14:solidFill>
                    <w14:schemeClr w14:val="tx1"/>
                  </w14:solidFill>
                </w14:textFill>
              </w:rPr>
              <w:t>（</w:t>
            </w:r>
            <w:r>
              <w:rPr>
                <w:rFonts w:hint="eastAsia" w:ascii="仿宋" w:hAnsi="仿宋" w:eastAsia="仿宋" w:cs="Times New Roman"/>
                <w:color w:val="000000" w:themeColor="text1"/>
                <w:sz w:val="18"/>
                <w:szCs w:val="18"/>
                <w14:textFill>
                  <w14:solidFill>
                    <w14:schemeClr w14:val="tx1"/>
                  </w14:solidFill>
                </w14:textFill>
              </w:rPr>
              <w:t>登记</w:t>
            </w:r>
            <w:r>
              <w:rPr>
                <w:rFonts w:hint="eastAsia" w:ascii="仿宋" w:hAnsi="仿宋" w:eastAsia="仿宋" w:cs="Times New Roman"/>
                <w:color w:val="000000" w:themeColor="text1"/>
                <w:sz w:val="18"/>
                <w:szCs w:val="18"/>
                <w:lang w:eastAsia="zh-CN"/>
                <w14:textFill>
                  <w14:solidFill>
                    <w14:schemeClr w14:val="tx1"/>
                  </w14:solidFill>
                </w14:textFill>
              </w:rPr>
              <w:t>）</w:t>
            </w:r>
            <w:r>
              <w:rPr>
                <w:rFonts w:hint="eastAsia" w:ascii="仿宋" w:hAnsi="仿宋" w:eastAsia="仿宋" w:cs="Times New Roman"/>
                <w:color w:val="000000" w:themeColor="text1"/>
                <w:sz w:val="18"/>
                <w:szCs w:val="18"/>
                <w14:textFill>
                  <w14:solidFill>
                    <w14:schemeClr w14:val="tx1"/>
                  </w14:solidFill>
                </w14:textFill>
              </w:rPr>
              <w:t>的美味系、中华系</w:t>
            </w:r>
            <w:r>
              <w:rPr>
                <w:rFonts w:hint="eastAsia" w:ascii="仿宋" w:hAnsi="仿宋" w:eastAsia="仿宋" w:cs="Times New Roman"/>
                <w:color w:val="000000" w:themeColor="text1"/>
                <w:sz w:val="18"/>
                <w:szCs w:val="18"/>
                <w:lang w:eastAsia="zh-CN"/>
                <w14:textFill>
                  <w14:solidFill>
                    <w14:schemeClr w14:val="tx1"/>
                  </w14:solidFill>
                </w14:textFill>
              </w:rPr>
              <w:t>等</w:t>
            </w:r>
            <w:r>
              <w:rPr>
                <w:rFonts w:hint="eastAsia" w:ascii="仿宋" w:hAnsi="仿宋" w:eastAsia="仿宋" w:cs="Times New Roman"/>
                <w:color w:val="000000" w:themeColor="text1"/>
                <w:sz w:val="18"/>
                <w:szCs w:val="18"/>
                <w14:textFill>
                  <w14:solidFill>
                    <w14:schemeClr w14:val="tx1"/>
                  </w14:solidFill>
                </w14:textFill>
              </w:rPr>
              <w:t>猕猴桃。</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28</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6.2</w:t>
            </w:r>
            <w:r>
              <w:rPr>
                <w:rFonts w:hint="eastAsia" w:ascii="仿宋" w:hAnsi="仿宋" w:eastAsia="仿宋" w:cs="Times New Roman"/>
                <w:color w:val="000000" w:themeColor="text1"/>
                <w:sz w:val="18"/>
                <w:szCs w:val="18"/>
                <w14:textFill>
                  <w14:solidFill>
                    <w14:schemeClr w14:val="tx1"/>
                  </w14:solidFill>
                </w14:textFill>
              </w:rPr>
              <w:t>苗木质量</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嫁接口茎粗</w:t>
            </w:r>
            <w:r>
              <w:rPr>
                <w:rFonts w:hint="eastAsia" w:ascii="宋体" w:hAnsi="宋体" w:eastAsia="宋体" w:cs="宋体"/>
                <w:color w:val="000000" w:themeColor="text1"/>
                <w:sz w:val="18"/>
                <w:szCs w:val="18"/>
                <w14:textFill>
                  <w14:solidFill>
                    <w14:schemeClr w14:val="tx1"/>
                  </w14:solidFill>
                </w14:textFill>
              </w:rPr>
              <w:t>≧</w:t>
            </w:r>
            <w:r>
              <w:rPr>
                <w:rFonts w:hint="eastAsia" w:ascii="仿宋" w:hAnsi="仿宋" w:eastAsia="仿宋" w:cs="Times New Roman"/>
                <w:color w:val="000000" w:themeColor="text1"/>
                <w:sz w:val="18"/>
                <w:szCs w:val="18"/>
                <w14:textFill>
                  <w14:solidFill>
                    <w14:schemeClr w14:val="tx1"/>
                  </w14:solidFill>
                </w14:textFill>
              </w:rPr>
              <w:t>1.0 cm</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14:textFill>
                  <w14:solidFill>
                    <w14:schemeClr w14:val="tx1"/>
                  </w14:solidFill>
                </w14:textFill>
              </w:rPr>
              <w:t>苗木根系发达，嫁接口</w:t>
            </w:r>
            <w:r>
              <w:rPr>
                <w:rFonts w:hint="eastAsia" w:ascii="仿宋" w:hAnsi="仿宋" w:eastAsia="仿宋" w:cs="Times New Roman"/>
                <w:color w:val="000000" w:themeColor="text1"/>
                <w:sz w:val="18"/>
                <w:szCs w:val="18"/>
                <w:lang w:eastAsia="zh-CN"/>
                <w14:textFill>
                  <w14:solidFill>
                    <w14:schemeClr w14:val="tx1"/>
                  </w14:solidFill>
                </w14:textFill>
              </w:rPr>
              <w:t>部位</w:t>
            </w:r>
            <w:r>
              <w:rPr>
                <w:rFonts w:hint="eastAsia" w:ascii="仿宋" w:hAnsi="仿宋" w:eastAsia="仿宋" w:cs="Times New Roman"/>
                <w:color w:val="000000" w:themeColor="text1"/>
                <w:sz w:val="18"/>
                <w:szCs w:val="18"/>
                <w:lang w:val="en-US" w:eastAsia="zh-CN"/>
                <w14:textFill>
                  <w14:solidFill>
                    <w14:schemeClr w14:val="tx1"/>
                  </w14:solidFill>
                </w14:textFill>
              </w:rPr>
              <w:t>5cm处</w:t>
            </w:r>
            <w:r>
              <w:rPr>
                <w:rFonts w:hint="eastAsia" w:ascii="仿宋" w:hAnsi="仿宋" w:eastAsia="仿宋" w:cs="Times New Roman"/>
                <w:color w:val="000000" w:themeColor="text1"/>
                <w:sz w:val="18"/>
                <w:szCs w:val="18"/>
                <w14:textFill>
                  <w14:solidFill>
                    <w14:schemeClr w14:val="tx1"/>
                  </w14:solidFill>
                </w14:textFill>
              </w:rPr>
              <w:t>茎粗</w:t>
            </w:r>
            <w:r>
              <w:rPr>
                <w:rFonts w:hint="default" w:ascii="仿宋" w:hAnsi="仿宋" w:eastAsia="仿宋" w:cs="Times New Roman"/>
                <w:color w:val="000000" w:themeColor="text1"/>
                <w:sz w:val="18"/>
                <w:szCs w:val="18"/>
                <w14:textFill>
                  <w14:solidFill>
                    <w14:schemeClr w14:val="tx1"/>
                  </w14:solidFill>
                </w14:textFill>
              </w:rPr>
              <w:t>≥</w:t>
            </w:r>
            <w:r>
              <w:rPr>
                <w:rFonts w:hint="eastAsia" w:ascii="仿宋" w:hAnsi="仿宋" w:eastAsia="仿宋" w:cs="Times New Roman"/>
                <w:color w:val="000000" w:themeColor="text1"/>
                <w:sz w:val="18"/>
                <w:szCs w:val="18"/>
                <w14:textFill>
                  <w14:solidFill>
                    <w14:schemeClr w14:val="tx1"/>
                  </w14:solidFill>
                </w14:textFill>
              </w:rPr>
              <w:t>1.0 cm</w:t>
            </w:r>
            <w:r>
              <w:rPr>
                <w:rFonts w:hint="eastAsia" w:ascii="仿宋" w:hAnsi="仿宋" w:eastAsia="仿宋" w:cs="Times New Roman"/>
                <w:color w:val="000000" w:themeColor="text1"/>
                <w:sz w:val="18"/>
                <w:szCs w:val="18"/>
                <w:lang w:eastAsia="zh-CN"/>
                <w14:textFill>
                  <w14:solidFill>
                    <w14:schemeClr w14:val="tx1"/>
                  </w14:solidFill>
                </w14:textFill>
              </w:rPr>
              <w:t>，</w:t>
            </w:r>
            <w:r>
              <w:rPr>
                <w:rFonts w:hint="eastAsia" w:ascii="仿宋" w:hAnsi="仿宋" w:eastAsia="仿宋" w:cs="Times New Roman"/>
                <w:color w:val="000000" w:themeColor="text1"/>
                <w:sz w:val="18"/>
                <w:szCs w:val="18"/>
                <w14:textFill>
                  <w14:solidFill>
                    <w14:schemeClr w14:val="tx1"/>
                  </w14:solidFill>
                </w14:textFill>
              </w:rPr>
              <w:t>芽眼饱满，生长健壮，</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29</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6.3.1</w:t>
            </w:r>
            <w:r>
              <w:rPr>
                <w:rFonts w:hint="eastAsia" w:ascii="仿宋" w:hAnsi="仿宋" w:eastAsia="仿宋" w:cs="Times New Roman"/>
                <w:color w:val="000000" w:themeColor="text1"/>
                <w:sz w:val="18"/>
                <w:szCs w:val="18"/>
                <w14:textFill>
                  <w14:solidFill>
                    <w14:schemeClr w14:val="tx1"/>
                  </w14:solidFill>
                </w14:textFill>
              </w:rPr>
              <w:t>雌雄比例</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雄株在行内或园边</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定植</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雄株应梅花形栽植于园内</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30</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6.3.3</w:t>
            </w:r>
            <w:r>
              <w:rPr>
                <w:rFonts w:hint="eastAsia" w:ascii="仿宋" w:hAnsi="仿宋" w:eastAsia="仿宋" w:cs="Times New Roman"/>
                <w:color w:val="000000" w:themeColor="text1"/>
                <w:sz w:val="18"/>
                <w:szCs w:val="18"/>
                <w14:textFill>
                  <w14:solidFill>
                    <w14:schemeClr w14:val="tx1"/>
                  </w14:solidFill>
                </w14:textFill>
              </w:rPr>
              <w:t>定植垄</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南北行向</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不一定要南北行向</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31</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8.4</w:t>
            </w:r>
            <w:r>
              <w:rPr>
                <w:rFonts w:hint="eastAsia" w:ascii="仿宋" w:hAnsi="仿宋" w:eastAsia="仿宋" w:cs="Times New Roman"/>
                <w:color w:val="000000" w:themeColor="text1"/>
                <w:sz w:val="18"/>
                <w:szCs w:val="18"/>
                <w14:textFill>
                  <w14:solidFill>
                    <w14:schemeClr w14:val="tx1"/>
                  </w14:solidFill>
                </w14:textFill>
              </w:rPr>
              <w:t>产量控制</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什么样的株行距下单株留枝量、产量</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32</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8.6.1.2修剪方法 在基部留2-3个芽处短截</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“上年结完果实的结果母枝在基部留2-3个芽短截”，不明白这句话意思</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33</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8.6.2.1</w:t>
            </w:r>
            <w:r>
              <w:rPr>
                <w:rFonts w:hint="eastAsia" w:ascii="仿宋" w:hAnsi="仿宋" w:eastAsia="仿宋" w:cs="Times New Roman"/>
                <w:color w:val="000000" w:themeColor="text1"/>
                <w:sz w:val="18"/>
                <w:szCs w:val="18"/>
                <w14:textFill>
                  <w14:solidFill>
                    <w14:schemeClr w14:val="tx1"/>
                  </w14:solidFill>
                </w14:textFill>
              </w:rPr>
              <w:t>抹芽摘心</w:t>
            </w:r>
          </w:p>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叙述不明了，绑缚在棚架上的新梢长到15cm？</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5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34</w:t>
            </w:r>
          </w:p>
        </w:tc>
        <w:tc>
          <w:tcPr>
            <w:tcW w:w="19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 xml:space="preserve">8.6.2.3牵引 </w:t>
            </w:r>
            <w:r>
              <w:rPr>
                <w:rFonts w:hint="eastAsia" w:ascii="仿宋" w:hAnsi="仿宋" w:eastAsia="仿宋" w:cs="Times New Roman"/>
                <w:color w:val="000000" w:themeColor="text1"/>
                <w:sz w:val="18"/>
                <w:szCs w:val="18"/>
                <w14:textFill>
                  <w14:solidFill>
                    <w14:schemeClr w14:val="tx1"/>
                  </w14:solidFill>
                </w14:textFill>
              </w:rPr>
              <w:t>每株树牵引10～20条枝。</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default"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结果母枝什么部位的新梢？每株树牵引10-20条枝是在什么样的株行距下？</w:t>
            </w:r>
          </w:p>
        </w:tc>
        <w:tc>
          <w:tcPr>
            <w:tcW w:w="12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西北农林科技大学眉县试 验站</w:t>
            </w:r>
          </w:p>
        </w:tc>
        <w:tc>
          <w:tcPr>
            <w:tcW w:w="9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仿宋" w:hAnsi="仿宋" w:eastAsia="仿宋" w:cs="Times New Roman"/>
                <w:color w:val="000000" w:themeColor="text1"/>
                <w:sz w:val="18"/>
                <w:szCs w:val="18"/>
                <w:lang w:val="en-US" w:eastAsia="zh-CN"/>
                <w14:textFill>
                  <w14:solidFill>
                    <w14:schemeClr w14:val="tx1"/>
                  </w14:solidFill>
                </w14:textFill>
              </w:rPr>
            </w:pPr>
            <w:r>
              <w:rPr>
                <w:rFonts w:hint="eastAsia" w:ascii="仿宋" w:hAnsi="仿宋" w:eastAsia="仿宋" w:cs="Times New Roman"/>
                <w:color w:val="000000" w:themeColor="text1"/>
                <w:sz w:val="18"/>
                <w:szCs w:val="18"/>
                <w:lang w:val="en-US" w:eastAsia="zh-CN"/>
                <w14:textFill>
                  <w14:solidFill>
                    <w14:schemeClr w14:val="tx1"/>
                  </w14:solidFill>
                </w14:textFill>
              </w:rPr>
              <w:t>采纳</w:t>
            </w:r>
          </w:p>
        </w:tc>
      </w:tr>
    </w:tbl>
    <w:p>
      <w:pPr>
        <w:keepNext w:val="0"/>
        <w:keepLines w:val="0"/>
        <w:pageBreakBefore w:val="0"/>
        <w:widowControl w:val="0"/>
        <w:numPr>
          <w:ilvl w:val="0"/>
          <w:numId w:val="3"/>
        </w:numPr>
        <w:tabs>
          <w:tab w:val="left" w:pos="2650"/>
        </w:tabs>
        <w:kinsoku/>
        <w:wordWrap/>
        <w:overflowPunct/>
        <w:topLinePunct w:val="0"/>
        <w:autoSpaceDE/>
        <w:autoSpaceDN/>
        <w:bidi w:val="0"/>
        <w:adjustRightInd/>
        <w:snapToGrid/>
        <w:spacing w:before="161" w:beforeLines="50" w:after="161" w:afterLines="50" w:line="600" w:lineRule="exact"/>
        <w:ind w:firstLine="643" w:firstLineChars="200"/>
        <w:jc w:val="left"/>
        <w:textAlignment w:val="auto"/>
        <w:rPr>
          <w:rFonts w:hint="eastAsia" w:cstheme="minorBidi"/>
          <w:b/>
          <w:bCs/>
          <w:color w:val="000000" w:themeColor="text1"/>
          <w:kern w:val="2"/>
          <w:sz w:val="32"/>
          <w:szCs w:val="32"/>
          <w:lang w:val="en-US" w:eastAsia="zh-CN" w:bidi="ar-SA"/>
          <w14:textFill>
            <w14:solidFill>
              <w14:schemeClr w14:val="tx1"/>
            </w14:solidFill>
          </w14:textFill>
        </w:rPr>
      </w:pPr>
      <w:r>
        <w:rPr>
          <w:rFonts w:hint="eastAsia" w:cstheme="minorBidi"/>
          <w:b/>
          <w:bCs/>
          <w:color w:val="000000" w:themeColor="text1"/>
          <w:kern w:val="2"/>
          <w:sz w:val="32"/>
          <w:szCs w:val="32"/>
          <w:lang w:val="en-US" w:eastAsia="zh-CN" w:bidi="ar-SA"/>
          <w14:textFill>
            <w14:solidFill>
              <w14:schemeClr w14:val="tx1"/>
            </w14:solidFill>
          </w14:textFill>
        </w:rPr>
        <w:t>附征求意见表</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-161290</wp:posOffset>
            </wp:positionV>
            <wp:extent cx="6521450" cy="9223375"/>
            <wp:effectExtent l="0" t="0" r="12700" b="15875"/>
            <wp:wrapNone/>
            <wp:docPr id="14" name="图片 14" descr="新建书册 5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新建书册 5_页面_1"/>
                    <pic:cNvPicPr>
                      <a:picLocks noChangeAspect="1"/>
                    </pic:cNvPicPr>
                  </pic:nvPicPr>
                  <pic:blipFill>
                    <a:blip r:embed="rId4"/>
                    <a:stretch>
                      <a:fillRect/>
                    </a:stretch>
                  </pic:blipFill>
                  <pic:spPr>
                    <a:xfrm>
                      <a:off x="0" y="0"/>
                      <a:ext cx="6521450" cy="9223375"/>
                    </a:xfrm>
                    <a:prstGeom prst="rect">
                      <a:avLst/>
                    </a:prstGeom>
                  </pic:spPr>
                </pic:pic>
              </a:graphicData>
            </a:graphic>
          </wp:anchor>
        </w:drawing>
      </w: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-349250</wp:posOffset>
            </wp:positionH>
            <wp:positionV relativeFrom="paragraph">
              <wp:posOffset>213360</wp:posOffset>
            </wp:positionV>
            <wp:extent cx="6000750" cy="8487410"/>
            <wp:effectExtent l="0" t="0" r="0" b="8890"/>
            <wp:wrapNone/>
            <wp:docPr id="15" name="图片 15" descr="新建书册 5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建书册 5_页面_2"/>
                    <pic:cNvPicPr>
                      <a:picLocks noChangeAspect="1"/>
                    </pic:cNvPicPr>
                  </pic:nvPicPr>
                  <pic:blipFill>
                    <a:blip r:embed="rId5"/>
                    <a:stretch>
                      <a:fillRect/>
                    </a:stretch>
                  </pic:blipFill>
                  <pic:spPr>
                    <a:xfrm>
                      <a:off x="0" y="0"/>
                      <a:ext cx="6000750" cy="8487410"/>
                    </a:xfrm>
                    <a:prstGeom prst="rect">
                      <a:avLst/>
                    </a:prstGeom>
                  </pic:spPr>
                </pic:pic>
              </a:graphicData>
            </a:graphic>
          </wp:anchor>
        </w:drawing>
      </w: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-444500</wp:posOffset>
            </wp:positionH>
            <wp:positionV relativeFrom="paragraph">
              <wp:posOffset>86360</wp:posOffset>
            </wp:positionV>
            <wp:extent cx="6269990" cy="8867775"/>
            <wp:effectExtent l="0" t="0" r="16510" b="9525"/>
            <wp:wrapNone/>
            <wp:docPr id="16" name="图片 16" descr="新建书册 5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新建书册 5_页面_3"/>
                    <pic:cNvPicPr>
                      <a:picLocks noChangeAspect="1"/>
                    </pic:cNvPicPr>
                  </pic:nvPicPr>
                  <pic:blipFill>
                    <a:blip r:embed="rId6"/>
                    <a:stretch>
                      <a:fillRect/>
                    </a:stretch>
                  </pic:blipFill>
                  <pic:spPr>
                    <a:xfrm>
                      <a:off x="0" y="0"/>
                      <a:ext cx="6269990" cy="8867775"/>
                    </a:xfrm>
                    <a:prstGeom prst="rect">
                      <a:avLst/>
                    </a:prstGeom>
                  </pic:spPr>
                </pic:pic>
              </a:graphicData>
            </a:graphic>
          </wp:anchor>
        </w:drawing>
      </w: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-381000</wp:posOffset>
            </wp:positionH>
            <wp:positionV relativeFrom="paragraph">
              <wp:posOffset>22860</wp:posOffset>
            </wp:positionV>
            <wp:extent cx="6247765" cy="8836660"/>
            <wp:effectExtent l="0" t="0" r="635" b="2540"/>
            <wp:wrapNone/>
            <wp:docPr id="17" name="图片 17" descr="新建书册 5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新建书册 5_页面_4"/>
                    <pic:cNvPicPr>
                      <a:picLocks noChangeAspect="1"/>
                    </pic:cNvPicPr>
                  </pic:nvPicPr>
                  <pic:blipFill>
                    <a:blip r:embed="rId7"/>
                    <a:stretch>
                      <a:fillRect/>
                    </a:stretch>
                  </pic:blipFill>
                  <pic:spPr>
                    <a:xfrm>
                      <a:off x="0" y="0"/>
                      <a:ext cx="6247765" cy="8836660"/>
                    </a:xfrm>
                    <a:prstGeom prst="rect">
                      <a:avLst/>
                    </a:prstGeom>
                  </pic:spPr>
                </pic:pic>
              </a:graphicData>
            </a:graphic>
          </wp:anchor>
        </w:drawing>
      </w: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-476250</wp:posOffset>
            </wp:positionH>
            <wp:positionV relativeFrom="paragraph">
              <wp:posOffset>54610</wp:posOffset>
            </wp:positionV>
            <wp:extent cx="6381750" cy="8727440"/>
            <wp:effectExtent l="0" t="0" r="0" b="0"/>
            <wp:wrapNone/>
            <wp:docPr id="18" name="图片 18" descr="新建书册 5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新建书册 5_页面_5"/>
                    <pic:cNvPicPr>
                      <a:picLocks noChangeAspect="1"/>
                    </pic:cNvPicPr>
                  </pic:nvPicPr>
                  <pic:blipFill>
                    <a:blip r:embed="rId8"/>
                    <a:srcRect b="3313"/>
                    <a:stretch>
                      <a:fillRect/>
                    </a:stretch>
                  </pic:blipFill>
                  <pic:spPr>
                    <a:xfrm>
                      <a:off x="0" y="0"/>
                      <a:ext cx="6381750" cy="8727440"/>
                    </a:xfrm>
                    <a:prstGeom prst="rect">
                      <a:avLst/>
                    </a:prstGeom>
                  </pic:spPr>
                </pic:pic>
              </a:graphicData>
            </a:graphic>
          </wp:anchor>
        </w:drawing>
      </w: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-501015</wp:posOffset>
            </wp:positionH>
            <wp:positionV relativeFrom="paragraph">
              <wp:posOffset>194945</wp:posOffset>
            </wp:positionV>
            <wp:extent cx="6493510" cy="8759190"/>
            <wp:effectExtent l="0" t="0" r="0" b="0"/>
            <wp:wrapNone/>
            <wp:docPr id="19" name="图片 19" descr="新建书册 5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新建书册 5_页面_6"/>
                    <pic:cNvPicPr>
                      <a:picLocks noChangeAspect="1"/>
                    </pic:cNvPicPr>
                  </pic:nvPicPr>
                  <pic:blipFill>
                    <a:blip r:embed="rId9"/>
                    <a:srcRect b="4632"/>
                    <a:stretch>
                      <a:fillRect/>
                    </a:stretch>
                  </pic:blipFill>
                  <pic:spPr>
                    <a:xfrm>
                      <a:off x="0" y="0"/>
                      <a:ext cx="6493510" cy="8759190"/>
                    </a:xfrm>
                    <a:prstGeom prst="rect">
                      <a:avLst/>
                    </a:prstGeom>
                  </pic:spPr>
                </pic:pic>
              </a:graphicData>
            </a:graphic>
          </wp:anchor>
        </w:drawing>
      </w:r>
      <w:r>
        <w:rPr>
          <w:rFonts w:hint="eastAsia"/>
          <w:color w:val="000000" w:themeColor="text1"/>
          <w:lang w:val="en-US" w:eastAsia="zh-CN"/>
          <w14:textFill>
            <w14:solidFill>
              <w14:schemeClr w14:val="tx1"/>
            </w14:solidFill>
          </w14:textFill>
        </w:rPr>
        <w:br w:type="page"/>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-412750</wp:posOffset>
            </wp:positionH>
            <wp:positionV relativeFrom="paragraph">
              <wp:posOffset>177165</wp:posOffset>
            </wp:positionV>
            <wp:extent cx="6345555" cy="4334510"/>
            <wp:effectExtent l="0" t="0" r="17145" b="8890"/>
            <wp:wrapNone/>
            <wp:docPr id="20" name="图片 20" descr="新建书册 5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建书册 5_页面_7"/>
                    <pic:cNvPicPr>
                      <a:picLocks noChangeAspect="1"/>
                    </pic:cNvPicPr>
                  </pic:nvPicPr>
                  <pic:blipFill>
                    <a:blip r:embed="rId10"/>
                    <a:srcRect t="51706"/>
                    <a:stretch>
                      <a:fillRect/>
                    </a:stretch>
                  </pic:blipFill>
                  <pic:spPr>
                    <a:xfrm>
                      <a:off x="0" y="0"/>
                      <a:ext cx="6345555" cy="4334510"/>
                    </a:xfrm>
                    <a:prstGeom prst="rect">
                      <a:avLst/>
                    </a:prstGeom>
                  </pic:spPr>
                </pic:pic>
              </a:graphicData>
            </a:graphic>
          </wp:anchor>
        </w:drawing>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粗黑宋简体">
    <w:altName w:val="宋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52141"/>
    <w:multiLevelType w:val="singleLevel"/>
    <w:tmpl w:val="82252141"/>
    <w:lvl w:ilvl="0" w:tentative="0">
      <w:start w:val="2"/>
      <w:numFmt w:val="decimal"/>
      <w:suff w:val="nothing"/>
      <w:lvlText w:val="%1、"/>
      <w:lvlJc w:val="left"/>
    </w:lvl>
  </w:abstractNum>
  <w:abstractNum w:abstractNumId="1">
    <w:nsid w:val="8A661DC4"/>
    <w:multiLevelType w:val="singleLevel"/>
    <w:tmpl w:val="8A661DC4"/>
    <w:lvl w:ilvl="0" w:tentative="0">
      <w:start w:val="6"/>
      <w:numFmt w:val="chineseCounting"/>
      <w:suff w:val="nothing"/>
      <w:lvlText w:val="%1、"/>
      <w:lvlJc w:val="left"/>
      <w:rPr>
        <w:rFonts w:hint="eastAsia"/>
      </w:rPr>
    </w:lvl>
  </w:abstractNum>
  <w:abstractNum w:abstractNumId="2">
    <w:nsid w:val="1FC91163"/>
    <w:multiLevelType w:val="multilevel"/>
    <w:tmpl w:val="1FC91163"/>
    <w:lvl w:ilvl="0" w:tentative="0">
      <w:start w:val="1"/>
      <w:numFmt w:val="decimal"/>
      <w:pStyle w:val="1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2"/>
      <w:suff w:val="nothing"/>
      <w:lvlText w:val="%1.%2　"/>
      <w:lvlJc w:val="left"/>
      <w:pPr>
        <w:ind w:left="315"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3"/>
      <w:suff w:val="nothing"/>
      <w:lvlText w:val="%1.%2.%3　"/>
      <w:lvlJc w:val="left"/>
      <w:pPr>
        <w:ind w:left="63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5NGRlZDk2YTA2ODk4NThhMmU0OTBiMzE4MmY4ZjcifQ=="/>
  </w:docVars>
  <w:rsids>
    <w:rsidRoot w:val="539B1FD6"/>
    <w:rsid w:val="014C6541"/>
    <w:rsid w:val="017956B7"/>
    <w:rsid w:val="01D31020"/>
    <w:rsid w:val="023A7019"/>
    <w:rsid w:val="027C5214"/>
    <w:rsid w:val="029861A7"/>
    <w:rsid w:val="02C134C6"/>
    <w:rsid w:val="03200295"/>
    <w:rsid w:val="03431F70"/>
    <w:rsid w:val="03AA17CA"/>
    <w:rsid w:val="04447FB3"/>
    <w:rsid w:val="045E693B"/>
    <w:rsid w:val="05237BC9"/>
    <w:rsid w:val="052676B9"/>
    <w:rsid w:val="056B6B99"/>
    <w:rsid w:val="05CA49EC"/>
    <w:rsid w:val="069A3EBB"/>
    <w:rsid w:val="06BB37C6"/>
    <w:rsid w:val="0715304C"/>
    <w:rsid w:val="072D431B"/>
    <w:rsid w:val="074A5CF1"/>
    <w:rsid w:val="074E5A93"/>
    <w:rsid w:val="081F4EFE"/>
    <w:rsid w:val="08430AFE"/>
    <w:rsid w:val="08514A4D"/>
    <w:rsid w:val="091D0DD3"/>
    <w:rsid w:val="092D54BA"/>
    <w:rsid w:val="09AA12DB"/>
    <w:rsid w:val="0A5C6B4E"/>
    <w:rsid w:val="0ACB4F8A"/>
    <w:rsid w:val="0BA13F4A"/>
    <w:rsid w:val="0BB35A1E"/>
    <w:rsid w:val="0BD159AE"/>
    <w:rsid w:val="0BEB51B8"/>
    <w:rsid w:val="0C2556F2"/>
    <w:rsid w:val="0C402975"/>
    <w:rsid w:val="0D3808AB"/>
    <w:rsid w:val="0DBF09E2"/>
    <w:rsid w:val="0DFA1CC8"/>
    <w:rsid w:val="0E0C66F7"/>
    <w:rsid w:val="0E246EE7"/>
    <w:rsid w:val="0E4A4418"/>
    <w:rsid w:val="0E6C77D6"/>
    <w:rsid w:val="0ED10695"/>
    <w:rsid w:val="0F5156C2"/>
    <w:rsid w:val="102854C2"/>
    <w:rsid w:val="103435D2"/>
    <w:rsid w:val="103C7F07"/>
    <w:rsid w:val="106C29B2"/>
    <w:rsid w:val="10A55C63"/>
    <w:rsid w:val="10CD68DE"/>
    <w:rsid w:val="11125EAC"/>
    <w:rsid w:val="115B4B8E"/>
    <w:rsid w:val="11BD75F7"/>
    <w:rsid w:val="12072620"/>
    <w:rsid w:val="1208267D"/>
    <w:rsid w:val="120E39AF"/>
    <w:rsid w:val="12354546"/>
    <w:rsid w:val="12791770"/>
    <w:rsid w:val="12A7355D"/>
    <w:rsid w:val="138F4682"/>
    <w:rsid w:val="14305E5E"/>
    <w:rsid w:val="14681A9C"/>
    <w:rsid w:val="14EF540C"/>
    <w:rsid w:val="15147D27"/>
    <w:rsid w:val="15B9547F"/>
    <w:rsid w:val="15BB3E4D"/>
    <w:rsid w:val="15C17F4D"/>
    <w:rsid w:val="16843765"/>
    <w:rsid w:val="168F048A"/>
    <w:rsid w:val="169D3553"/>
    <w:rsid w:val="16E51018"/>
    <w:rsid w:val="17304F90"/>
    <w:rsid w:val="175D349E"/>
    <w:rsid w:val="17683B61"/>
    <w:rsid w:val="177D095A"/>
    <w:rsid w:val="17BE6223"/>
    <w:rsid w:val="17C865A3"/>
    <w:rsid w:val="17D64B12"/>
    <w:rsid w:val="180D3A2A"/>
    <w:rsid w:val="182C7033"/>
    <w:rsid w:val="184C63A5"/>
    <w:rsid w:val="185365BF"/>
    <w:rsid w:val="18591C1C"/>
    <w:rsid w:val="1A02029D"/>
    <w:rsid w:val="1A961A53"/>
    <w:rsid w:val="1AF35A9F"/>
    <w:rsid w:val="1B724FAE"/>
    <w:rsid w:val="1BA23AE5"/>
    <w:rsid w:val="1C0E7007"/>
    <w:rsid w:val="1DB4365C"/>
    <w:rsid w:val="1DB91F8E"/>
    <w:rsid w:val="1E022868"/>
    <w:rsid w:val="1E6837E0"/>
    <w:rsid w:val="1F4C1122"/>
    <w:rsid w:val="1F766480"/>
    <w:rsid w:val="207500F4"/>
    <w:rsid w:val="20AF45AF"/>
    <w:rsid w:val="20CA072E"/>
    <w:rsid w:val="21542353"/>
    <w:rsid w:val="21556F04"/>
    <w:rsid w:val="21C265FE"/>
    <w:rsid w:val="21DC7694"/>
    <w:rsid w:val="22225FF6"/>
    <w:rsid w:val="22780086"/>
    <w:rsid w:val="22851F9A"/>
    <w:rsid w:val="229879F0"/>
    <w:rsid w:val="23C16AD3"/>
    <w:rsid w:val="24E66AF7"/>
    <w:rsid w:val="250D5B0A"/>
    <w:rsid w:val="251E1659"/>
    <w:rsid w:val="256112DB"/>
    <w:rsid w:val="258E6E89"/>
    <w:rsid w:val="259F64C0"/>
    <w:rsid w:val="25D17954"/>
    <w:rsid w:val="261C4494"/>
    <w:rsid w:val="264458BD"/>
    <w:rsid w:val="26520D6E"/>
    <w:rsid w:val="26630378"/>
    <w:rsid w:val="26A31A36"/>
    <w:rsid w:val="26EA6169"/>
    <w:rsid w:val="272775FE"/>
    <w:rsid w:val="274517C9"/>
    <w:rsid w:val="279A1B15"/>
    <w:rsid w:val="27D50D9F"/>
    <w:rsid w:val="28153891"/>
    <w:rsid w:val="28161A02"/>
    <w:rsid w:val="28880A45"/>
    <w:rsid w:val="28CF7ACB"/>
    <w:rsid w:val="28DE1ED5"/>
    <w:rsid w:val="28E61DBE"/>
    <w:rsid w:val="28F214DC"/>
    <w:rsid w:val="29183639"/>
    <w:rsid w:val="29200189"/>
    <w:rsid w:val="29283150"/>
    <w:rsid w:val="29BD4651"/>
    <w:rsid w:val="29E12E49"/>
    <w:rsid w:val="2A384730"/>
    <w:rsid w:val="2A3D2C2B"/>
    <w:rsid w:val="2B295679"/>
    <w:rsid w:val="2B577D1D"/>
    <w:rsid w:val="2BA7504A"/>
    <w:rsid w:val="2BAD0DF3"/>
    <w:rsid w:val="2BCA06E1"/>
    <w:rsid w:val="2C3936CA"/>
    <w:rsid w:val="2CC969F8"/>
    <w:rsid w:val="2D151C3D"/>
    <w:rsid w:val="2D354E9E"/>
    <w:rsid w:val="2D5E35E4"/>
    <w:rsid w:val="2DD85145"/>
    <w:rsid w:val="2DFA5DCD"/>
    <w:rsid w:val="2DFC396A"/>
    <w:rsid w:val="2E3335C6"/>
    <w:rsid w:val="2E56075F"/>
    <w:rsid w:val="2E8D18C6"/>
    <w:rsid w:val="2E9421C7"/>
    <w:rsid w:val="2F3E4D20"/>
    <w:rsid w:val="2F652997"/>
    <w:rsid w:val="3023040A"/>
    <w:rsid w:val="304C5976"/>
    <w:rsid w:val="30AC57B4"/>
    <w:rsid w:val="30B55A68"/>
    <w:rsid w:val="30D37E45"/>
    <w:rsid w:val="30FA7AC8"/>
    <w:rsid w:val="31344D88"/>
    <w:rsid w:val="31853836"/>
    <w:rsid w:val="31A812C4"/>
    <w:rsid w:val="3200110E"/>
    <w:rsid w:val="33B45D0C"/>
    <w:rsid w:val="34256C0A"/>
    <w:rsid w:val="344572AC"/>
    <w:rsid w:val="346D235F"/>
    <w:rsid w:val="34F42AC0"/>
    <w:rsid w:val="3502519D"/>
    <w:rsid w:val="3522139B"/>
    <w:rsid w:val="3542559A"/>
    <w:rsid w:val="356426B4"/>
    <w:rsid w:val="35C27548"/>
    <w:rsid w:val="360C5C1D"/>
    <w:rsid w:val="36452F0F"/>
    <w:rsid w:val="3650553E"/>
    <w:rsid w:val="37F76B0F"/>
    <w:rsid w:val="384103D6"/>
    <w:rsid w:val="38BF7159"/>
    <w:rsid w:val="39281E73"/>
    <w:rsid w:val="397468E7"/>
    <w:rsid w:val="3A8521B0"/>
    <w:rsid w:val="3A9D7BFC"/>
    <w:rsid w:val="3B693880"/>
    <w:rsid w:val="3C2B135B"/>
    <w:rsid w:val="3C49299E"/>
    <w:rsid w:val="3C922230"/>
    <w:rsid w:val="3CE05DC4"/>
    <w:rsid w:val="3D023F8C"/>
    <w:rsid w:val="3D566086"/>
    <w:rsid w:val="3D9A41C5"/>
    <w:rsid w:val="3DF14C86"/>
    <w:rsid w:val="3E263CAA"/>
    <w:rsid w:val="3EBE3EE3"/>
    <w:rsid w:val="3ED27132"/>
    <w:rsid w:val="3EE505D0"/>
    <w:rsid w:val="3F52287D"/>
    <w:rsid w:val="3FCE45FA"/>
    <w:rsid w:val="3FCF6CD5"/>
    <w:rsid w:val="40DD5EC6"/>
    <w:rsid w:val="4108162D"/>
    <w:rsid w:val="410B53D9"/>
    <w:rsid w:val="412E4102"/>
    <w:rsid w:val="41AF25D2"/>
    <w:rsid w:val="425B4099"/>
    <w:rsid w:val="42C3316D"/>
    <w:rsid w:val="42D55C9F"/>
    <w:rsid w:val="42D9753D"/>
    <w:rsid w:val="43346A23"/>
    <w:rsid w:val="435412BA"/>
    <w:rsid w:val="43E837B0"/>
    <w:rsid w:val="44164A5C"/>
    <w:rsid w:val="44240C8C"/>
    <w:rsid w:val="44472BCC"/>
    <w:rsid w:val="445A6330"/>
    <w:rsid w:val="44682C09"/>
    <w:rsid w:val="44741FCF"/>
    <w:rsid w:val="4512786B"/>
    <w:rsid w:val="454B3FF6"/>
    <w:rsid w:val="457572C5"/>
    <w:rsid w:val="460E6DB4"/>
    <w:rsid w:val="462D7D9A"/>
    <w:rsid w:val="467807D5"/>
    <w:rsid w:val="468E17EF"/>
    <w:rsid w:val="46D1792B"/>
    <w:rsid w:val="473A2575"/>
    <w:rsid w:val="47946129"/>
    <w:rsid w:val="47975C19"/>
    <w:rsid w:val="47C021EF"/>
    <w:rsid w:val="481D611E"/>
    <w:rsid w:val="484511D1"/>
    <w:rsid w:val="49467068"/>
    <w:rsid w:val="49532857"/>
    <w:rsid w:val="49BB5BEF"/>
    <w:rsid w:val="49C64593"/>
    <w:rsid w:val="49D74E56"/>
    <w:rsid w:val="49F25388"/>
    <w:rsid w:val="4A0E6876"/>
    <w:rsid w:val="4A121587"/>
    <w:rsid w:val="4B187071"/>
    <w:rsid w:val="4B3F7D91"/>
    <w:rsid w:val="4B7778F3"/>
    <w:rsid w:val="4C082C41"/>
    <w:rsid w:val="4C0A0767"/>
    <w:rsid w:val="4C231829"/>
    <w:rsid w:val="4C2630C7"/>
    <w:rsid w:val="4C4F1A9E"/>
    <w:rsid w:val="4C9D782D"/>
    <w:rsid w:val="4CBC3B88"/>
    <w:rsid w:val="4D902EEE"/>
    <w:rsid w:val="4D92310A"/>
    <w:rsid w:val="4E1031C4"/>
    <w:rsid w:val="4EF676C9"/>
    <w:rsid w:val="4F005E52"/>
    <w:rsid w:val="4F2770E7"/>
    <w:rsid w:val="4FBB7FCB"/>
    <w:rsid w:val="50161832"/>
    <w:rsid w:val="51363DAD"/>
    <w:rsid w:val="5180327A"/>
    <w:rsid w:val="51B76D61"/>
    <w:rsid w:val="51F03BE9"/>
    <w:rsid w:val="52BF7DD2"/>
    <w:rsid w:val="52E46CC0"/>
    <w:rsid w:val="539B1FD6"/>
    <w:rsid w:val="53FF53D7"/>
    <w:rsid w:val="54631EE1"/>
    <w:rsid w:val="547277F2"/>
    <w:rsid w:val="555B64D8"/>
    <w:rsid w:val="557355CF"/>
    <w:rsid w:val="558275C0"/>
    <w:rsid w:val="559162E4"/>
    <w:rsid w:val="55B0088C"/>
    <w:rsid w:val="55D362EC"/>
    <w:rsid w:val="55D668A1"/>
    <w:rsid w:val="55F81F79"/>
    <w:rsid w:val="567A0BDF"/>
    <w:rsid w:val="568B7CE4"/>
    <w:rsid w:val="56EB73E7"/>
    <w:rsid w:val="57576332"/>
    <w:rsid w:val="57795D3D"/>
    <w:rsid w:val="578C3AB3"/>
    <w:rsid w:val="57B1418D"/>
    <w:rsid w:val="57FC4A12"/>
    <w:rsid w:val="58311544"/>
    <w:rsid w:val="584A3129"/>
    <w:rsid w:val="58507E4A"/>
    <w:rsid w:val="590E4EFC"/>
    <w:rsid w:val="591E3AA4"/>
    <w:rsid w:val="59AE70E3"/>
    <w:rsid w:val="59CA2378"/>
    <w:rsid w:val="59CF2FF0"/>
    <w:rsid w:val="59FF79AE"/>
    <w:rsid w:val="5AB67D0C"/>
    <w:rsid w:val="5B182775"/>
    <w:rsid w:val="5B1B204B"/>
    <w:rsid w:val="5B267A73"/>
    <w:rsid w:val="5BBB29DF"/>
    <w:rsid w:val="5BC00E43"/>
    <w:rsid w:val="5BE70E82"/>
    <w:rsid w:val="5C043425"/>
    <w:rsid w:val="5C4615E5"/>
    <w:rsid w:val="5C4A2E02"/>
    <w:rsid w:val="5C6C5FCA"/>
    <w:rsid w:val="5C8521CE"/>
    <w:rsid w:val="5CF039A9"/>
    <w:rsid w:val="5D333FE9"/>
    <w:rsid w:val="5D52255C"/>
    <w:rsid w:val="5DFD09B2"/>
    <w:rsid w:val="5E396971"/>
    <w:rsid w:val="5E802B0B"/>
    <w:rsid w:val="5E93283E"/>
    <w:rsid w:val="5F557AF4"/>
    <w:rsid w:val="5F5B18A0"/>
    <w:rsid w:val="5FD6596E"/>
    <w:rsid w:val="5FE005D6"/>
    <w:rsid w:val="5FE01AB3"/>
    <w:rsid w:val="605129B1"/>
    <w:rsid w:val="60981C9C"/>
    <w:rsid w:val="60C17FAD"/>
    <w:rsid w:val="60F264E5"/>
    <w:rsid w:val="614B7400"/>
    <w:rsid w:val="6166423A"/>
    <w:rsid w:val="61DA69CE"/>
    <w:rsid w:val="61E66B82"/>
    <w:rsid w:val="62783BD8"/>
    <w:rsid w:val="62AA45FB"/>
    <w:rsid w:val="62D02037"/>
    <w:rsid w:val="62DB2A06"/>
    <w:rsid w:val="630670B3"/>
    <w:rsid w:val="6353562C"/>
    <w:rsid w:val="63E853DA"/>
    <w:rsid w:val="63F57AF7"/>
    <w:rsid w:val="643407A7"/>
    <w:rsid w:val="643E375B"/>
    <w:rsid w:val="64770797"/>
    <w:rsid w:val="64946690"/>
    <w:rsid w:val="64CA0F84"/>
    <w:rsid w:val="65032BDD"/>
    <w:rsid w:val="667F356D"/>
    <w:rsid w:val="66BE2423"/>
    <w:rsid w:val="66DE2AC5"/>
    <w:rsid w:val="672901E4"/>
    <w:rsid w:val="67CB3049"/>
    <w:rsid w:val="68134889"/>
    <w:rsid w:val="68610BE9"/>
    <w:rsid w:val="68686273"/>
    <w:rsid w:val="68F82A37"/>
    <w:rsid w:val="69B61AD7"/>
    <w:rsid w:val="69CD7925"/>
    <w:rsid w:val="6A5512F0"/>
    <w:rsid w:val="6A7A0D4B"/>
    <w:rsid w:val="6AF86AEC"/>
    <w:rsid w:val="6B170353"/>
    <w:rsid w:val="6B4D2364"/>
    <w:rsid w:val="6B5E682D"/>
    <w:rsid w:val="6BA0439A"/>
    <w:rsid w:val="6C695076"/>
    <w:rsid w:val="6C804079"/>
    <w:rsid w:val="6C845EBC"/>
    <w:rsid w:val="6CE7618C"/>
    <w:rsid w:val="6D265416"/>
    <w:rsid w:val="6D36562B"/>
    <w:rsid w:val="6E0A084F"/>
    <w:rsid w:val="6E2E7E8E"/>
    <w:rsid w:val="6EA70CF0"/>
    <w:rsid w:val="6EAE5472"/>
    <w:rsid w:val="6F887A72"/>
    <w:rsid w:val="6F913E7F"/>
    <w:rsid w:val="706B77B4"/>
    <w:rsid w:val="70F829D5"/>
    <w:rsid w:val="71527034"/>
    <w:rsid w:val="71D15700"/>
    <w:rsid w:val="71D971FF"/>
    <w:rsid w:val="72127AC6"/>
    <w:rsid w:val="722C5F64"/>
    <w:rsid w:val="729A3D44"/>
    <w:rsid w:val="729A7263"/>
    <w:rsid w:val="72B50B7E"/>
    <w:rsid w:val="72E30875"/>
    <w:rsid w:val="73772967"/>
    <w:rsid w:val="739369E5"/>
    <w:rsid w:val="73B250BD"/>
    <w:rsid w:val="7420296E"/>
    <w:rsid w:val="74D379E1"/>
    <w:rsid w:val="75EC246C"/>
    <w:rsid w:val="762D3FE7"/>
    <w:rsid w:val="76AA02C2"/>
    <w:rsid w:val="771C566F"/>
    <w:rsid w:val="77992435"/>
    <w:rsid w:val="781141EC"/>
    <w:rsid w:val="7858774B"/>
    <w:rsid w:val="785E5813"/>
    <w:rsid w:val="786C195E"/>
    <w:rsid w:val="78986F77"/>
    <w:rsid w:val="78D74AF5"/>
    <w:rsid w:val="794F3F6B"/>
    <w:rsid w:val="797F1EE5"/>
    <w:rsid w:val="79D34812"/>
    <w:rsid w:val="7A1E16FE"/>
    <w:rsid w:val="7A4F18B8"/>
    <w:rsid w:val="7AAE6A7B"/>
    <w:rsid w:val="7AC1208A"/>
    <w:rsid w:val="7B454A69"/>
    <w:rsid w:val="7B9B28DB"/>
    <w:rsid w:val="7BBF481B"/>
    <w:rsid w:val="7BD00C6D"/>
    <w:rsid w:val="7BF03686"/>
    <w:rsid w:val="7C52743D"/>
    <w:rsid w:val="7C887303"/>
    <w:rsid w:val="7D1F7C67"/>
    <w:rsid w:val="7D4274B2"/>
    <w:rsid w:val="7D4A43BE"/>
    <w:rsid w:val="7DEB18F7"/>
    <w:rsid w:val="7E374B3D"/>
    <w:rsid w:val="7E6D0694"/>
    <w:rsid w:val="7FAE6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szCs w:val="18"/>
    </w:rPr>
  </w:style>
  <w:style w:type="paragraph" w:styleId="4">
    <w:name w:val="toc 1"/>
    <w:basedOn w:val="1"/>
    <w:next w:val="1"/>
    <w:autoRedefine/>
    <w:semiHidden/>
    <w:qFormat/>
    <w:uiPriority w:val="0"/>
    <w:pPr>
      <w:tabs>
        <w:tab w:val="right" w:leader="dot" w:pos="9242"/>
      </w:tabs>
      <w:spacing w:before="25" w:beforeLines="25" w:after="25" w:afterLines="25"/>
      <w:jc w:val="left"/>
    </w:pPr>
    <w:rPr>
      <w:rFonts w:ascii="宋体"/>
      <w:szCs w:val="21"/>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page number"/>
    <w:basedOn w:val="7"/>
    <w:autoRedefine/>
    <w:qFormat/>
    <w:uiPriority w:val="0"/>
  </w:style>
  <w:style w:type="character" w:styleId="9">
    <w:name w:val="Hyperlink"/>
    <w:autoRedefine/>
    <w:qFormat/>
    <w:uiPriority w:val="0"/>
    <w:rPr>
      <w:color w:val="0000FF"/>
      <w:spacing w:val="0"/>
      <w:w w:val="100"/>
      <w:szCs w:val="21"/>
      <w:u w:val="single"/>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2">
    <w:name w:val="一级条标题"/>
    <w:next w:val="11"/>
    <w:autoRedefine/>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3">
    <w:name w:val="二级条标题"/>
    <w:basedOn w:val="12"/>
    <w:next w:val="11"/>
    <w:autoRedefine/>
    <w:qFormat/>
    <w:uiPriority w:val="0"/>
    <w:pPr>
      <w:numPr>
        <w:ilvl w:val="2"/>
        <w:numId w:val="1"/>
      </w:numPr>
      <w:spacing w:before="50" w:after="50"/>
      <w:outlineLvl w:val="3"/>
    </w:pPr>
  </w:style>
  <w:style w:type="paragraph" w:customStyle="1" w:styleId="14">
    <w:name w:val="章标题"/>
    <w:next w:val="11"/>
    <w:autoRedefine/>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5">
    <w:name w:val="封面标准名称"/>
    <w:autoRedefine/>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8403</Words>
  <Characters>8723</Characters>
  <Lines>0</Lines>
  <Paragraphs>0</Paragraphs>
  <TotalTime>55</TotalTime>
  <ScaleCrop>false</ScaleCrop>
  <LinksUpToDate>false</LinksUpToDate>
  <CharactersWithSpaces>8953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2023-05-15T10:20:00Z</dcterms:created>
  <dc:creator>升仙蜜橘(敖义俊)</dc:creator>
  <cp:lastModifiedBy>Administrator</cp:lastModifiedBy>
  <cp:lastPrinted>2024-03-20T12:23:00Z</cp:lastPrinted>
  <dcterms:modified xsi:type="dcterms:W3CDTF">2024-03-20T14:13:42Z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6952BCC589554A0395E04427C415DE2D_13</vt:lpwstr>
  </property>
</Properties>
</file>