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宋体" w:eastAsia="黑体" w:cs="宋体"/>
          <w:b/>
          <w:kern w:val="0"/>
          <w:sz w:val="32"/>
          <w:szCs w:val="32"/>
        </w:rPr>
      </w:pPr>
      <w:r>
        <w:rPr>
          <w:rFonts w:hint="eastAsia" w:ascii="黑体" w:hAnsi="宋体" w:eastAsia="黑体" w:cs="宋体"/>
          <w:b/>
          <w:kern w:val="0"/>
          <w:sz w:val="32"/>
          <w:szCs w:val="32"/>
        </w:rPr>
        <w:t>《蔬菜收获秸秆超高温堆肥技术规程》编制说明</w:t>
      </w:r>
    </w:p>
    <w:p>
      <w:pPr>
        <w:widowControl/>
        <w:rPr>
          <w:rFonts w:ascii="黑体" w:hAnsi="宋体" w:eastAsia="黑体" w:cs="宋体"/>
          <w:b/>
          <w:kern w:val="0"/>
          <w:sz w:val="32"/>
          <w:szCs w:val="32"/>
        </w:rPr>
      </w:pPr>
    </w:p>
    <w:p>
      <w:pPr>
        <w:widowControl/>
        <w:ind w:firstLine="697" w:firstLineChars="218"/>
        <w:rPr>
          <w:rFonts w:ascii="宋体" w:hAnsi="宋体" w:cs="宋体"/>
          <w:kern w:val="0"/>
          <w:sz w:val="32"/>
          <w:szCs w:val="32"/>
        </w:rPr>
      </w:pPr>
      <w:r>
        <w:rPr>
          <w:rFonts w:ascii="宋体" w:hAnsi="宋体" w:cs="宋体"/>
          <w:kern w:val="0"/>
          <w:sz w:val="32"/>
          <w:szCs w:val="32"/>
        </w:rPr>
        <w:t>一、工作简况：包括任务来源、协作单位、主要工作过程、起草组组成成员及其所做的主要工作等；</w:t>
      </w:r>
    </w:p>
    <w:p>
      <w:pPr>
        <w:widowControl/>
        <w:ind w:firstLine="610" w:firstLineChars="218"/>
        <w:rPr>
          <w:rFonts w:ascii="宋体" w:hAnsi="宋体" w:cs="宋体"/>
          <w:kern w:val="0"/>
        </w:rPr>
      </w:pPr>
      <w:r>
        <w:rPr>
          <w:rFonts w:hint="eastAsia" w:ascii="宋体" w:hAnsi="宋体" w:cs="宋体"/>
          <w:kern w:val="0"/>
        </w:rPr>
        <w:t>1、任务来源</w:t>
      </w:r>
    </w:p>
    <w:p>
      <w:pPr>
        <w:widowControl/>
        <w:ind w:left="280" w:leftChars="100" w:firstLine="330" w:firstLineChars="118"/>
        <w:rPr>
          <w:rFonts w:ascii="宋体" w:hAnsi="宋体" w:cs="宋体"/>
          <w:kern w:val="0"/>
        </w:rPr>
      </w:pPr>
      <w:r>
        <w:rPr>
          <w:rFonts w:hint="eastAsia" w:ascii="宋体" w:hAnsi="宋体" w:cs="宋体"/>
          <w:kern w:val="0"/>
        </w:rPr>
        <w:t>本标准编制任务来源于陕西省市场监督管理局20</w:t>
      </w:r>
      <w:r>
        <w:rPr>
          <w:rFonts w:ascii="宋体" w:hAnsi="宋体" w:cs="宋体"/>
          <w:kern w:val="0"/>
        </w:rPr>
        <w:t>22</w:t>
      </w:r>
      <w:r>
        <w:rPr>
          <w:rFonts w:hint="eastAsia" w:ascii="宋体" w:hAnsi="宋体" w:cs="宋体"/>
          <w:kern w:val="0"/>
        </w:rPr>
        <w:t>年地方标准制订计划项目《蔬菜收获废弃物高温堆肥技术规程》（立项编号：</w:t>
      </w:r>
      <w:r>
        <w:rPr>
          <w:rFonts w:ascii="宋体" w:hAnsi="宋体" w:cs="宋体"/>
          <w:kern w:val="0"/>
        </w:rPr>
        <w:t>SDBXM-121-2022</w:t>
      </w:r>
      <w:r>
        <w:rPr>
          <w:rFonts w:hint="eastAsia" w:ascii="宋体" w:hAnsi="宋体" w:cs="宋体"/>
          <w:kern w:val="0"/>
        </w:rPr>
        <w:t>）</w:t>
      </w:r>
    </w:p>
    <w:p>
      <w:pPr>
        <w:widowControl/>
        <w:ind w:firstLine="610" w:firstLineChars="218"/>
        <w:rPr>
          <w:rFonts w:ascii="宋体" w:hAnsi="宋体" w:cs="宋体"/>
          <w:kern w:val="0"/>
        </w:rPr>
      </w:pPr>
      <w:r>
        <w:rPr>
          <w:rFonts w:hint="eastAsia" w:ascii="宋体" w:hAnsi="宋体" w:cs="宋体"/>
          <w:kern w:val="0"/>
        </w:rPr>
        <w:t>2、协作单位</w:t>
      </w:r>
    </w:p>
    <w:p>
      <w:pPr>
        <w:widowControl/>
        <w:ind w:firstLine="610" w:firstLineChars="218"/>
        <w:rPr>
          <w:rFonts w:ascii="宋体" w:hAnsi="宋体" w:cs="宋体"/>
          <w:kern w:val="0"/>
        </w:rPr>
      </w:pPr>
      <w:r>
        <w:rPr>
          <w:rFonts w:hint="eastAsia" w:ascii="宋体" w:hAnsi="宋体" w:cs="宋体"/>
          <w:kern w:val="0"/>
        </w:rPr>
        <w:t>西安市农业技术推广中心，西安市阎良区农产品质量安全检验监测中心，宝鸡市农业技术推广中心，渭南市农业技术推广中心，杨凌现代农业产业标准化推广服务中心，杨凌康照农业开发有限公司。</w:t>
      </w:r>
    </w:p>
    <w:p>
      <w:pPr>
        <w:widowControl/>
        <w:ind w:firstLine="610" w:firstLineChars="218"/>
        <w:rPr>
          <w:rFonts w:ascii="宋体" w:hAnsi="宋体" w:cs="宋体"/>
          <w:kern w:val="0"/>
        </w:rPr>
      </w:pPr>
      <w:r>
        <w:rPr>
          <w:rFonts w:hint="eastAsia" w:ascii="宋体" w:hAnsi="宋体" w:cs="宋体"/>
          <w:kern w:val="0"/>
        </w:rPr>
        <w:t>3、</w:t>
      </w:r>
      <w:r>
        <w:rPr>
          <w:rFonts w:ascii="宋体" w:hAnsi="宋体" w:cs="宋体"/>
          <w:kern w:val="0"/>
        </w:rPr>
        <w:t>主要工作过程</w:t>
      </w:r>
      <w:r>
        <w:rPr>
          <w:rFonts w:hint="eastAsia" w:ascii="宋体" w:hAnsi="宋体" w:cs="宋体"/>
          <w:kern w:val="0"/>
        </w:rPr>
        <w:t>：</w:t>
      </w:r>
    </w:p>
    <w:p>
      <w:pPr>
        <w:widowControl/>
        <w:ind w:firstLine="610" w:firstLineChars="218"/>
        <w:rPr>
          <w:rFonts w:ascii="宋体" w:hAnsi="宋体" w:cs="宋体"/>
          <w:kern w:val="0"/>
        </w:rPr>
      </w:pPr>
      <w:r>
        <w:rPr>
          <w:rFonts w:hint="eastAsia" w:ascii="宋体" w:hAnsi="宋体" w:cs="宋体"/>
          <w:kern w:val="0"/>
        </w:rPr>
        <w:t>3.1立项研究阶段</w:t>
      </w:r>
    </w:p>
    <w:p>
      <w:pPr>
        <w:widowControl/>
        <w:ind w:firstLine="610" w:firstLineChars="218"/>
        <w:rPr>
          <w:rFonts w:ascii="宋体" w:hAnsi="宋体" w:cs="宋体"/>
          <w:kern w:val="0"/>
        </w:rPr>
      </w:pPr>
      <w:r>
        <w:rPr>
          <w:rFonts w:hint="eastAsia" w:ascii="宋体" w:hAnsi="宋体" w:cs="宋体"/>
          <w:kern w:val="0"/>
        </w:rPr>
        <w:t>西北农林科技大学资源环境学院养分资源管理-面源污染防控团队一直从事果园、蔬菜养分资源管理和资源循环利用以及不合理管理利用带来的环境污染和防控方面的研究和技术研发及集成，20</w:t>
      </w:r>
      <w:r>
        <w:rPr>
          <w:rFonts w:ascii="宋体" w:hAnsi="宋体" w:cs="宋体"/>
          <w:kern w:val="0"/>
        </w:rPr>
        <w:t>21</w:t>
      </w:r>
      <w:r>
        <w:rPr>
          <w:rFonts w:hint="eastAsia" w:ascii="宋体" w:hAnsi="宋体" w:cs="宋体"/>
          <w:kern w:val="0"/>
        </w:rPr>
        <w:t>—20</w:t>
      </w:r>
      <w:r>
        <w:rPr>
          <w:rFonts w:ascii="宋体" w:hAnsi="宋体" w:cs="宋体"/>
          <w:kern w:val="0"/>
        </w:rPr>
        <w:t>24</w:t>
      </w:r>
      <w:r>
        <w:rPr>
          <w:rFonts w:hint="eastAsia" w:ascii="宋体" w:hAnsi="宋体" w:cs="宋体"/>
          <w:kern w:val="0"/>
        </w:rPr>
        <w:t>年结合陕西省重点产业创新链（群）-农业领域项目 2021ZDLNY05-10“果蔬废弃物无害化处理与资源化利用技术集成及示范”、2</w:t>
      </w:r>
      <w:r>
        <w:rPr>
          <w:rFonts w:ascii="宋体" w:hAnsi="宋体" w:cs="宋体"/>
          <w:kern w:val="0"/>
        </w:rPr>
        <w:t>022</w:t>
      </w:r>
      <w:r>
        <w:rPr>
          <w:rFonts w:hint="eastAsia" w:ascii="宋体" w:hAnsi="宋体" w:cs="宋体"/>
          <w:kern w:val="0"/>
        </w:rPr>
        <w:t>年陕西省大学生创新创业项目及本科课程实习，在陕西设施栽培主产区杨凌示范区、咸阳市泾阳县云阳镇、西安市阎良区、渭南市等区县调查了设施瓜菜栽培基地栽培收获后废弃物的处理现状，调研处理或曾经处理过蔬菜栽培废弃物进行堆肥生产有机肥的厂家生产中存在问题等。调研结果发现：</w:t>
      </w:r>
    </w:p>
    <w:p>
      <w:pPr>
        <w:widowControl/>
        <w:ind w:firstLine="610" w:firstLineChars="218"/>
        <w:rPr>
          <w:rFonts w:ascii="宋体" w:hAnsi="宋体" w:cs="宋体"/>
          <w:kern w:val="0"/>
        </w:rPr>
      </w:pPr>
      <w:r>
        <w:rPr>
          <w:rFonts w:hint="eastAsia" w:ascii="宋体" w:hAnsi="宋体" w:cs="宋体"/>
          <w:kern w:val="0"/>
        </w:rPr>
        <w:t>（1）由于蔬菜种植茬口紧、复种指数高及病原菌、虫、农药残留载量高等问题，秸秆难以直接还田；</w:t>
      </w:r>
    </w:p>
    <w:p>
      <w:pPr>
        <w:widowControl/>
        <w:ind w:firstLine="610" w:firstLineChars="218"/>
        <w:rPr>
          <w:rFonts w:ascii="宋体" w:hAnsi="宋体" w:cs="宋体"/>
          <w:kern w:val="0"/>
          <w:sz w:val="24"/>
        </w:rPr>
      </w:pPr>
      <w:r>
        <w:rPr>
          <w:rFonts w:hint="eastAsia" w:ascii="宋体" w:hAnsi="宋体" w:cs="宋体"/>
          <w:kern w:val="0"/>
        </w:rPr>
        <w:t>（2）缺乏快速有效的无害化处理、资源化利用的科学有效的技术参数和规程，处理后产品质量不达标造成土传病害等问题（图1），蔬菜废弃物资源回收利用率不足2</w:t>
      </w:r>
      <w:r>
        <w:rPr>
          <w:rFonts w:ascii="宋体" w:hAnsi="宋体" w:cs="宋体"/>
          <w:kern w:val="0"/>
        </w:rPr>
        <w:t>5</w:t>
      </w:r>
      <w:r>
        <w:rPr>
          <w:rFonts w:hint="eastAsia" w:ascii="宋体" w:hAnsi="宋体" w:cs="宋体"/>
          <w:kern w:val="0"/>
        </w:rPr>
        <w:t>%，多数瓜菜产地仍以丢弃堆积（图2）、异地填埋、集中焚烧等方式为主要处理手段，不仅影响后续蔬菜生产的生态环境和绿色可持续发展，而且成为蔬菜种植区主要环境污染源。</w:t>
      </w:r>
    </w:p>
    <w:p>
      <w:pPr>
        <w:widowControl/>
        <w:rPr>
          <w:rFonts w:ascii="宋体" w:hAnsi="宋体" w:cs="宋体"/>
          <w:kern w:val="0"/>
        </w:rPr>
      </w:pPr>
      <w:r>
        <w:rPr>
          <w:rFonts w:ascii="宋体" w:hAnsi="宋体" w:cs="宋体"/>
          <w:kern w:val="0"/>
        </w:rPr>
        <w:drawing>
          <wp:inline distT="0" distB="0" distL="0" distR="0">
            <wp:extent cx="5250180" cy="176022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50180" cy="1760220"/>
                    </a:xfrm>
                    <a:prstGeom prst="rect">
                      <a:avLst/>
                    </a:prstGeom>
                    <a:noFill/>
                  </pic:spPr>
                </pic:pic>
              </a:graphicData>
            </a:graphic>
          </wp:inline>
        </w:drawing>
      </w:r>
    </w:p>
    <w:p>
      <w:pPr>
        <w:widowControl/>
        <w:spacing w:before="156" w:beforeLines="50"/>
        <w:jc w:val="center"/>
        <w:rPr>
          <w:rFonts w:ascii="宋体" w:hAnsi="宋体" w:cs="宋体"/>
          <w:b/>
          <w:kern w:val="0"/>
          <w:szCs w:val="21"/>
        </w:rPr>
      </w:pPr>
      <w:r>
        <w:rPr>
          <w:rFonts w:hint="eastAsia" w:ascii="宋体" w:hAnsi="宋体" w:cs="宋体"/>
          <w:b/>
          <w:kern w:val="0"/>
          <w:szCs w:val="21"/>
        </w:rPr>
        <w:t>图1</w:t>
      </w:r>
      <w:r>
        <w:rPr>
          <w:rFonts w:ascii="宋体" w:hAnsi="宋体" w:cs="宋体"/>
          <w:b/>
          <w:kern w:val="0"/>
          <w:szCs w:val="21"/>
        </w:rPr>
        <w:t xml:space="preserve"> </w:t>
      </w:r>
      <w:r>
        <w:rPr>
          <w:rFonts w:hint="eastAsia" w:ascii="宋体" w:hAnsi="宋体" w:cs="宋体"/>
          <w:b/>
          <w:kern w:val="0"/>
          <w:szCs w:val="21"/>
        </w:rPr>
        <w:t>蔬菜秸秆堆肥后基质化利用发生育苗期根结线虫</w:t>
      </w:r>
    </w:p>
    <w:p>
      <w:pPr>
        <w:widowControl/>
        <w:rPr>
          <w:rFonts w:ascii="宋体" w:hAnsi="宋体" w:cs="宋体"/>
          <w:kern w:val="0"/>
        </w:rPr>
      </w:pPr>
      <w:r>
        <w:rPr>
          <w:rFonts w:ascii="宋体" w:hAnsi="宋体" w:cs="宋体"/>
          <w:kern w:val="0"/>
        </w:rPr>
        <w:drawing>
          <wp:inline distT="0" distB="0" distL="0" distR="0">
            <wp:extent cx="5471160" cy="1501140"/>
            <wp:effectExtent l="0" t="0" r="0"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471160" cy="1501140"/>
                    </a:xfrm>
                    <a:prstGeom prst="rect">
                      <a:avLst/>
                    </a:prstGeom>
                    <a:noFill/>
                  </pic:spPr>
                </pic:pic>
              </a:graphicData>
            </a:graphic>
          </wp:inline>
        </w:drawing>
      </w:r>
    </w:p>
    <w:p>
      <w:pPr>
        <w:widowControl/>
        <w:spacing w:before="156" w:beforeLines="50"/>
        <w:jc w:val="center"/>
        <w:rPr>
          <w:rFonts w:ascii="宋体" w:hAnsi="宋体" w:cs="宋体"/>
          <w:b/>
          <w:kern w:val="0"/>
          <w:szCs w:val="21"/>
        </w:rPr>
      </w:pPr>
      <w:r>
        <w:rPr>
          <w:rFonts w:hint="eastAsia" w:ascii="宋体" w:hAnsi="宋体" w:cs="宋体"/>
          <w:b/>
          <w:kern w:val="0"/>
          <w:szCs w:val="21"/>
        </w:rPr>
        <w:t>图2 栽培基地蔬菜收获后秸秆（泾阳县云阳镇和杨凌区）</w:t>
      </w:r>
    </w:p>
    <w:p>
      <w:pPr>
        <w:widowControl/>
        <w:ind w:firstLine="610" w:firstLineChars="218"/>
        <w:rPr>
          <w:rFonts w:hint="eastAsia" w:ascii="宋体" w:hAnsi="宋体" w:eastAsia="宋体" w:cs="宋体"/>
          <w:color w:val="000000" w:themeColor="text1"/>
          <w:kern w:val="0"/>
          <w:lang w:eastAsia="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（3）适宜蔬菜高温堆肥技术参数不完善，部分参数不适宜或不符合实际大生产，堆肥后产品质量标准不完善带来施用后风险</w:t>
      </w:r>
      <w:r>
        <w:rPr>
          <w:rFonts w:hint="eastAsia" w:ascii="宋体" w:hAnsi="宋体" w:cs="宋体"/>
          <w:color w:val="000000" w:themeColor="text1"/>
          <w:kern w:val="0"/>
          <w:lang w:eastAsia="zh-CN"/>
          <w14:textFill>
            <w14:solidFill>
              <w14:schemeClr w14:val="tx1"/>
            </w14:solidFill>
          </w14:textFill>
        </w:rPr>
        <w:t>。</w:t>
      </w:r>
    </w:p>
    <w:p>
      <w:pPr>
        <w:widowControl/>
        <w:ind w:firstLine="610" w:firstLineChars="218"/>
        <w:rPr>
          <w:rFonts w:ascii="宋体" w:hAnsi="宋体" w:cs="宋体"/>
          <w:kern w:val="0"/>
        </w:rPr>
      </w:pPr>
      <w:r>
        <w:rPr>
          <w:rFonts w:hint="eastAsia" w:ascii="宋体" w:hAnsi="宋体" w:cs="宋体"/>
          <w:color w:val="000000" w:themeColor="text1"/>
          <w:kern w:val="0"/>
          <w14:textFill>
            <w14:solidFill>
              <w14:schemeClr w14:val="tx1"/>
            </w14:solidFill>
          </w14:textFill>
        </w:rPr>
        <w:t>高温堆肥</w:t>
      </w:r>
      <w:r>
        <w:rPr>
          <w:rFonts w:hint="eastAsia" w:ascii="宋体" w:hAnsi="宋体" w:cs="宋体"/>
          <w:kern w:val="0"/>
        </w:rPr>
        <w:t>是利用专性和兼性好氧微生物在充分氧气和良好通风条件下使有机废弃物降解的应用最多的方式，堆肥过程中堆体温度一般可达到 55℃</w:t>
      </w:r>
      <w:r>
        <w:rPr>
          <w:kern w:val="0"/>
        </w:rPr>
        <w:t>~</w:t>
      </w:r>
      <w:r>
        <w:rPr>
          <w:rFonts w:hint="eastAsia" w:ascii="宋体" w:hAnsi="宋体" w:cs="宋体"/>
          <w:kern w:val="0"/>
        </w:rPr>
        <w:t>70℃，可以最大限度的消灭蔬菜废弃物中病原菌和害虫，同时，有机废弃物降解快，堆肥时间短，产臭量低，所需设备相对简单，特别适合收获后蔬菜废弃物就近无害化处理，更适合我国国情，可以实现蔬菜废物的高效转化。但目前有关蔬菜废弃物堆肥技术规程较少，规程中堆肥过程参数及调控技术、产品质量关键控制指标等基本与养殖业废弃物堆肥相同，质量卫生仅考虑对人的影响（大肠杆菌和蛔虫卵），没有考虑蔬菜废弃物高载量的植物病原菌和害虫卵对植物的卫生标准，技术规程中堆肥参数温度和持续时间低于国外标准，极易引发堆肥产品质量不合格问题。因此，蔬菜收获废弃物无害化处理技术亟待建立经验证的处理时间和温度关系的过程参数及调控技术、产品质量关键控制指标等，制定相关技术规程，促进蔬菜收获废弃物无害化处理，减少蔬菜种植基地生活、生态环境污染，实现蔬菜生产的可持续绿色发展，实现蔬菜产业的清洁生产，</w:t>
      </w:r>
      <w:r>
        <w:rPr>
          <w:rFonts w:ascii="宋体" w:hAnsi="宋体" w:cs="宋体"/>
          <w:kern w:val="0"/>
        </w:rPr>
        <w:t xml:space="preserve"> </w:t>
      </w:r>
    </w:p>
    <w:p>
      <w:pPr>
        <w:widowControl/>
        <w:ind w:firstLine="610" w:firstLineChars="218"/>
        <w:rPr>
          <w:rFonts w:ascii="宋体" w:hAnsi="宋体" w:cs="宋体"/>
          <w:kern w:val="0"/>
        </w:rPr>
      </w:pPr>
      <w:r>
        <w:rPr>
          <w:rFonts w:hint="eastAsia" w:ascii="宋体" w:hAnsi="宋体" w:cs="宋体"/>
          <w:kern w:val="0"/>
        </w:rPr>
        <w:t>鉴于生产中存在的以上突出问题，亟待制定蔬菜收获废弃物超高温堆肥技术规程，规范蔬菜废弃物堆肥，促进我省蔬菜产业持续绿色健康发展。西北农林科技大学与西安市农业技术推广中心，西安市阎良区农产品质量安全检验监测中心，宝鸡市农业技术推广中心，渭南市农业技术推广中心，杨凌现代农业产业标准化推广服务中心，杨凌康照农业开发有限公司向陕西省技术监督局提出了申请制定《蔬菜收获秸秆超高温堆肥技术规程》，20</w:t>
      </w:r>
      <w:r>
        <w:rPr>
          <w:rFonts w:ascii="宋体" w:hAnsi="宋体" w:cs="宋体"/>
          <w:kern w:val="0"/>
        </w:rPr>
        <w:t>22</w:t>
      </w:r>
      <w:r>
        <w:rPr>
          <w:rFonts w:hint="eastAsia" w:ascii="宋体" w:hAnsi="宋体" w:cs="宋体"/>
          <w:kern w:val="0"/>
        </w:rPr>
        <w:t>年获得立项。</w:t>
      </w:r>
    </w:p>
    <w:p>
      <w:pPr>
        <w:widowControl/>
        <w:ind w:firstLine="610" w:firstLineChars="218"/>
        <w:rPr>
          <w:rFonts w:ascii="宋体" w:hAnsi="宋体" w:cs="宋体"/>
          <w:kern w:val="0"/>
        </w:rPr>
      </w:pPr>
      <w:r>
        <w:rPr>
          <w:rFonts w:hint="eastAsia" w:ascii="宋体" w:hAnsi="宋体" w:cs="宋体"/>
          <w:kern w:val="0"/>
        </w:rPr>
        <w:t>3.2起草阶段</w:t>
      </w:r>
    </w:p>
    <w:p>
      <w:pPr>
        <w:widowControl/>
        <w:ind w:firstLine="610" w:firstLineChars="218"/>
        <w:rPr>
          <w:rFonts w:ascii="宋体" w:hAnsi="宋体" w:cs="宋体"/>
          <w:kern w:val="0"/>
        </w:rPr>
      </w:pPr>
      <w:r>
        <w:rPr>
          <w:rFonts w:hint="eastAsia" w:ascii="宋体" w:hAnsi="宋体" w:cs="宋体"/>
          <w:kern w:val="0"/>
        </w:rPr>
        <w:t>标准制定任务正式下达后，首先成立了标准编写工作组，并拟定工作计划和任务分工。在前期查阅国内外相关文献和标准，经2</w:t>
      </w:r>
      <w:r>
        <w:rPr>
          <w:rFonts w:ascii="宋体" w:hAnsi="宋体" w:cs="宋体"/>
          <w:kern w:val="0"/>
        </w:rPr>
        <w:t>021-2022</w:t>
      </w:r>
      <w:r>
        <w:rPr>
          <w:rFonts w:hint="eastAsia" w:ascii="宋体" w:hAnsi="宋体" w:cs="宋体"/>
          <w:kern w:val="0"/>
        </w:rPr>
        <w:t>小型试验研究基础上、</w:t>
      </w:r>
      <w:r>
        <w:rPr>
          <w:rFonts w:ascii="宋体" w:hAnsi="宋体" w:cs="宋体"/>
          <w:kern w:val="0"/>
        </w:rPr>
        <w:t>2023</w:t>
      </w:r>
      <w:r>
        <w:rPr>
          <w:rFonts w:hint="eastAsia" w:ascii="宋体" w:hAnsi="宋体" w:cs="宋体"/>
          <w:kern w:val="0"/>
        </w:rPr>
        <w:t>年工厂化大生产规模堆肥，反复验证和修正参数，于2</w:t>
      </w:r>
      <w:r>
        <w:rPr>
          <w:rFonts w:ascii="宋体" w:hAnsi="宋体" w:cs="宋体"/>
          <w:kern w:val="0"/>
        </w:rPr>
        <w:t>023</w:t>
      </w:r>
      <w:r>
        <w:rPr>
          <w:rFonts w:hint="eastAsia" w:ascii="宋体" w:hAnsi="宋体" w:cs="宋体"/>
          <w:kern w:val="0"/>
        </w:rPr>
        <w:t>年1</w:t>
      </w:r>
      <w:r>
        <w:rPr>
          <w:rFonts w:ascii="宋体" w:hAnsi="宋体" w:cs="宋体"/>
          <w:kern w:val="0"/>
        </w:rPr>
        <w:t>2</w:t>
      </w:r>
      <w:r>
        <w:rPr>
          <w:rFonts w:hint="eastAsia" w:ascii="宋体" w:hAnsi="宋体" w:cs="宋体"/>
          <w:kern w:val="0"/>
        </w:rPr>
        <w:t>月形成草案</w:t>
      </w:r>
      <w:r>
        <w:rPr>
          <w:rFonts w:hint="eastAsia" w:ascii="宋体" w:hAnsi="宋体" w:cs="宋体"/>
          <w:color w:val="000000" w:themeColor="text1"/>
          <w:kern w:val="0"/>
          <w14:textFill>
            <w14:solidFill>
              <w14:schemeClr w14:val="tx1"/>
            </w14:solidFill>
          </w14:textFill>
        </w:rPr>
        <w:t>。随后</w:t>
      </w:r>
      <w:r>
        <w:rPr>
          <w:rFonts w:hint="eastAsia" w:ascii="宋体" w:hAnsi="宋体" w:cs="宋体"/>
          <w:kern w:val="0"/>
        </w:rPr>
        <w:t>，邀请有关专家座谈讨论，专家们提出了宝贵的意见和建议，标准起草组根据专家意见并充分讨论，20</w:t>
      </w:r>
      <w:r>
        <w:rPr>
          <w:rFonts w:ascii="宋体" w:hAnsi="宋体" w:cs="宋体"/>
          <w:kern w:val="0"/>
        </w:rPr>
        <w:t>23</w:t>
      </w:r>
      <w:r>
        <w:rPr>
          <w:rFonts w:hint="eastAsia" w:ascii="宋体" w:hAnsi="宋体" w:cs="宋体"/>
          <w:kern w:val="0"/>
        </w:rPr>
        <w:t>年1</w:t>
      </w:r>
      <w:r>
        <w:rPr>
          <w:rFonts w:ascii="宋体" w:hAnsi="宋体" w:cs="宋体"/>
          <w:kern w:val="0"/>
        </w:rPr>
        <w:t>0</w:t>
      </w:r>
      <w:r>
        <w:rPr>
          <w:rFonts w:hint="eastAsia" w:ascii="宋体" w:hAnsi="宋体" w:cs="宋体"/>
          <w:kern w:val="0"/>
        </w:rPr>
        <w:t>月制定标准征求意见稿。</w:t>
      </w:r>
    </w:p>
    <w:p>
      <w:pPr>
        <w:widowControl/>
        <w:ind w:firstLine="610" w:firstLineChars="218"/>
        <w:rPr>
          <w:rFonts w:ascii="宋体" w:hAnsi="宋体" w:cs="宋体"/>
          <w:kern w:val="0"/>
        </w:rPr>
      </w:pPr>
      <w:r>
        <w:rPr>
          <w:rFonts w:hint="eastAsia" w:ascii="宋体" w:hAnsi="宋体" w:cs="宋体"/>
          <w:kern w:val="0"/>
        </w:rPr>
        <w:t>3.3征求意见阶段</w:t>
      </w:r>
    </w:p>
    <w:p>
      <w:pPr>
        <w:widowControl/>
        <w:ind w:firstLine="610" w:firstLineChars="218"/>
        <w:rPr>
          <w:rFonts w:ascii="宋体" w:hAnsi="宋体" w:cs="宋体"/>
          <w:kern w:val="0"/>
        </w:rPr>
      </w:pPr>
      <w:r>
        <w:rPr>
          <w:rFonts w:hint="eastAsia" w:ascii="宋体" w:hAnsi="宋体" w:cs="宋体"/>
          <w:kern w:val="0"/>
        </w:rPr>
        <w:t>自20</w:t>
      </w:r>
      <w:r>
        <w:rPr>
          <w:rFonts w:ascii="宋体" w:hAnsi="宋体" w:cs="宋体"/>
          <w:kern w:val="0"/>
        </w:rPr>
        <w:t>23</w:t>
      </w:r>
      <w:r>
        <w:rPr>
          <w:rFonts w:hint="eastAsia" w:ascii="宋体" w:hAnsi="宋体" w:cs="宋体"/>
          <w:kern w:val="0"/>
        </w:rPr>
        <w:t>年1</w:t>
      </w:r>
      <w:r>
        <w:rPr>
          <w:rFonts w:ascii="宋体" w:hAnsi="宋体" w:cs="宋体"/>
          <w:kern w:val="0"/>
        </w:rPr>
        <w:t>2</w:t>
      </w:r>
      <w:r>
        <w:rPr>
          <w:rFonts w:hint="eastAsia" w:ascii="宋体" w:hAnsi="宋体" w:cs="宋体"/>
          <w:kern w:val="0"/>
        </w:rPr>
        <w:t>月起向陕西省耕地质量与农业环境保护工作站、西安市农业技术推广中心、西北农林科技大学园艺学院、西北农林科技大学资源环境学院、宝鸡市农业技术推广中心、咸阳市农业技术推广中心、杨凌区农业技术推广服务中心、青岛农业大学资源环境学院、榆林市农业技术推广中心等10位专家发出征求意见函，202</w:t>
      </w:r>
      <w:r>
        <w:rPr>
          <w:rFonts w:ascii="宋体" w:hAnsi="宋体" w:cs="宋体"/>
          <w:kern w:val="0"/>
        </w:rPr>
        <w:t>3</w:t>
      </w:r>
      <w:r>
        <w:rPr>
          <w:rFonts w:hint="eastAsia" w:ascii="宋体" w:hAnsi="宋体" w:cs="宋体"/>
          <w:kern w:val="0"/>
        </w:rPr>
        <w:t>年1</w:t>
      </w:r>
      <w:r>
        <w:rPr>
          <w:rFonts w:ascii="宋体" w:hAnsi="宋体" w:cs="宋体"/>
          <w:kern w:val="0"/>
        </w:rPr>
        <w:t>2</w:t>
      </w:r>
      <w:r>
        <w:rPr>
          <w:rFonts w:hint="eastAsia" w:ascii="宋体" w:hAnsi="宋体" w:cs="宋体"/>
          <w:kern w:val="0"/>
        </w:rPr>
        <w:t>月底收到专家反馈意见。专家们对标准1</w:t>
      </w:r>
      <w:r>
        <w:rPr>
          <w:rFonts w:ascii="宋体" w:hAnsi="宋体" w:cs="宋体"/>
          <w:kern w:val="0"/>
        </w:rPr>
        <w:t>5</w:t>
      </w:r>
      <w:r>
        <w:rPr>
          <w:rFonts w:hint="eastAsia" w:ascii="宋体" w:hAnsi="宋体" w:cs="宋体"/>
          <w:kern w:val="0"/>
        </w:rPr>
        <w:t>个问题提出了1</w:t>
      </w:r>
      <w:r>
        <w:rPr>
          <w:rFonts w:ascii="宋体" w:hAnsi="宋体" w:cs="宋体"/>
          <w:kern w:val="0"/>
        </w:rPr>
        <w:t>6</w:t>
      </w:r>
      <w:r>
        <w:rPr>
          <w:rFonts w:hint="eastAsia" w:ascii="宋体" w:hAnsi="宋体" w:cs="宋体"/>
          <w:kern w:val="0"/>
        </w:rPr>
        <w:t>条修改意见，整理后形成汇总表。针对专家提出的修改建议或意见，标准起草工作组认真分析、查阅文献和反复讨论，其中</w:t>
      </w:r>
      <w:r>
        <w:rPr>
          <w:rFonts w:hint="eastAsia" w:ascii="宋体" w:hAnsi="宋体" w:cs="宋体"/>
          <w:color w:val="auto"/>
          <w:kern w:val="0"/>
        </w:rPr>
        <w:t>1</w:t>
      </w:r>
      <w:r>
        <w:rPr>
          <w:rFonts w:ascii="宋体" w:hAnsi="宋体" w:cs="宋体"/>
          <w:color w:val="auto"/>
          <w:kern w:val="0"/>
        </w:rPr>
        <w:t>0</w:t>
      </w:r>
      <w:r>
        <w:rPr>
          <w:rFonts w:hint="eastAsia" w:ascii="宋体" w:hAnsi="宋体" w:cs="宋体"/>
          <w:color w:val="auto"/>
          <w:kern w:val="0"/>
        </w:rPr>
        <w:t>条全部采纳，2条部分采纳，4条</w:t>
      </w:r>
      <w:r>
        <w:rPr>
          <w:rFonts w:hint="eastAsia" w:ascii="宋体" w:hAnsi="宋体" w:cs="宋体"/>
          <w:kern w:val="0"/>
        </w:rPr>
        <w:t>未采纳，最终形成了《蔬菜收获秸秆超高温堆肥技术规程》送审稿及其编制说明。</w:t>
      </w:r>
    </w:p>
    <w:p>
      <w:pPr>
        <w:widowControl/>
        <w:ind w:firstLine="610" w:firstLineChars="218"/>
        <w:rPr>
          <w:rFonts w:ascii="宋体" w:hAnsi="宋体" w:cs="宋体"/>
          <w:kern w:val="0"/>
        </w:rPr>
      </w:pPr>
      <w:r>
        <w:rPr>
          <w:rFonts w:hint="eastAsia" w:ascii="宋体" w:hAnsi="宋体" w:cs="宋体"/>
          <w:kern w:val="0"/>
        </w:rPr>
        <w:t>对于反馈的未被采纳的意见，工作组联系了对应的专家，就未被采纳理由进行了说明的探讨，征得了专家们的理解和支持。</w:t>
      </w:r>
    </w:p>
    <w:p>
      <w:pPr>
        <w:widowControl/>
        <w:ind w:firstLine="610" w:firstLineChars="218"/>
        <w:rPr>
          <w:rFonts w:ascii="宋体" w:hAnsi="宋体" w:cs="宋体"/>
          <w:kern w:val="0"/>
        </w:rPr>
      </w:pPr>
      <w:r>
        <w:rPr>
          <w:rFonts w:hint="eastAsia" w:ascii="宋体" w:hAnsi="宋体" w:cs="宋体"/>
          <w:kern w:val="0"/>
        </w:rPr>
        <w:t>20</w:t>
      </w:r>
      <w:r>
        <w:rPr>
          <w:rFonts w:ascii="宋体" w:hAnsi="宋体" w:cs="宋体"/>
          <w:kern w:val="0"/>
        </w:rPr>
        <w:t>24</w:t>
      </w:r>
      <w:r>
        <w:rPr>
          <w:rFonts w:hint="eastAsia" w:ascii="宋体" w:hAnsi="宋体" w:cs="宋体"/>
          <w:kern w:val="0"/>
        </w:rPr>
        <w:t>年1月再次讨论修改后于4月形成了标准审查稿。2</w:t>
      </w:r>
      <w:r>
        <w:rPr>
          <w:rFonts w:ascii="宋体" w:hAnsi="宋体" w:cs="宋体"/>
          <w:kern w:val="0"/>
        </w:rPr>
        <w:t>0</w:t>
      </w:r>
      <w:r>
        <w:rPr>
          <w:rFonts w:hint="eastAsia" w:ascii="宋体" w:hAnsi="宋体" w:cs="宋体"/>
          <w:kern w:val="0"/>
        </w:rPr>
        <w:t>2</w:t>
      </w:r>
      <w:r>
        <w:rPr>
          <w:rFonts w:ascii="宋体" w:hAnsi="宋体" w:cs="宋体"/>
          <w:kern w:val="0"/>
        </w:rPr>
        <w:t>4</w:t>
      </w:r>
      <w:r>
        <w:rPr>
          <w:rFonts w:hint="eastAsia" w:ascii="宋体" w:hAnsi="宋体" w:cs="宋体"/>
          <w:kern w:val="0"/>
        </w:rPr>
        <w:t>年4月15，最终形成</w:t>
      </w:r>
      <w:r>
        <w:rPr>
          <w:rFonts w:hint="eastAsia"/>
          <w:bCs/>
          <w:color w:val="464646"/>
        </w:rPr>
        <w:t>地方标准送审稿，并委托进行</w:t>
      </w:r>
      <w:r>
        <w:rPr>
          <w:rFonts w:hint="eastAsia" w:ascii="宋体" w:hAnsi="宋体" w:cs="宋体"/>
          <w:kern w:val="0"/>
        </w:rPr>
        <w:t>标准查新</w:t>
      </w:r>
      <w:r>
        <w:rPr>
          <w:rFonts w:hint="eastAsia"/>
          <w:bCs/>
          <w:color w:val="464646"/>
        </w:rPr>
        <w:t>。</w:t>
      </w:r>
    </w:p>
    <w:p>
      <w:pPr>
        <w:widowControl/>
        <w:ind w:firstLine="610" w:firstLineChars="218"/>
        <w:rPr>
          <w:rFonts w:ascii="宋体" w:hAnsi="宋体" w:cs="宋体"/>
          <w:kern w:val="0"/>
        </w:rPr>
      </w:pPr>
    </w:p>
    <w:p>
      <w:pPr>
        <w:widowControl/>
        <w:ind w:firstLine="610" w:firstLineChars="218"/>
        <w:rPr>
          <w:rFonts w:ascii="宋体" w:hAnsi="宋体" w:cs="宋体"/>
          <w:kern w:val="0"/>
        </w:rPr>
      </w:pPr>
    </w:p>
    <w:p>
      <w:pPr>
        <w:widowControl/>
        <w:ind w:firstLine="610" w:firstLineChars="218"/>
        <w:rPr>
          <w:rFonts w:ascii="宋体" w:hAnsi="宋体" w:cs="宋体"/>
          <w:kern w:val="0"/>
        </w:rPr>
      </w:pPr>
      <w:r>
        <w:rPr>
          <w:rFonts w:hint="eastAsia" w:ascii="宋体" w:hAnsi="宋体" w:cs="宋体"/>
          <w:kern w:val="0"/>
        </w:rPr>
        <w:t>4、</w:t>
      </w:r>
      <w:r>
        <w:rPr>
          <w:rFonts w:ascii="宋体" w:hAnsi="宋体" w:cs="宋体"/>
          <w:color w:val="auto"/>
          <w:kern w:val="0"/>
        </w:rPr>
        <w:t>起草组组</w:t>
      </w:r>
      <w:r>
        <w:rPr>
          <w:rFonts w:ascii="宋体" w:hAnsi="宋体" w:cs="宋体"/>
          <w:kern w:val="0"/>
        </w:rPr>
        <w:t>成成员及其所做的主要工作</w:t>
      </w:r>
      <w:r>
        <w:rPr>
          <w:rFonts w:hint="eastAsia" w:ascii="宋体" w:hAnsi="宋体" w:cs="宋体"/>
          <w:kern w:val="0"/>
        </w:rPr>
        <w:t>如下：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4435"/>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089" w:type="dxa"/>
            <w:shd w:val="clear" w:color="auto" w:fill="auto"/>
          </w:tcPr>
          <w:p>
            <w:pPr>
              <w:widowControl/>
              <w:spacing w:line="480" w:lineRule="auto"/>
              <w:rPr>
                <w:rFonts w:ascii="宋体" w:hAnsi="宋体" w:cs="宋体"/>
                <w:kern w:val="0"/>
                <w:sz w:val="24"/>
              </w:rPr>
            </w:pPr>
            <w:r>
              <w:rPr>
                <w:rFonts w:hint="eastAsia" w:ascii="宋体" w:hAnsi="宋体" w:cs="宋体"/>
                <w:kern w:val="0"/>
                <w:sz w:val="24"/>
              </w:rPr>
              <w:t>姓名</w:t>
            </w:r>
          </w:p>
        </w:tc>
        <w:tc>
          <w:tcPr>
            <w:tcW w:w="4435" w:type="dxa"/>
            <w:shd w:val="clear" w:color="auto" w:fill="auto"/>
          </w:tcPr>
          <w:p>
            <w:pPr>
              <w:widowControl/>
              <w:spacing w:line="480" w:lineRule="auto"/>
              <w:rPr>
                <w:rFonts w:ascii="宋体" w:hAnsi="宋体" w:cs="宋体"/>
                <w:kern w:val="0"/>
                <w:sz w:val="24"/>
              </w:rPr>
            </w:pPr>
            <w:r>
              <w:rPr>
                <w:rFonts w:hint="eastAsia" w:ascii="宋体" w:hAnsi="宋体" w:cs="宋体"/>
                <w:kern w:val="0"/>
                <w:sz w:val="24"/>
              </w:rPr>
              <w:t>工作单位</w:t>
            </w:r>
          </w:p>
        </w:tc>
        <w:tc>
          <w:tcPr>
            <w:tcW w:w="3402" w:type="dxa"/>
            <w:shd w:val="clear" w:color="auto" w:fill="auto"/>
          </w:tcPr>
          <w:p>
            <w:pPr>
              <w:widowControl/>
              <w:spacing w:line="480" w:lineRule="auto"/>
              <w:rPr>
                <w:rFonts w:ascii="宋体" w:hAnsi="宋体" w:cs="宋体"/>
                <w:kern w:val="0"/>
                <w:sz w:val="24"/>
              </w:rPr>
            </w:pPr>
            <w:r>
              <w:rPr>
                <w:rFonts w:hint="eastAsia" w:ascii="宋体" w:hAnsi="宋体" w:cs="宋体"/>
                <w:kern w:val="0"/>
                <w:sz w:val="24"/>
              </w:rPr>
              <w:t>所做的主要工作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shd w:val="clear" w:color="auto" w:fill="auto"/>
          </w:tcPr>
          <w:p>
            <w:pPr>
              <w:widowControl/>
              <w:spacing w:line="480" w:lineRule="auto"/>
              <w:rPr>
                <w:rFonts w:ascii="宋体" w:hAnsi="宋体" w:cs="宋体"/>
                <w:kern w:val="0"/>
                <w:sz w:val="24"/>
              </w:rPr>
            </w:pPr>
            <w:r>
              <w:rPr>
                <w:rFonts w:hint="eastAsia" w:ascii="宋体" w:hAnsi="宋体" w:cs="宋体"/>
                <w:kern w:val="0"/>
                <w:sz w:val="24"/>
              </w:rPr>
              <w:t>陈竹君</w:t>
            </w:r>
          </w:p>
        </w:tc>
        <w:tc>
          <w:tcPr>
            <w:tcW w:w="4435" w:type="dxa"/>
            <w:shd w:val="clear" w:color="auto" w:fill="auto"/>
          </w:tcPr>
          <w:p>
            <w:pPr>
              <w:widowControl/>
              <w:spacing w:line="480" w:lineRule="auto"/>
              <w:rPr>
                <w:rFonts w:ascii="宋体" w:hAnsi="宋体" w:cs="宋体"/>
                <w:kern w:val="0"/>
                <w:sz w:val="24"/>
              </w:rPr>
            </w:pPr>
            <w:r>
              <w:rPr>
                <w:rFonts w:hint="eastAsia" w:ascii="宋体" w:hAnsi="宋体" w:cs="宋体"/>
                <w:kern w:val="0"/>
                <w:sz w:val="24"/>
              </w:rPr>
              <w:t>西北农林科技大学资源环境学院</w:t>
            </w:r>
          </w:p>
        </w:tc>
        <w:tc>
          <w:tcPr>
            <w:tcW w:w="3402" w:type="dxa"/>
            <w:shd w:val="clear" w:color="auto" w:fill="auto"/>
          </w:tcPr>
          <w:p>
            <w:pPr>
              <w:widowControl/>
              <w:spacing w:line="480" w:lineRule="auto"/>
              <w:rPr>
                <w:rFonts w:ascii="宋体" w:hAnsi="宋体" w:cs="宋体"/>
                <w:kern w:val="0"/>
                <w:sz w:val="24"/>
              </w:rPr>
            </w:pPr>
            <w:r>
              <w:rPr>
                <w:rFonts w:hint="eastAsia" w:ascii="宋体" w:hAnsi="宋体" w:cs="宋体"/>
                <w:kern w:val="0"/>
                <w:sz w:val="24"/>
              </w:rPr>
              <w:t>项目总负责，标准起草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shd w:val="clear" w:color="auto" w:fill="auto"/>
          </w:tcPr>
          <w:p>
            <w:pPr>
              <w:widowControl/>
              <w:spacing w:line="480" w:lineRule="auto"/>
              <w:rPr>
                <w:rFonts w:ascii="宋体" w:hAnsi="宋体" w:cs="宋体"/>
                <w:kern w:val="0"/>
                <w:sz w:val="24"/>
              </w:rPr>
            </w:pPr>
            <w:r>
              <w:rPr>
                <w:rFonts w:hint="eastAsia" w:ascii="宋体" w:hAnsi="宋体" w:cs="宋体"/>
                <w:kern w:val="0"/>
                <w:sz w:val="24"/>
              </w:rPr>
              <w:t>蔡苗</w:t>
            </w:r>
          </w:p>
        </w:tc>
        <w:tc>
          <w:tcPr>
            <w:tcW w:w="4435" w:type="dxa"/>
            <w:shd w:val="clear" w:color="auto" w:fill="auto"/>
          </w:tcPr>
          <w:p>
            <w:pPr>
              <w:widowControl/>
              <w:spacing w:line="480" w:lineRule="auto"/>
              <w:rPr>
                <w:rFonts w:ascii="宋体" w:hAnsi="宋体" w:cs="宋体"/>
                <w:kern w:val="0"/>
                <w:sz w:val="24"/>
              </w:rPr>
            </w:pPr>
            <w:r>
              <w:rPr>
                <w:rFonts w:hint="eastAsia" w:ascii="宋体" w:hAnsi="宋体" w:cs="宋体"/>
                <w:kern w:val="0"/>
                <w:sz w:val="24"/>
                <w:szCs w:val="24"/>
              </w:rPr>
              <w:t>西安市农业技术推广中心</w:t>
            </w:r>
          </w:p>
        </w:tc>
        <w:tc>
          <w:tcPr>
            <w:tcW w:w="3402" w:type="dxa"/>
            <w:shd w:val="clear" w:color="auto" w:fill="auto"/>
          </w:tcPr>
          <w:p>
            <w:pPr>
              <w:widowControl/>
              <w:spacing w:line="480" w:lineRule="auto"/>
              <w:rPr>
                <w:rFonts w:ascii="宋体" w:hAnsi="宋体" w:cs="宋体"/>
                <w:kern w:val="0"/>
                <w:sz w:val="24"/>
              </w:rPr>
            </w:pPr>
            <w:r>
              <w:rPr>
                <w:rFonts w:hint="eastAsia" w:ascii="宋体" w:hAnsi="宋体" w:cs="宋体"/>
                <w:kern w:val="0"/>
                <w:sz w:val="24"/>
              </w:rPr>
              <w:t>标准起草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shd w:val="clear" w:color="auto" w:fill="auto"/>
          </w:tcPr>
          <w:p>
            <w:pPr>
              <w:widowControl/>
              <w:spacing w:line="480" w:lineRule="auto"/>
              <w:rPr>
                <w:rFonts w:ascii="宋体" w:hAnsi="宋体" w:cs="宋体"/>
                <w:kern w:val="0"/>
                <w:sz w:val="24"/>
              </w:rPr>
            </w:pPr>
            <w:r>
              <w:rPr>
                <w:rFonts w:hint="eastAsia" w:ascii="宋体" w:hAnsi="宋体" w:cs="宋体"/>
                <w:kern w:val="0"/>
                <w:sz w:val="24"/>
              </w:rPr>
              <w:t>王晓荣</w:t>
            </w:r>
          </w:p>
        </w:tc>
        <w:tc>
          <w:tcPr>
            <w:tcW w:w="4435" w:type="dxa"/>
            <w:shd w:val="clear" w:color="auto" w:fill="auto"/>
          </w:tcPr>
          <w:p>
            <w:pPr>
              <w:widowControl/>
              <w:rPr>
                <w:rFonts w:ascii="宋体" w:hAnsi="宋体" w:cs="宋体"/>
                <w:kern w:val="0"/>
                <w:sz w:val="24"/>
                <w:szCs w:val="24"/>
              </w:rPr>
            </w:pPr>
            <w:r>
              <w:rPr>
                <w:rFonts w:hint="eastAsia" w:ascii="宋体" w:hAnsi="宋体" w:cs="宋体"/>
                <w:kern w:val="0"/>
                <w:sz w:val="24"/>
                <w:szCs w:val="24"/>
              </w:rPr>
              <w:t>西安市阎良区农产品质量安全检验监测中心</w:t>
            </w:r>
          </w:p>
        </w:tc>
        <w:tc>
          <w:tcPr>
            <w:tcW w:w="3402" w:type="dxa"/>
            <w:shd w:val="clear" w:color="auto" w:fill="auto"/>
          </w:tcPr>
          <w:p>
            <w:pPr>
              <w:widowControl/>
              <w:spacing w:line="480" w:lineRule="auto"/>
              <w:rPr>
                <w:rFonts w:ascii="宋体" w:hAnsi="宋体" w:cs="宋体"/>
                <w:kern w:val="0"/>
                <w:sz w:val="24"/>
              </w:rPr>
            </w:pPr>
            <w:r>
              <w:rPr>
                <w:rFonts w:hint="eastAsia" w:ascii="宋体" w:hAnsi="宋体" w:cs="宋体"/>
                <w:kern w:val="0"/>
                <w:sz w:val="24"/>
              </w:rPr>
              <w:t>标准起草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shd w:val="clear" w:color="auto" w:fill="auto"/>
          </w:tcPr>
          <w:p>
            <w:pPr>
              <w:widowControl/>
              <w:spacing w:line="480" w:lineRule="auto"/>
              <w:rPr>
                <w:rFonts w:ascii="宋体" w:hAnsi="宋体" w:cs="宋体"/>
                <w:kern w:val="0"/>
                <w:sz w:val="24"/>
              </w:rPr>
            </w:pPr>
            <w:r>
              <w:rPr>
                <w:rFonts w:hint="eastAsia" w:ascii="宋体" w:hAnsi="宋体" w:cs="宋体"/>
                <w:kern w:val="0"/>
                <w:sz w:val="24"/>
              </w:rPr>
              <w:t>刘瑞</w:t>
            </w:r>
          </w:p>
        </w:tc>
        <w:tc>
          <w:tcPr>
            <w:tcW w:w="4435" w:type="dxa"/>
            <w:shd w:val="clear" w:color="auto" w:fill="auto"/>
          </w:tcPr>
          <w:p>
            <w:pPr>
              <w:widowControl/>
              <w:spacing w:line="480" w:lineRule="auto"/>
              <w:rPr>
                <w:rFonts w:ascii="宋体" w:hAnsi="宋体" w:cs="宋体"/>
                <w:kern w:val="0"/>
                <w:sz w:val="24"/>
              </w:rPr>
            </w:pPr>
            <w:r>
              <w:rPr>
                <w:rFonts w:hint="eastAsia" w:ascii="宋体" w:hAnsi="宋体" w:cs="宋体"/>
                <w:kern w:val="0"/>
                <w:sz w:val="24"/>
                <w:szCs w:val="24"/>
              </w:rPr>
              <w:t>宝鸡市农业技术推广中心</w:t>
            </w:r>
          </w:p>
        </w:tc>
        <w:tc>
          <w:tcPr>
            <w:tcW w:w="3402" w:type="dxa"/>
            <w:shd w:val="clear" w:color="auto" w:fill="auto"/>
          </w:tcPr>
          <w:p>
            <w:pPr>
              <w:widowControl/>
              <w:spacing w:line="480" w:lineRule="auto"/>
              <w:rPr>
                <w:rFonts w:ascii="宋体" w:hAnsi="宋体" w:cs="宋体"/>
                <w:kern w:val="0"/>
                <w:sz w:val="24"/>
              </w:rPr>
            </w:pPr>
            <w:r>
              <w:rPr>
                <w:rFonts w:hint="eastAsia" w:ascii="宋体" w:hAnsi="宋体" w:cs="宋体"/>
                <w:kern w:val="0"/>
                <w:sz w:val="24"/>
              </w:rPr>
              <w:t>标准起草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shd w:val="clear" w:color="auto" w:fill="auto"/>
          </w:tcPr>
          <w:p>
            <w:pPr>
              <w:widowControl/>
              <w:spacing w:line="480" w:lineRule="auto"/>
              <w:rPr>
                <w:rFonts w:ascii="宋体" w:hAnsi="宋体" w:cs="宋体"/>
                <w:kern w:val="0"/>
                <w:sz w:val="24"/>
              </w:rPr>
            </w:pPr>
            <w:r>
              <w:rPr>
                <w:rFonts w:hint="eastAsia" w:ascii="宋体" w:hAnsi="宋体" w:cs="宋体"/>
                <w:kern w:val="0"/>
                <w:sz w:val="24"/>
              </w:rPr>
              <w:t>赵伟</w:t>
            </w:r>
          </w:p>
        </w:tc>
        <w:tc>
          <w:tcPr>
            <w:tcW w:w="4435" w:type="dxa"/>
            <w:shd w:val="clear" w:color="auto" w:fill="auto"/>
          </w:tcPr>
          <w:p>
            <w:pPr>
              <w:widowControl/>
              <w:spacing w:line="480" w:lineRule="auto"/>
              <w:rPr>
                <w:rFonts w:ascii="宋体" w:hAnsi="宋体" w:cs="宋体"/>
                <w:kern w:val="0"/>
                <w:sz w:val="24"/>
              </w:rPr>
            </w:pPr>
            <w:r>
              <w:rPr>
                <w:rFonts w:hint="eastAsia" w:ascii="宋体" w:hAnsi="宋体" w:cs="宋体"/>
                <w:kern w:val="0"/>
                <w:sz w:val="24"/>
                <w:szCs w:val="24"/>
              </w:rPr>
              <w:t>渭南市农业技术推广中心</w:t>
            </w:r>
          </w:p>
        </w:tc>
        <w:tc>
          <w:tcPr>
            <w:tcW w:w="3402" w:type="dxa"/>
            <w:shd w:val="clear" w:color="auto" w:fill="auto"/>
          </w:tcPr>
          <w:p>
            <w:pPr>
              <w:widowControl/>
              <w:spacing w:line="480" w:lineRule="auto"/>
              <w:rPr>
                <w:rFonts w:ascii="宋体" w:hAnsi="宋体" w:cs="宋体"/>
                <w:kern w:val="0"/>
                <w:sz w:val="24"/>
              </w:rPr>
            </w:pPr>
            <w:r>
              <w:rPr>
                <w:rFonts w:hint="eastAsia" w:ascii="宋体" w:hAnsi="宋体" w:cs="宋体"/>
                <w:kern w:val="0"/>
                <w:sz w:val="24"/>
              </w:rPr>
              <w:t>标准起草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shd w:val="clear" w:color="auto" w:fill="auto"/>
          </w:tcPr>
          <w:p>
            <w:pPr>
              <w:widowControl/>
              <w:spacing w:line="480" w:lineRule="auto"/>
              <w:rPr>
                <w:rFonts w:ascii="宋体" w:hAnsi="宋体" w:cs="宋体"/>
                <w:kern w:val="0"/>
                <w:sz w:val="24"/>
              </w:rPr>
            </w:pPr>
            <w:r>
              <w:rPr>
                <w:rFonts w:hint="eastAsia" w:ascii="宋体" w:hAnsi="宋体" w:cs="宋体"/>
                <w:kern w:val="0"/>
                <w:sz w:val="24"/>
              </w:rPr>
              <w:t>孙明星</w:t>
            </w:r>
          </w:p>
        </w:tc>
        <w:tc>
          <w:tcPr>
            <w:tcW w:w="4435" w:type="dxa"/>
            <w:shd w:val="clear" w:color="auto" w:fill="auto"/>
          </w:tcPr>
          <w:p>
            <w:pPr>
              <w:widowControl/>
              <w:rPr>
                <w:rFonts w:ascii="宋体" w:hAnsi="宋体" w:cs="宋体"/>
                <w:kern w:val="0"/>
                <w:sz w:val="24"/>
              </w:rPr>
            </w:pPr>
            <w:r>
              <w:rPr>
                <w:rFonts w:hint="eastAsia" w:ascii="宋体" w:hAnsi="宋体" w:cs="宋体"/>
                <w:kern w:val="0"/>
                <w:sz w:val="24"/>
                <w:szCs w:val="24"/>
              </w:rPr>
              <w:t>西安市阎良区农产品质量安全检验监测中心</w:t>
            </w:r>
          </w:p>
        </w:tc>
        <w:tc>
          <w:tcPr>
            <w:tcW w:w="3402" w:type="dxa"/>
            <w:shd w:val="clear" w:color="auto" w:fill="auto"/>
          </w:tcPr>
          <w:p>
            <w:pPr>
              <w:widowControl/>
              <w:spacing w:line="480" w:lineRule="auto"/>
              <w:rPr>
                <w:rFonts w:ascii="宋体" w:hAnsi="宋体" w:cs="宋体"/>
                <w:kern w:val="0"/>
                <w:sz w:val="24"/>
              </w:rPr>
            </w:pPr>
            <w:r>
              <w:rPr>
                <w:rFonts w:hint="eastAsia" w:ascii="宋体" w:hAnsi="宋体" w:cs="宋体"/>
                <w:kern w:val="0"/>
                <w:sz w:val="24"/>
              </w:rPr>
              <w:t>意见征集及答复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shd w:val="clear" w:color="auto" w:fill="auto"/>
          </w:tcPr>
          <w:p>
            <w:pPr>
              <w:widowControl/>
              <w:spacing w:line="480" w:lineRule="auto"/>
              <w:rPr>
                <w:rFonts w:ascii="宋体" w:hAnsi="宋体" w:cs="宋体"/>
                <w:kern w:val="0"/>
                <w:sz w:val="24"/>
              </w:rPr>
            </w:pPr>
            <w:r>
              <w:rPr>
                <w:rFonts w:hint="eastAsia" w:ascii="宋体" w:hAnsi="宋体" w:cs="宋体"/>
                <w:kern w:val="0"/>
                <w:sz w:val="24"/>
              </w:rPr>
              <w:t>周建斌</w:t>
            </w:r>
          </w:p>
        </w:tc>
        <w:tc>
          <w:tcPr>
            <w:tcW w:w="4435" w:type="dxa"/>
            <w:shd w:val="clear" w:color="auto" w:fill="auto"/>
          </w:tcPr>
          <w:p>
            <w:pPr>
              <w:widowControl/>
              <w:spacing w:line="480" w:lineRule="auto"/>
              <w:rPr>
                <w:rFonts w:ascii="宋体" w:hAnsi="宋体" w:cs="宋体"/>
                <w:kern w:val="0"/>
                <w:sz w:val="24"/>
              </w:rPr>
            </w:pPr>
            <w:r>
              <w:rPr>
                <w:rFonts w:hint="eastAsia" w:ascii="宋体" w:hAnsi="宋体" w:cs="宋体"/>
                <w:kern w:val="0"/>
                <w:sz w:val="24"/>
              </w:rPr>
              <w:t>西北农林科技大学</w:t>
            </w:r>
          </w:p>
        </w:tc>
        <w:tc>
          <w:tcPr>
            <w:tcW w:w="3402" w:type="dxa"/>
            <w:shd w:val="clear" w:color="auto" w:fill="auto"/>
          </w:tcPr>
          <w:p>
            <w:pPr>
              <w:widowControl/>
              <w:spacing w:line="480" w:lineRule="auto"/>
              <w:rPr>
                <w:rFonts w:ascii="宋体" w:hAnsi="宋体" w:cs="宋体"/>
                <w:kern w:val="0"/>
                <w:sz w:val="24"/>
              </w:rPr>
            </w:pPr>
            <w:r>
              <w:rPr>
                <w:rFonts w:hint="eastAsia" w:ascii="宋体" w:hAnsi="宋体" w:cs="宋体"/>
                <w:kern w:val="0"/>
                <w:sz w:val="24"/>
              </w:rPr>
              <w:t>标准起草、意见征集及汇总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shd w:val="clear" w:color="auto" w:fill="auto"/>
          </w:tcPr>
          <w:p>
            <w:pPr>
              <w:widowControl/>
              <w:spacing w:line="480" w:lineRule="auto"/>
              <w:rPr>
                <w:rFonts w:ascii="宋体" w:hAnsi="宋体" w:cs="宋体"/>
                <w:kern w:val="0"/>
                <w:sz w:val="24"/>
              </w:rPr>
            </w:pPr>
            <w:r>
              <w:rPr>
                <w:rFonts w:hint="eastAsia" w:ascii="宋体" w:hAnsi="宋体" w:cs="宋体"/>
                <w:kern w:val="0"/>
                <w:sz w:val="24"/>
              </w:rPr>
              <w:t>周永明</w:t>
            </w:r>
          </w:p>
        </w:tc>
        <w:tc>
          <w:tcPr>
            <w:tcW w:w="4435" w:type="dxa"/>
            <w:shd w:val="clear" w:color="auto" w:fill="auto"/>
          </w:tcPr>
          <w:p>
            <w:pPr>
              <w:widowControl/>
              <w:spacing w:line="480" w:lineRule="auto"/>
              <w:rPr>
                <w:rFonts w:ascii="宋体" w:hAnsi="宋体" w:cs="宋体"/>
                <w:kern w:val="0"/>
                <w:sz w:val="24"/>
              </w:rPr>
            </w:pPr>
            <w:r>
              <w:rPr>
                <w:rFonts w:hint="eastAsia" w:ascii="宋体" w:hAnsi="宋体" w:cs="宋体"/>
                <w:kern w:val="0"/>
                <w:sz w:val="24"/>
                <w:szCs w:val="24"/>
              </w:rPr>
              <w:t>杨凌现代农业产业标准化推广服务中心</w:t>
            </w:r>
          </w:p>
        </w:tc>
        <w:tc>
          <w:tcPr>
            <w:tcW w:w="3402" w:type="dxa"/>
            <w:shd w:val="clear" w:color="auto" w:fill="auto"/>
          </w:tcPr>
          <w:p>
            <w:pPr>
              <w:widowControl/>
              <w:spacing w:line="480" w:lineRule="auto"/>
              <w:rPr>
                <w:rFonts w:ascii="宋体" w:hAnsi="宋体" w:cs="宋体"/>
                <w:kern w:val="0"/>
                <w:sz w:val="24"/>
              </w:rPr>
            </w:pPr>
            <w:r>
              <w:rPr>
                <w:rFonts w:hint="eastAsia" w:ascii="宋体" w:hAnsi="宋体" w:cs="宋体"/>
                <w:kern w:val="0"/>
                <w:sz w:val="24"/>
              </w:rPr>
              <w:t>完善标准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shd w:val="clear" w:color="auto" w:fill="auto"/>
          </w:tcPr>
          <w:p>
            <w:pPr>
              <w:widowControl/>
              <w:spacing w:line="480" w:lineRule="auto"/>
              <w:rPr>
                <w:rFonts w:ascii="宋体" w:hAnsi="宋体" w:cs="宋体"/>
                <w:kern w:val="0"/>
                <w:sz w:val="24"/>
              </w:rPr>
            </w:pPr>
            <w:r>
              <w:rPr>
                <w:rFonts w:hint="eastAsia" w:ascii="宋体" w:hAnsi="宋体" w:cs="宋体"/>
                <w:kern w:val="0"/>
                <w:sz w:val="24"/>
              </w:rPr>
              <w:t>马伟凯</w:t>
            </w:r>
          </w:p>
        </w:tc>
        <w:tc>
          <w:tcPr>
            <w:tcW w:w="4435" w:type="dxa"/>
            <w:shd w:val="clear" w:color="auto" w:fill="auto"/>
          </w:tcPr>
          <w:p>
            <w:pPr>
              <w:widowControl/>
              <w:spacing w:line="480" w:lineRule="auto"/>
              <w:rPr>
                <w:rFonts w:ascii="宋体" w:hAnsi="宋体" w:cs="宋体"/>
                <w:kern w:val="0"/>
                <w:sz w:val="24"/>
              </w:rPr>
            </w:pPr>
            <w:r>
              <w:rPr>
                <w:rFonts w:hint="eastAsia" w:ascii="宋体" w:hAnsi="宋体" w:cs="宋体"/>
                <w:kern w:val="0"/>
                <w:sz w:val="24"/>
                <w:szCs w:val="24"/>
              </w:rPr>
              <w:t>杨凌康照农业开发有限公司</w:t>
            </w:r>
          </w:p>
        </w:tc>
        <w:tc>
          <w:tcPr>
            <w:tcW w:w="3402" w:type="dxa"/>
            <w:shd w:val="clear" w:color="auto" w:fill="auto"/>
            <w:vAlign w:val="center"/>
          </w:tcPr>
          <w:p>
            <w:pPr>
              <w:widowControl/>
              <w:rPr>
                <w:rFonts w:ascii="宋体" w:hAnsi="宋体" w:cs="宋体"/>
                <w:kern w:val="0"/>
                <w:sz w:val="24"/>
              </w:rPr>
            </w:pPr>
            <w:r>
              <w:rPr>
                <w:rFonts w:hint="eastAsia" w:ascii="宋体" w:hAnsi="宋体" w:cs="宋体"/>
                <w:kern w:val="0"/>
                <w:sz w:val="24"/>
              </w:rPr>
              <w:t>有关标准内容试验研究及验证</w:t>
            </w:r>
          </w:p>
        </w:tc>
      </w:tr>
    </w:tbl>
    <w:p>
      <w:pPr>
        <w:widowControl/>
        <w:ind w:firstLine="697" w:firstLineChars="218"/>
        <w:rPr>
          <w:rFonts w:ascii="宋体" w:hAnsi="宋体" w:cs="宋体"/>
          <w:kern w:val="0"/>
          <w:sz w:val="32"/>
          <w:szCs w:val="32"/>
        </w:rPr>
      </w:pPr>
      <w:r>
        <w:rPr>
          <w:rFonts w:ascii="宋体" w:hAnsi="宋体" w:cs="宋体"/>
          <w:kern w:val="0"/>
          <w:sz w:val="32"/>
          <w:szCs w:val="32"/>
        </w:rPr>
        <w:t>二、标准编制原则和确定标准主要内容：包括技术指标、参数、公式、性能要求、试验方法、检验规则等的依据（包括试验、统计数据）；地方标准修订项目还应当列出和原标准主要差异情况；</w:t>
      </w:r>
    </w:p>
    <w:p>
      <w:pPr>
        <w:widowControl/>
        <w:ind w:firstLine="610" w:firstLineChars="218"/>
        <w:rPr>
          <w:rFonts w:ascii="宋体" w:hAnsi="宋体"/>
        </w:rPr>
      </w:pPr>
      <w:r>
        <w:rPr>
          <w:rFonts w:hint="eastAsia" w:ascii="宋体" w:hAnsi="宋体"/>
        </w:rPr>
        <w:t>蔬菜收获秸秆超高温技术以农业废弃物“减量化、资源化、无害化”为原则，标准制定的原则是根据生产实际中影响蔬菜秸秆堆肥、堆肥产品利用中存在问题，立足解决问题的具体措施、技术参数和指标明确、科学规范、操作性强。</w:t>
      </w:r>
    </w:p>
    <w:p>
      <w:pPr>
        <w:widowControl/>
        <w:ind w:firstLine="610" w:firstLineChars="218"/>
        <w:rPr>
          <w:rFonts w:ascii="宋体" w:hAnsi="宋体"/>
        </w:rPr>
      </w:pPr>
      <w:r>
        <w:rPr>
          <w:rFonts w:hint="eastAsia" w:ascii="宋体" w:hAnsi="宋体"/>
        </w:rPr>
        <w:t>蔬菜废弃物超高温堆肥处理技术的核心技术是通过调控初始物料C</w:t>
      </w:r>
      <w:r>
        <w:rPr>
          <w:rFonts w:ascii="宋体" w:hAnsi="宋体"/>
        </w:rPr>
        <w:t>/N</w:t>
      </w:r>
      <w:r>
        <w:rPr>
          <w:rFonts w:hint="eastAsia" w:ascii="宋体" w:hAnsi="宋体"/>
        </w:rPr>
        <w:t>配比和高温期维持水分含量在适宜水平，调整优化翻堆频率和孔隙结构，实现蔬菜废弃物高温期稳定维持在</w:t>
      </w:r>
      <w:r>
        <w:t>60℃~70℃</w:t>
      </w:r>
      <w:r>
        <w:rPr>
          <w:rFonts w:hint="eastAsia" w:ascii="宋体" w:hAnsi="宋体"/>
        </w:rPr>
        <w:t>进行生物发酵，100%消除蔬菜残体中携带的病原微生物，避免二次传播；其次，有机质降解组分的堆肥产物含有较高的抑制土传病害的活性物质和有机养分，实现蔬菜废弃物处理和还田过程中的有害生物等去除、循环利用和污染协同控制，适应生态农业可持续性发展的需求。</w:t>
      </w:r>
    </w:p>
    <w:p>
      <w:pPr>
        <w:widowControl/>
        <w:ind w:firstLine="697" w:firstLineChars="218"/>
        <w:rPr>
          <w:rFonts w:ascii="宋体" w:hAnsi="宋体" w:cs="宋体"/>
          <w:kern w:val="0"/>
          <w:sz w:val="32"/>
          <w:szCs w:val="32"/>
        </w:rPr>
      </w:pPr>
      <w:r>
        <w:rPr>
          <w:rFonts w:ascii="宋体" w:hAnsi="宋体" w:cs="宋体"/>
          <w:kern w:val="0"/>
          <w:sz w:val="32"/>
          <w:szCs w:val="32"/>
        </w:rPr>
        <w:t>三、试验验证：包括试验（或验证）准确度、可靠性、稳定性的分析和说明，实验结果综述等；</w:t>
      </w:r>
    </w:p>
    <w:p>
      <w:pPr>
        <w:widowControl/>
        <w:ind w:firstLine="610" w:firstLineChars="218"/>
        <w:rPr>
          <w:rFonts w:ascii="宋体" w:hAnsi="宋体"/>
        </w:rPr>
      </w:pPr>
      <w:r>
        <w:rPr>
          <w:rFonts w:hint="eastAsia" w:ascii="宋体" w:hAnsi="宋体"/>
        </w:rPr>
        <w:t>前期，2</w:t>
      </w:r>
      <w:r>
        <w:rPr>
          <w:rFonts w:ascii="宋体" w:hAnsi="宋体"/>
        </w:rPr>
        <w:t>019</w:t>
      </w:r>
      <w:r>
        <w:rPr>
          <w:rFonts w:hint="eastAsia" w:ascii="宋体" w:hAnsi="宋体"/>
        </w:rPr>
        <w:t>届硕士生马小龙（设施栽培废弃物堆肥及其基质化利用研究）和2</w:t>
      </w:r>
      <w:r>
        <w:rPr>
          <w:rFonts w:ascii="宋体" w:hAnsi="宋体"/>
        </w:rPr>
        <w:t>023</w:t>
      </w:r>
      <w:r>
        <w:rPr>
          <w:rFonts w:hint="eastAsia" w:ascii="宋体" w:hAnsi="宋体"/>
        </w:rPr>
        <w:t>届硕士生梁新宇（不同调理剂及翻堆频率对番茄秸秆好氧堆肥过程的影响）硕士论文研究了蔬菜收获秸秆堆肥不同工艺参数（不同菌剂、辅料添加、翻堆频率等）对堆体温度变化、高温持续时间、微生物组成、堆肥产物理化性质、养分、发芽指数、物理性状等研究基础上，于2</w:t>
      </w:r>
      <w:r>
        <w:rPr>
          <w:rFonts w:ascii="宋体" w:hAnsi="宋体"/>
        </w:rPr>
        <w:t>022-2023</w:t>
      </w:r>
      <w:r>
        <w:rPr>
          <w:rFonts w:hint="eastAsia" w:ascii="宋体" w:hAnsi="宋体"/>
        </w:rPr>
        <w:t>年在杨凌康照农业开发有限公司有机肥生产车间进行堆肥工艺参数的多期堆肥验证和优化，结果表明，超高温阶段中心温度应控制在60℃～70℃，55℃以上持续时间不少于12天或 60℃～70℃持续时间不少于7天，翻堆频率高温期为3-5天1次，发酵结束时，堆体外观为褐色疏松的纤维状团粒结构，大于5mm的颗粒少于10％；堆肥发酵后产物种子发芽指数大于80%，NH</w:t>
      </w:r>
      <w:r>
        <w:rPr>
          <w:rFonts w:hint="eastAsia" w:ascii="宋体" w:hAnsi="宋体"/>
          <w:vertAlign w:val="subscript"/>
        </w:rPr>
        <w:t>4</w:t>
      </w:r>
      <w:r>
        <w:rPr>
          <w:rFonts w:hint="eastAsia" w:ascii="宋体" w:hAnsi="宋体"/>
          <w:vertAlign w:val="superscript"/>
        </w:rPr>
        <w:t>+</w:t>
      </w:r>
      <w:r>
        <w:rPr>
          <w:rFonts w:ascii="宋体" w:hAnsi="宋体"/>
        </w:rPr>
        <w:t>-N</w:t>
      </w:r>
      <w:r>
        <w:rPr>
          <w:rFonts w:hint="eastAsia" w:ascii="宋体" w:hAnsi="宋体"/>
        </w:rPr>
        <w:t>:NO</w:t>
      </w:r>
      <w:r>
        <w:rPr>
          <w:rFonts w:hint="eastAsia" w:ascii="宋体" w:hAnsi="宋体"/>
          <w:vertAlign w:val="subscript"/>
        </w:rPr>
        <w:t>3</w:t>
      </w:r>
      <w:r>
        <w:rPr>
          <w:rFonts w:hint="eastAsia" w:ascii="宋体" w:hAnsi="宋体"/>
          <w:vertAlign w:val="superscript"/>
        </w:rPr>
        <w:t>-</w:t>
      </w:r>
      <w:r>
        <w:rPr>
          <w:rFonts w:ascii="宋体" w:hAnsi="宋体"/>
        </w:rPr>
        <w:t>-N</w:t>
      </w:r>
      <w:r>
        <w:rPr>
          <w:rFonts w:hint="eastAsia" w:ascii="宋体" w:hAnsi="宋体"/>
        </w:rPr>
        <w:t>小于3，NH</w:t>
      </w:r>
      <w:r>
        <w:rPr>
          <w:rFonts w:hint="eastAsia" w:ascii="宋体" w:hAnsi="宋体"/>
          <w:vertAlign w:val="subscript"/>
        </w:rPr>
        <w:t>4</w:t>
      </w:r>
      <w:r>
        <w:rPr>
          <w:rFonts w:hint="eastAsia" w:ascii="宋体" w:hAnsi="宋体"/>
          <w:vertAlign w:val="superscript"/>
        </w:rPr>
        <w:t>+</w:t>
      </w:r>
      <w:r>
        <w:rPr>
          <w:rFonts w:ascii="宋体" w:hAnsi="宋体"/>
        </w:rPr>
        <w:t>-N</w:t>
      </w:r>
      <w:r>
        <w:rPr>
          <w:rFonts w:hint="eastAsia" w:ascii="宋体" w:hAnsi="宋体"/>
        </w:rPr>
        <w:t>含量小于500ppm</w:t>
      </w:r>
      <w:r>
        <w:rPr>
          <w:rFonts w:ascii="宋体" w:hAnsi="宋体"/>
        </w:rPr>
        <w:t>,</w:t>
      </w:r>
      <w:r>
        <w:rPr>
          <w:rFonts w:hint="eastAsia" w:ascii="宋体" w:hAnsi="宋体"/>
        </w:rPr>
        <w:t>堆肥产物对植物的卫生指标要求无根结线虫。以上参数和要求为确保对病虫卵载量较高的蔬菜秸秆达到完全无害化。按照此规程指导生产实践具有指导性和可操作性。</w:t>
      </w:r>
    </w:p>
    <w:p>
      <w:pPr>
        <w:widowControl/>
        <w:ind w:firstLine="697" w:firstLineChars="218"/>
        <w:rPr>
          <w:rFonts w:ascii="宋体" w:hAnsi="宋体" w:cs="宋体"/>
          <w:kern w:val="0"/>
          <w:sz w:val="32"/>
          <w:szCs w:val="32"/>
        </w:rPr>
      </w:pPr>
      <w:r>
        <w:rPr>
          <w:rFonts w:ascii="宋体" w:hAnsi="宋体" w:cs="宋体"/>
          <w:kern w:val="0"/>
          <w:sz w:val="32"/>
          <w:szCs w:val="32"/>
        </w:rPr>
        <w:t>四、知识产权说明：标准涉及的相关知识产权说明；</w:t>
      </w:r>
    </w:p>
    <w:p>
      <w:pPr>
        <w:ind w:firstLine="610" w:firstLineChars="218"/>
        <w:rPr>
          <w:rFonts w:hint="eastAsia"/>
          <w:lang w:val="en-US" w:eastAsia="zh-CN"/>
        </w:rPr>
      </w:pPr>
      <w:r>
        <w:rPr>
          <w:rFonts w:hint="eastAsia"/>
          <w:lang w:val="en-US" w:eastAsia="zh-CN"/>
        </w:rPr>
        <w:t>无。</w:t>
      </w:r>
      <w:bookmarkStart w:id="0" w:name="_GoBack"/>
      <w:bookmarkEnd w:id="0"/>
    </w:p>
    <w:p>
      <w:pPr>
        <w:widowControl/>
        <w:ind w:firstLine="697" w:firstLineChars="218"/>
        <w:rPr>
          <w:rFonts w:ascii="宋体" w:hAnsi="宋体" w:cs="宋体"/>
          <w:kern w:val="0"/>
          <w:sz w:val="32"/>
          <w:szCs w:val="32"/>
        </w:rPr>
      </w:pPr>
      <w:r>
        <w:rPr>
          <w:rFonts w:ascii="宋体" w:hAnsi="宋体" w:cs="宋体"/>
          <w:kern w:val="0"/>
          <w:sz w:val="32"/>
          <w:szCs w:val="32"/>
        </w:rPr>
        <w:t>五、采标情况：采用国际标准和国外先进标准的程度或与国内同类标准水平的比较；</w:t>
      </w:r>
    </w:p>
    <w:p>
      <w:pPr>
        <w:widowControl/>
        <w:ind w:firstLine="610" w:firstLineChars="218"/>
        <w:rPr>
          <w:rFonts w:ascii="宋体" w:hAnsi="宋体"/>
        </w:rPr>
      </w:pPr>
      <w:r>
        <w:rPr>
          <w:rFonts w:hint="eastAsia" w:ascii="宋体" w:hAnsi="宋体" w:cs="宋体"/>
          <w:kern w:val="0"/>
        </w:rPr>
        <w:t>通过网络检索，没有找到蔬菜收获秸秆超高温堆肥技术规程国内国际标准。国内和本标准有一定关联度的标准分析后发现和国外有关系的标准技术参数差异较大，本标准</w:t>
      </w:r>
      <w:r>
        <w:rPr>
          <w:rFonts w:hint="eastAsia" w:ascii="宋体" w:hAnsi="宋体"/>
        </w:rPr>
        <w:t>在接近实际大生产条件下系统研究不同参数对堆肥过程及堆肥产物影响的基础上，进一步优化，制定出符合我国国情的技术标准，与有关相近国内外标准比较见下表。</w:t>
      </w:r>
    </w:p>
    <w:p>
      <w:pPr>
        <w:widowControl/>
        <w:ind w:firstLine="610" w:firstLineChars="218"/>
        <w:rPr>
          <w:rFonts w:hint="eastAsia" w:ascii="宋体" w:hAnsi="宋体"/>
        </w:rPr>
      </w:pPr>
      <w:r>
        <w:rPr>
          <w:rFonts w:hint="eastAsia" w:ascii="宋体" w:hAnsi="宋体"/>
        </w:rPr>
        <w:t>国内同类标准和国际标准以及本标准主要技术参数指标对比</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1213"/>
        <w:gridCol w:w="1083"/>
        <w:gridCol w:w="809"/>
        <w:gridCol w:w="1350"/>
        <w:gridCol w:w="782"/>
        <w:gridCol w:w="974"/>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60" w:type="pct"/>
            <w:vMerge w:val="restart"/>
            <w:shd w:val="clear" w:color="auto" w:fill="auto"/>
            <w:vAlign w:val="center"/>
          </w:tcPr>
          <w:p>
            <w:pPr>
              <w:jc w:val="center"/>
              <w:rPr>
                <w:rFonts w:ascii="宋体" w:hAnsi="宋体" w:cs="黑体"/>
                <w:sz w:val="21"/>
                <w:szCs w:val="21"/>
              </w:rPr>
            </w:pPr>
            <w:r>
              <w:rPr>
                <w:rFonts w:hint="eastAsia" w:ascii="宋体" w:hAnsi="宋体" w:cs="黑体"/>
                <w:sz w:val="21"/>
                <w:szCs w:val="21"/>
              </w:rPr>
              <w:t>标准编号</w:t>
            </w:r>
          </w:p>
        </w:tc>
        <w:tc>
          <w:tcPr>
            <w:tcW w:w="661" w:type="pct"/>
            <w:vMerge w:val="restart"/>
            <w:shd w:val="clear" w:color="auto" w:fill="auto"/>
            <w:vAlign w:val="center"/>
          </w:tcPr>
          <w:p>
            <w:pPr>
              <w:jc w:val="center"/>
              <w:rPr>
                <w:rFonts w:ascii="宋体" w:hAnsi="宋体" w:cs="黑体"/>
                <w:sz w:val="21"/>
                <w:szCs w:val="21"/>
              </w:rPr>
            </w:pPr>
            <w:r>
              <w:rPr>
                <w:rFonts w:hint="eastAsia" w:ascii="宋体" w:hAnsi="宋体" w:cs="黑体"/>
                <w:sz w:val="21"/>
                <w:szCs w:val="21"/>
              </w:rPr>
              <w:t>发布单位</w:t>
            </w:r>
          </w:p>
        </w:tc>
        <w:tc>
          <w:tcPr>
            <w:tcW w:w="3678" w:type="pct"/>
            <w:gridSpan w:val="6"/>
          </w:tcPr>
          <w:p>
            <w:pPr>
              <w:jc w:val="center"/>
              <w:rPr>
                <w:rFonts w:ascii="宋体" w:hAnsi="宋体" w:cs="黑体"/>
                <w:sz w:val="21"/>
                <w:szCs w:val="21"/>
              </w:rPr>
            </w:pPr>
            <w:r>
              <w:rPr>
                <w:rFonts w:hint="eastAsia" w:ascii="宋体" w:hAnsi="宋体" w:cs="黑体"/>
                <w:sz w:val="21"/>
                <w:szCs w:val="21"/>
              </w:rPr>
              <w:t>主要技术指标对比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60" w:type="pct"/>
            <w:vMerge w:val="continue"/>
            <w:shd w:val="clear" w:color="auto" w:fill="auto"/>
          </w:tcPr>
          <w:p>
            <w:pPr>
              <w:jc w:val="center"/>
              <w:rPr>
                <w:rFonts w:ascii="宋体" w:hAnsi="宋体" w:cs="黑体"/>
                <w:sz w:val="21"/>
                <w:szCs w:val="21"/>
              </w:rPr>
            </w:pPr>
          </w:p>
        </w:tc>
        <w:tc>
          <w:tcPr>
            <w:tcW w:w="661" w:type="pct"/>
            <w:vMerge w:val="continue"/>
            <w:shd w:val="clear" w:color="auto" w:fill="auto"/>
          </w:tcPr>
          <w:p>
            <w:pPr>
              <w:jc w:val="center"/>
              <w:rPr>
                <w:rFonts w:ascii="宋体" w:hAnsi="宋体" w:cs="黑体"/>
                <w:sz w:val="21"/>
                <w:szCs w:val="21"/>
              </w:rPr>
            </w:pPr>
          </w:p>
        </w:tc>
        <w:tc>
          <w:tcPr>
            <w:tcW w:w="590" w:type="pct"/>
            <w:shd w:val="clear" w:color="auto" w:fill="auto"/>
          </w:tcPr>
          <w:p>
            <w:pPr>
              <w:jc w:val="center"/>
              <w:rPr>
                <w:rFonts w:ascii="宋体" w:hAnsi="宋体" w:cs="黑体"/>
                <w:sz w:val="21"/>
                <w:szCs w:val="21"/>
              </w:rPr>
            </w:pPr>
            <w:r>
              <w:rPr>
                <w:rFonts w:hint="eastAsia" w:ascii="宋体" w:hAnsi="宋体" w:cs="黑体"/>
                <w:sz w:val="21"/>
                <w:szCs w:val="21"/>
              </w:rPr>
              <w:t>温度</w:t>
            </w:r>
          </w:p>
          <w:p>
            <w:pPr>
              <w:jc w:val="center"/>
              <w:rPr>
                <w:rFonts w:ascii="宋体" w:hAnsi="宋体" w:cs="黑体"/>
                <w:sz w:val="21"/>
                <w:szCs w:val="21"/>
              </w:rPr>
            </w:pPr>
            <w:r>
              <w:rPr>
                <w:rFonts w:hint="eastAsia" w:ascii="宋体" w:hAnsi="宋体" w:cs="黑体"/>
                <w:sz w:val="21"/>
                <w:szCs w:val="21"/>
              </w:rPr>
              <w:t>(</w:t>
            </w:r>
            <w:r>
              <w:rPr>
                <w:sz w:val="21"/>
                <w:szCs w:val="21"/>
              </w:rPr>
              <w:t>℃)</w:t>
            </w:r>
          </w:p>
        </w:tc>
        <w:tc>
          <w:tcPr>
            <w:tcW w:w="441" w:type="pct"/>
            <w:shd w:val="clear" w:color="auto" w:fill="auto"/>
          </w:tcPr>
          <w:p>
            <w:pPr>
              <w:jc w:val="center"/>
              <w:rPr>
                <w:rFonts w:ascii="宋体" w:hAnsi="宋体" w:cs="黑体"/>
                <w:sz w:val="21"/>
                <w:szCs w:val="21"/>
              </w:rPr>
            </w:pPr>
            <w:r>
              <w:rPr>
                <w:rFonts w:hint="eastAsia" w:ascii="宋体" w:hAnsi="宋体" w:cs="黑体"/>
                <w:sz w:val="21"/>
                <w:szCs w:val="21"/>
              </w:rPr>
              <w:t>时间</w:t>
            </w:r>
          </w:p>
        </w:tc>
        <w:tc>
          <w:tcPr>
            <w:tcW w:w="736" w:type="pct"/>
            <w:shd w:val="clear" w:color="auto" w:fill="auto"/>
          </w:tcPr>
          <w:p>
            <w:pPr>
              <w:jc w:val="center"/>
              <w:rPr>
                <w:rFonts w:ascii="宋体" w:hAnsi="宋体" w:cs="黑体"/>
                <w:sz w:val="21"/>
                <w:szCs w:val="21"/>
              </w:rPr>
            </w:pPr>
            <w:r>
              <w:rPr>
                <w:rFonts w:hint="eastAsia" w:ascii="宋体" w:hAnsi="宋体" w:cs="黑体"/>
                <w:sz w:val="21"/>
                <w:szCs w:val="21"/>
              </w:rPr>
              <w:t>翻堆频率</w:t>
            </w:r>
          </w:p>
        </w:tc>
        <w:tc>
          <w:tcPr>
            <w:tcW w:w="426" w:type="pct"/>
          </w:tcPr>
          <w:p>
            <w:pPr>
              <w:jc w:val="center"/>
              <w:rPr>
                <w:rFonts w:ascii="宋体" w:hAnsi="宋体" w:cs="黑体"/>
                <w:sz w:val="21"/>
                <w:szCs w:val="21"/>
              </w:rPr>
            </w:pPr>
            <w:r>
              <w:rPr>
                <w:rFonts w:hint="eastAsia" w:ascii="宋体" w:hAnsi="宋体" w:cs="黑体"/>
                <w:sz w:val="21"/>
                <w:szCs w:val="21"/>
              </w:rPr>
              <w:t>发芽</w:t>
            </w:r>
          </w:p>
          <w:p>
            <w:pPr>
              <w:jc w:val="center"/>
              <w:rPr>
                <w:rFonts w:ascii="宋体" w:hAnsi="宋体" w:cs="黑体"/>
                <w:sz w:val="21"/>
                <w:szCs w:val="21"/>
              </w:rPr>
            </w:pPr>
            <w:r>
              <w:rPr>
                <w:rFonts w:hint="eastAsia" w:ascii="宋体" w:hAnsi="宋体" w:cs="黑体"/>
                <w:sz w:val="21"/>
                <w:szCs w:val="21"/>
              </w:rPr>
              <w:t>指数</w:t>
            </w:r>
          </w:p>
        </w:tc>
        <w:tc>
          <w:tcPr>
            <w:tcW w:w="531" w:type="pct"/>
          </w:tcPr>
          <w:p>
            <w:pPr>
              <w:jc w:val="center"/>
              <w:rPr>
                <w:rFonts w:ascii="宋体" w:hAnsi="宋体" w:cs="黑体"/>
                <w:sz w:val="21"/>
                <w:szCs w:val="21"/>
              </w:rPr>
            </w:pPr>
            <w:r>
              <w:rPr>
                <w:rFonts w:hint="eastAsia" w:ascii="宋体" w:hAnsi="宋体" w:cs="黑体"/>
                <w:sz w:val="21"/>
                <w:szCs w:val="21"/>
              </w:rPr>
              <w:t>产物颗粒度</w:t>
            </w:r>
          </w:p>
        </w:tc>
        <w:tc>
          <w:tcPr>
            <w:tcW w:w="955" w:type="pct"/>
            <w:shd w:val="clear" w:color="auto" w:fill="auto"/>
          </w:tcPr>
          <w:p>
            <w:pPr>
              <w:jc w:val="center"/>
              <w:rPr>
                <w:rFonts w:ascii="宋体" w:hAnsi="宋体" w:cs="黑体"/>
                <w:sz w:val="21"/>
                <w:szCs w:val="21"/>
              </w:rPr>
            </w:pPr>
            <w:r>
              <w:rPr>
                <w:rFonts w:hint="eastAsia" w:ascii="宋体" w:hAnsi="宋体" w:cs="黑体"/>
                <w:sz w:val="21"/>
                <w:szCs w:val="21"/>
              </w:rPr>
              <w:t>卫生指标/</w:t>
            </w:r>
          </w:p>
          <w:p>
            <w:pPr>
              <w:jc w:val="center"/>
              <w:rPr>
                <w:rFonts w:ascii="宋体" w:hAnsi="宋体" w:cs="黑体"/>
                <w:sz w:val="21"/>
                <w:szCs w:val="21"/>
              </w:rPr>
            </w:pPr>
            <w:r>
              <w:rPr>
                <w:rFonts w:hint="eastAsia" w:ascii="宋体" w:hAnsi="宋体" w:cs="黑体"/>
                <w:sz w:val="21"/>
                <w:szCs w:val="21"/>
              </w:rPr>
              <w:t>病原菌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60" w:type="pct"/>
            <w:shd w:val="clear" w:color="auto" w:fill="auto"/>
          </w:tcPr>
          <w:p>
            <w:pPr>
              <w:rPr>
                <w:sz w:val="21"/>
                <w:szCs w:val="21"/>
              </w:rPr>
            </w:pPr>
            <w:r>
              <w:rPr>
                <w:sz w:val="21"/>
                <w:szCs w:val="21"/>
              </w:rPr>
              <w:t xml:space="preserve">NY/T 3441-2019 </w:t>
            </w:r>
          </w:p>
        </w:tc>
        <w:tc>
          <w:tcPr>
            <w:tcW w:w="661" w:type="pct"/>
            <w:shd w:val="clear" w:color="auto" w:fill="auto"/>
          </w:tcPr>
          <w:p>
            <w:pPr>
              <w:rPr>
                <w:rFonts w:ascii="宋体" w:hAnsi="宋体" w:cs="黑体"/>
                <w:sz w:val="21"/>
                <w:szCs w:val="21"/>
              </w:rPr>
            </w:pPr>
            <w:r>
              <w:rPr>
                <w:rFonts w:hint="eastAsia" w:ascii="宋体" w:hAnsi="宋体" w:cs="黑体"/>
                <w:sz w:val="21"/>
                <w:szCs w:val="21"/>
              </w:rPr>
              <w:t>农业农村部科教司</w:t>
            </w:r>
          </w:p>
        </w:tc>
        <w:tc>
          <w:tcPr>
            <w:tcW w:w="590" w:type="pct"/>
            <w:shd w:val="clear" w:color="auto" w:fill="auto"/>
            <w:vAlign w:val="center"/>
          </w:tcPr>
          <w:p>
            <w:pPr>
              <w:rPr>
                <w:rFonts w:ascii="宋体" w:hAnsi="宋体" w:cs="黑体"/>
                <w:sz w:val="21"/>
                <w:szCs w:val="21"/>
              </w:rPr>
            </w:pPr>
            <w:r>
              <w:rPr>
                <w:sz w:val="21"/>
                <w:szCs w:val="21"/>
              </w:rPr>
              <w:t>55～65℃</w:t>
            </w:r>
          </w:p>
        </w:tc>
        <w:tc>
          <w:tcPr>
            <w:tcW w:w="441" w:type="pct"/>
            <w:shd w:val="clear" w:color="auto" w:fill="auto"/>
            <w:vAlign w:val="center"/>
          </w:tcPr>
          <w:p>
            <w:pPr>
              <w:rPr>
                <w:rFonts w:ascii="宋体" w:hAnsi="宋体" w:cs="黑体"/>
                <w:sz w:val="21"/>
                <w:szCs w:val="21"/>
              </w:rPr>
            </w:pPr>
            <w:r>
              <w:rPr>
                <w:rFonts w:ascii="宋体" w:hAnsi="宋体"/>
                <w:sz w:val="21"/>
                <w:szCs w:val="21"/>
              </w:rPr>
              <w:t>≥5</w:t>
            </w:r>
            <w:r>
              <w:rPr>
                <w:rFonts w:hint="eastAsia" w:ascii="宋体" w:hAnsi="宋体" w:cs="黑体"/>
                <w:sz w:val="21"/>
                <w:szCs w:val="21"/>
              </w:rPr>
              <w:t>天</w:t>
            </w:r>
          </w:p>
        </w:tc>
        <w:tc>
          <w:tcPr>
            <w:tcW w:w="736" w:type="pct"/>
            <w:shd w:val="clear" w:color="auto" w:fill="auto"/>
          </w:tcPr>
          <w:p>
            <w:pPr>
              <w:rPr>
                <w:rFonts w:ascii="宋体" w:hAnsi="宋体" w:cs="黑体"/>
                <w:sz w:val="21"/>
                <w:szCs w:val="21"/>
              </w:rPr>
            </w:pPr>
            <w:r>
              <w:rPr>
                <w:rFonts w:hint="eastAsia" w:ascii="宋体" w:hAnsi="宋体" w:cs="黑体"/>
                <w:sz w:val="21"/>
                <w:szCs w:val="21"/>
              </w:rPr>
              <w:t>升、高温期1</w:t>
            </w:r>
            <w:r>
              <w:rPr>
                <w:rFonts w:ascii="宋体" w:hAnsi="宋体" w:cs="黑体"/>
                <w:sz w:val="21"/>
                <w:szCs w:val="21"/>
              </w:rPr>
              <w:t>-</w:t>
            </w:r>
            <w:r>
              <w:rPr>
                <w:rFonts w:hint="eastAsia" w:ascii="宋体" w:hAnsi="宋体" w:cs="黑体"/>
                <w:sz w:val="21"/>
                <w:szCs w:val="21"/>
              </w:rPr>
              <w:t>2次/天</w:t>
            </w:r>
          </w:p>
        </w:tc>
        <w:tc>
          <w:tcPr>
            <w:tcW w:w="426" w:type="pct"/>
            <w:vAlign w:val="center"/>
          </w:tcPr>
          <w:p>
            <w:pPr>
              <w:rPr>
                <w:rFonts w:ascii="宋体" w:hAnsi="宋体" w:cs="黑体"/>
                <w:sz w:val="21"/>
                <w:szCs w:val="21"/>
              </w:rPr>
            </w:pPr>
            <w:r>
              <w:rPr>
                <w:sz w:val="21"/>
                <w:szCs w:val="21"/>
              </w:rPr>
              <w:t>&gt;60</w:t>
            </w:r>
            <w:r>
              <w:rPr>
                <w:rFonts w:hint="eastAsia"/>
                <w:sz w:val="21"/>
                <w:szCs w:val="21"/>
              </w:rPr>
              <w:t>%</w:t>
            </w:r>
          </w:p>
        </w:tc>
        <w:tc>
          <w:tcPr>
            <w:tcW w:w="531" w:type="pct"/>
            <w:vAlign w:val="center"/>
          </w:tcPr>
          <w:p>
            <w:pPr>
              <w:jc w:val="center"/>
              <w:rPr>
                <w:rFonts w:ascii="宋体" w:hAnsi="宋体" w:cs="黑体"/>
                <w:sz w:val="21"/>
                <w:szCs w:val="21"/>
              </w:rPr>
            </w:pPr>
            <w:r>
              <w:rPr>
                <w:rFonts w:hint="eastAsia" w:ascii="宋体" w:hAnsi="宋体" w:cs="黑体"/>
                <w:sz w:val="21"/>
                <w:szCs w:val="21"/>
              </w:rPr>
              <w:t>-</w:t>
            </w:r>
          </w:p>
        </w:tc>
        <w:tc>
          <w:tcPr>
            <w:tcW w:w="955" w:type="pct"/>
            <w:shd w:val="clear" w:color="auto" w:fill="auto"/>
          </w:tcPr>
          <w:p>
            <w:pPr>
              <w:rPr>
                <w:rFonts w:ascii="宋体" w:hAnsi="宋体" w:cs="黑体"/>
                <w:sz w:val="21"/>
                <w:szCs w:val="21"/>
              </w:rPr>
            </w:pPr>
            <w:r>
              <w:rPr>
                <w:rFonts w:hint="eastAsia" w:ascii="宋体" w:hAnsi="宋体" w:cs="黑体"/>
                <w:sz w:val="21"/>
                <w:szCs w:val="21"/>
              </w:rPr>
              <w:t>粪大肠菌群数</w:t>
            </w:r>
          </w:p>
          <w:p>
            <w:pPr>
              <w:rPr>
                <w:rFonts w:ascii="宋体" w:hAnsi="宋体" w:cs="黑体"/>
                <w:sz w:val="21"/>
                <w:szCs w:val="21"/>
              </w:rPr>
            </w:pPr>
            <w:r>
              <w:rPr>
                <w:rFonts w:hint="eastAsia" w:ascii="宋体" w:hAnsi="宋体" w:cs="黑体"/>
                <w:sz w:val="21"/>
                <w:szCs w:val="21"/>
              </w:rPr>
              <w:t>蛔虫卵死亡率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60" w:type="pct"/>
            <w:shd w:val="clear" w:color="auto" w:fill="auto"/>
          </w:tcPr>
          <w:p>
            <w:pPr>
              <w:jc w:val="left"/>
              <w:rPr>
                <w:sz w:val="21"/>
                <w:szCs w:val="21"/>
              </w:rPr>
            </w:pPr>
            <w:r>
              <w:rPr>
                <w:sz w:val="21"/>
                <w:szCs w:val="21"/>
              </w:rPr>
              <w:t>DB 23/T 2806-2021</w:t>
            </w:r>
          </w:p>
        </w:tc>
        <w:tc>
          <w:tcPr>
            <w:tcW w:w="661" w:type="pct"/>
            <w:shd w:val="clear" w:color="auto" w:fill="auto"/>
          </w:tcPr>
          <w:p>
            <w:pPr>
              <w:rPr>
                <w:rFonts w:ascii="宋体" w:hAnsi="宋体" w:cs="黑体"/>
                <w:sz w:val="21"/>
                <w:szCs w:val="21"/>
              </w:rPr>
            </w:pPr>
            <w:r>
              <w:rPr>
                <w:rFonts w:hint="eastAsia" w:ascii="宋体" w:hAnsi="宋体" w:cs="黑体"/>
                <w:sz w:val="21"/>
                <w:szCs w:val="21"/>
              </w:rPr>
              <w:t>黑龙江省农业农村厅</w:t>
            </w:r>
          </w:p>
        </w:tc>
        <w:tc>
          <w:tcPr>
            <w:tcW w:w="590" w:type="pct"/>
            <w:shd w:val="clear" w:color="auto" w:fill="auto"/>
          </w:tcPr>
          <w:p>
            <w:pPr>
              <w:rPr>
                <w:sz w:val="21"/>
                <w:szCs w:val="21"/>
              </w:rPr>
            </w:pPr>
            <w:r>
              <w:rPr>
                <w:sz w:val="21"/>
                <w:szCs w:val="21"/>
              </w:rPr>
              <w:t>55～65℃</w:t>
            </w:r>
          </w:p>
        </w:tc>
        <w:tc>
          <w:tcPr>
            <w:tcW w:w="441" w:type="pct"/>
            <w:shd w:val="clear" w:color="auto" w:fill="auto"/>
            <w:vAlign w:val="center"/>
          </w:tcPr>
          <w:p>
            <w:pPr>
              <w:rPr>
                <w:rFonts w:ascii="宋体" w:hAnsi="宋体" w:cs="黑体"/>
                <w:sz w:val="21"/>
                <w:szCs w:val="21"/>
              </w:rPr>
            </w:pPr>
            <w:r>
              <w:rPr>
                <w:rFonts w:ascii="宋体" w:hAnsi="宋体"/>
                <w:sz w:val="21"/>
                <w:szCs w:val="21"/>
              </w:rPr>
              <w:t>≥3</w:t>
            </w:r>
            <w:r>
              <w:rPr>
                <w:rFonts w:hint="eastAsia" w:ascii="宋体" w:hAnsi="宋体" w:cs="黑体"/>
                <w:sz w:val="21"/>
                <w:szCs w:val="21"/>
              </w:rPr>
              <w:t>天</w:t>
            </w:r>
          </w:p>
        </w:tc>
        <w:tc>
          <w:tcPr>
            <w:tcW w:w="736" w:type="pct"/>
            <w:shd w:val="clear" w:color="auto" w:fill="auto"/>
          </w:tcPr>
          <w:p>
            <w:pPr>
              <w:rPr>
                <w:sz w:val="21"/>
                <w:szCs w:val="21"/>
              </w:rPr>
            </w:pPr>
            <w:r>
              <w:rPr>
                <w:sz w:val="21"/>
                <w:szCs w:val="21"/>
              </w:rPr>
              <w:t>&gt;60℃</w:t>
            </w:r>
            <w:r>
              <w:rPr>
                <w:rFonts w:hint="eastAsia"/>
                <w:sz w:val="21"/>
                <w:szCs w:val="21"/>
              </w:rPr>
              <w:t>翻堆</w:t>
            </w:r>
          </w:p>
          <w:p>
            <w:pPr>
              <w:rPr>
                <w:rFonts w:ascii="宋体" w:hAnsi="宋体" w:cs="黑体"/>
                <w:sz w:val="21"/>
                <w:szCs w:val="21"/>
              </w:rPr>
            </w:pPr>
            <w:r>
              <w:rPr>
                <w:rFonts w:hint="eastAsia" w:ascii="宋体" w:hAnsi="宋体" w:cs="黑体"/>
                <w:sz w:val="21"/>
                <w:szCs w:val="21"/>
              </w:rPr>
              <w:t>1</w:t>
            </w:r>
            <w:r>
              <w:rPr>
                <w:rFonts w:ascii="宋体" w:hAnsi="宋体" w:cs="黑体"/>
                <w:sz w:val="21"/>
                <w:szCs w:val="21"/>
              </w:rPr>
              <w:t>-</w:t>
            </w:r>
            <w:r>
              <w:rPr>
                <w:rFonts w:hint="eastAsia" w:ascii="宋体" w:hAnsi="宋体" w:cs="黑体"/>
                <w:sz w:val="21"/>
                <w:szCs w:val="21"/>
              </w:rPr>
              <w:t>2次/天</w:t>
            </w:r>
          </w:p>
        </w:tc>
        <w:tc>
          <w:tcPr>
            <w:tcW w:w="426" w:type="pct"/>
            <w:vAlign w:val="center"/>
          </w:tcPr>
          <w:p>
            <w:pPr>
              <w:rPr>
                <w:rFonts w:ascii="宋体" w:hAnsi="宋体" w:cs="黑体"/>
                <w:sz w:val="21"/>
                <w:szCs w:val="21"/>
              </w:rPr>
            </w:pPr>
            <w:r>
              <w:rPr>
                <w:rFonts w:hint="eastAsia" w:ascii="宋体" w:hAnsi="宋体" w:cs="黑体"/>
                <w:sz w:val="21"/>
                <w:szCs w:val="21"/>
              </w:rPr>
              <w:t>-</w:t>
            </w:r>
          </w:p>
        </w:tc>
        <w:tc>
          <w:tcPr>
            <w:tcW w:w="531" w:type="pct"/>
            <w:vAlign w:val="center"/>
          </w:tcPr>
          <w:p>
            <w:pPr>
              <w:jc w:val="center"/>
              <w:rPr>
                <w:rFonts w:ascii="宋体" w:hAnsi="宋体" w:cs="黑体"/>
                <w:sz w:val="21"/>
                <w:szCs w:val="21"/>
              </w:rPr>
            </w:pPr>
            <w:r>
              <w:rPr>
                <w:rFonts w:hint="eastAsia" w:ascii="宋体" w:hAnsi="宋体" w:cs="黑体"/>
                <w:sz w:val="21"/>
                <w:szCs w:val="21"/>
              </w:rPr>
              <w:t>-</w:t>
            </w:r>
          </w:p>
        </w:tc>
        <w:tc>
          <w:tcPr>
            <w:tcW w:w="955" w:type="pct"/>
            <w:shd w:val="clear" w:color="auto" w:fill="auto"/>
          </w:tcPr>
          <w:p>
            <w:pPr>
              <w:rPr>
                <w:rFonts w:ascii="宋体" w:hAnsi="宋体" w:cs="黑体"/>
                <w:sz w:val="21"/>
                <w:szCs w:val="21"/>
              </w:rPr>
            </w:pPr>
            <w:r>
              <w:rPr>
                <w:rFonts w:hint="eastAsia" w:ascii="宋体" w:hAnsi="宋体" w:cs="黑体"/>
                <w:sz w:val="21"/>
                <w:szCs w:val="21"/>
              </w:rPr>
              <w:t>粪大肠菌群数</w:t>
            </w:r>
          </w:p>
          <w:p>
            <w:pPr>
              <w:rPr>
                <w:rFonts w:ascii="宋体" w:hAnsi="宋体" w:cs="黑体"/>
                <w:sz w:val="21"/>
                <w:szCs w:val="21"/>
              </w:rPr>
            </w:pPr>
            <w:r>
              <w:rPr>
                <w:rFonts w:hint="eastAsia" w:ascii="宋体" w:hAnsi="宋体" w:cs="黑体"/>
                <w:sz w:val="21"/>
                <w:szCs w:val="21"/>
              </w:rPr>
              <w:t>蛔虫卵死亡率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60" w:type="pct"/>
            <w:shd w:val="clear" w:color="auto" w:fill="auto"/>
          </w:tcPr>
          <w:p>
            <w:pPr>
              <w:rPr>
                <w:rFonts w:ascii="宋体" w:hAnsi="宋体" w:cs="黑体"/>
                <w:sz w:val="21"/>
                <w:szCs w:val="21"/>
              </w:rPr>
            </w:pPr>
          </w:p>
        </w:tc>
        <w:tc>
          <w:tcPr>
            <w:tcW w:w="661" w:type="pct"/>
            <w:shd w:val="clear" w:color="auto" w:fill="auto"/>
            <w:vAlign w:val="center"/>
          </w:tcPr>
          <w:p>
            <w:pPr>
              <w:rPr>
                <w:rFonts w:ascii="宋体" w:hAnsi="宋体" w:cs="黑体"/>
                <w:sz w:val="21"/>
                <w:szCs w:val="21"/>
              </w:rPr>
            </w:pPr>
            <w:r>
              <w:rPr>
                <w:rFonts w:hint="eastAsia" w:ascii="宋体" w:hAnsi="宋体" w:cs="黑体"/>
                <w:sz w:val="21"/>
                <w:szCs w:val="21"/>
              </w:rPr>
              <w:t xml:space="preserve">德国 </w:t>
            </w:r>
            <w:r>
              <w:rPr>
                <w:rFonts w:ascii="宋体" w:hAnsi="宋体" w:cs="黑体"/>
                <w:sz w:val="21"/>
                <w:szCs w:val="21"/>
              </w:rPr>
              <w:t>1999</w:t>
            </w:r>
          </w:p>
        </w:tc>
        <w:tc>
          <w:tcPr>
            <w:tcW w:w="590" w:type="pct"/>
            <w:shd w:val="clear" w:color="auto" w:fill="auto"/>
          </w:tcPr>
          <w:p>
            <w:pPr>
              <w:rPr>
                <w:sz w:val="21"/>
                <w:szCs w:val="21"/>
              </w:rPr>
            </w:pPr>
            <w:r>
              <w:rPr>
                <w:sz w:val="21"/>
                <w:szCs w:val="21"/>
              </w:rPr>
              <w:t xml:space="preserve">&gt;55℃ </w:t>
            </w:r>
            <w:r>
              <w:rPr>
                <w:rFonts w:hint="eastAsia"/>
                <w:sz w:val="21"/>
                <w:szCs w:val="21"/>
              </w:rPr>
              <w:t>或</w:t>
            </w:r>
            <w:r>
              <w:rPr>
                <w:sz w:val="21"/>
                <w:szCs w:val="21"/>
              </w:rPr>
              <w:t>&gt;65℃</w:t>
            </w:r>
          </w:p>
        </w:tc>
        <w:tc>
          <w:tcPr>
            <w:tcW w:w="441" w:type="pct"/>
            <w:shd w:val="clear" w:color="auto" w:fill="auto"/>
          </w:tcPr>
          <w:p>
            <w:pPr>
              <w:rPr>
                <w:rFonts w:ascii="宋体" w:hAnsi="宋体" w:cs="黑体"/>
                <w:sz w:val="21"/>
                <w:szCs w:val="21"/>
              </w:rPr>
            </w:pPr>
            <w:r>
              <w:rPr>
                <w:rFonts w:ascii="宋体" w:hAnsi="宋体" w:cs="黑体"/>
                <w:sz w:val="21"/>
                <w:szCs w:val="21"/>
              </w:rPr>
              <w:t>2</w:t>
            </w:r>
            <w:r>
              <w:rPr>
                <w:rFonts w:hint="eastAsia" w:ascii="宋体" w:hAnsi="宋体" w:cs="黑体"/>
                <w:sz w:val="21"/>
                <w:szCs w:val="21"/>
              </w:rPr>
              <w:t>周</w:t>
            </w:r>
          </w:p>
          <w:p>
            <w:pPr>
              <w:rPr>
                <w:rFonts w:ascii="宋体" w:hAnsi="宋体" w:cs="黑体"/>
                <w:sz w:val="21"/>
                <w:szCs w:val="21"/>
              </w:rPr>
            </w:pPr>
            <w:r>
              <w:rPr>
                <w:rFonts w:hint="eastAsia" w:ascii="宋体" w:hAnsi="宋体" w:cs="黑体"/>
                <w:sz w:val="21"/>
                <w:szCs w:val="21"/>
              </w:rPr>
              <w:t>1周</w:t>
            </w:r>
          </w:p>
        </w:tc>
        <w:tc>
          <w:tcPr>
            <w:tcW w:w="736" w:type="pct"/>
            <w:vMerge w:val="restart"/>
            <w:shd w:val="clear" w:color="auto" w:fill="auto"/>
          </w:tcPr>
          <w:p>
            <w:pPr>
              <w:rPr>
                <w:rFonts w:ascii="宋体" w:hAnsi="宋体" w:cs="黑体"/>
                <w:sz w:val="21"/>
                <w:szCs w:val="21"/>
              </w:rPr>
            </w:pPr>
            <w:r>
              <w:rPr>
                <w:rFonts w:hint="eastAsia" w:ascii="宋体" w:hAnsi="宋体" w:cs="黑体"/>
                <w:sz w:val="21"/>
                <w:szCs w:val="21"/>
              </w:rPr>
              <w:t>建议6-8次/</w:t>
            </w:r>
            <w:r>
              <w:rPr>
                <w:rFonts w:ascii="宋体" w:hAnsi="宋体" w:cs="黑体"/>
                <w:sz w:val="21"/>
                <w:szCs w:val="21"/>
              </w:rPr>
              <w:t>60</w:t>
            </w:r>
            <w:r>
              <w:rPr>
                <w:rFonts w:hint="eastAsia" w:ascii="宋体" w:hAnsi="宋体" w:cs="黑体"/>
                <w:sz w:val="21"/>
                <w:szCs w:val="21"/>
              </w:rPr>
              <w:t>天内</w:t>
            </w:r>
          </w:p>
          <w:p>
            <w:pPr>
              <w:rPr>
                <w:rFonts w:ascii="宋体" w:hAnsi="宋体" w:cs="黑体"/>
                <w:sz w:val="21"/>
                <w:szCs w:val="21"/>
              </w:rPr>
            </w:pPr>
            <w:r>
              <w:rPr>
                <w:rFonts w:hint="eastAsia" w:ascii="宋体" w:hAnsi="宋体" w:cs="黑体"/>
                <w:sz w:val="21"/>
                <w:szCs w:val="21"/>
              </w:rPr>
              <w:t>较快的翻堆频率能促进堆体的腐熟，较慢有助于堆体保持足够长时间的高温</w:t>
            </w:r>
          </w:p>
        </w:tc>
        <w:tc>
          <w:tcPr>
            <w:tcW w:w="426" w:type="pct"/>
            <w:vMerge w:val="restart"/>
            <w:vAlign w:val="center"/>
          </w:tcPr>
          <w:p>
            <w:pPr>
              <w:rPr>
                <w:rFonts w:ascii="宋体" w:hAnsi="宋体" w:cs="黑体"/>
                <w:sz w:val="21"/>
                <w:szCs w:val="21"/>
              </w:rPr>
            </w:pPr>
            <w:r>
              <w:rPr>
                <w:sz w:val="21"/>
                <w:szCs w:val="21"/>
              </w:rPr>
              <w:t>&gt;80</w:t>
            </w:r>
            <w:r>
              <w:rPr>
                <w:rFonts w:hint="eastAsia"/>
                <w:sz w:val="21"/>
                <w:szCs w:val="21"/>
              </w:rPr>
              <w:t>%</w:t>
            </w:r>
          </w:p>
        </w:tc>
        <w:tc>
          <w:tcPr>
            <w:tcW w:w="531" w:type="pct"/>
            <w:vMerge w:val="restart"/>
            <w:vAlign w:val="center"/>
          </w:tcPr>
          <w:p>
            <w:pPr>
              <w:rPr>
                <w:rFonts w:ascii="宋体" w:hAnsi="宋体" w:cs="黑体"/>
                <w:sz w:val="21"/>
                <w:szCs w:val="21"/>
              </w:rPr>
            </w:pPr>
            <w:r>
              <w:rPr>
                <w:sz w:val="21"/>
                <w:szCs w:val="21"/>
              </w:rPr>
              <w:t>大于5mm的颗粒</w:t>
            </w:r>
            <w:r>
              <w:rPr>
                <w:rFonts w:hint="eastAsia"/>
                <w:sz w:val="21"/>
                <w:szCs w:val="21"/>
              </w:rPr>
              <w:t>少于</w:t>
            </w:r>
            <w:r>
              <w:rPr>
                <w:sz w:val="21"/>
                <w:szCs w:val="21"/>
              </w:rPr>
              <w:t>5％</w:t>
            </w:r>
          </w:p>
        </w:tc>
        <w:tc>
          <w:tcPr>
            <w:tcW w:w="955" w:type="pct"/>
            <w:shd w:val="clear" w:color="auto" w:fill="auto"/>
          </w:tcPr>
          <w:p>
            <w:pPr>
              <w:rPr>
                <w:rFonts w:ascii="宋体" w:hAnsi="宋体" w:cs="黑体"/>
                <w:sz w:val="21"/>
                <w:szCs w:val="21"/>
              </w:rPr>
            </w:pPr>
            <w:r>
              <w:rPr>
                <w:rFonts w:hint="eastAsia" w:ascii="宋体" w:hAnsi="宋体" w:cs="黑体"/>
                <w:sz w:val="21"/>
                <w:szCs w:val="21"/>
              </w:rPr>
              <w:t>粪大肠菌群数</w:t>
            </w:r>
          </w:p>
          <w:p>
            <w:pPr>
              <w:rPr>
                <w:rFonts w:ascii="宋体" w:hAnsi="宋体" w:cs="黑体"/>
                <w:sz w:val="21"/>
                <w:szCs w:val="21"/>
              </w:rPr>
            </w:pPr>
            <w:r>
              <w:rPr>
                <w:rFonts w:hint="eastAsia" w:ascii="宋体" w:hAnsi="宋体" w:cs="黑体"/>
                <w:sz w:val="21"/>
                <w:szCs w:val="21"/>
              </w:rPr>
              <w:t>烟草花叶病毒</w:t>
            </w:r>
          </w:p>
          <w:p>
            <w:pPr>
              <w:rPr>
                <w:rFonts w:ascii="宋体" w:hAnsi="宋体" w:cs="黑体"/>
                <w:sz w:val="21"/>
                <w:szCs w:val="21"/>
              </w:rPr>
            </w:pPr>
            <w:r>
              <w:rPr>
                <w:rFonts w:hint="eastAsia" w:ascii="宋体" w:hAnsi="宋体" w:cs="黑体"/>
                <w:sz w:val="21"/>
                <w:szCs w:val="21"/>
              </w:rPr>
              <w:t>根肿及根结线虫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60" w:type="pct"/>
            <w:shd w:val="clear" w:color="auto" w:fill="auto"/>
          </w:tcPr>
          <w:p>
            <w:pPr>
              <w:rPr>
                <w:rFonts w:ascii="宋体" w:hAnsi="宋体" w:cs="黑体"/>
                <w:sz w:val="21"/>
                <w:szCs w:val="21"/>
              </w:rPr>
            </w:pPr>
          </w:p>
        </w:tc>
        <w:tc>
          <w:tcPr>
            <w:tcW w:w="661" w:type="pct"/>
            <w:shd w:val="clear" w:color="auto" w:fill="auto"/>
          </w:tcPr>
          <w:p>
            <w:pPr>
              <w:rPr>
                <w:rFonts w:ascii="宋体" w:hAnsi="宋体" w:cs="黑体"/>
                <w:sz w:val="21"/>
                <w:szCs w:val="21"/>
              </w:rPr>
            </w:pPr>
            <w:r>
              <w:rPr>
                <w:rFonts w:hint="eastAsia" w:ascii="宋体" w:hAnsi="宋体" w:cs="黑体"/>
                <w:sz w:val="21"/>
                <w:szCs w:val="21"/>
              </w:rPr>
              <w:t>奥地利</w:t>
            </w:r>
            <w:r>
              <w:rPr>
                <w:rFonts w:ascii="宋体" w:hAnsi="宋体" w:cs="黑体"/>
                <w:sz w:val="21"/>
                <w:szCs w:val="21"/>
              </w:rPr>
              <w:t>1999</w:t>
            </w:r>
          </w:p>
        </w:tc>
        <w:tc>
          <w:tcPr>
            <w:tcW w:w="590" w:type="pct"/>
            <w:shd w:val="clear" w:color="auto" w:fill="auto"/>
          </w:tcPr>
          <w:p>
            <w:pPr>
              <w:rPr>
                <w:sz w:val="21"/>
                <w:szCs w:val="21"/>
              </w:rPr>
            </w:pPr>
            <w:r>
              <w:rPr>
                <w:sz w:val="21"/>
                <w:szCs w:val="21"/>
              </w:rPr>
              <w:t>&gt;60℃</w:t>
            </w:r>
            <w:r>
              <w:rPr>
                <w:rFonts w:hint="eastAsia"/>
                <w:sz w:val="21"/>
                <w:szCs w:val="21"/>
              </w:rPr>
              <w:t>或</w:t>
            </w:r>
          </w:p>
          <w:p>
            <w:pPr>
              <w:rPr>
                <w:rFonts w:ascii="宋体" w:hAnsi="宋体" w:cs="黑体"/>
                <w:sz w:val="21"/>
                <w:szCs w:val="21"/>
              </w:rPr>
            </w:pPr>
            <w:r>
              <w:rPr>
                <w:sz w:val="21"/>
                <w:szCs w:val="21"/>
              </w:rPr>
              <w:t>&gt;65℃</w:t>
            </w:r>
          </w:p>
        </w:tc>
        <w:tc>
          <w:tcPr>
            <w:tcW w:w="441" w:type="pct"/>
            <w:shd w:val="clear" w:color="auto" w:fill="auto"/>
          </w:tcPr>
          <w:p>
            <w:pPr>
              <w:rPr>
                <w:rFonts w:ascii="宋体" w:hAnsi="宋体" w:cs="黑体"/>
                <w:sz w:val="21"/>
                <w:szCs w:val="21"/>
              </w:rPr>
            </w:pPr>
            <w:r>
              <w:rPr>
                <w:rFonts w:hint="eastAsia" w:ascii="宋体" w:hAnsi="宋体" w:cs="黑体"/>
                <w:sz w:val="21"/>
                <w:szCs w:val="21"/>
              </w:rPr>
              <w:t>6天</w:t>
            </w:r>
          </w:p>
          <w:p>
            <w:pPr>
              <w:rPr>
                <w:rFonts w:ascii="宋体" w:hAnsi="宋体" w:cs="黑体"/>
                <w:sz w:val="21"/>
                <w:szCs w:val="21"/>
              </w:rPr>
            </w:pPr>
            <w:r>
              <w:rPr>
                <w:rFonts w:hint="eastAsia" w:ascii="宋体" w:hAnsi="宋体" w:cs="黑体"/>
                <w:sz w:val="21"/>
                <w:szCs w:val="21"/>
              </w:rPr>
              <w:t>3天</w:t>
            </w:r>
          </w:p>
        </w:tc>
        <w:tc>
          <w:tcPr>
            <w:tcW w:w="736" w:type="pct"/>
            <w:vMerge w:val="continue"/>
            <w:shd w:val="clear" w:color="auto" w:fill="auto"/>
          </w:tcPr>
          <w:p>
            <w:pPr>
              <w:rPr>
                <w:rFonts w:ascii="宋体" w:hAnsi="宋体" w:cs="黑体"/>
                <w:sz w:val="21"/>
                <w:szCs w:val="21"/>
              </w:rPr>
            </w:pPr>
          </w:p>
        </w:tc>
        <w:tc>
          <w:tcPr>
            <w:tcW w:w="426" w:type="pct"/>
            <w:vMerge w:val="continue"/>
          </w:tcPr>
          <w:p>
            <w:pPr>
              <w:rPr>
                <w:rFonts w:ascii="宋体" w:hAnsi="宋体" w:cs="黑体"/>
                <w:sz w:val="21"/>
                <w:szCs w:val="21"/>
              </w:rPr>
            </w:pPr>
          </w:p>
        </w:tc>
        <w:tc>
          <w:tcPr>
            <w:tcW w:w="531" w:type="pct"/>
            <w:vMerge w:val="continue"/>
          </w:tcPr>
          <w:p>
            <w:pPr>
              <w:rPr>
                <w:rFonts w:ascii="宋体" w:hAnsi="宋体" w:cs="黑体"/>
                <w:sz w:val="21"/>
                <w:szCs w:val="21"/>
              </w:rPr>
            </w:pPr>
          </w:p>
        </w:tc>
        <w:tc>
          <w:tcPr>
            <w:tcW w:w="955" w:type="pct"/>
            <w:vMerge w:val="restart"/>
            <w:shd w:val="clear" w:color="auto" w:fill="auto"/>
          </w:tcPr>
          <w:p>
            <w:pPr>
              <w:rPr>
                <w:rFonts w:ascii="宋体" w:hAnsi="宋体" w:cs="黑体"/>
                <w:sz w:val="21"/>
                <w:szCs w:val="21"/>
              </w:rPr>
            </w:pPr>
            <w:r>
              <w:rPr>
                <w:rFonts w:hint="eastAsia" w:ascii="宋体" w:hAnsi="宋体" w:cs="黑体"/>
                <w:sz w:val="21"/>
                <w:szCs w:val="21"/>
              </w:rPr>
              <w:t>畜禽粪堆肥需对人和畜禽安全的卫生指标</w:t>
            </w:r>
          </w:p>
          <w:p>
            <w:pPr>
              <w:rPr>
                <w:rFonts w:ascii="宋体" w:hAnsi="宋体" w:cs="黑体"/>
                <w:sz w:val="21"/>
                <w:szCs w:val="21"/>
              </w:rPr>
            </w:pPr>
            <w:r>
              <w:rPr>
                <w:rFonts w:hint="eastAsia" w:ascii="宋体" w:hAnsi="宋体" w:cs="黑体"/>
                <w:sz w:val="21"/>
                <w:szCs w:val="21"/>
              </w:rPr>
              <w:t>含植物残体堆肥需要植物卫生标准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60" w:type="pct"/>
            <w:shd w:val="clear" w:color="auto" w:fill="auto"/>
          </w:tcPr>
          <w:p>
            <w:pPr>
              <w:rPr>
                <w:rFonts w:ascii="宋体" w:hAnsi="宋体" w:cs="黑体"/>
                <w:sz w:val="21"/>
                <w:szCs w:val="21"/>
              </w:rPr>
            </w:pPr>
          </w:p>
        </w:tc>
        <w:tc>
          <w:tcPr>
            <w:tcW w:w="661" w:type="pct"/>
            <w:shd w:val="clear" w:color="auto" w:fill="auto"/>
          </w:tcPr>
          <w:p>
            <w:pPr>
              <w:rPr>
                <w:rFonts w:ascii="宋体" w:hAnsi="宋体" w:cs="黑体"/>
                <w:sz w:val="21"/>
                <w:szCs w:val="21"/>
              </w:rPr>
            </w:pPr>
            <w:r>
              <w:rPr>
                <w:rFonts w:hint="eastAsia" w:ascii="宋体" w:hAnsi="宋体" w:cs="黑体"/>
                <w:sz w:val="21"/>
                <w:szCs w:val="21"/>
              </w:rPr>
              <w:t>瑞士</w:t>
            </w:r>
            <w:r>
              <w:rPr>
                <w:rFonts w:ascii="宋体" w:hAnsi="宋体" w:cs="黑体"/>
                <w:sz w:val="21"/>
                <w:szCs w:val="21"/>
              </w:rPr>
              <w:t xml:space="preserve"> 1999</w:t>
            </w:r>
          </w:p>
        </w:tc>
        <w:tc>
          <w:tcPr>
            <w:tcW w:w="590" w:type="pct"/>
            <w:shd w:val="clear" w:color="auto" w:fill="auto"/>
          </w:tcPr>
          <w:p>
            <w:pPr>
              <w:rPr>
                <w:sz w:val="21"/>
                <w:szCs w:val="21"/>
              </w:rPr>
            </w:pPr>
            <w:r>
              <w:rPr>
                <w:sz w:val="21"/>
                <w:szCs w:val="21"/>
              </w:rPr>
              <w:t xml:space="preserve">&gt;55℃ </w:t>
            </w:r>
            <w:r>
              <w:rPr>
                <w:rFonts w:hint="eastAsia"/>
                <w:sz w:val="21"/>
                <w:szCs w:val="21"/>
              </w:rPr>
              <w:t>或</w:t>
            </w:r>
            <w:r>
              <w:rPr>
                <w:sz w:val="21"/>
                <w:szCs w:val="21"/>
              </w:rPr>
              <w:t>&gt;60℃</w:t>
            </w:r>
          </w:p>
        </w:tc>
        <w:tc>
          <w:tcPr>
            <w:tcW w:w="441" w:type="pct"/>
            <w:shd w:val="clear" w:color="auto" w:fill="auto"/>
          </w:tcPr>
          <w:p>
            <w:pPr>
              <w:rPr>
                <w:rFonts w:ascii="宋体" w:hAnsi="宋体" w:cs="黑体"/>
                <w:sz w:val="21"/>
                <w:szCs w:val="21"/>
              </w:rPr>
            </w:pPr>
            <w:r>
              <w:rPr>
                <w:rFonts w:hint="eastAsia" w:ascii="宋体" w:hAnsi="宋体" w:cs="黑体"/>
                <w:sz w:val="21"/>
                <w:szCs w:val="21"/>
              </w:rPr>
              <w:t>3周</w:t>
            </w:r>
          </w:p>
          <w:p>
            <w:pPr>
              <w:rPr>
                <w:rFonts w:ascii="宋体" w:hAnsi="宋体" w:cs="黑体"/>
                <w:sz w:val="21"/>
                <w:szCs w:val="21"/>
              </w:rPr>
            </w:pPr>
            <w:r>
              <w:rPr>
                <w:rFonts w:hint="eastAsia" w:ascii="宋体" w:hAnsi="宋体" w:cs="黑体"/>
                <w:sz w:val="21"/>
                <w:szCs w:val="21"/>
              </w:rPr>
              <w:t>1周</w:t>
            </w:r>
          </w:p>
        </w:tc>
        <w:tc>
          <w:tcPr>
            <w:tcW w:w="736" w:type="pct"/>
            <w:vMerge w:val="continue"/>
            <w:shd w:val="clear" w:color="auto" w:fill="auto"/>
          </w:tcPr>
          <w:p>
            <w:pPr>
              <w:rPr>
                <w:rFonts w:ascii="宋体" w:hAnsi="宋体" w:cs="黑体"/>
                <w:sz w:val="21"/>
                <w:szCs w:val="21"/>
              </w:rPr>
            </w:pPr>
          </w:p>
        </w:tc>
        <w:tc>
          <w:tcPr>
            <w:tcW w:w="426" w:type="pct"/>
            <w:vMerge w:val="continue"/>
          </w:tcPr>
          <w:p>
            <w:pPr>
              <w:rPr>
                <w:rFonts w:ascii="宋体" w:hAnsi="宋体" w:cs="黑体"/>
                <w:sz w:val="21"/>
                <w:szCs w:val="21"/>
              </w:rPr>
            </w:pPr>
          </w:p>
        </w:tc>
        <w:tc>
          <w:tcPr>
            <w:tcW w:w="531" w:type="pct"/>
            <w:vMerge w:val="continue"/>
          </w:tcPr>
          <w:p>
            <w:pPr>
              <w:rPr>
                <w:rFonts w:ascii="宋体" w:hAnsi="宋体" w:cs="黑体"/>
                <w:sz w:val="21"/>
                <w:szCs w:val="21"/>
              </w:rPr>
            </w:pPr>
          </w:p>
        </w:tc>
        <w:tc>
          <w:tcPr>
            <w:tcW w:w="955" w:type="pct"/>
            <w:vMerge w:val="continue"/>
            <w:shd w:val="clear" w:color="auto" w:fill="auto"/>
          </w:tcPr>
          <w:p>
            <w:pPr>
              <w:rPr>
                <w:rFonts w:ascii="宋体" w:hAnsi="宋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60" w:type="pct"/>
            <w:shd w:val="clear" w:color="auto" w:fill="auto"/>
          </w:tcPr>
          <w:p>
            <w:pPr>
              <w:rPr>
                <w:rFonts w:ascii="宋体" w:hAnsi="宋体" w:cs="黑体"/>
                <w:sz w:val="21"/>
                <w:szCs w:val="21"/>
              </w:rPr>
            </w:pPr>
          </w:p>
        </w:tc>
        <w:tc>
          <w:tcPr>
            <w:tcW w:w="661" w:type="pct"/>
            <w:shd w:val="clear" w:color="auto" w:fill="auto"/>
          </w:tcPr>
          <w:p>
            <w:pPr>
              <w:rPr>
                <w:rFonts w:ascii="宋体" w:hAnsi="宋体" w:cs="黑体"/>
                <w:sz w:val="21"/>
                <w:szCs w:val="21"/>
              </w:rPr>
            </w:pPr>
            <w:r>
              <w:rPr>
                <w:rFonts w:hint="eastAsia" w:ascii="宋体" w:hAnsi="宋体" w:cs="黑体"/>
                <w:sz w:val="21"/>
                <w:szCs w:val="21"/>
              </w:rPr>
              <w:t>美国</w:t>
            </w:r>
            <w:r>
              <w:rPr>
                <w:rFonts w:ascii="宋体" w:hAnsi="宋体" w:cs="黑体"/>
                <w:sz w:val="21"/>
                <w:szCs w:val="21"/>
              </w:rPr>
              <w:t xml:space="preserve"> 2000</w:t>
            </w:r>
          </w:p>
        </w:tc>
        <w:tc>
          <w:tcPr>
            <w:tcW w:w="590" w:type="pct"/>
            <w:shd w:val="clear" w:color="auto" w:fill="auto"/>
          </w:tcPr>
          <w:p>
            <w:pPr>
              <w:rPr>
                <w:sz w:val="21"/>
                <w:szCs w:val="21"/>
              </w:rPr>
            </w:pPr>
            <w:r>
              <w:rPr>
                <w:sz w:val="21"/>
                <w:szCs w:val="21"/>
              </w:rPr>
              <w:t>&gt;55℃</w:t>
            </w:r>
          </w:p>
          <w:p>
            <w:pPr>
              <w:rPr>
                <w:sz w:val="21"/>
                <w:szCs w:val="21"/>
              </w:rPr>
            </w:pPr>
            <w:r>
              <w:rPr>
                <w:rFonts w:hint="eastAsia"/>
                <w:sz w:val="21"/>
                <w:szCs w:val="21"/>
              </w:rPr>
              <w:t>或</w:t>
            </w:r>
            <w:r>
              <w:rPr>
                <w:sz w:val="21"/>
                <w:szCs w:val="21"/>
              </w:rPr>
              <w:t>&gt;65℃</w:t>
            </w:r>
          </w:p>
        </w:tc>
        <w:tc>
          <w:tcPr>
            <w:tcW w:w="441" w:type="pct"/>
            <w:shd w:val="clear" w:color="auto" w:fill="auto"/>
          </w:tcPr>
          <w:p>
            <w:pPr>
              <w:rPr>
                <w:rFonts w:ascii="宋体" w:hAnsi="宋体" w:cs="黑体"/>
                <w:sz w:val="21"/>
                <w:szCs w:val="21"/>
              </w:rPr>
            </w:pPr>
            <w:r>
              <w:rPr>
                <w:rFonts w:ascii="宋体" w:hAnsi="宋体" w:cs="黑体"/>
                <w:sz w:val="21"/>
                <w:szCs w:val="21"/>
              </w:rPr>
              <w:t>2</w:t>
            </w:r>
            <w:r>
              <w:rPr>
                <w:rFonts w:hint="eastAsia" w:ascii="宋体" w:hAnsi="宋体" w:cs="黑体"/>
                <w:sz w:val="21"/>
                <w:szCs w:val="21"/>
              </w:rPr>
              <w:t>周</w:t>
            </w:r>
          </w:p>
          <w:p>
            <w:pPr>
              <w:rPr>
                <w:rFonts w:ascii="宋体" w:hAnsi="宋体" w:cs="黑体"/>
                <w:sz w:val="21"/>
                <w:szCs w:val="21"/>
              </w:rPr>
            </w:pPr>
            <w:r>
              <w:rPr>
                <w:rFonts w:hint="eastAsia" w:ascii="宋体" w:hAnsi="宋体" w:cs="黑体"/>
                <w:sz w:val="21"/>
                <w:szCs w:val="21"/>
              </w:rPr>
              <w:t>1周</w:t>
            </w:r>
          </w:p>
        </w:tc>
        <w:tc>
          <w:tcPr>
            <w:tcW w:w="736" w:type="pct"/>
            <w:vMerge w:val="continue"/>
            <w:shd w:val="clear" w:color="auto" w:fill="auto"/>
          </w:tcPr>
          <w:p>
            <w:pPr>
              <w:rPr>
                <w:rFonts w:ascii="宋体" w:hAnsi="宋体" w:cs="黑体"/>
                <w:sz w:val="21"/>
                <w:szCs w:val="21"/>
              </w:rPr>
            </w:pPr>
          </w:p>
        </w:tc>
        <w:tc>
          <w:tcPr>
            <w:tcW w:w="426" w:type="pct"/>
            <w:vMerge w:val="continue"/>
          </w:tcPr>
          <w:p>
            <w:pPr>
              <w:rPr>
                <w:rFonts w:ascii="宋体" w:hAnsi="宋体" w:cs="黑体"/>
                <w:sz w:val="21"/>
                <w:szCs w:val="21"/>
              </w:rPr>
            </w:pPr>
          </w:p>
        </w:tc>
        <w:tc>
          <w:tcPr>
            <w:tcW w:w="531" w:type="pct"/>
            <w:vMerge w:val="continue"/>
          </w:tcPr>
          <w:p>
            <w:pPr>
              <w:rPr>
                <w:rFonts w:ascii="宋体" w:hAnsi="宋体" w:cs="黑体"/>
                <w:sz w:val="21"/>
                <w:szCs w:val="21"/>
              </w:rPr>
            </w:pPr>
          </w:p>
        </w:tc>
        <w:tc>
          <w:tcPr>
            <w:tcW w:w="955" w:type="pct"/>
            <w:vMerge w:val="continue"/>
            <w:shd w:val="clear" w:color="auto" w:fill="auto"/>
          </w:tcPr>
          <w:p>
            <w:pPr>
              <w:rPr>
                <w:rFonts w:ascii="宋体" w:hAnsi="宋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60" w:type="pct"/>
            <w:shd w:val="clear" w:color="auto" w:fill="auto"/>
          </w:tcPr>
          <w:p>
            <w:pPr>
              <w:rPr>
                <w:rFonts w:ascii="宋体" w:hAnsi="宋体" w:cs="黑体"/>
                <w:sz w:val="21"/>
                <w:szCs w:val="21"/>
              </w:rPr>
            </w:pPr>
            <w:r>
              <w:rPr>
                <w:rFonts w:hint="eastAsia" w:ascii="宋体" w:hAnsi="宋体" w:cs="黑体"/>
                <w:sz w:val="21"/>
                <w:szCs w:val="21"/>
              </w:rPr>
              <w:t>本标准</w:t>
            </w:r>
          </w:p>
        </w:tc>
        <w:tc>
          <w:tcPr>
            <w:tcW w:w="661" w:type="pct"/>
            <w:shd w:val="clear" w:color="auto" w:fill="auto"/>
          </w:tcPr>
          <w:p>
            <w:pPr>
              <w:rPr>
                <w:rFonts w:ascii="宋体" w:hAnsi="宋体" w:cs="黑体"/>
                <w:sz w:val="21"/>
                <w:szCs w:val="21"/>
              </w:rPr>
            </w:pPr>
          </w:p>
        </w:tc>
        <w:tc>
          <w:tcPr>
            <w:tcW w:w="590" w:type="pct"/>
            <w:shd w:val="clear" w:color="auto" w:fill="auto"/>
          </w:tcPr>
          <w:p>
            <w:pPr>
              <w:rPr>
                <w:sz w:val="21"/>
                <w:szCs w:val="21"/>
              </w:rPr>
            </w:pPr>
            <w:r>
              <w:rPr>
                <w:sz w:val="21"/>
                <w:szCs w:val="21"/>
              </w:rPr>
              <w:t>&gt;55℃</w:t>
            </w:r>
          </w:p>
          <w:p>
            <w:pPr>
              <w:rPr>
                <w:sz w:val="21"/>
                <w:szCs w:val="21"/>
              </w:rPr>
            </w:pPr>
            <w:r>
              <w:rPr>
                <w:sz w:val="21"/>
                <w:szCs w:val="21"/>
              </w:rPr>
              <w:t>&gt;60℃</w:t>
            </w:r>
          </w:p>
        </w:tc>
        <w:tc>
          <w:tcPr>
            <w:tcW w:w="441" w:type="pct"/>
            <w:shd w:val="clear" w:color="auto" w:fill="auto"/>
          </w:tcPr>
          <w:p>
            <w:pPr>
              <w:rPr>
                <w:rFonts w:ascii="宋体" w:hAnsi="宋体" w:cs="黑体"/>
                <w:w w:val="80"/>
                <w:kern w:val="0"/>
                <w:sz w:val="21"/>
                <w:szCs w:val="21"/>
              </w:rPr>
            </w:pPr>
            <w:r>
              <w:rPr>
                <w:rFonts w:ascii="宋体" w:hAnsi="宋体"/>
                <w:w w:val="80"/>
                <w:kern w:val="0"/>
                <w:sz w:val="21"/>
                <w:szCs w:val="21"/>
              </w:rPr>
              <w:t>≥</w:t>
            </w:r>
            <w:r>
              <w:rPr>
                <w:rFonts w:hint="eastAsia" w:ascii="宋体" w:hAnsi="宋体" w:cs="黑体"/>
                <w:w w:val="80"/>
                <w:kern w:val="0"/>
                <w:sz w:val="21"/>
                <w:szCs w:val="21"/>
              </w:rPr>
              <w:t>1</w:t>
            </w:r>
            <w:r>
              <w:rPr>
                <w:rFonts w:ascii="宋体" w:hAnsi="宋体" w:cs="黑体"/>
                <w:w w:val="80"/>
                <w:kern w:val="0"/>
                <w:sz w:val="21"/>
                <w:szCs w:val="21"/>
              </w:rPr>
              <w:t>2</w:t>
            </w:r>
            <w:r>
              <w:rPr>
                <w:rFonts w:hint="eastAsia" w:ascii="宋体" w:hAnsi="宋体" w:cs="黑体"/>
                <w:w w:val="80"/>
                <w:kern w:val="0"/>
                <w:sz w:val="21"/>
                <w:szCs w:val="21"/>
              </w:rPr>
              <w:t>天</w:t>
            </w:r>
          </w:p>
          <w:p>
            <w:pPr>
              <w:rPr>
                <w:rFonts w:ascii="宋体" w:hAnsi="宋体" w:cs="黑体"/>
                <w:sz w:val="21"/>
                <w:szCs w:val="21"/>
              </w:rPr>
            </w:pPr>
            <w:r>
              <w:rPr>
                <w:rFonts w:ascii="宋体" w:hAnsi="宋体"/>
                <w:sz w:val="21"/>
                <w:szCs w:val="21"/>
              </w:rPr>
              <w:t>≥</w:t>
            </w:r>
            <w:r>
              <w:rPr>
                <w:rFonts w:hint="eastAsia" w:ascii="宋体" w:hAnsi="宋体" w:cs="黑体"/>
                <w:sz w:val="21"/>
                <w:szCs w:val="21"/>
              </w:rPr>
              <w:t>7天</w:t>
            </w:r>
          </w:p>
        </w:tc>
        <w:tc>
          <w:tcPr>
            <w:tcW w:w="736" w:type="pct"/>
            <w:shd w:val="clear" w:color="auto" w:fill="auto"/>
          </w:tcPr>
          <w:p>
            <w:pPr>
              <w:rPr>
                <w:rFonts w:ascii="宋体" w:hAnsi="宋体" w:cs="黑体"/>
                <w:sz w:val="21"/>
                <w:szCs w:val="21"/>
              </w:rPr>
            </w:pPr>
            <w:r>
              <w:rPr>
                <w:rFonts w:hint="eastAsia" w:ascii="宋体" w:hAnsi="宋体" w:cs="黑体"/>
                <w:sz w:val="21"/>
                <w:szCs w:val="21"/>
              </w:rPr>
              <w:t>升、高温期：1次/</w:t>
            </w:r>
            <w:r>
              <w:rPr>
                <w:rFonts w:ascii="宋体" w:hAnsi="宋体" w:cs="黑体"/>
                <w:sz w:val="21"/>
                <w:szCs w:val="21"/>
              </w:rPr>
              <w:t>3-5</w:t>
            </w:r>
            <w:r>
              <w:rPr>
                <w:rFonts w:hint="eastAsia" w:ascii="宋体" w:hAnsi="宋体" w:cs="黑体"/>
                <w:sz w:val="21"/>
                <w:szCs w:val="21"/>
              </w:rPr>
              <w:t>天</w:t>
            </w:r>
          </w:p>
          <w:p>
            <w:pPr>
              <w:rPr>
                <w:rFonts w:ascii="宋体" w:hAnsi="宋体" w:cs="黑体"/>
                <w:sz w:val="21"/>
                <w:szCs w:val="21"/>
              </w:rPr>
            </w:pPr>
            <w:r>
              <w:rPr>
                <w:rFonts w:hint="eastAsia" w:ascii="宋体" w:hAnsi="宋体" w:cs="黑体"/>
                <w:sz w:val="21"/>
                <w:szCs w:val="21"/>
              </w:rPr>
              <w:t>降温期：</w:t>
            </w:r>
          </w:p>
          <w:p>
            <w:pPr>
              <w:rPr>
                <w:rFonts w:ascii="宋体" w:hAnsi="宋体" w:cs="黑体"/>
                <w:sz w:val="21"/>
                <w:szCs w:val="21"/>
              </w:rPr>
            </w:pPr>
            <w:r>
              <w:rPr>
                <w:rFonts w:hint="eastAsia" w:ascii="宋体" w:hAnsi="宋体" w:cs="黑体"/>
                <w:sz w:val="21"/>
                <w:szCs w:val="21"/>
              </w:rPr>
              <w:t>1次/</w:t>
            </w:r>
            <w:r>
              <w:rPr>
                <w:rFonts w:ascii="宋体" w:hAnsi="宋体" w:cs="黑体"/>
                <w:sz w:val="21"/>
                <w:szCs w:val="21"/>
              </w:rPr>
              <w:t>7-10</w:t>
            </w:r>
            <w:r>
              <w:rPr>
                <w:rFonts w:hint="eastAsia" w:ascii="宋体" w:hAnsi="宋体" w:cs="黑体"/>
                <w:sz w:val="21"/>
                <w:szCs w:val="21"/>
              </w:rPr>
              <w:t>天</w:t>
            </w:r>
          </w:p>
        </w:tc>
        <w:tc>
          <w:tcPr>
            <w:tcW w:w="426" w:type="pct"/>
            <w:vAlign w:val="center"/>
          </w:tcPr>
          <w:p>
            <w:pPr>
              <w:jc w:val="center"/>
              <w:rPr>
                <w:rFonts w:ascii="宋体" w:hAnsi="宋体" w:cs="黑体"/>
                <w:sz w:val="21"/>
                <w:szCs w:val="21"/>
              </w:rPr>
            </w:pPr>
            <w:r>
              <w:rPr>
                <w:sz w:val="21"/>
                <w:szCs w:val="21"/>
              </w:rPr>
              <w:t>&gt;80</w:t>
            </w:r>
            <w:r>
              <w:rPr>
                <w:rFonts w:hint="eastAsia"/>
                <w:sz w:val="21"/>
                <w:szCs w:val="21"/>
              </w:rPr>
              <w:t>%</w:t>
            </w:r>
          </w:p>
        </w:tc>
        <w:tc>
          <w:tcPr>
            <w:tcW w:w="531" w:type="pct"/>
          </w:tcPr>
          <w:p>
            <w:pPr>
              <w:rPr>
                <w:rFonts w:ascii="宋体" w:hAnsi="宋体" w:cs="黑体"/>
                <w:sz w:val="21"/>
                <w:szCs w:val="21"/>
              </w:rPr>
            </w:pPr>
            <w:r>
              <w:rPr>
                <w:sz w:val="21"/>
                <w:szCs w:val="21"/>
              </w:rPr>
              <w:t>大于5mm的颗粒</w:t>
            </w:r>
            <w:r>
              <w:rPr>
                <w:rFonts w:hint="eastAsia"/>
                <w:sz w:val="21"/>
                <w:szCs w:val="21"/>
              </w:rPr>
              <w:t>少于</w:t>
            </w:r>
            <w:r>
              <w:rPr>
                <w:sz w:val="21"/>
                <w:szCs w:val="21"/>
              </w:rPr>
              <w:t>5％</w:t>
            </w:r>
          </w:p>
        </w:tc>
        <w:tc>
          <w:tcPr>
            <w:tcW w:w="955" w:type="pct"/>
            <w:shd w:val="clear" w:color="auto" w:fill="auto"/>
          </w:tcPr>
          <w:p>
            <w:pPr>
              <w:rPr>
                <w:rFonts w:ascii="宋体" w:hAnsi="宋体" w:cs="黑体"/>
                <w:sz w:val="21"/>
                <w:szCs w:val="21"/>
              </w:rPr>
            </w:pPr>
            <w:r>
              <w:rPr>
                <w:rFonts w:hint="eastAsia" w:ascii="宋体" w:hAnsi="宋体" w:cs="黑体"/>
                <w:sz w:val="21"/>
                <w:szCs w:val="21"/>
              </w:rPr>
              <w:t>粪大肠菌群数</w:t>
            </w:r>
          </w:p>
          <w:p>
            <w:pPr>
              <w:rPr>
                <w:rFonts w:ascii="宋体" w:hAnsi="宋体" w:cs="黑体"/>
                <w:sz w:val="21"/>
                <w:szCs w:val="21"/>
              </w:rPr>
            </w:pPr>
            <w:r>
              <w:rPr>
                <w:rFonts w:hint="eastAsia" w:ascii="宋体" w:hAnsi="宋体" w:cs="黑体"/>
                <w:sz w:val="21"/>
                <w:szCs w:val="21"/>
              </w:rPr>
              <w:t>蛔虫卵死亡率</w:t>
            </w:r>
          </w:p>
          <w:p>
            <w:pPr>
              <w:rPr>
                <w:rFonts w:ascii="宋体" w:hAnsi="宋体" w:cs="黑体"/>
                <w:sz w:val="21"/>
                <w:szCs w:val="21"/>
              </w:rPr>
            </w:pPr>
            <w:r>
              <w:rPr>
                <w:rFonts w:hint="eastAsia" w:ascii="宋体" w:hAnsi="宋体" w:cs="黑体"/>
                <w:sz w:val="21"/>
                <w:szCs w:val="21"/>
              </w:rPr>
              <w:t>根结线虫</w:t>
            </w:r>
          </w:p>
        </w:tc>
      </w:tr>
    </w:tbl>
    <w:p>
      <w:pPr>
        <w:widowControl/>
        <w:ind w:firstLine="610" w:firstLineChars="218"/>
        <w:rPr>
          <w:rFonts w:ascii="宋体" w:hAnsi="宋体" w:cs="宋体"/>
          <w:kern w:val="0"/>
        </w:rPr>
      </w:pPr>
    </w:p>
    <w:p>
      <w:pPr>
        <w:widowControl/>
        <w:ind w:firstLine="610" w:firstLineChars="218"/>
        <w:rPr>
          <w:rFonts w:hint="eastAsia" w:ascii="宋体" w:hAnsi="宋体" w:cs="宋体"/>
          <w:kern w:val="0"/>
        </w:rPr>
      </w:pPr>
    </w:p>
    <w:p>
      <w:pPr>
        <w:widowControl/>
        <w:ind w:firstLine="697" w:firstLineChars="218"/>
        <w:rPr>
          <w:rFonts w:ascii="宋体" w:hAnsi="宋体" w:cs="宋体"/>
          <w:kern w:val="0"/>
          <w:sz w:val="32"/>
          <w:szCs w:val="32"/>
        </w:rPr>
      </w:pPr>
      <w:r>
        <w:rPr>
          <w:rFonts w:ascii="宋体" w:hAnsi="宋体" w:cs="宋体"/>
          <w:kern w:val="0"/>
          <w:sz w:val="32"/>
          <w:szCs w:val="32"/>
        </w:rPr>
        <w:t>六、重大意见分歧的处理：包括处理过程、依据和结果；</w:t>
      </w:r>
    </w:p>
    <w:p>
      <w:pPr>
        <w:widowControl/>
        <w:ind w:firstLine="610" w:firstLineChars="218"/>
        <w:rPr>
          <w:rFonts w:ascii="宋体" w:hAnsi="宋体" w:cs="宋体"/>
          <w:kern w:val="0"/>
        </w:rPr>
      </w:pPr>
      <w:r>
        <w:rPr>
          <w:rFonts w:hint="eastAsia" w:ascii="宋体" w:hAnsi="宋体" w:cs="宋体"/>
          <w:kern w:val="0"/>
        </w:rPr>
        <w:t>项目执行的过程中无重大意见分歧。</w:t>
      </w:r>
    </w:p>
    <w:p>
      <w:pPr>
        <w:widowControl/>
        <w:ind w:firstLine="697" w:firstLineChars="218"/>
        <w:rPr>
          <w:rFonts w:ascii="宋体" w:hAnsi="宋体" w:cs="宋体"/>
          <w:kern w:val="0"/>
          <w:sz w:val="32"/>
          <w:szCs w:val="32"/>
        </w:rPr>
      </w:pPr>
      <w:r>
        <w:rPr>
          <w:rFonts w:ascii="宋体" w:hAnsi="宋体" w:cs="宋体"/>
          <w:kern w:val="0"/>
          <w:sz w:val="32"/>
          <w:szCs w:val="32"/>
        </w:rPr>
        <w:t>七、标准性质的建议说明：建议审批发布为推荐性标准或强制性标准的说明及理由；</w:t>
      </w:r>
    </w:p>
    <w:p>
      <w:pPr>
        <w:widowControl/>
        <w:ind w:firstLine="610" w:firstLineChars="218"/>
        <w:rPr>
          <w:rFonts w:ascii="宋体" w:hAnsi="宋体" w:cs="宋体"/>
          <w:kern w:val="0"/>
        </w:rPr>
      </w:pPr>
      <w:r>
        <w:rPr>
          <w:rFonts w:ascii="宋体" w:hAnsi="宋体" w:cs="宋体"/>
          <w:kern w:val="0"/>
        </w:rPr>
        <w:t>建议审批发布为推荐性标准</w:t>
      </w:r>
      <w:r>
        <w:rPr>
          <w:rFonts w:hint="eastAsia" w:ascii="宋体" w:hAnsi="宋体" w:cs="宋体"/>
          <w:kern w:val="0"/>
        </w:rPr>
        <w:t>。</w:t>
      </w:r>
    </w:p>
    <w:p>
      <w:pPr>
        <w:widowControl/>
        <w:ind w:firstLine="697" w:firstLineChars="218"/>
        <w:rPr>
          <w:rFonts w:ascii="宋体" w:hAnsi="宋体" w:cs="宋体"/>
          <w:kern w:val="0"/>
          <w:sz w:val="32"/>
          <w:szCs w:val="32"/>
        </w:rPr>
      </w:pPr>
      <w:r>
        <w:rPr>
          <w:rFonts w:ascii="宋体" w:hAnsi="宋体" w:cs="宋体"/>
          <w:kern w:val="0"/>
          <w:sz w:val="32"/>
          <w:szCs w:val="32"/>
        </w:rPr>
        <w:t>八、其他应予说明的事项。</w:t>
      </w:r>
    </w:p>
    <w:p>
      <w:pPr>
        <w:ind w:firstLine="610" w:firstLineChars="218"/>
      </w:pPr>
      <w:r>
        <w:rPr>
          <w:rFonts w:hint="eastAsia"/>
        </w:rPr>
        <w:t>无。</w:t>
      </w:r>
    </w:p>
    <w:p/>
    <w:sectPr>
      <w:pgSz w:w="11906" w:h="16838"/>
      <w:pgMar w:top="1701" w:right="1474" w:bottom="153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xYjIyYzNkMmZlNmVhYTE5NTZjMjUxNTM2ODdlNmUifQ=="/>
  </w:docVars>
  <w:rsids>
    <w:rsidRoot w:val="00D141F6"/>
    <w:rsid w:val="00041CB6"/>
    <w:rsid w:val="00043D18"/>
    <w:rsid w:val="000453A2"/>
    <w:rsid w:val="00045D7F"/>
    <w:rsid w:val="0005690C"/>
    <w:rsid w:val="0006428D"/>
    <w:rsid w:val="00074AB2"/>
    <w:rsid w:val="000A38D4"/>
    <w:rsid w:val="000B782D"/>
    <w:rsid w:val="000C1E46"/>
    <w:rsid w:val="000D4D6E"/>
    <w:rsid w:val="000E131E"/>
    <w:rsid w:val="000F73F3"/>
    <w:rsid w:val="00114295"/>
    <w:rsid w:val="00126AE3"/>
    <w:rsid w:val="001347E8"/>
    <w:rsid w:val="00156156"/>
    <w:rsid w:val="001578A5"/>
    <w:rsid w:val="001629BA"/>
    <w:rsid w:val="00162D6C"/>
    <w:rsid w:val="00167B4D"/>
    <w:rsid w:val="00181988"/>
    <w:rsid w:val="00184920"/>
    <w:rsid w:val="001A2FFF"/>
    <w:rsid w:val="001A6788"/>
    <w:rsid w:val="001F1A7A"/>
    <w:rsid w:val="001F251C"/>
    <w:rsid w:val="00203C69"/>
    <w:rsid w:val="002075A4"/>
    <w:rsid w:val="00216EB9"/>
    <w:rsid w:val="0022100B"/>
    <w:rsid w:val="0022211A"/>
    <w:rsid w:val="0024482F"/>
    <w:rsid w:val="00261774"/>
    <w:rsid w:val="00280A0C"/>
    <w:rsid w:val="002B321E"/>
    <w:rsid w:val="002C0915"/>
    <w:rsid w:val="002D0BFD"/>
    <w:rsid w:val="002E0B71"/>
    <w:rsid w:val="002F3444"/>
    <w:rsid w:val="00322B6F"/>
    <w:rsid w:val="00323325"/>
    <w:rsid w:val="003342FB"/>
    <w:rsid w:val="003509E3"/>
    <w:rsid w:val="00360ABA"/>
    <w:rsid w:val="003617D2"/>
    <w:rsid w:val="003651CA"/>
    <w:rsid w:val="003924C8"/>
    <w:rsid w:val="003927D3"/>
    <w:rsid w:val="0039746B"/>
    <w:rsid w:val="003A5880"/>
    <w:rsid w:val="003B19FC"/>
    <w:rsid w:val="003B6611"/>
    <w:rsid w:val="003C1E2C"/>
    <w:rsid w:val="003C51ED"/>
    <w:rsid w:val="003C5D1C"/>
    <w:rsid w:val="003D7B9C"/>
    <w:rsid w:val="00406331"/>
    <w:rsid w:val="00406DEE"/>
    <w:rsid w:val="004277EF"/>
    <w:rsid w:val="00436B68"/>
    <w:rsid w:val="0044592D"/>
    <w:rsid w:val="00473B92"/>
    <w:rsid w:val="00475F8D"/>
    <w:rsid w:val="004867AA"/>
    <w:rsid w:val="0048761F"/>
    <w:rsid w:val="004952CB"/>
    <w:rsid w:val="00497CB9"/>
    <w:rsid w:val="004D1F14"/>
    <w:rsid w:val="00502FD9"/>
    <w:rsid w:val="00506A08"/>
    <w:rsid w:val="0052110D"/>
    <w:rsid w:val="005521B6"/>
    <w:rsid w:val="00592AF7"/>
    <w:rsid w:val="005A6A58"/>
    <w:rsid w:val="005B2829"/>
    <w:rsid w:val="005D1296"/>
    <w:rsid w:val="005D5BAA"/>
    <w:rsid w:val="005E67D4"/>
    <w:rsid w:val="005E71BF"/>
    <w:rsid w:val="005F223F"/>
    <w:rsid w:val="005F314A"/>
    <w:rsid w:val="005F50BD"/>
    <w:rsid w:val="005F6AD8"/>
    <w:rsid w:val="00603F1B"/>
    <w:rsid w:val="00625F17"/>
    <w:rsid w:val="00636BE9"/>
    <w:rsid w:val="006532FD"/>
    <w:rsid w:val="00663D16"/>
    <w:rsid w:val="00674516"/>
    <w:rsid w:val="00680C28"/>
    <w:rsid w:val="006C1608"/>
    <w:rsid w:val="006E4C5D"/>
    <w:rsid w:val="006F2E1E"/>
    <w:rsid w:val="00701DC7"/>
    <w:rsid w:val="007119CB"/>
    <w:rsid w:val="00711B13"/>
    <w:rsid w:val="00717C64"/>
    <w:rsid w:val="00720E0F"/>
    <w:rsid w:val="00722A14"/>
    <w:rsid w:val="00727B1D"/>
    <w:rsid w:val="00730801"/>
    <w:rsid w:val="00750923"/>
    <w:rsid w:val="00757E87"/>
    <w:rsid w:val="007605E4"/>
    <w:rsid w:val="00761B52"/>
    <w:rsid w:val="00795AB7"/>
    <w:rsid w:val="007B31D1"/>
    <w:rsid w:val="007B37FE"/>
    <w:rsid w:val="007C181B"/>
    <w:rsid w:val="007C40A4"/>
    <w:rsid w:val="007C5652"/>
    <w:rsid w:val="007E6845"/>
    <w:rsid w:val="007E69EC"/>
    <w:rsid w:val="007F0924"/>
    <w:rsid w:val="007F4076"/>
    <w:rsid w:val="008318E5"/>
    <w:rsid w:val="008332E9"/>
    <w:rsid w:val="00837213"/>
    <w:rsid w:val="00850DDF"/>
    <w:rsid w:val="00867B66"/>
    <w:rsid w:val="00885C92"/>
    <w:rsid w:val="008A362B"/>
    <w:rsid w:val="008B41E2"/>
    <w:rsid w:val="008C4720"/>
    <w:rsid w:val="008C58AF"/>
    <w:rsid w:val="008D1972"/>
    <w:rsid w:val="008D5644"/>
    <w:rsid w:val="008E56DB"/>
    <w:rsid w:val="008F536A"/>
    <w:rsid w:val="008F785A"/>
    <w:rsid w:val="00901423"/>
    <w:rsid w:val="009124B6"/>
    <w:rsid w:val="00914E80"/>
    <w:rsid w:val="00920168"/>
    <w:rsid w:val="00953D64"/>
    <w:rsid w:val="0096253B"/>
    <w:rsid w:val="00985D51"/>
    <w:rsid w:val="00987A53"/>
    <w:rsid w:val="00991EDF"/>
    <w:rsid w:val="009A1DF2"/>
    <w:rsid w:val="009A4322"/>
    <w:rsid w:val="009B00AC"/>
    <w:rsid w:val="009B5BF9"/>
    <w:rsid w:val="009C20A7"/>
    <w:rsid w:val="009C224A"/>
    <w:rsid w:val="009E20D4"/>
    <w:rsid w:val="00A0094D"/>
    <w:rsid w:val="00A02E33"/>
    <w:rsid w:val="00A11FE7"/>
    <w:rsid w:val="00A13370"/>
    <w:rsid w:val="00A366A8"/>
    <w:rsid w:val="00A426BF"/>
    <w:rsid w:val="00A44954"/>
    <w:rsid w:val="00A51FA8"/>
    <w:rsid w:val="00A600EA"/>
    <w:rsid w:val="00A81886"/>
    <w:rsid w:val="00A81B52"/>
    <w:rsid w:val="00A93644"/>
    <w:rsid w:val="00AA39F7"/>
    <w:rsid w:val="00AA719D"/>
    <w:rsid w:val="00AD0939"/>
    <w:rsid w:val="00AF0AC2"/>
    <w:rsid w:val="00B00BBE"/>
    <w:rsid w:val="00B018CB"/>
    <w:rsid w:val="00B0460F"/>
    <w:rsid w:val="00B35048"/>
    <w:rsid w:val="00B4273F"/>
    <w:rsid w:val="00B51D91"/>
    <w:rsid w:val="00B55137"/>
    <w:rsid w:val="00B71614"/>
    <w:rsid w:val="00B733E0"/>
    <w:rsid w:val="00B765AE"/>
    <w:rsid w:val="00B95632"/>
    <w:rsid w:val="00BA040A"/>
    <w:rsid w:val="00BB29AC"/>
    <w:rsid w:val="00BB69AA"/>
    <w:rsid w:val="00BD1F86"/>
    <w:rsid w:val="00C01178"/>
    <w:rsid w:val="00C12818"/>
    <w:rsid w:val="00C1390C"/>
    <w:rsid w:val="00C151F3"/>
    <w:rsid w:val="00C41220"/>
    <w:rsid w:val="00C431F6"/>
    <w:rsid w:val="00C54665"/>
    <w:rsid w:val="00C57EEC"/>
    <w:rsid w:val="00C651D1"/>
    <w:rsid w:val="00C65C97"/>
    <w:rsid w:val="00C65F81"/>
    <w:rsid w:val="00C84348"/>
    <w:rsid w:val="00C85659"/>
    <w:rsid w:val="00CA0FFE"/>
    <w:rsid w:val="00CA2079"/>
    <w:rsid w:val="00CA492B"/>
    <w:rsid w:val="00CC19D4"/>
    <w:rsid w:val="00CC2E1A"/>
    <w:rsid w:val="00CD3D96"/>
    <w:rsid w:val="00CF5EEF"/>
    <w:rsid w:val="00CF606E"/>
    <w:rsid w:val="00D04DF1"/>
    <w:rsid w:val="00D052BD"/>
    <w:rsid w:val="00D141F6"/>
    <w:rsid w:val="00D2662E"/>
    <w:rsid w:val="00D43420"/>
    <w:rsid w:val="00D505E5"/>
    <w:rsid w:val="00D50CDF"/>
    <w:rsid w:val="00D602C8"/>
    <w:rsid w:val="00D60DC7"/>
    <w:rsid w:val="00D74658"/>
    <w:rsid w:val="00D87384"/>
    <w:rsid w:val="00D91AB4"/>
    <w:rsid w:val="00D977A7"/>
    <w:rsid w:val="00DA5F1D"/>
    <w:rsid w:val="00DA7E24"/>
    <w:rsid w:val="00E1204B"/>
    <w:rsid w:val="00E20AD5"/>
    <w:rsid w:val="00E2581E"/>
    <w:rsid w:val="00E47AB5"/>
    <w:rsid w:val="00E73A65"/>
    <w:rsid w:val="00E85EB2"/>
    <w:rsid w:val="00E9386A"/>
    <w:rsid w:val="00EA536E"/>
    <w:rsid w:val="00EB2CA3"/>
    <w:rsid w:val="00EB69A8"/>
    <w:rsid w:val="00EC3E66"/>
    <w:rsid w:val="00EE27CE"/>
    <w:rsid w:val="00EE3B79"/>
    <w:rsid w:val="00EF119A"/>
    <w:rsid w:val="00F11948"/>
    <w:rsid w:val="00F11A44"/>
    <w:rsid w:val="00F15D77"/>
    <w:rsid w:val="00F7590C"/>
    <w:rsid w:val="00FA4166"/>
    <w:rsid w:val="00FB2E82"/>
    <w:rsid w:val="00FC3CEF"/>
    <w:rsid w:val="00FF0165"/>
    <w:rsid w:val="00FF397E"/>
    <w:rsid w:val="2CAF572B"/>
    <w:rsid w:val="5F762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333333"/>
      <w:kern w:val="2"/>
      <w:sz w:val="28"/>
      <w:szCs w:val="28"/>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7"/>
    <w:autoRedefine/>
    <w:semiHidden/>
    <w:unhideWhenUsed/>
    <w:qFormat/>
    <w:uiPriority w:val="99"/>
    <w:rPr>
      <w:sz w:val="18"/>
      <w:szCs w:val="18"/>
    </w:r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semiHidden/>
    <w:uiPriority w:val="99"/>
    <w:rPr>
      <w:sz w:val="18"/>
      <w:szCs w:val="18"/>
    </w:rPr>
  </w:style>
  <w:style w:type="character" w:customStyle="1" w:styleId="8">
    <w:name w:val="Subtle Emphasis"/>
    <w:basedOn w:val="6"/>
    <w:autoRedefine/>
    <w:qFormat/>
    <w:uiPriority w:val="19"/>
    <w:rPr>
      <w:i/>
      <w:iCs/>
      <w:color w:val="404040" w:themeColor="text1" w:themeTint="BF"/>
      <w14:textFill>
        <w14:solidFill>
          <w14:schemeClr w14:val="tx1">
            <w14:lumMod w14:val="75000"/>
            <w14:lumOff w14:val="25000"/>
          </w14:schemeClr>
        </w14:solidFill>
      </w14:textFill>
    </w:rPr>
  </w:style>
  <w:style w:type="character" w:customStyle="1" w:styleId="9">
    <w:name w:val="页眉 字符"/>
    <w:basedOn w:val="6"/>
    <w:link w:val="4"/>
    <w:autoRedefine/>
    <w:qFormat/>
    <w:uiPriority w:val="99"/>
    <w:rPr>
      <w:sz w:val="18"/>
      <w:szCs w:val="18"/>
    </w:rPr>
  </w:style>
  <w:style w:type="character" w:customStyle="1" w:styleId="10">
    <w:name w:val="页脚 字符"/>
    <w:basedOn w:val="6"/>
    <w:link w:val="3"/>
    <w:autoRedefine/>
    <w:qFormat/>
    <w:uiPriority w:val="99"/>
    <w:rPr>
      <w:sz w:val="18"/>
      <w:szCs w:val="18"/>
    </w:rPr>
  </w:style>
  <w:style w:type="paragraph" w:styleId="1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627</Words>
  <Characters>3576</Characters>
  <Lines>29</Lines>
  <Paragraphs>8</Paragraphs>
  <TotalTime>1516</TotalTime>
  <ScaleCrop>false</ScaleCrop>
  <LinksUpToDate>false</LinksUpToDate>
  <CharactersWithSpaces>4195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2024-02-28T15:39:00Z</dcterms:created>
  <dc:creator>zjch</dc:creator>
  <cp:lastModifiedBy>JYF</cp:lastModifiedBy>
  <cp:lastPrinted>2020-11-16T06:31:00Z</cp:lastPrinted>
  <dcterms:modified xsi:type="dcterms:W3CDTF">2024-05-08T07:41:33Z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8886A063438F4192A3CD8BDE3359595B_12</vt:lpwstr>
  </property>
</Properties>
</file>