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13AC" w14:textId="796A1FDB" w:rsidR="00100B82" w:rsidRDefault="00000000">
      <w:pPr>
        <w:pStyle w:val="a4"/>
        <w:spacing w:afterLines="50" w:after="156" w:line="600" w:lineRule="exact"/>
        <w:jc w:val="center"/>
        <w:rPr>
          <w:rFonts w:ascii="Times New Roman" w:eastAsia="黑体" w:hAnsi="Times New Roman"/>
          <w:b/>
          <w:w w:val="90"/>
          <w:sz w:val="32"/>
          <w:szCs w:val="32"/>
        </w:rPr>
      </w:pPr>
      <w:r>
        <w:rPr>
          <w:rFonts w:ascii="Times New Roman" w:eastAsia="黑体" w:hAnsi="Times New Roman"/>
          <w:b/>
          <w:w w:val="90"/>
          <w:sz w:val="32"/>
          <w:szCs w:val="32"/>
        </w:rPr>
        <w:t>陕西省地方标准《</w:t>
      </w:r>
      <w:r>
        <w:rPr>
          <w:rFonts w:ascii="Times New Roman" w:eastAsia="黑体" w:hAnsi="Times New Roman" w:hint="eastAsia"/>
          <w:b/>
          <w:w w:val="90"/>
          <w:sz w:val="32"/>
          <w:szCs w:val="32"/>
        </w:rPr>
        <w:t>露地芥蓝周年</w:t>
      </w:r>
      <w:r>
        <w:rPr>
          <w:rFonts w:ascii="Times New Roman" w:eastAsia="黑体" w:hAnsi="Times New Roman"/>
          <w:b/>
          <w:w w:val="90"/>
          <w:sz w:val="32"/>
          <w:szCs w:val="32"/>
        </w:rPr>
        <w:t>生产技术</w:t>
      </w:r>
      <w:r>
        <w:rPr>
          <w:rFonts w:ascii="Times New Roman" w:eastAsia="黑体" w:hAnsi="Times New Roman" w:hint="eastAsia"/>
          <w:b/>
          <w:w w:val="90"/>
          <w:sz w:val="32"/>
          <w:szCs w:val="32"/>
        </w:rPr>
        <w:t>规程</w:t>
      </w:r>
      <w:r>
        <w:rPr>
          <w:rFonts w:ascii="Times New Roman" w:eastAsia="黑体" w:hAnsi="Times New Roman"/>
          <w:b/>
          <w:w w:val="90"/>
          <w:sz w:val="32"/>
          <w:szCs w:val="32"/>
        </w:rPr>
        <w:t>》（</w:t>
      </w:r>
      <w:r w:rsidR="00320376">
        <w:rPr>
          <w:rFonts w:ascii="Times New Roman" w:eastAsia="黑体" w:hAnsi="Times New Roman" w:hint="eastAsia"/>
          <w:b/>
          <w:w w:val="90"/>
          <w:sz w:val="32"/>
          <w:szCs w:val="32"/>
        </w:rPr>
        <w:t>征求意见稿</w:t>
      </w:r>
      <w:r>
        <w:rPr>
          <w:rFonts w:ascii="Times New Roman" w:eastAsia="黑体" w:hAnsi="Times New Roman"/>
          <w:b/>
          <w:w w:val="90"/>
          <w:sz w:val="32"/>
          <w:szCs w:val="32"/>
        </w:rPr>
        <w:t>）</w:t>
      </w:r>
    </w:p>
    <w:p w14:paraId="3D35999B" w14:textId="77777777" w:rsidR="00100B82" w:rsidRDefault="00000000">
      <w:pPr>
        <w:pStyle w:val="a4"/>
        <w:spacing w:afterLines="50" w:after="156" w:line="600" w:lineRule="exact"/>
        <w:jc w:val="center"/>
        <w:rPr>
          <w:rFonts w:ascii="Times New Roman" w:eastAsia="隶书" w:hAnsi="Times New Roman"/>
          <w:b/>
          <w:sz w:val="52"/>
        </w:rPr>
      </w:pPr>
      <w:r>
        <w:rPr>
          <w:rFonts w:ascii="Times New Roman" w:eastAsia="隶书" w:hAnsi="Times New Roman"/>
          <w:b/>
          <w:sz w:val="52"/>
        </w:rPr>
        <w:t>编</w:t>
      </w:r>
      <w:r>
        <w:rPr>
          <w:rFonts w:ascii="Times New Roman" w:eastAsia="隶书" w:hAnsi="Times New Roman"/>
          <w:b/>
          <w:sz w:val="52"/>
        </w:rPr>
        <w:t xml:space="preserve"> </w:t>
      </w:r>
      <w:r>
        <w:rPr>
          <w:rFonts w:ascii="Times New Roman" w:eastAsia="隶书" w:hAnsi="Times New Roman"/>
          <w:b/>
          <w:sz w:val="52"/>
        </w:rPr>
        <w:t>制</w:t>
      </w:r>
      <w:r>
        <w:rPr>
          <w:rFonts w:ascii="Times New Roman" w:eastAsia="隶书" w:hAnsi="Times New Roman"/>
          <w:b/>
          <w:sz w:val="52"/>
        </w:rPr>
        <w:t xml:space="preserve"> </w:t>
      </w:r>
      <w:r>
        <w:rPr>
          <w:rFonts w:ascii="Times New Roman" w:eastAsia="隶书" w:hAnsi="Times New Roman"/>
          <w:b/>
          <w:sz w:val="52"/>
        </w:rPr>
        <w:t>说</w:t>
      </w:r>
      <w:r>
        <w:rPr>
          <w:rFonts w:ascii="Times New Roman" w:eastAsia="隶书" w:hAnsi="Times New Roman"/>
          <w:b/>
          <w:sz w:val="52"/>
        </w:rPr>
        <w:t xml:space="preserve"> </w:t>
      </w:r>
      <w:r>
        <w:rPr>
          <w:rFonts w:ascii="Times New Roman" w:eastAsia="隶书" w:hAnsi="Times New Roman"/>
          <w:b/>
          <w:sz w:val="52"/>
        </w:rPr>
        <w:t>明</w:t>
      </w:r>
    </w:p>
    <w:p w14:paraId="4C52AD58" w14:textId="77777777" w:rsidR="00100B82"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一、</w:t>
      </w:r>
      <w:r>
        <w:rPr>
          <w:rFonts w:ascii="Times New Roman" w:eastAsia="黑体" w:hAnsi="Times New Roman" w:cs="Times New Roman" w:hint="eastAsia"/>
          <w:b/>
          <w:bCs/>
          <w:sz w:val="28"/>
          <w:szCs w:val="20"/>
        </w:rPr>
        <w:t>工作简况</w:t>
      </w:r>
    </w:p>
    <w:p w14:paraId="1AD0E13D" w14:textId="77777777" w:rsidR="00100B82" w:rsidRDefault="00000000">
      <w:pPr>
        <w:ind w:firstLineChars="200" w:firstLine="640"/>
        <w:rPr>
          <w:rFonts w:ascii="仿宋_GB2312" w:eastAsia="仿宋_GB2312"/>
          <w:sz w:val="32"/>
          <w:szCs w:val="32"/>
        </w:rPr>
      </w:pPr>
      <w:r>
        <w:rPr>
          <w:rFonts w:ascii="仿宋_GB2312" w:eastAsia="仿宋_GB2312" w:hint="eastAsia"/>
          <w:sz w:val="32"/>
          <w:szCs w:val="32"/>
        </w:rPr>
        <w:t>（一）任务来源</w:t>
      </w:r>
    </w:p>
    <w:p w14:paraId="5A5D9396" w14:textId="14949F67" w:rsidR="00100B82" w:rsidRDefault="00000000">
      <w:pPr>
        <w:ind w:firstLineChars="200" w:firstLine="640"/>
        <w:rPr>
          <w:rFonts w:ascii="仿宋_GB2312" w:eastAsia="仿宋_GB2312" w:hAnsi="Times New Roman" w:cs="Times New Roman"/>
          <w:bCs/>
          <w:sz w:val="32"/>
          <w:szCs w:val="32"/>
        </w:rPr>
      </w:pPr>
      <w:r>
        <w:rPr>
          <w:rFonts w:ascii="仿宋_GB2312" w:eastAsia="仿宋_GB2312" w:hint="eastAsia"/>
          <w:bCs/>
          <w:sz w:val="32"/>
          <w:szCs w:val="32"/>
        </w:rPr>
        <w:t>2023年5月1</w:t>
      </w:r>
      <w:r w:rsidR="00320376">
        <w:rPr>
          <w:rFonts w:ascii="仿宋_GB2312" w:eastAsia="仿宋_GB2312" w:hint="eastAsia"/>
          <w:bCs/>
          <w:sz w:val="32"/>
          <w:szCs w:val="32"/>
        </w:rPr>
        <w:t>0</w:t>
      </w:r>
      <w:r>
        <w:rPr>
          <w:rFonts w:ascii="仿宋_GB2312" w:eastAsia="仿宋_GB2312" w:hint="eastAsia"/>
          <w:bCs/>
          <w:sz w:val="32"/>
          <w:szCs w:val="32"/>
        </w:rPr>
        <w:t>日，由西北农林科技大学申请杨凌地方标准的立项，根据《陕西省市场监督管理局关于下达2023年度陕西省地方标准制修订项目计划的通知》（陕市监函〔2023〕410号）文件下达的2023年度年度地方标准制修订项目计划，批准《</w:t>
      </w:r>
      <w:r>
        <w:rPr>
          <w:rFonts w:ascii="仿宋_GB2312" w:eastAsia="仿宋_GB2312" w:cs="Times New Roman" w:hint="eastAsia"/>
          <w:bCs/>
          <w:sz w:val="32"/>
          <w:szCs w:val="32"/>
        </w:rPr>
        <w:t>露地芥蓝周年生产技术规程</w:t>
      </w:r>
      <w:r>
        <w:rPr>
          <w:rFonts w:ascii="仿宋_GB2312" w:eastAsia="仿宋_GB2312" w:hAnsi="Times New Roman" w:cs="Times New Roman" w:hint="eastAsia"/>
          <w:bCs/>
          <w:sz w:val="32"/>
          <w:szCs w:val="32"/>
        </w:rPr>
        <w:t>》地方标准的制定。</w:t>
      </w:r>
    </w:p>
    <w:p w14:paraId="52F3C4B2" w14:textId="77777777" w:rsidR="00100B82" w:rsidRDefault="00000000">
      <w:pPr>
        <w:ind w:firstLineChars="200" w:firstLine="640"/>
        <w:rPr>
          <w:rFonts w:ascii="仿宋_GB2312" w:eastAsia="仿宋_GB2312"/>
          <w:sz w:val="32"/>
          <w:szCs w:val="32"/>
        </w:rPr>
      </w:pPr>
      <w:r>
        <w:rPr>
          <w:rFonts w:ascii="仿宋_GB2312" w:eastAsia="仿宋_GB2312" w:hint="eastAsia"/>
          <w:sz w:val="32"/>
          <w:szCs w:val="32"/>
        </w:rPr>
        <w:t>（二）起草单位</w:t>
      </w:r>
    </w:p>
    <w:p w14:paraId="6CCDCD62" w14:textId="77777777" w:rsidR="00100B82" w:rsidRDefault="00000000">
      <w:pPr>
        <w:ind w:firstLineChars="200" w:firstLine="640"/>
        <w:rPr>
          <w:rFonts w:ascii="仿宋_GB2312" w:eastAsia="仿宋_GB2312"/>
          <w:sz w:val="32"/>
          <w:szCs w:val="32"/>
        </w:rPr>
      </w:pPr>
      <w:r>
        <w:rPr>
          <w:rFonts w:ascii="仿宋_GB2312" w:eastAsia="仿宋_GB2312" w:hint="eastAsia"/>
          <w:sz w:val="32"/>
          <w:szCs w:val="32"/>
        </w:rPr>
        <w:t>起草单位：西北农林科技大学园艺学院、西安市农业技术推广中心共同完成。</w:t>
      </w:r>
    </w:p>
    <w:p w14:paraId="2E4D17F2" w14:textId="77777777" w:rsidR="00100B82" w:rsidRDefault="00000000">
      <w:pPr>
        <w:ind w:firstLineChars="200" w:firstLine="640"/>
        <w:rPr>
          <w:rFonts w:ascii="仿宋_GB2312" w:eastAsia="仿宋_GB2312"/>
          <w:sz w:val="32"/>
          <w:szCs w:val="32"/>
        </w:rPr>
      </w:pPr>
      <w:r>
        <w:rPr>
          <w:rFonts w:ascii="仿宋_GB2312" w:eastAsia="仿宋_GB2312" w:hint="eastAsia"/>
          <w:sz w:val="32"/>
          <w:szCs w:val="32"/>
        </w:rPr>
        <w:t>（三）主要起草人及任务分工</w:t>
      </w:r>
    </w:p>
    <w:tbl>
      <w:tblPr>
        <w:tblW w:w="790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825"/>
        <w:gridCol w:w="1418"/>
        <w:gridCol w:w="3118"/>
        <w:gridCol w:w="1276"/>
      </w:tblGrid>
      <w:tr w:rsidR="00100B82" w14:paraId="21190780" w14:textId="77777777" w:rsidTr="00912C64">
        <w:tc>
          <w:tcPr>
            <w:tcW w:w="1270" w:type="dxa"/>
            <w:vAlign w:val="center"/>
          </w:tcPr>
          <w:p w14:paraId="5E9C75C1"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姓 名</w:t>
            </w:r>
          </w:p>
        </w:tc>
        <w:tc>
          <w:tcPr>
            <w:tcW w:w="825" w:type="dxa"/>
            <w:vAlign w:val="center"/>
          </w:tcPr>
          <w:p w14:paraId="335E5AF6"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性别</w:t>
            </w:r>
          </w:p>
        </w:tc>
        <w:tc>
          <w:tcPr>
            <w:tcW w:w="1418" w:type="dxa"/>
            <w:vAlign w:val="center"/>
          </w:tcPr>
          <w:p w14:paraId="45D44DC8"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职务/职称</w:t>
            </w:r>
          </w:p>
        </w:tc>
        <w:tc>
          <w:tcPr>
            <w:tcW w:w="3118" w:type="dxa"/>
            <w:vAlign w:val="center"/>
          </w:tcPr>
          <w:p w14:paraId="7CB8D741"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工作单位</w:t>
            </w:r>
          </w:p>
        </w:tc>
        <w:tc>
          <w:tcPr>
            <w:tcW w:w="1276" w:type="dxa"/>
            <w:vAlign w:val="center"/>
          </w:tcPr>
          <w:p w14:paraId="5A26E481"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任务分工</w:t>
            </w:r>
          </w:p>
        </w:tc>
      </w:tr>
      <w:tr w:rsidR="00100B82" w14:paraId="562AACC9" w14:textId="77777777" w:rsidTr="00912C64">
        <w:tc>
          <w:tcPr>
            <w:tcW w:w="1270" w:type="dxa"/>
            <w:vAlign w:val="center"/>
          </w:tcPr>
          <w:p w14:paraId="58417CC9"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惠麦侠</w:t>
            </w:r>
          </w:p>
        </w:tc>
        <w:tc>
          <w:tcPr>
            <w:tcW w:w="825" w:type="dxa"/>
            <w:vAlign w:val="center"/>
          </w:tcPr>
          <w:p w14:paraId="635D0934"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女</w:t>
            </w:r>
          </w:p>
        </w:tc>
        <w:tc>
          <w:tcPr>
            <w:tcW w:w="1418" w:type="dxa"/>
            <w:vAlign w:val="center"/>
          </w:tcPr>
          <w:p w14:paraId="0336F619"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研究员</w:t>
            </w:r>
          </w:p>
        </w:tc>
        <w:tc>
          <w:tcPr>
            <w:tcW w:w="3118" w:type="dxa"/>
            <w:vAlign w:val="center"/>
          </w:tcPr>
          <w:p w14:paraId="6E8BC744"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03685FAA"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指导协调</w:t>
            </w:r>
          </w:p>
        </w:tc>
      </w:tr>
      <w:tr w:rsidR="00100B82" w14:paraId="06A07701" w14:textId="77777777" w:rsidTr="00912C64">
        <w:tc>
          <w:tcPr>
            <w:tcW w:w="1270" w:type="dxa"/>
            <w:vAlign w:val="center"/>
          </w:tcPr>
          <w:p w14:paraId="3E33856B" w14:textId="77777777" w:rsidR="00100B82" w:rsidRDefault="00000000" w:rsidP="00912C64">
            <w:pPr>
              <w:jc w:val="center"/>
              <w:rPr>
                <w:rFonts w:ascii="仿宋_GB2312" w:eastAsia="仿宋_GB2312"/>
                <w:sz w:val="24"/>
                <w:szCs w:val="24"/>
              </w:rPr>
            </w:pPr>
            <w:r>
              <w:rPr>
                <w:rFonts w:cs="Times New Roman" w:hint="eastAsia"/>
                <w:kern w:val="0"/>
                <w:szCs w:val="20"/>
              </w:rPr>
              <w:t>岳嘉欣</w:t>
            </w:r>
          </w:p>
        </w:tc>
        <w:tc>
          <w:tcPr>
            <w:tcW w:w="825" w:type="dxa"/>
            <w:vAlign w:val="center"/>
          </w:tcPr>
          <w:p w14:paraId="59923103"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女</w:t>
            </w:r>
          </w:p>
        </w:tc>
        <w:tc>
          <w:tcPr>
            <w:tcW w:w="1418" w:type="dxa"/>
            <w:vAlign w:val="center"/>
          </w:tcPr>
          <w:p w14:paraId="586F2372"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无</w:t>
            </w:r>
          </w:p>
        </w:tc>
        <w:tc>
          <w:tcPr>
            <w:tcW w:w="3118" w:type="dxa"/>
            <w:vAlign w:val="center"/>
          </w:tcPr>
          <w:p w14:paraId="3AAFA0B6"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7EB526DA"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r w:rsidR="00100B82" w14:paraId="73EE012B" w14:textId="77777777" w:rsidTr="00912C64">
        <w:tc>
          <w:tcPr>
            <w:tcW w:w="1270" w:type="dxa"/>
            <w:vAlign w:val="center"/>
          </w:tcPr>
          <w:p w14:paraId="550213F0" w14:textId="77777777" w:rsidR="00100B82" w:rsidRDefault="00000000" w:rsidP="00912C64">
            <w:pPr>
              <w:jc w:val="center"/>
              <w:rPr>
                <w:rFonts w:ascii="Times New Roman" w:eastAsia="宋体" w:hAnsi="Times New Roman" w:cs="Times New Roman"/>
                <w:kern w:val="0"/>
                <w:szCs w:val="20"/>
              </w:rPr>
            </w:pPr>
            <w:r>
              <w:rPr>
                <w:rFonts w:ascii="Times New Roman" w:hAnsi="Times New Roman" w:cs="Times New Roman"/>
              </w:rPr>
              <w:t>苏佳妮</w:t>
            </w:r>
          </w:p>
        </w:tc>
        <w:tc>
          <w:tcPr>
            <w:tcW w:w="825" w:type="dxa"/>
            <w:vAlign w:val="center"/>
          </w:tcPr>
          <w:p w14:paraId="4BC3CF54"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女</w:t>
            </w:r>
          </w:p>
        </w:tc>
        <w:tc>
          <w:tcPr>
            <w:tcW w:w="1418" w:type="dxa"/>
            <w:vAlign w:val="center"/>
          </w:tcPr>
          <w:p w14:paraId="31F5ADFF"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农艺师</w:t>
            </w:r>
          </w:p>
        </w:tc>
        <w:tc>
          <w:tcPr>
            <w:tcW w:w="3118" w:type="dxa"/>
            <w:vAlign w:val="center"/>
          </w:tcPr>
          <w:p w14:paraId="3920D95E"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西安市农业技术推广中心</w:t>
            </w:r>
          </w:p>
        </w:tc>
        <w:tc>
          <w:tcPr>
            <w:tcW w:w="1276" w:type="dxa"/>
            <w:vAlign w:val="center"/>
          </w:tcPr>
          <w:p w14:paraId="3C3FBACC"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r w:rsidR="00100B82" w14:paraId="22C262FD" w14:textId="77777777" w:rsidTr="00912C64">
        <w:tc>
          <w:tcPr>
            <w:tcW w:w="1270" w:type="dxa"/>
            <w:vAlign w:val="center"/>
          </w:tcPr>
          <w:p w14:paraId="0CAFBF64" w14:textId="77777777" w:rsidR="00100B82" w:rsidRDefault="00000000" w:rsidP="00912C64">
            <w:pPr>
              <w:jc w:val="center"/>
              <w:rPr>
                <w:rFonts w:ascii="仿宋_GB2312" w:eastAsia="仿宋_GB2312"/>
                <w:sz w:val="24"/>
                <w:szCs w:val="24"/>
              </w:rPr>
            </w:pPr>
            <w:r>
              <w:rPr>
                <w:rFonts w:ascii="Times New Roman" w:hAnsi="Times New Roman" w:cs="Times New Roman"/>
              </w:rPr>
              <w:t>路</w:t>
            </w:r>
            <w:r>
              <w:rPr>
                <w:rFonts w:ascii="Times New Roman" w:hAnsi="Times New Roman" w:cs="Times New Roman" w:hint="eastAsia"/>
              </w:rPr>
              <w:t xml:space="preserve">  </w:t>
            </w:r>
            <w:r>
              <w:rPr>
                <w:rFonts w:ascii="Times New Roman" w:hAnsi="Times New Roman" w:cs="Times New Roman"/>
              </w:rPr>
              <w:t>蓉</w:t>
            </w:r>
          </w:p>
        </w:tc>
        <w:tc>
          <w:tcPr>
            <w:tcW w:w="825" w:type="dxa"/>
            <w:vAlign w:val="center"/>
          </w:tcPr>
          <w:p w14:paraId="4D4E210A"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女</w:t>
            </w:r>
          </w:p>
        </w:tc>
        <w:tc>
          <w:tcPr>
            <w:tcW w:w="1418" w:type="dxa"/>
            <w:vAlign w:val="center"/>
          </w:tcPr>
          <w:p w14:paraId="495661F0"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无</w:t>
            </w:r>
          </w:p>
        </w:tc>
        <w:tc>
          <w:tcPr>
            <w:tcW w:w="3118" w:type="dxa"/>
            <w:vAlign w:val="center"/>
          </w:tcPr>
          <w:p w14:paraId="11F7FDD8"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71D21025"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r w:rsidR="00100B82" w14:paraId="689B4771" w14:textId="77777777" w:rsidTr="00912C64">
        <w:tc>
          <w:tcPr>
            <w:tcW w:w="1270" w:type="dxa"/>
            <w:vAlign w:val="center"/>
          </w:tcPr>
          <w:p w14:paraId="165C4E04" w14:textId="77777777" w:rsidR="00100B82" w:rsidRDefault="00000000" w:rsidP="00912C64">
            <w:pPr>
              <w:jc w:val="center"/>
              <w:rPr>
                <w:rFonts w:ascii="仿宋_GB2312" w:eastAsia="仿宋_GB2312"/>
                <w:sz w:val="24"/>
                <w:szCs w:val="24"/>
              </w:rPr>
            </w:pPr>
            <w:r>
              <w:rPr>
                <w:rFonts w:ascii="Times New Roman" w:hAnsi="Times New Roman" w:cs="Times New Roman"/>
              </w:rPr>
              <w:t>刘光源</w:t>
            </w:r>
          </w:p>
        </w:tc>
        <w:tc>
          <w:tcPr>
            <w:tcW w:w="825" w:type="dxa"/>
            <w:vAlign w:val="center"/>
          </w:tcPr>
          <w:p w14:paraId="6E29BB94"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男</w:t>
            </w:r>
          </w:p>
        </w:tc>
        <w:tc>
          <w:tcPr>
            <w:tcW w:w="1418" w:type="dxa"/>
            <w:vAlign w:val="center"/>
          </w:tcPr>
          <w:p w14:paraId="520E0B95"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无</w:t>
            </w:r>
          </w:p>
        </w:tc>
        <w:tc>
          <w:tcPr>
            <w:tcW w:w="3118" w:type="dxa"/>
            <w:vAlign w:val="center"/>
          </w:tcPr>
          <w:p w14:paraId="7FDF45D7"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33874CD5"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r w:rsidR="00100B82" w14:paraId="6032D194" w14:textId="77777777" w:rsidTr="00912C64">
        <w:tc>
          <w:tcPr>
            <w:tcW w:w="1270" w:type="dxa"/>
            <w:vAlign w:val="center"/>
          </w:tcPr>
          <w:p w14:paraId="28109F81" w14:textId="77777777" w:rsidR="00100B82" w:rsidRDefault="00000000" w:rsidP="00912C64">
            <w:pPr>
              <w:jc w:val="center"/>
              <w:rPr>
                <w:rFonts w:ascii="仿宋_GB2312" w:eastAsia="仿宋_GB2312"/>
                <w:sz w:val="24"/>
                <w:szCs w:val="24"/>
              </w:rPr>
            </w:pPr>
            <w:r>
              <w:rPr>
                <w:rFonts w:ascii="Times New Roman" w:hAnsi="Times New Roman" w:cs="Times New Roman"/>
              </w:rPr>
              <w:t>魏有莲</w:t>
            </w:r>
          </w:p>
        </w:tc>
        <w:tc>
          <w:tcPr>
            <w:tcW w:w="825" w:type="dxa"/>
            <w:vAlign w:val="center"/>
          </w:tcPr>
          <w:p w14:paraId="20C3EF75"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女</w:t>
            </w:r>
          </w:p>
        </w:tc>
        <w:tc>
          <w:tcPr>
            <w:tcW w:w="1418" w:type="dxa"/>
            <w:vAlign w:val="center"/>
          </w:tcPr>
          <w:p w14:paraId="17C61BF2"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无</w:t>
            </w:r>
          </w:p>
        </w:tc>
        <w:tc>
          <w:tcPr>
            <w:tcW w:w="3118" w:type="dxa"/>
            <w:vAlign w:val="center"/>
          </w:tcPr>
          <w:p w14:paraId="262ACE7C"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53402E08"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r w:rsidR="00100B82" w14:paraId="624ADB7B" w14:textId="77777777" w:rsidTr="00912C64">
        <w:tc>
          <w:tcPr>
            <w:tcW w:w="1270" w:type="dxa"/>
            <w:vAlign w:val="center"/>
          </w:tcPr>
          <w:p w14:paraId="189F1174" w14:textId="77777777" w:rsidR="00100B82" w:rsidRDefault="00000000" w:rsidP="00912C64">
            <w:pPr>
              <w:jc w:val="center"/>
              <w:rPr>
                <w:rFonts w:ascii="仿宋_GB2312" w:eastAsia="仿宋_GB2312"/>
                <w:sz w:val="24"/>
                <w:szCs w:val="24"/>
              </w:rPr>
            </w:pPr>
            <w:r>
              <w:rPr>
                <w:rFonts w:ascii="Times New Roman" w:hAnsi="Times New Roman" w:cs="Times New Roman"/>
              </w:rPr>
              <w:t>杨岩松</w:t>
            </w:r>
          </w:p>
        </w:tc>
        <w:tc>
          <w:tcPr>
            <w:tcW w:w="825" w:type="dxa"/>
            <w:vAlign w:val="center"/>
          </w:tcPr>
          <w:p w14:paraId="296D5E31"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男</w:t>
            </w:r>
          </w:p>
        </w:tc>
        <w:tc>
          <w:tcPr>
            <w:tcW w:w="1418" w:type="dxa"/>
            <w:vAlign w:val="center"/>
          </w:tcPr>
          <w:p w14:paraId="63C3497A"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无</w:t>
            </w:r>
          </w:p>
        </w:tc>
        <w:tc>
          <w:tcPr>
            <w:tcW w:w="3118" w:type="dxa"/>
            <w:vAlign w:val="center"/>
          </w:tcPr>
          <w:p w14:paraId="55E6B8B1"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0F48434F"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r w:rsidR="00100B82" w14:paraId="5BE523F0" w14:textId="77777777" w:rsidTr="00912C64">
        <w:trPr>
          <w:trHeight w:val="293"/>
        </w:trPr>
        <w:tc>
          <w:tcPr>
            <w:tcW w:w="1270" w:type="dxa"/>
            <w:vAlign w:val="center"/>
          </w:tcPr>
          <w:p w14:paraId="6CD2D6D9" w14:textId="77777777" w:rsidR="00100B82" w:rsidRDefault="00000000" w:rsidP="00912C64">
            <w:pPr>
              <w:jc w:val="center"/>
              <w:rPr>
                <w:rFonts w:ascii="仿宋_GB2312" w:eastAsia="仿宋_GB2312"/>
                <w:sz w:val="24"/>
                <w:szCs w:val="24"/>
              </w:rPr>
            </w:pPr>
            <w:r>
              <w:rPr>
                <w:rFonts w:ascii="Times New Roman" w:hAnsi="Times New Roman" w:cs="Times New Roman"/>
              </w:rPr>
              <w:t>刘晓乐</w:t>
            </w:r>
          </w:p>
        </w:tc>
        <w:tc>
          <w:tcPr>
            <w:tcW w:w="825" w:type="dxa"/>
            <w:vAlign w:val="center"/>
          </w:tcPr>
          <w:p w14:paraId="6F892283"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女</w:t>
            </w:r>
          </w:p>
        </w:tc>
        <w:tc>
          <w:tcPr>
            <w:tcW w:w="1418" w:type="dxa"/>
            <w:vAlign w:val="center"/>
          </w:tcPr>
          <w:p w14:paraId="7AFDFA24"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无</w:t>
            </w:r>
          </w:p>
        </w:tc>
        <w:tc>
          <w:tcPr>
            <w:tcW w:w="3118" w:type="dxa"/>
            <w:vAlign w:val="center"/>
          </w:tcPr>
          <w:p w14:paraId="7C722F56"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西北农林科技大学园艺学院</w:t>
            </w:r>
          </w:p>
        </w:tc>
        <w:tc>
          <w:tcPr>
            <w:tcW w:w="1276" w:type="dxa"/>
            <w:vAlign w:val="center"/>
          </w:tcPr>
          <w:p w14:paraId="438EE49D" w14:textId="77777777" w:rsidR="00100B82" w:rsidRDefault="00000000" w:rsidP="00912C64">
            <w:pPr>
              <w:jc w:val="center"/>
              <w:rPr>
                <w:rFonts w:ascii="仿宋_GB2312" w:eastAsia="仿宋_GB2312"/>
                <w:sz w:val="24"/>
                <w:szCs w:val="24"/>
              </w:rPr>
            </w:pPr>
            <w:r>
              <w:rPr>
                <w:rFonts w:ascii="仿宋_GB2312" w:eastAsia="仿宋_GB2312" w:hint="eastAsia"/>
                <w:sz w:val="24"/>
                <w:szCs w:val="24"/>
              </w:rPr>
              <w:t>项目实施</w:t>
            </w:r>
          </w:p>
        </w:tc>
      </w:tr>
    </w:tbl>
    <w:p w14:paraId="00A0A447" w14:textId="77777777" w:rsidR="00100B82"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二、标准制定背景及意义</w:t>
      </w:r>
    </w:p>
    <w:p w14:paraId="2DCAF576"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芥蓝又名芥菜，以菜薹或叶片为食用器官，其中大多数品种以食用菜薹为主。芥蓝是中国华南地区的一种特色蔬菜，在广东、广西、</w:t>
      </w:r>
      <w:r>
        <w:rPr>
          <w:rFonts w:ascii="Times New Roman" w:eastAsia="仿宋_GB2312" w:hAnsi="Times New Roman" w:cs="Times New Roman" w:hint="eastAsia"/>
          <w:sz w:val="28"/>
          <w:szCs w:val="28"/>
        </w:rPr>
        <w:lastRenderedPageBreak/>
        <w:t>福建和台湾等地均有种植，其肉质脆嫩清甜、营养丰富、抗癌物质含量高，可炒食和凉拌，受到消费者的喜爱和欢迎，同时出口日本、东南亚等国家。根、茎、叶可以入药，解毒利咽，顺气化痰，下喘，主冶风热感冒、咽喉痛、预防白喉等。芥蓝在我国北方地区已作为特菜成为引种和扩大种植的蔬菜种类之一，很多省市已有栽培。</w:t>
      </w:r>
    </w:p>
    <w:p w14:paraId="5E377626"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经过近些年来不断发展，蔬菜产业已经成为陕西省的一个突出亮点。目前已建叶菜生产基地覆盖广泛，主要种植品种包括芥蓝、菜心、娃娃菜等，一方面解决了南方大中城市绿叶菜均衡供应问题，同时也为当地市民提供了新鲜、种类繁多的蔬菜产品。但在生产中，部分生产技术不规范，产品标准不统一，采收繁琐，不同季节、茬口优质产品比例不高，价格不理想。为正确引导绿叶菜标准化、规模化生产，便于机械化种植和一次性采收，不断提高产品质量、品质，减轻劳动强度，增加效益，制定本标准。</w:t>
      </w:r>
    </w:p>
    <w:p w14:paraId="10BC83AF"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目前，国家和个别省市制定了芥蓝的生产技术规程，但多是南方地区制定，由于产地环境、气候等差异，不同地区芥蓝种植品种、茬口和种植模式差别较大，不同销售渠道和消费群体对产品采收标准、包装需求也不同，且非周年栽培，目前已经无法满足当前人民美好生活的增长需求。因此，制定适宜于陕西省芥蓝周年生产技术规程尤为必要。该标准的制定</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对促进蔬菜周年生产，提高产品质量，提升品牌价值，提高知名度和销售价格，对促进其规模化、规范化、标准化生产经营，具有重要意义。</w:t>
      </w:r>
    </w:p>
    <w:p w14:paraId="2B1493B6" w14:textId="77777777" w:rsidR="00100B82"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三、主要</w:t>
      </w:r>
      <w:r>
        <w:rPr>
          <w:rFonts w:ascii="Times New Roman" w:eastAsia="黑体" w:hAnsi="Times New Roman" w:cs="Times New Roman" w:hint="eastAsia"/>
          <w:b/>
          <w:bCs/>
          <w:sz w:val="28"/>
          <w:szCs w:val="20"/>
        </w:rPr>
        <w:t>起草过程</w:t>
      </w:r>
    </w:p>
    <w:p w14:paraId="4F737D5D"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一是标准编写组成员先后深入</w:t>
      </w:r>
      <w:r>
        <w:rPr>
          <w:rFonts w:ascii="Times New Roman" w:eastAsia="仿宋_GB2312" w:hAnsi="Times New Roman" w:cs="Times New Roman" w:hint="eastAsia"/>
          <w:sz w:val="28"/>
          <w:szCs w:val="28"/>
        </w:rPr>
        <w:t>兴平、武功、周至</w:t>
      </w:r>
      <w:r>
        <w:rPr>
          <w:rFonts w:ascii="Times New Roman" w:eastAsia="仿宋_GB2312" w:hAnsi="Times New Roman" w:cs="Times New Roman"/>
          <w:sz w:val="28"/>
          <w:szCs w:val="28"/>
        </w:rPr>
        <w:t>等县区进行调查，调查了解各地</w:t>
      </w:r>
      <w:r>
        <w:rPr>
          <w:rFonts w:ascii="Times New Roman" w:eastAsia="仿宋_GB2312" w:hAnsi="Times New Roman" w:cs="Times New Roman" w:hint="eastAsia"/>
          <w:sz w:val="28"/>
          <w:szCs w:val="28"/>
        </w:rPr>
        <w:t>露地芥蓝周年生产的茬口</w:t>
      </w:r>
      <w:r>
        <w:rPr>
          <w:rFonts w:ascii="Times New Roman" w:eastAsia="仿宋_GB2312" w:hAnsi="Times New Roman" w:cs="Times New Roman"/>
          <w:sz w:val="28"/>
          <w:szCs w:val="28"/>
        </w:rPr>
        <w:t>、品种选择、</w:t>
      </w:r>
      <w:r>
        <w:rPr>
          <w:rFonts w:ascii="Times New Roman" w:eastAsia="仿宋_GB2312" w:hAnsi="Times New Roman" w:cs="Times New Roman" w:hint="eastAsia"/>
          <w:sz w:val="28"/>
          <w:szCs w:val="28"/>
        </w:rPr>
        <w:t>整地作畦</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播种方式</w:t>
      </w:r>
      <w:r>
        <w:rPr>
          <w:rFonts w:ascii="Times New Roman" w:eastAsia="仿宋_GB2312" w:hAnsi="Times New Roman" w:cs="Times New Roman"/>
          <w:sz w:val="28"/>
          <w:szCs w:val="28"/>
        </w:rPr>
        <w:t>、定植、田间管理、病害防控、收获、采后处理、运输、销售等情况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二是</w:t>
      </w:r>
      <w:r>
        <w:rPr>
          <w:rFonts w:ascii="Times New Roman" w:eastAsia="仿宋_GB2312" w:hAnsi="Times New Roman" w:cs="Times New Roman" w:hint="eastAsia"/>
          <w:sz w:val="28"/>
          <w:szCs w:val="28"/>
        </w:rPr>
        <w:t>在杨凌周边地区进行露地芥蓝周年生产的调查及分析，</w:t>
      </w:r>
      <w:r>
        <w:rPr>
          <w:rFonts w:ascii="Times New Roman" w:eastAsia="仿宋_GB2312" w:hAnsi="Times New Roman" w:cs="Times New Roman"/>
          <w:sz w:val="28"/>
          <w:szCs w:val="28"/>
        </w:rPr>
        <w:t>三是广泛查阅</w:t>
      </w:r>
      <w:r>
        <w:rPr>
          <w:rFonts w:ascii="Times New Roman" w:eastAsia="仿宋_GB2312" w:hAnsi="Times New Roman" w:cs="Times New Roman" w:hint="eastAsia"/>
          <w:sz w:val="28"/>
          <w:szCs w:val="28"/>
        </w:rPr>
        <w:t>露地芥蓝周年生产技术规程</w:t>
      </w:r>
      <w:r>
        <w:rPr>
          <w:rFonts w:ascii="Times New Roman" w:eastAsia="仿宋_GB2312" w:hAnsi="Times New Roman" w:cs="Times New Roman"/>
          <w:sz w:val="28"/>
          <w:szCs w:val="28"/>
        </w:rPr>
        <w:t>相关的图书、论文、专利和标</w:t>
      </w:r>
      <w:r>
        <w:rPr>
          <w:rFonts w:ascii="Times New Roman" w:eastAsia="仿宋_GB2312" w:hAnsi="Times New Roman" w:cs="Times New Roman"/>
          <w:sz w:val="28"/>
          <w:szCs w:val="28"/>
        </w:rPr>
        <w:lastRenderedPageBreak/>
        <w:t>准文献。</w:t>
      </w:r>
    </w:p>
    <w:p w14:paraId="1C9D473B" w14:textId="3BAD849C"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在以上资料查阅及调研的基础上，对露地芥蓝周年生产技术规程进行了综合分析，于</w:t>
      </w:r>
      <w:r>
        <w:rPr>
          <w:rFonts w:ascii="Times New Roman" w:eastAsia="仿宋_GB2312" w:hAnsi="Times New Roman" w:cs="Times New Roman" w:hint="eastAsia"/>
          <w:sz w:val="28"/>
          <w:szCs w:val="28"/>
        </w:rPr>
        <w:t>2023</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月完成了本规程讨论稿的编写工作，并</w:t>
      </w:r>
      <w:r w:rsidR="00912C64" w:rsidRPr="00912C64">
        <w:rPr>
          <w:rFonts w:ascii="Times New Roman" w:eastAsia="仿宋_GB2312" w:hAnsi="Times New Roman" w:cs="Times New Roman" w:hint="eastAsia"/>
          <w:sz w:val="28"/>
          <w:szCs w:val="28"/>
        </w:rPr>
        <w:t>广泛征求省内同行业专家、农业主管部门负责人、企业、园区技术骨干等形成标准初稿专题研究和讨论，进行修改。</w:t>
      </w:r>
    </w:p>
    <w:p w14:paraId="58C2723B" w14:textId="77777777" w:rsidR="00100B82"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四、标准编制原则</w:t>
      </w:r>
      <w:r>
        <w:rPr>
          <w:rFonts w:ascii="Times New Roman" w:eastAsia="黑体" w:hAnsi="Times New Roman" w:cs="Times New Roman"/>
          <w:b/>
          <w:bCs/>
          <w:sz w:val="28"/>
          <w:szCs w:val="20"/>
        </w:rPr>
        <w:t xml:space="preserve"> </w:t>
      </w:r>
    </w:p>
    <w:p w14:paraId="36A52C6F"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本标准的编制遵循</w:t>
      </w:r>
      <w:r>
        <w:rPr>
          <w:rFonts w:ascii="Times New Roman" w:eastAsia="仿宋_GB2312" w:hAnsi="Times New Roman" w:cs="Times New Roman"/>
          <w:sz w:val="28"/>
          <w:szCs w:val="28"/>
        </w:rPr>
        <w:t>“</w:t>
      </w:r>
      <w:r>
        <w:rPr>
          <w:rFonts w:ascii="Times New Roman" w:eastAsia="仿宋_GB2312" w:hAnsi="Times New Roman" w:cs="Times New Roman"/>
          <w:sz w:val="28"/>
          <w:szCs w:val="28"/>
        </w:rPr>
        <w:t>科学性、适应性、通用性、安全可靠性和可操作性</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的原则，注重突出技术性、可操作性。严格按照</w:t>
      </w:r>
      <w:r>
        <w:rPr>
          <w:rFonts w:ascii="Times New Roman" w:eastAsia="仿宋_GB2312" w:hAnsi="Times New Roman" w:cs="Times New Roman"/>
          <w:sz w:val="28"/>
          <w:szCs w:val="28"/>
        </w:rPr>
        <w:t>GB/T 1.1-2020</w:t>
      </w:r>
      <w:r>
        <w:rPr>
          <w:rFonts w:ascii="Times New Roman" w:eastAsia="仿宋_GB2312" w:hAnsi="Times New Roman" w:cs="Times New Roman"/>
          <w:sz w:val="28"/>
          <w:szCs w:val="28"/>
        </w:rPr>
        <w:t>给出的规则起草。</w:t>
      </w:r>
    </w:p>
    <w:p w14:paraId="79A6607C"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．科学性原则</w:t>
      </w:r>
    </w:p>
    <w:p w14:paraId="7ED05DCB"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露地芥蓝周年生产技术规程</w:t>
      </w:r>
      <w:r>
        <w:rPr>
          <w:rFonts w:ascii="Times New Roman" w:eastAsia="仿宋_GB2312" w:hAnsi="Times New Roman" w:cs="Times New Roman"/>
          <w:sz w:val="28"/>
          <w:szCs w:val="28"/>
        </w:rPr>
        <w:t>》编制前对市场及该产业标准限定范围内的陕西省</w:t>
      </w:r>
      <w:r>
        <w:rPr>
          <w:rFonts w:ascii="Times New Roman" w:eastAsia="仿宋_GB2312" w:hAnsi="Times New Roman" w:cs="Times New Roman" w:hint="eastAsia"/>
          <w:sz w:val="28"/>
          <w:szCs w:val="28"/>
        </w:rPr>
        <w:t>芥蓝种植</w:t>
      </w:r>
      <w:r>
        <w:rPr>
          <w:rFonts w:ascii="Times New Roman" w:eastAsia="仿宋_GB2312" w:hAnsi="Times New Roman" w:cs="Times New Roman"/>
          <w:sz w:val="28"/>
          <w:szCs w:val="28"/>
        </w:rPr>
        <w:t>生产区域进行了充分的调研，又融入当前先进的、科学的操作手段，安排相关的试验进行对比论证、理论与实际紧密结合，尽可能做到技术和实践上的科学性。</w:t>
      </w:r>
    </w:p>
    <w:p w14:paraId="1AAB328E"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．适应性原则</w:t>
      </w:r>
    </w:p>
    <w:p w14:paraId="34BF242A"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露地芥蓝周年生产技术规程</w:t>
      </w:r>
      <w:r>
        <w:rPr>
          <w:rFonts w:ascii="Times New Roman" w:eastAsia="仿宋_GB2312" w:hAnsi="Times New Roman" w:cs="Times New Roman"/>
          <w:sz w:val="28"/>
          <w:szCs w:val="28"/>
        </w:rPr>
        <w:t>》的制定，适应了当前陕西省发展产业脱贫的方针政策和要求，且该技术规程目前在陕西省</w:t>
      </w:r>
      <w:r>
        <w:rPr>
          <w:rFonts w:ascii="Times New Roman" w:eastAsia="仿宋_GB2312" w:hAnsi="Times New Roman" w:cs="Times New Roman" w:hint="eastAsia"/>
          <w:sz w:val="28"/>
          <w:szCs w:val="28"/>
        </w:rPr>
        <w:t>芥蓝周年生产</w:t>
      </w:r>
      <w:r>
        <w:rPr>
          <w:rFonts w:ascii="Times New Roman" w:eastAsia="仿宋_GB2312" w:hAnsi="Times New Roman" w:cs="Times New Roman"/>
          <w:sz w:val="28"/>
          <w:szCs w:val="28"/>
        </w:rPr>
        <w:t>主产区已经形成一定的规模，对当地农业增产、农民增收起到了积极的推动作用，在提高生产效益的同时兼顾社会效益和生态效益。</w:t>
      </w:r>
    </w:p>
    <w:p w14:paraId="23DB2A0A"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．通用性原则</w:t>
      </w:r>
    </w:p>
    <w:p w14:paraId="29E87FC0"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露地芥蓝周年生产技术规程</w:t>
      </w:r>
      <w:r>
        <w:rPr>
          <w:rFonts w:ascii="Times New Roman" w:eastAsia="仿宋_GB2312" w:hAnsi="Times New Roman" w:cs="Times New Roman"/>
          <w:sz w:val="28"/>
          <w:szCs w:val="28"/>
        </w:rPr>
        <w:t>》的制定，引用了同产业（行业）的相关标准，并通过调研、立足现实生产需要，将目前陕西省</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的实践技术提炼、总结、集成，因此该规范在具有一定的相同农业环境、气候条件区域均可使用，充分体现通用性原则。</w:t>
      </w:r>
    </w:p>
    <w:p w14:paraId="5779B27A"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．安全可靠性原则</w:t>
      </w:r>
    </w:p>
    <w:p w14:paraId="72C0E854"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露地芥蓝周年生产技术规程</w:t>
      </w:r>
      <w:r>
        <w:rPr>
          <w:rFonts w:ascii="Times New Roman" w:eastAsia="仿宋_GB2312" w:hAnsi="Times New Roman" w:cs="Times New Roman"/>
          <w:sz w:val="28"/>
          <w:szCs w:val="28"/>
        </w:rPr>
        <w:t>》的制定，对陕西省</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主要生产区域内全方位各生产环节做了详尽的说明和规范，引用</w:t>
      </w:r>
      <w:r>
        <w:rPr>
          <w:rFonts w:ascii="Times New Roman" w:eastAsia="仿宋_GB2312" w:hAnsi="Times New Roman" w:cs="Times New Roman"/>
          <w:sz w:val="28"/>
          <w:szCs w:val="28"/>
        </w:rPr>
        <w:lastRenderedPageBreak/>
        <w:t>了当前国内</w:t>
      </w:r>
      <w:r>
        <w:rPr>
          <w:rFonts w:ascii="Times New Roman" w:eastAsia="仿宋_GB2312" w:hAnsi="Times New Roman" w:cs="Times New Roman" w:hint="eastAsia"/>
          <w:sz w:val="28"/>
          <w:szCs w:val="28"/>
        </w:rPr>
        <w:t>芥蓝</w:t>
      </w:r>
      <w:r>
        <w:rPr>
          <w:rFonts w:ascii="Times New Roman" w:eastAsia="仿宋_GB2312" w:hAnsi="Times New Roman" w:cs="Times New Roman"/>
          <w:sz w:val="28"/>
          <w:szCs w:val="28"/>
        </w:rPr>
        <w:t>生产中主要的技术标准，规范内容实施安全可靠。</w:t>
      </w:r>
    </w:p>
    <w:p w14:paraId="6D9DE1F0"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．可操作性原则</w:t>
      </w:r>
    </w:p>
    <w:p w14:paraId="5CF1A51A"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露地芥蓝周年生产技术规程</w:t>
      </w:r>
      <w:r>
        <w:rPr>
          <w:rFonts w:ascii="Times New Roman" w:eastAsia="仿宋_GB2312" w:hAnsi="Times New Roman" w:cs="Times New Roman"/>
          <w:sz w:val="28"/>
          <w:szCs w:val="28"/>
        </w:rPr>
        <w:t>》的制定，对该规范适宜范围进行严格限定后制定的，内容通俗易懂、紧密联系生产实际，充分体现了可操作性原则。</w:t>
      </w:r>
    </w:p>
    <w:p w14:paraId="3D57CC75" w14:textId="77777777" w:rsidR="00100B82" w:rsidRDefault="00000000">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b/>
          <w:bCs/>
          <w:sz w:val="28"/>
          <w:szCs w:val="20"/>
        </w:rPr>
        <w:t>五、标准主要内容及技术来源</w:t>
      </w:r>
    </w:p>
    <w:p w14:paraId="6C4B8190"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标准起草组参考相关技术资料，在生产调查基础上，结合多年科学研究取得的成果形成本标准的主要技术指标。</w:t>
      </w:r>
    </w:p>
    <w:p w14:paraId="27B66215" w14:textId="77777777" w:rsidR="00100B82" w:rsidRDefault="00000000">
      <w:pPr>
        <w:spacing w:line="500" w:lineRule="exact"/>
        <w:ind w:firstLineChars="200" w:firstLine="560"/>
        <w:rPr>
          <w:rFonts w:ascii="Times New Roman" w:eastAsia="仿宋_GB2312" w:hAnsi="Times New Roman" w:cs="Times New Roman"/>
          <w:sz w:val="28"/>
          <w:szCs w:val="28"/>
        </w:rPr>
      </w:pPr>
      <w:bookmarkStart w:id="0" w:name="_Toc69726938"/>
      <w:r>
        <w:rPr>
          <w:rFonts w:ascii="Times New Roman" w:eastAsia="仿宋_GB2312" w:hAnsi="Times New Roman" w:cs="Times New Roman"/>
          <w:sz w:val="28"/>
          <w:szCs w:val="28"/>
        </w:rPr>
        <w:t>1</w:t>
      </w:r>
      <w:r>
        <w:rPr>
          <w:rFonts w:ascii="Times New Roman" w:eastAsia="仿宋_GB2312" w:hAnsi="Times New Roman" w:cs="Times New Roman"/>
          <w:sz w:val="28"/>
          <w:szCs w:val="28"/>
        </w:rPr>
        <w:t>．产地环境</w:t>
      </w:r>
      <w:bookmarkEnd w:id="0"/>
    </w:p>
    <w:p w14:paraId="1ADD8158" w14:textId="77777777" w:rsidR="00100B82" w:rsidRDefault="00000000">
      <w:pPr>
        <w:spacing w:line="500" w:lineRule="exact"/>
        <w:ind w:firstLineChars="200" w:firstLine="560"/>
        <w:rPr>
          <w:rFonts w:ascii="Times New Roman" w:eastAsia="仿宋_GB2312" w:hAnsi="Times New Roman" w:cs="Times New Roman"/>
          <w:sz w:val="28"/>
          <w:szCs w:val="28"/>
        </w:rPr>
      </w:pPr>
      <w:bookmarkStart w:id="1" w:name="_Toc4482368"/>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391</w:t>
      </w:r>
      <w:r>
        <w:rPr>
          <w:rFonts w:ascii="Times New Roman" w:eastAsia="仿宋_GB2312" w:hAnsi="Times New Roman" w:cs="Times New Roman"/>
          <w:sz w:val="28"/>
          <w:szCs w:val="28"/>
        </w:rPr>
        <w:t>的规定，提出了</w:t>
      </w:r>
      <w:r>
        <w:rPr>
          <w:rFonts w:ascii="Times New Roman" w:eastAsia="仿宋_GB2312" w:hAnsi="Times New Roman" w:cs="Times New Roman" w:hint="eastAsia"/>
          <w:sz w:val="28"/>
          <w:szCs w:val="28"/>
        </w:rPr>
        <w:t>露地芥蓝周年</w:t>
      </w:r>
      <w:r>
        <w:rPr>
          <w:rFonts w:ascii="Times New Roman" w:eastAsia="仿宋_GB2312" w:hAnsi="Times New Roman" w:cs="Times New Roman"/>
          <w:sz w:val="28"/>
          <w:szCs w:val="28"/>
        </w:rPr>
        <w:t>生产对产地选择、土壤、环境等环境质量提出要求。</w:t>
      </w:r>
    </w:p>
    <w:p w14:paraId="3EB7CBE9" w14:textId="77777777" w:rsidR="00100B82" w:rsidRDefault="00000000">
      <w:pPr>
        <w:spacing w:line="500" w:lineRule="exact"/>
        <w:ind w:firstLineChars="200" w:firstLine="560"/>
        <w:rPr>
          <w:rFonts w:ascii="Times New Roman" w:eastAsia="仿宋_GB2312" w:hAnsi="Times New Roman" w:cs="Times New Roman"/>
          <w:sz w:val="28"/>
          <w:szCs w:val="28"/>
        </w:rPr>
      </w:pPr>
      <w:bookmarkStart w:id="2" w:name="_Toc153771242"/>
      <w:bookmarkEnd w:id="1"/>
      <w:r>
        <w:rPr>
          <w:rFonts w:ascii="Times New Roman" w:eastAsia="仿宋_GB2312" w:hAnsi="Times New Roman" w:cs="Times New Roman"/>
          <w:sz w:val="28"/>
          <w:szCs w:val="28"/>
        </w:rPr>
        <w:t>2</w:t>
      </w:r>
      <w:r>
        <w:rPr>
          <w:rFonts w:ascii="Times New Roman" w:eastAsia="仿宋_GB2312" w:hAnsi="Times New Roman" w:cs="Times New Roman"/>
          <w:sz w:val="28"/>
          <w:szCs w:val="28"/>
        </w:rPr>
        <w:t>．育苗技术</w:t>
      </w:r>
    </w:p>
    <w:p w14:paraId="2C16734D"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GB 16715.2</w:t>
      </w:r>
      <w:r>
        <w:rPr>
          <w:rFonts w:ascii="Times New Roman" w:eastAsia="仿宋_GB2312" w:hAnsi="Times New Roman" w:cs="Times New Roman"/>
          <w:sz w:val="28"/>
          <w:szCs w:val="28"/>
        </w:rPr>
        <w:t>的规定和科学试验，提出了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对品种选择的具体要求；参照</w:t>
      </w:r>
      <w:r>
        <w:rPr>
          <w:rFonts w:ascii="Times New Roman" w:eastAsia="仿宋_GB2312" w:hAnsi="Times New Roman" w:cs="Times New Roman"/>
          <w:sz w:val="28"/>
          <w:szCs w:val="28"/>
        </w:rPr>
        <w:t>NY/T 393</w:t>
      </w:r>
      <w:r>
        <w:rPr>
          <w:rFonts w:ascii="Times New Roman" w:eastAsia="仿宋_GB2312" w:hAnsi="Times New Roman" w:cs="Times New Roman"/>
          <w:sz w:val="28"/>
          <w:szCs w:val="28"/>
        </w:rPr>
        <w:t>的规定，提出了</w:t>
      </w:r>
      <w:r>
        <w:rPr>
          <w:rFonts w:ascii="Times New Roman" w:eastAsia="仿宋_GB2312" w:hAnsi="Times New Roman" w:cs="Times New Roman" w:hint="eastAsia"/>
          <w:sz w:val="28"/>
          <w:szCs w:val="28"/>
        </w:rPr>
        <w:t>芥蓝</w:t>
      </w:r>
      <w:r>
        <w:rPr>
          <w:rFonts w:ascii="Times New Roman" w:eastAsia="仿宋_GB2312" w:hAnsi="Times New Roman" w:cs="Times New Roman"/>
          <w:sz w:val="28"/>
          <w:szCs w:val="28"/>
        </w:rPr>
        <w:t>播前种子处理对药剂的选择；参照</w:t>
      </w:r>
      <w:r>
        <w:rPr>
          <w:rFonts w:ascii="Times New Roman" w:eastAsia="仿宋_GB2312" w:hAnsi="Times New Roman" w:cs="Times New Roman"/>
          <w:sz w:val="28"/>
          <w:szCs w:val="28"/>
        </w:rPr>
        <w:t xml:space="preserve">NY/T 2118 </w:t>
      </w:r>
      <w:r>
        <w:rPr>
          <w:rFonts w:ascii="Times New Roman" w:eastAsia="仿宋_GB2312" w:hAnsi="Times New Roman" w:cs="Times New Roman"/>
          <w:sz w:val="28"/>
          <w:szCs w:val="28"/>
        </w:rPr>
        <w:t>蔬菜育苗基质和</w:t>
      </w:r>
      <w:r>
        <w:rPr>
          <w:rFonts w:ascii="Times New Roman" w:eastAsia="仿宋_GB2312" w:hAnsi="Times New Roman" w:cs="Times New Roman"/>
          <w:sz w:val="28"/>
          <w:szCs w:val="28"/>
        </w:rPr>
        <w:t>NY/T 2119</w:t>
      </w:r>
      <w:r>
        <w:rPr>
          <w:rFonts w:ascii="Times New Roman" w:eastAsia="仿宋_GB2312" w:hAnsi="Times New Roman" w:cs="Times New Roman"/>
          <w:sz w:val="28"/>
          <w:szCs w:val="28"/>
        </w:rPr>
        <w:t>蔬菜穴盘育苗通则的规定和科学试验基础上，提出了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育苗方式技术。</w:t>
      </w:r>
    </w:p>
    <w:p w14:paraId="745219A6" w14:textId="77777777" w:rsidR="00100B82" w:rsidRDefault="00000000">
      <w:pPr>
        <w:spacing w:line="500" w:lineRule="exact"/>
        <w:ind w:firstLineChars="200" w:firstLine="560"/>
        <w:rPr>
          <w:rFonts w:ascii="Times New Roman" w:eastAsia="仿宋_GB2312" w:hAnsi="Times New Roman" w:cs="Times New Roman"/>
          <w:sz w:val="28"/>
          <w:szCs w:val="28"/>
        </w:rPr>
      </w:pPr>
      <w:bookmarkStart w:id="3" w:name="_Toc69726941"/>
      <w:r>
        <w:rPr>
          <w:rFonts w:ascii="Times New Roman" w:eastAsia="仿宋_GB2312" w:hAnsi="Times New Roman" w:cs="Times New Roman"/>
          <w:sz w:val="28"/>
          <w:szCs w:val="28"/>
        </w:rPr>
        <w:t>3</w:t>
      </w:r>
      <w:r>
        <w:rPr>
          <w:rFonts w:ascii="Times New Roman" w:eastAsia="仿宋_GB2312" w:hAnsi="Times New Roman" w:cs="Times New Roman"/>
          <w:sz w:val="28"/>
          <w:szCs w:val="28"/>
        </w:rPr>
        <w:t>．选地整地技术</w:t>
      </w:r>
    </w:p>
    <w:p w14:paraId="0CAEFCDA"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394</w:t>
      </w:r>
      <w:r>
        <w:rPr>
          <w:rFonts w:ascii="Times New Roman" w:eastAsia="仿宋_GB2312" w:hAnsi="Times New Roman" w:cs="Times New Roman"/>
          <w:sz w:val="28"/>
          <w:szCs w:val="28"/>
        </w:rPr>
        <w:t>的规定，提出了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基肥用量，推荐肥料种类和合理使用方法；参照</w:t>
      </w:r>
      <w:r>
        <w:rPr>
          <w:rFonts w:ascii="Times New Roman" w:eastAsia="仿宋_GB2312" w:hAnsi="Times New Roman" w:cs="Times New Roman"/>
          <w:sz w:val="28"/>
          <w:szCs w:val="28"/>
        </w:rPr>
        <w:t>NY/T 393</w:t>
      </w:r>
      <w:r>
        <w:rPr>
          <w:rFonts w:ascii="Times New Roman" w:eastAsia="仿宋_GB2312" w:hAnsi="Times New Roman" w:cs="Times New Roman"/>
          <w:sz w:val="28"/>
          <w:szCs w:val="28"/>
        </w:rPr>
        <w:t>的规定和科学试验基础上，提出了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，根肿病田块土壤处理施药量、推荐药剂种类、合理使用方法；在生产调查和科学试验基础上，提出了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做畦铺膜技术。</w:t>
      </w:r>
    </w:p>
    <w:bookmarkEnd w:id="3"/>
    <w:p w14:paraId="3027014D" w14:textId="77777777" w:rsidR="00100B82" w:rsidRDefault="00000000">
      <w:pPr>
        <w:spacing w:line="500" w:lineRule="exact"/>
        <w:ind w:firstLineChars="200" w:firstLine="420"/>
        <w:rPr>
          <w:rFonts w:ascii="Times New Roman" w:eastAsia="仿宋_GB2312" w:hAnsi="Times New Roman" w:cs="Times New Roman"/>
          <w:sz w:val="28"/>
          <w:szCs w:val="28"/>
        </w:rPr>
      </w:pPr>
      <w:r>
        <w:rPr>
          <w:rFonts w:ascii="Times New Roman" w:hAnsi="Times New Roman" w:cs="Times New Roman"/>
        </w:rPr>
        <w:t xml:space="preserve"> </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．定植技术</w:t>
      </w:r>
    </w:p>
    <w:p w14:paraId="6369B319"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在生产调查和科学试验基础上，提出了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定植时间、定植方法和定植密度。</w:t>
      </w:r>
    </w:p>
    <w:p w14:paraId="6908B4E6" w14:textId="77777777" w:rsidR="00100B82" w:rsidRDefault="00000000">
      <w:pPr>
        <w:spacing w:line="500" w:lineRule="exact"/>
        <w:ind w:firstLineChars="200" w:firstLine="560"/>
        <w:rPr>
          <w:rFonts w:ascii="Times New Roman" w:eastAsia="仿宋_GB2312" w:hAnsi="Times New Roman" w:cs="Times New Roman"/>
          <w:sz w:val="28"/>
          <w:szCs w:val="28"/>
        </w:rPr>
      </w:pPr>
      <w:bookmarkStart w:id="4" w:name="_Toc69726943"/>
      <w:bookmarkStart w:id="5" w:name="_Toc60268838"/>
      <w:r>
        <w:rPr>
          <w:rFonts w:ascii="Times New Roman" w:eastAsia="仿宋_GB2312" w:hAnsi="Times New Roman" w:cs="Times New Roman"/>
          <w:sz w:val="28"/>
          <w:szCs w:val="28"/>
        </w:rPr>
        <w:t>5</w:t>
      </w:r>
      <w:r>
        <w:rPr>
          <w:rFonts w:ascii="Times New Roman" w:eastAsia="仿宋_GB2312" w:hAnsi="Times New Roman" w:cs="Times New Roman"/>
          <w:sz w:val="28"/>
          <w:szCs w:val="28"/>
        </w:rPr>
        <w:t>．田间管理</w:t>
      </w:r>
      <w:bookmarkEnd w:id="4"/>
      <w:bookmarkEnd w:id="5"/>
      <w:r>
        <w:rPr>
          <w:rFonts w:ascii="Times New Roman" w:eastAsia="仿宋_GB2312" w:hAnsi="Times New Roman" w:cs="Times New Roman"/>
          <w:sz w:val="28"/>
          <w:szCs w:val="28"/>
        </w:rPr>
        <w:t>技术</w:t>
      </w:r>
    </w:p>
    <w:p w14:paraId="0E10CE33"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参照</w:t>
      </w:r>
      <w:r>
        <w:rPr>
          <w:rFonts w:ascii="Times New Roman" w:eastAsia="仿宋_GB2312" w:hAnsi="Times New Roman" w:cs="Times New Roman"/>
          <w:sz w:val="28"/>
          <w:szCs w:val="28"/>
        </w:rPr>
        <w:t>NY/T 394</w:t>
      </w:r>
      <w:r>
        <w:rPr>
          <w:rFonts w:ascii="Times New Roman" w:eastAsia="仿宋_GB2312" w:hAnsi="Times New Roman" w:cs="Times New Roman"/>
          <w:sz w:val="28"/>
          <w:szCs w:val="28"/>
        </w:rPr>
        <w:t>的规定和科学试验基础上，提出了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施肥量，推荐肥料种类、施肥次数、合理使用方法；参照</w:t>
      </w:r>
      <w:r>
        <w:rPr>
          <w:rFonts w:ascii="Times New Roman" w:eastAsia="仿宋_GB2312" w:hAnsi="Times New Roman" w:cs="Times New Roman"/>
          <w:sz w:val="28"/>
          <w:szCs w:val="28"/>
        </w:rPr>
        <w:t>NY/T 393</w:t>
      </w:r>
      <w:r>
        <w:rPr>
          <w:rFonts w:ascii="Times New Roman" w:eastAsia="仿宋_GB2312" w:hAnsi="Times New Roman" w:cs="Times New Roman"/>
          <w:sz w:val="28"/>
          <w:szCs w:val="28"/>
        </w:rPr>
        <w:t>的规定和科学试验基础上，规定了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病虫害防治应遵循</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以预防为主，综合防治，优先采用农业防治、物理防治、生物防治，科学采用化学防治</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原则；病虫害防治方法，按本省现行标准</w:t>
      </w:r>
      <w:r>
        <w:rPr>
          <w:rFonts w:ascii="Times New Roman" w:eastAsia="仿宋_GB2312" w:hAnsi="Times New Roman" w:cs="Times New Roman"/>
          <w:sz w:val="28"/>
          <w:szCs w:val="28"/>
        </w:rPr>
        <w:t>DB61/T 1048</w:t>
      </w:r>
      <w:r>
        <w:rPr>
          <w:rFonts w:ascii="Times New Roman" w:eastAsia="仿宋_GB2312" w:hAnsi="Times New Roman" w:cs="Times New Roman"/>
          <w:sz w:val="28"/>
          <w:szCs w:val="28"/>
        </w:rPr>
        <w:t>的规定执行。</w:t>
      </w:r>
    </w:p>
    <w:p w14:paraId="35C32A8F" w14:textId="77777777" w:rsidR="00100B82" w:rsidRDefault="00000000">
      <w:pPr>
        <w:spacing w:line="500" w:lineRule="exact"/>
        <w:ind w:firstLineChars="200" w:firstLine="560"/>
        <w:rPr>
          <w:rFonts w:ascii="Times New Roman" w:eastAsia="仿宋_GB2312" w:hAnsi="Times New Roman" w:cs="Times New Roman"/>
          <w:sz w:val="28"/>
          <w:szCs w:val="28"/>
        </w:rPr>
      </w:pPr>
      <w:bookmarkStart w:id="6" w:name="_Toc69726945"/>
      <w:r>
        <w:rPr>
          <w:rFonts w:ascii="Times New Roman" w:eastAsia="仿宋_GB2312" w:hAnsi="Times New Roman" w:cs="Times New Roman"/>
          <w:sz w:val="28"/>
          <w:szCs w:val="28"/>
        </w:rPr>
        <w:t>6</w:t>
      </w:r>
      <w:r>
        <w:rPr>
          <w:rFonts w:ascii="Times New Roman" w:eastAsia="仿宋_GB2312" w:hAnsi="Times New Roman" w:cs="Times New Roman"/>
          <w:sz w:val="28"/>
          <w:szCs w:val="28"/>
        </w:rPr>
        <w:t>．</w:t>
      </w:r>
      <w:bookmarkEnd w:id="6"/>
      <w:r>
        <w:rPr>
          <w:rFonts w:ascii="Times New Roman" w:eastAsia="仿宋_GB2312" w:hAnsi="Times New Roman" w:cs="Times New Roman"/>
          <w:sz w:val="28"/>
          <w:szCs w:val="28"/>
        </w:rPr>
        <w:t>采收、包装、贮藏和运输技术</w:t>
      </w:r>
    </w:p>
    <w:p w14:paraId="1B4473FD" w14:textId="77777777" w:rsidR="00100B82" w:rsidRDefault="00000000">
      <w:pPr>
        <w:spacing w:line="50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参照</w:t>
      </w:r>
      <w:r>
        <w:rPr>
          <w:rFonts w:ascii="Times New Roman" w:eastAsia="仿宋_GB2312" w:hAnsi="Times New Roman" w:cs="Times New Roman"/>
          <w:sz w:val="28"/>
          <w:szCs w:val="28"/>
        </w:rPr>
        <w:t>NY/T 654</w:t>
      </w:r>
      <w:r>
        <w:rPr>
          <w:rFonts w:ascii="Times New Roman" w:eastAsia="仿宋_GB2312" w:hAnsi="Times New Roman" w:cs="Times New Roman"/>
          <w:sz w:val="28"/>
          <w:szCs w:val="28"/>
        </w:rPr>
        <w:t>、</w:t>
      </w:r>
      <w:r>
        <w:rPr>
          <w:rFonts w:ascii="Times New Roman" w:eastAsia="仿宋_GB2312" w:hAnsi="Times New Roman" w:cs="Times New Roman"/>
          <w:sz w:val="28"/>
          <w:szCs w:val="28"/>
        </w:rPr>
        <w:t>NY/T 658</w:t>
      </w:r>
      <w:r>
        <w:rPr>
          <w:rFonts w:ascii="Times New Roman" w:eastAsia="仿宋_GB2312" w:hAnsi="Times New Roman" w:cs="Times New Roman"/>
          <w:sz w:val="28"/>
          <w:szCs w:val="28"/>
        </w:rPr>
        <w:t>和</w:t>
      </w:r>
      <w:r>
        <w:rPr>
          <w:rFonts w:ascii="Times New Roman" w:eastAsia="仿宋_GB2312" w:hAnsi="Times New Roman" w:cs="Times New Roman"/>
          <w:sz w:val="28"/>
          <w:szCs w:val="28"/>
        </w:rPr>
        <w:t>NY/T 1056</w:t>
      </w:r>
      <w:r>
        <w:rPr>
          <w:rFonts w:ascii="Times New Roman" w:eastAsia="仿宋_GB2312" w:hAnsi="Times New Roman" w:cs="Times New Roman"/>
          <w:sz w:val="28"/>
          <w:szCs w:val="28"/>
        </w:rPr>
        <w:t>的规定，规定了</w:t>
      </w:r>
      <w:r>
        <w:rPr>
          <w:rFonts w:ascii="Times New Roman" w:eastAsia="仿宋_GB2312" w:hAnsi="Times New Roman" w:cs="Times New Roman" w:hint="eastAsia"/>
          <w:sz w:val="28"/>
          <w:szCs w:val="28"/>
        </w:rPr>
        <w:t>露地芥蓝周年生产</w:t>
      </w:r>
      <w:r>
        <w:rPr>
          <w:rFonts w:ascii="Times New Roman" w:eastAsia="仿宋_GB2312" w:hAnsi="Times New Roman" w:cs="Times New Roman"/>
          <w:sz w:val="28"/>
          <w:szCs w:val="28"/>
        </w:rPr>
        <w:t>中产品采收时期、采收标准，包装和贮运要求，以及生产过程中废弃物具体处理办法。</w:t>
      </w:r>
    </w:p>
    <w:bookmarkEnd w:id="2"/>
    <w:p w14:paraId="174BAE48" w14:textId="6DFAFB36" w:rsidR="00100B82" w:rsidRDefault="00912C64">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hint="eastAsia"/>
          <w:b/>
          <w:bCs/>
          <w:sz w:val="28"/>
          <w:szCs w:val="20"/>
        </w:rPr>
        <w:t>六</w:t>
      </w:r>
      <w:r>
        <w:rPr>
          <w:rFonts w:ascii="Times New Roman" w:eastAsia="黑体" w:hAnsi="Times New Roman" w:cs="Times New Roman"/>
          <w:b/>
          <w:bCs/>
          <w:sz w:val="28"/>
          <w:szCs w:val="20"/>
        </w:rPr>
        <w:t>、与现行有关法律、法规、规章和强制性标准的关系</w:t>
      </w:r>
    </w:p>
    <w:p w14:paraId="4D69BFFF" w14:textId="77777777" w:rsidR="00100B82" w:rsidRDefault="00000000">
      <w:pPr>
        <w:widowControl/>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本规范是在国家相关的法规和强制性标准的基础上结合地方实际情况制定出来的，因此与现行法律法规没有冲突。</w:t>
      </w:r>
    </w:p>
    <w:p w14:paraId="6CF76A2F" w14:textId="78A73132" w:rsidR="00100B82" w:rsidRDefault="00912C64">
      <w:pPr>
        <w:spacing w:beforeLines="30" w:before="93" w:afterLines="30" w:after="93" w:line="520" w:lineRule="exact"/>
        <w:rPr>
          <w:rFonts w:ascii="Times New Roman" w:eastAsia="黑体" w:hAnsi="Times New Roman" w:cs="Times New Roman"/>
          <w:b/>
          <w:bCs/>
          <w:sz w:val="28"/>
          <w:szCs w:val="20"/>
        </w:rPr>
      </w:pPr>
      <w:r>
        <w:rPr>
          <w:rFonts w:ascii="Times New Roman" w:eastAsia="黑体" w:hAnsi="Times New Roman" w:cs="Times New Roman" w:hint="eastAsia"/>
          <w:b/>
          <w:bCs/>
          <w:sz w:val="28"/>
          <w:szCs w:val="20"/>
        </w:rPr>
        <w:t>七</w:t>
      </w:r>
      <w:r>
        <w:rPr>
          <w:rFonts w:ascii="Times New Roman" w:eastAsia="黑体" w:hAnsi="Times New Roman" w:cs="Times New Roman"/>
          <w:b/>
          <w:bCs/>
          <w:sz w:val="28"/>
          <w:szCs w:val="20"/>
        </w:rPr>
        <w:t>、贯彻地方标准的建议</w:t>
      </w:r>
    </w:p>
    <w:p w14:paraId="6AB17107" w14:textId="77777777" w:rsidR="00100B82" w:rsidRDefault="00000000">
      <w:pPr>
        <w:spacing w:line="5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本规程为规范性地方规程，提供了</w:t>
      </w:r>
      <w:r>
        <w:rPr>
          <w:rFonts w:ascii="Times New Roman" w:eastAsia="仿宋_GB2312" w:hAnsi="Times New Roman" w:cs="Times New Roman" w:hint="eastAsia"/>
          <w:sz w:val="30"/>
          <w:szCs w:val="30"/>
        </w:rPr>
        <w:t>露地芥蓝周年生产技术规程</w:t>
      </w:r>
      <w:r>
        <w:rPr>
          <w:rFonts w:ascii="Times New Roman" w:eastAsia="仿宋_GB2312" w:hAnsi="Times New Roman" w:cs="Times New Roman"/>
          <w:sz w:val="30"/>
          <w:szCs w:val="30"/>
        </w:rPr>
        <w:t>。本标准颁布实施后，全省蔬菜生产主管部门、</w:t>
      </w:r>
      <w:r>
        <w:rPr>
          <w:rFonts w:ascii="Times New Roman" w:eastAsia="仿宋_GB2312" w:hAnsi="Times New Roman" w:cs="Times New Roman" w:hint="eastAsia"/>
          <w:sz w:val="30"/>
          <w:szCs w:val="30"/>
        </w:rPr>
        <w:t>露地芥蓝周年</w:t>
      </w:r>
      <w:r>
        <w:rPr>
          <w:rFonts w:ascii="Times New Roman" w:eastAsia="仿宋_GB2312" w:hAnsi="Times New Roman" w:cs="Times New Roman"/>
          <w:sz w:val="30"/>
          <w:szCs w:val="30"/>
        </w:rPr>
        <w:t>生产企业结合本地实际，因地制宜综合运用标准中各项技术措施，充分发挥企业和市场的作用，加快</w:t>
      </w:r>
      <w:r>
        <w:rPr>
          <w:rFonts w:ascii="Times New Roman" w:eastAsia="仿宋_GB2312" w:hAnsi="Times New Roman" w:cs="Times New Roman" w:hint="eastAsia"/>
          <w:sz w:val="30"/>
          <w:szCs w:val="30"/>
        </w:rPr>
        <w:t>露地芥蓝周年</w:t>
      </w:r>
      <w:r>
        <w:rPr>
          <w:rFonts w:ascii="Times New Roman" w:eastAsia="仿宋_GB2312" w:hAnsi="Times New Roman" w:cs="Times New Roman"/>
          <w:sz w:val="30"/>
          <w:szCs w:val="30"/>
        </w:rPr>
        <w:t>技术规程的普及和应用，推动我省蔬菜产业健康持续发展。</w:t>
      </w:r>
    </w:p>
    <w:p w14:paraId="3449FF5F" w14:textId="77777777" w:rsidR="00100B82" w:rsidRDefault="00100B82">
      <w:pPr>
        <w:spacing w:line="600" w:lineRule="exact"/>
        <w:jc w:val="left"/>
        <w:rPr>
          <w:rFonts w:ascii="Times New Roman" w:eastAsia="仿宋" w:hAnsi="Times New Roman" w:cs="Times New Roman"/>
          <w:sz w:val="44"/>
          <w:szCs w:val="44"/>
        </w:rPr>
      </w:pPr>
    </w:p>
    <w:p w14:paraId="15D6B396" w14:textId="77777777" w:rsidR="00100B82" w:rsidRDefault="00000000">
      <w:pPr>
        <w:spacing w:line="600" w:lineRule="exact"/>
        <w:ind w:firstLineChars="1500" w:firstLine="45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西北农林科技大学</w:t>
      </w:r>
    </w:p>
    <w:p w14:paraId="68B42D53" w14:textId="77777777" w:rsidR="00100B82" w:rsidRDefault="00000000">
      <w:pPr>
        <w:spacing w:line="60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露地芥蓝周年生产技术规程</w:t>
      </w:r>
      <w:r>
        <w:rPr>
          <w:rFonts w:ascii="Times New Roman" w:eastAsia="仿宋_GB2312" w:hAnsi="Times New Roman" w:cs="Times New Roman"/>
          <w:sz w:val="30"/>
          <w:szCs w:val="30"/>
        </w:rPr>
        <w:t>》地方标准项目组</w:t>
      </w:r>
    </w:p>
    <w:p w14:paraId="633BACF4" w14:textId="77777777" w:rsidR="00100B82" w:rsidRDefault="00000000">
      <w:pPr>
        <w:spacing w:line="60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日</w:t>
      </w:r>
    </w:p>
    <w:p w14:paraId="03670AC0" w14:textId="77777777" w:rsidR="00100B82" w:rsidRDefault="00100B82"/>
    <w:sectPr w:rsidR="00100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1EF8" w14:textId="77777777" w:rsidR="00CC2757" w:rsidRDefault="00CC2757" w:rsidP="00912C64">
      <w:r>
        <w:separator/>
      </w:r>
    </w:p>
  </w:endnote>
  <w:endnote w:type="continuationSeparator" w:id="0">
    <w:p w14:paraId="51EF6D3A" w14:textId="77777777" w:rsidR="00CC2757" w:rsidRDefault="00CC2757" w:rsidP="009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166B" w14:textId="77777777" w:rsidR="00CC2757" w:rsidRDefault="00CC2757" w:rsidP="00912C64">
      <w:r>
        <w:separator/>
      </w:r>
    </w:p>
  </w:footnote>
  <w:footnote w:type="continuationSeparator" w:id="0">
    <w:p w14:paraId="1E2B6772" w14:textId="77777777" w:rsidR="00CC2757" w:rsidRDefault="00CC2757" w:rsidP="0091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E0NmQxNjkyMTIyZTJhMTZlNzM1NDk0MTM4ZDQ4YjgifQ=="/>
  </w:docVars>
  <w:rsids>
    <w:rsidRoot w:val="163A709D"/>
    <w:rsid w:val="00100B82"/>
    <w:rsid w:val="00320376"/>
    <w:rsid w:val="00912C64"/>
    <w:rsid w:val="00CC2757"/>
    <w:rsid w:val="00F433A8"/>
    <w:rsid w:val="163A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61780"/>
  <w15:docId w15:val="{7311AEE9-B548-440A-9E38-204ABFD0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Plain Text"/>
    <w:basedOn w:val="a"/>
    <w:qFormat/>
    <w:rPr>
      <w:rFonts w:ascii="宋体" w:eastAsia="宋体" w:hAnsi="Courier New" w:cs="Times New Roman"/>
      <w:szCs w:val="20"/>
    </w:rPr>
  </w:style>
  <w:style w:type="paragraph" w:styleId="a5">
    <w:name w:val="header"/>
    <w:basedOn w:val="a"/>
    <w:link w:val="a6"/>
    <w:rsid w:val="00912C64"/>
    <w:pPr>
      <w:tabs>
        <w:tab w:val="center" w:pos="4153"/>
        <w:tab w:val="right" w:pos="8306"/>
      </w:tabs>
      <w:snapToGrid w:val="0"/>
      <w:jc w:val="center"/>
    </w:pPr>
    <w:rPr>
      <w:sz w:val="18"/>
      <w:szCs w:val="18"/>
    </w:rPr>
  </w:style>
  <w:style w:type="character" w:customStyle="1" w:styleId="a6">
    <w:name w:val="页眉 字符"/>
    <w:basedOn w:val="a1"/>
    <w:link w:val="a5"/>
    <w:rsid w:val="00912C64"/>
    <w:rPr>
      <w:kern w:val="2"/>
      <w:sz w:val="18"/>
      <w:szCs w:val="18"/>
    </w:rPr>
  </w:style>
  <w:style w:type="paragraph" w:styleId="a7">
    <w:name w:val="footer"/>
    <w:basedOn w:val="a"/>
    <w:link w:val="a8"/>
    <w:rsid w:val="00912C64"/>
    <w:pPr>
      <w:tabs>
        <w:tab w:val="center" w:pos="4153"/>
        <w:tab w:val="right" w:pos="8306"/>
      </w:tabs>
      <w:snapToGrid w:val="0"/>
      <w:jc w:val="left"/>
    </w:pPr>
    <w:rPr>
      <w:sz w:val="18"/>
      <w:szCs w:val="18"/>
    </w:rPr>
  </w:style>
  <w:style w:type="character" w:customStyle="1" w:styleId="a8">
    <w:name w:val="页脚 字符"/>
    <w:basedOn w:val="a1"/>
    <w:link w:val="a7"/>
    <w:rsid w:val="00912C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阿嘉仔</dc:creator>
  <cp:lastModifiedBy>rong lu</cp:lastModifiedBy>
  <cp:revision>3</cp:revision>
  <dcterms:created xsi:type="dcterms:W3CDTF">2024-03-12T13:24:00Z</dcterms:created>
  <dcterms:modified xsi:type="dcterms:W3CDTF">2024-03-13T06:22:00Z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3E32280F69834FBA8C2036BD1078C12D_11</vt:lpwstr>
  </property>
</Properties>
</file>