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hAnsi="Times New Roman" w:eastAsia="隶书"/>
          <w:b/>
          <w:sz w:val="28"/>
          <w:szCs w:val="28"/>
        </w:rPr>
      </w:pPr>
      <w:r>
        <w:rPr>
          <w:rFonts w:ascii="Times New Roman" w:hAnsi="Times New Roman" w:eastAsia="隶书"/>
          <w:b/>
          <w:sz w:val="28"/>
          <w:szCs w:val="28"/>
        </w:rPr>
        <w:t>ICS 65.020.20</w:t>
      </w:r>
    </w:p>
    <w:p>
      <w:pPr>
        <w:pStyle w:val="3"/>
        <w:rPr>
          <w:rFonts w:ascii="Times New Roman" w:hAnsi="Times New Roman" w:eastAsia="隶书"/>
          <w:b/>
          <w:sz w:val="28"/>
          <w:szCs w:val="28"/>
        </w:rPr>
      </w:pPr>
      <w:r>
        <w:rPr>
          <w:rFonts w:ascii="Times New Roman" w:hAnsi="Times New Roman" w:eastAsia="隶书"/>
          <w:b/>
          <w:sz w:val="28"/>
          <w:szCs w:val="28"/>
        </w:rPr>
        <w:t>CCS B31</w:t>
      </w:r>
    </w:p>
    <w:p>
      <w:pPr>
        <w:pStyle w:val="3"/>
        <w:spacing w:after="156" w:afterLines="50" w:line="600" w:lineRule="exact"/>
        <w:rPr>
          <w:rFonts w:eastAsia="仿宋_GB2312"/>
          <w:sz w:val="32"/>
          <w:szCs w:val="32"/>
        </w:rPr>
      </w:pPr>
    </w:p>
    <w:p>
      <w:pPr>
        <w:pStyle w:val="11"/>
        <w:framePr w:wrap="around" w:x="4485" w:y="1606"/>
        <w:rPr>
          <w:rFonts w:ascii="Times New Roman" w:hAnsi="Times New Roman"/>
        </w:rPr>
      </w:pPr>
      <w:r>
        <w:rPr>
          <w:rFonts w:ascii="Times New Roman" w:hAnsi="Times New Roman"/>
        </w:rPr>
        <w:t>DB61</w:t>
      </w:r>
    </w:p>
    <w:p>
      <w:pPr>
        <w:pStyle w:val="12"/>
        <w:framePr w:wrap="around" w:y="3001"/>
        <w:rPr>
          <w:rFonts w:ascii="Times New Roman" w:hAnsi="Times New Roman"/>
        </w:rPr>
      </w:pPr>
      <w:r>
        <w:rPr>
          <w:rFonts w:ascii="Times New Roman" w:hAnsi="Times New Roman"/>
        </w:rPr>
        <w:t>陕西省地方标准</w:t>
      </w:r>
    </w:p>
    <w:p>
      <w:pPr>
        <w:pStyle w:val="13"/>
        <w:framePr w:wrap="around" w:x="1802" w:y="3586"/>
        <w:rPr>
          <w:rFonts w:ascii="Times New Roman"/>
        </w:rPr>
      </w:pPr>
      <w:r>
        <w:rPr>
          <w:rFonts w:ascii="Times New Roman"/>
        </w:rPr>
        <w:t>DB 61/T</w:t>
      </w:r>
      <w:r>
        <w:rPr>
          <w:rFonts w:ascii="Times New Roman"/>
        </w:rPr>
        <w:sym w:font="Wingdings 2" w:char="F0CD"/>
      </w:r>
      <w:r>
        <w:rPr>
          <w:rFonts w:ascii="Times New Roman"/>
        </w:rPr>
        <w:sym w:font="Wingdings 2" w:char="F0CD"/>
      </w:r>
      <w:r>
        <w:rPr>
          <w:rFonts w:ascii="Times New Roman"/>
        </w:rPr>
        <w:sym w:font="Wingdings 2" w:char="F0CD"/>
      </w:r>
      <w:r>
        <w:rPr>
          <w:rFonts w:ascii="Times New Roman"/>
        </w:rPr>
        <w:sym w:font="Wingdings 2" w:char="F0CD"/>
      </w:r>
      <w:r>
        <w:rPr>
          <w:rFonts w:ascii="Times New Roman"/>
        </w:rPr>
        <w:t>—</w:t>
      </w:r>
      <w:r>
        <w:rPr>
          <w:rFonts w:ascii="Times New Roman"/>
        </w:rPr>
        <w:sym w:font="Wingdings 2" w:char="F0CD"/>
      </w:r>
      <w:r>
        <w:rPr>
          <w:rFonts w:ascii="Times New Roman"/>
        </w:rPr>
        <w:sym w:font="Wingdings 2" w:char="F0CD"/>
      </w:r>
      <w:r>
        <w:rPr>
          <w:rFonts w:ascii="Times New Roman"/>
        </w:rPr>
        <w:sym w:font="Wingdings 2" w:char="F0CD"/>
      </w:r>
      <w:r>
        <w:rPr>
          <w:rFonts w:ascii="Times New Roman"/>
        </w:rPr>
        <w:sym w:font="Wingdings 2" w:char="F0CD"/>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4"/>
              <w:framePr w:wrap="around" w:x="1802" w:y="3586"/>
              <w:rPr>
                <w:rFonts w:ascii="Times New Roman"/>
              </w:rPr>
            </w:pPr>
          </w:p>
        </w:tc>
      </w:tr>
    </w:tbl>
    <w:p>
      <w:pPr>
        <w:pStyle w:val="13"/>
        <w:framePr w:wrap="around" w:x="1802" w:y="3586"/>
        <w:rPr>
          <w:rFonts w:ascii="Times New Roman"/>
        </w:rPr>
      </w:pPr>
    </w:p>
    <w:p>
      <w:pPr>
        <w:pStyle w:val="13"/>
        <w:framePr w:wrap="around" w:x="1802" w:y="3586"/>
        <w:rPr>
          <w:rFonts w:ascii="Times New Roman"/>
        </w:rPr>
      </w:pPr>
    </w:p>
    <w:p>
      <w:pPr>
        <w:pStyle w:val="15"/>
        <w:framePr w:wrap="around" w:x="1381" w:y="6169"/>
        <w:rPr>
          <w:rFonts w:ascii="Times New Roman"/>
        </w:rPr>
      </w:pPr>
      <w:r>
        <w:rPr>
          <w:rFonts w:hint="eastAsia" w:ascii="Times New Roman"/>
          <w:lang w:val="en-US" w:eastAsia="zh-CN"/>
        </w:rPr>
        <w:t>露地</w:t>
      </w:r>
      <w:r>
        <w:rPr>
          <w:rFonts w:hint="eastAsia" w:ascii="Times New Roman"/>
        </w:rPr>
        <w:t>芥蓝周年</w:t>
      </w:r>
      <w:r>
        <w:rPr>
          <w:rFonts w:ascii="Times New Roman"/>
        </w:rPr>
        <w:t>生产技术</w:t>
      </w:r>
      <w:r>
        <w:rPr>
          <w:rFonts w:hint="eastAsia" w:ascii="Times New Roman"/>
        </w:rPr>
        <w:t>规程</w:t>
      </w:r>
    </w:p>
    <w:p>
      <w:pPr>
        <w:framePr w:w="9639" w:h="6917" w:hRule="exact" w:wrap="around" w:vAnchor="page" w:hAnchor="page" w:x="1381" w:y="6169" w:anchorLock="1"/>
        <w:autoSpaceDE w:val="0"/>
        <w:autoSpaceDN w:val="0"/>
        <w:spacing w:before="156" w:beforeLines="50"/>
        <w:jc w:val="center"/>
        <w:rPr>
          <w:rFonts w:ascii="Times New Roman" w:hAnsi="Times New Roman"/>
          <w:kern w:val="0"/>
          <w:sz w:val="28"/>
          <w:szCs w:val="22"/>
        </w:rPr>
      </w:pPr>
      <w:r>
        <w:rPr>
          <w:rFonts w:hint="eastAsia" w:ascii="Times New Roman" w:hAnsi="Times New Roman"/>
          <w:kern w:val="0"/>
          <w:sz w:val="28"/>
          <w:szCs w:val="22"/>
        </w:rPr>
        <w:t xml:space="preserve">Annual production technical regulations for open field </w:t>
      </w:r>
      <w:r>
        <w:rPr>
          <w:rFonts w:hint="eastAsia" w:ascii="Times New Roman" w:hAnsi="Times New Roman"/>
          <w:kern w:val="0"/>
          <w:sz w:val="28"/>
          <w:szCs w:val="22"/>
          <w:lang w:val="en-US" w:eastAsia="zh-CN"/>
        </w:rPr>
        <w:t>c</w:t>
      </w:r>
      <w:r>
        <w:rPr>
          <w:rFonts w:hint="eastAsia" w:ascii="Times New Roman" w:hAnsi="Times New Roman"/>
          <w:kern w:val="0"/>
          <w:sz w:val="28"/>
          <w:szCs w:val="22"/>
        </w:rPr>
        <w:t>hinese kale</w:t>
      </w:r>
    </w:p>
    <w:p>
      <w:pPr>
        <w:framePr w:w="9639" w:h="6917" w:hRule="exact" w:wrap="around" w:vAnchor="page" w:hAnchor="page" w:x="1381" w:y="6169" w:anchorLock="1"/>
        <w:autoSpaceDE w:val="0"/>
        <w:autoSpaceDN w:val="0"/>
        <w:spacing w:before="156" w:beforeLines="50"/>
        <w:jc w:val="center"/>
        <w:rPr>
          <w:kern w:val="0"/>
          <w:sz w:val="24"/>
        </w:rPr>
      </w:pPr>
    </w:p>
    <w:p>
      <w:pPr>
        <w:framePr w:w="9639" w:h="6917" w:hRule="exact" w:wrap="around" w:vAnchor="page" w:hAnchor="page" w:x="1381" w:y="6169" w:anchorLock="1"/>
        <w:autoSpaceDE w:val="0"/>
        <w:autoSpaceDN w:val="0"/>
        <w:spacing w:before="156" w:beforeLines="50"/>
        <w:jc w:val="center"/>
        <w:rPr>
          <w:sz w:val="32"/>
          <w:szCs w:val="32"/>
        </w:rPr>
      </w:pPr>
      <w:r>
        <w:rPr>
          <w:rFonts w:hint="eastAsia"/>
          <w:sz w:val="32"/>
          <w:szCs w:val="32"/>
        </w:rPr>
        <w:t>（标准草案）</w:t>
      </w:r>
    </w:p>
    <w:p>
      <w:pPr>
        <w:pStyle w:val="16"/>
        <w:framePr w:wrap="around"/>
        <w:rPr>
          <w:rFonts w:ascii="Times New Roman" w:hAnsi="Times New Roman"/>
        </w:rPr>
      </w:pPr>
      <w:r>
        <w:rPr>
          <w:rFonts w:ascii="Times New Roman" w:hAnsi="Times New Roman"/>
        </w:rPr>
        <w:sym w:font="Wingdings 2" w:char="F0CD"/>
      </w:r>
      <w:r>
        <w:rPr>
          <w:rFonts w:ascii="Times New Roman" w:hAnsi="Times New Roman"/>
        </w:rPr>
        <w:sym w:font="Wingdings 2" w:char="F0CD"/>
      </w:r>
      <w:r>
        <w:rPr>
          <w:rFonts w:ascii="Times New Roman" w:hAnsi="Times New Roman"/>
        </w:rPr>
        <w:sym w:font="Wingdings 2" w:char="F0CD"/>
      </w:r>
      <w:r>
        <w:rPr>
          <w:rFonts w:ascii="Times New Roman" w:hAnsi="Times New Roman"/>
        </w:rPr>
        <w:sym w:font="Wingdings 2" w:char="F0CD"/>
      </w:r>
      <w:r>
        <w:rPr>
          <w:rFonts w:ascii="Times New Roman" w:hAnsi="Times New Roman"/>
        </w:rPr>
        <w:t xml:space="preserve"> -</w:t>
      </w:r>
      <w:r>
        <w:rPr>
          <w:rFonts w:ascii="Times New Roman" w:hAnsi="Times New Roman"/>
        </w:rPr>
        <w:sym w:font="Wingdings 2" w:char="F0CD"/>
      </w:r>
      <w:r>
        <w:rPr>
          <w:rFonts w:ascii="Times New Roman" w:hAnsi="Times New Roman"/>
        </w:rPr>
        <w:sym w:font="Wingdings 2" w:char="F0CD"/>
      </w:r>
      <w:r>
        <w:rPr>
          <w:rFonts w:ascii="Times New Roman" w:hAnsi="Times New Roman"/>
        </w:rPr>
        <w:t>-</w:t>
      </w:r>
      <w:r>
        <w:rPr>
          <w:rFonts w:ascii="Times New Roman" w:hAnsi="Times New Roman"/>
        </w:rPr>
        <w:sym w:font="Wingdings 2" w:char="F0CD"/>
      </w:r>
      <w:r>
        <w:rPr>
          <w:rFonts w:ascii="Times New Roman" w:hAnsi="Times New Roman"/>
        </w:rPr>
        <w:sym w:font="Wingdings 2" w:char="F0CD"/>
      </w:r>
      <w:r>
        <w:rPr>
          <w:rFonts w:ascii="Times New Roman" w:hAnsi="Times New Roman"/>
        </w:rPr>
        <w:t>发布</w:t>
      </w:r>
      <w:r>
        <w:rPr>
          <w:rFonts w:ascii="Times New Roman" w:hAnsi="Times New Roman"/>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H&#10;azzWAAAACwEAAA8AAAAAAAAAAQAgAAAAIgAAAGRycy9kb3ducmV2LnhtbFBLAQIUABQAAAAIAIdO&#10;4kDQawcB7AEAANgDAAAOAAAAAAAAAAEAIAAAACUBAABkcnMvZTJvRG9jLnhtbFBLBQYAAAAABgAG&#10;AFkBAACDBQAAAAA=&#10;">
                <v:fill on="f" focussize="0,0"/>
                <v:stroke color="#000000" joinstyle="round"/>
                <v:imagedata o:title=""/>
                <o:lock v:ext="edit" aspectratio="f"/>
                <w10:anchorlock/>
              </v:line>
            </w:pict>
          </mc:Fallback>
        </mc:AlternateContent>
      </w:r>
    </w:p>
    <w:p>
      <w:pPr>
        <w:pStyle w:val="17"/>
        <w:framePr w:wrap="around"/>
        <w:rPr>
          <w:rFonts w:ascii="Times New Roman" w:hAnsi="Times New Roman"/>
        </w:rPr>
      </w:pPr>
      <w:r>
        <w:rPr>
          <w:rFonts w:ascii="Times New Roman" w:hAnsi="Times New Roman"/>
        </w:rPr>
        <w:sym w:font="Wingdings 2" w:char="F0CD"/>
      </w:r>
      <w:r>
        <w:rPr>
          <w:rFonts w:ascii="Times New Roman" w:hAnsi="Times New Roman"/>
        </w:rPr>
        <w:sym w:font="Wingdings 2" w:char="F0CD"/>
      </w:r>
      <w:r>
        <w:rPr>
          <w:rFonts w:ascii="Times New Roman" w:hAnsi="Times New Roman"/>
        </w:rPr>
        <w:sym w:font="Wingdings 2" w:char="F0CD"/>
      </w:r>
      <w:r>
        <w:rPr>
          <w:rFonts w:ascii="Times New Roman" w:hAnsi="Times New Roman"/>
        </w:rPr>
        <w:sym w:font="Wingdings 2" w:char="F0CD"/>
      </w:r>
      <w:r>
        <w:rPr>
          <w:rFonts w:ascii="Times New Roman" w:hAnsi="Times New Roman"/>
        </w:rPr>
        <w:t xml:space="preserve"> -</w:t>
      </w:r>
      <w:r>
        <w:rPr>
          <w:rFonts w:ascii="Times New Roman" w:hAnsi="Times New Roman"/>
        </w:rPr>
        <w:sym w:font="Wingdings 2" w:char="F0CD"/>
      </w:r>
      <w:r>
        <w:rPr>
          <w:rFonts w:ascii="Times New Roman" w:hAnsi="Times New Roman"/>
        </w:rPr>
        <w:sym w:font="Wingdings 2" w:char="F0CD"/>
      </w:r>
      <w:r>
        <w:rPr>
          <w:rFonts w:ascii="Times New Roman" w:hAnsi="Times New Roman"/>
        </w:rPr>
        <w:t>-</w:t>
      </w:r>
      <w:r>
        <w:rPr>
          <w:rFonts w:ascii="Times New Roman" w:hAnsi="Times New Roman"/>
        </w:rPr>
        <w:sym w:font="Wingdings 2" w:char="F0CD"/>
      </w:r>
      <w:r>
        <w:rPr>
          <w:rFonts w:ascii="Times New Roman" w:hAnsi="Times New Roman"/>
        </w:rPr>
        <w:sym w:font="Wingdings 2" w:char="F0CD"/>
      </w:r>
      <w:r>
        <w:rPr>
          <w:rFonts w:ascii="Times New Roman" w:hAnsi="Times New Roman"/>
        </w:rPr>
        <w:t>实施</w:t>
      </w:r>
    </w:p>
    <w:p>
      <w:pPr>
        <w:pStyle w:val="18"/>
        <w:framePr w:wrap="around"/>
        <w:rPr>
          <w:rFonts w:ascii="Times New Roman" w:hAnsi="Times New Roman"/>
        </w:rPr>
      </w:pPr>
      <w:bookmarkStart w:id="0" w:name="fm"/>
      <w:r>
        <w:rPr>
          <w:rFonts w:ascii="Times New Roman" w:hAnsi="Times New Roman"/>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5" name="矩形 5"/>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Xu1tkAAAANAQAADwAAAAAAAAABACAAAAAiAAAAZHJzL2Rvd25yZXYueG1sUEsBAhQAFAAA&#10;AAgAh07iQKSG96q1AQAAagMAAA4AAAAAAAAAAQAgAAAAKAEAAGRycy9lMm9Eb2MueG1sUEsFBgAA&#10;AAAGAAYAWQEAAE8FAAAAAA==&#10;">
                <v:fill on="t" focussize="0,0"/>
                <v:stroke on="f"/>
                <v:imagedata o:title=""/>
                <o:lock v:ext="edit" aspectratio="f"/>
                <v:textbox>
                  <w:txbxContent>
                    <w:p/>
                  </w:txbxContent>
                </v:textbox>
              </v:rect>
            </w:pict>
          </mc:Fallback>
        </mc:AlternateContent>
      </w:r>
      <w:r>
        <w:rPr>
          <w:rFonts w:ascii="Times New Roman" w:hAnsi="Times New Roman"/>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8" name="矩形 8"/>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yYoR2gAAAA8BAAAPAAAAAAAAAAEAIAAAACIAAABkcnMvZG93bnJldi54bWxQSwECFAAUAAAA&#10;CACHTuJA/tqC/rMBAABqAwAADgAAAAAAAAABACAAAAApAQAAZHJzL2Uyb0RvYy54bWxQSwUGAAAA&#10;AAYABgBZAQAATgUAAAAA&#10;">
                <v:fill on="t" focussize="0,0"/>
                <v:stroke on="f"/>
                <v:imagedata o:title=""/>
                <o:lock v:ext="edit" aspectratio="f"/>
                <v:textbox>
                  <w:txbxContent>
                    <w:p/>
                  </w:txbxContent>
                </v:textbox>
              </v:rect>
            </w:pict>
          </mc:Fallback>
        </mc:AlternateContent>
      </w:r>
      <w:r>
        <w:rPr>
          <w:rFonts w:ascii="Times New Roman" w:hAnsi="Times New Roman"/>
          <w:w w:val="10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JZGg2AAAAA8BAAAPAAAAAAAAAAEAIAAAACIAAABkcnMvZG93bnJldi54bWxQSwECFAAUAAAACACH&#10;TuJAexYvX+sBAADYAwAADgAAAAAAAAABACAAAAAnAQAAZHJzL2Uyb0RvYy54bWxQSwUGAAAAAAYA&#10;BgBZAQAAhAUAAAAA&#10;">
                <v:fill on="f" focussize="0,0"/>
                <v:stroke color="#000000" joinstyle="round"/>
                <v:imagedata o:title=""/>
                <o:lock v:ext="edit" aspectratio="f"/>
              </v:line>
            </w:pict>
          </mc:Fallback>
        </mc:AlternateContent>
      </w:r>
      <w:bookmarkEnd w:id="0"/>
      <w:r>
        <w:rPr>
          <w:rFonts w:ascii="Times New Roman" w:hAnsi="Times New Roman"/>
          <w:w w:val="10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5te7W&#10;2QAAAA0BAAAPAAAAAAAAAAEAIAAAACIAAABkcnMvZG93bnJldi54bWxQSwECFAAUAAAACACHTuJA&#10;GPHnuq4BAABfAwAADgAAAAAAAAABACAAAAAoAQAAZHJzL2Uyb0RvYy54bWxQSwUGAAAAAAYABgBZ&#10;AQAASAUAAAAA&#10;">
                <v:fill on="t" focussize="0,0"/>
                <v:stroke on="f"/>
                <v:imagedata o:title=""/>
                <o:lock v:ext="edit" aspectratio="f"/>
              </v:rect>
            </w:pict>
          </mc:Fallback>
        </mc:AlternateContent>
      </w:r>
      <w:r>
        <w:rPr>
          <w:rFonts w:ascii="Times New Roman" w:hAnsi="Times New Roman"/>
          <w:w w:val="10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mK&#10;EdoAAAAPAQAADwAAAAAAAAABACAAAAAiAAAAZHJzL2Rvd25yZXYueG1sUEsBAhQAFAAAAAgAh07i&#10;QA8mSYGuAQAAXwMAAA4AAAAAAAAAAQAgAAAAKQEAAGRycy9lMm9Eb2MueG1sUEsFBgAAAAAGAAYA&#10;WQEAAEkFAAAAAA==&#10;">
                <v:fill on="t" focussize="0,0"/>
                <v:stroke on="f"/>
                <v:imagedata o:title=""/>
                <o:lock v:ext="edit" aspectratio="f"/>
              </v:rect>
            </w:pict>
          </mc:Fallback>
        </mc:AlternateContent>
      </w:r>
      <w:r>
        <w:rPr>
          <w:rFonts w:ascii="Times New Roman" w:hAnsi="Times New Roman"/>
          <w:w w:val="100"/>
        </w:rPr>
        <mc:AlternateContent>
          <mc:Choice Requires="wps">
            <w:drawing>
              <wp:anchor distT="0" distB="0" distL="114300" distR="114300" simplePos="0" relativeHeight="251665408"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6pt;margin-top:-552.85pt;height:0pt;width:481.9pt;z-index:25166540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JZGg2AAAAA8BAAAPAAAAAAAAAAEAIAAAACIAAABkcnMvZG93bnJldi54bWxQSwECFAAUAAAACACH&#10;TuJALe1/4+sBAADYAwAADgAAAAAAAAABACAAAAAnAQAAZHJzL2Uyb0RvYy54bWxQSwUGAAAAAAYA&#10;BgBZAQAAhAUAAAAA&#10;">
                <v:fill on="f" focussize="0,0"/>
                <v:stroke color="#000000" joinstyle="round"/>
                <v:imagedata o:title=""/>
                <o:lock v:ext="edit" aspectratio="f"/>
              </v:line>
            </w:pict>
          </mc:Fallback>
        </mc:AlternateContent>
      </w:r>
      <w:r>
        <w:rPr>
          <w:rFonts w:ascii="Times New Roman" w:hAnsi="Times New Roman"/>
        </w:rPr>
        <w:t>陕西省</w:t>
      </w:r>
      <w:r>
        <w:rPr>
          <w:rFonts w:hint="eastAsia" w:ascii="Times New Roman" w:hAnsi="Times New Roman"/>
        </w:rPr>
        <w:t>市场</w:t>
      </w:r>
      <w:r>
        <w:rPr>
          <w:rFonts w:ascii="Times New Roman" w:hAnsi="Times New Roman"/>
        </w:rPr>
        <w:t>监督管理局   </w:t>
      </w:r>
      <w:r>
        <w:rPr>
          <w:rStyle w:val="19"/>
          <w:rFonts w:ascii="Times New Roman" w:hAnsi="Times New Roman"/>
        </w:rPr>
        <w:t>发布</w:t>
      </w:r>
    </w:p>
    <w:p>
      <w:pPr>
        <w:pStyle w:val="3"/>
        <w:spacing w:after="156" w:afterLines="50" w:line="600" w:lineRule="exact"/>
        <w:rPr>
          <w:rFonts w:ascii="Times New Roman" w:hAnsi="Times New Roman" w:eastAsia="隶书"/>
          <w:b/>
          <w:sz w:val="52"/>
        </w:rPr>
      </w:pPr>
    </w:p>
    <w:p>
      <w:pPr>
        <w:pStyle w:val="3"/>
        <w:spacing w:after="156" w:afterLines="50" w:line="600" w:lineRule="exact"/>
        <w:rPr>
          <w:rFonts w:ascii="Times New Roman" w:hAnsi="Times New Roman" w:eastAsia="隶书"/>
          <w:b/>
          <w:sz w:val="52"/>
        </w:rPr>
      </w:pPr>
    </w:p>
    <w:p>
      <w:pPr>
        <w:pStyle w:val="7"/>
        <w:spacing w:before="156" w:after="156"/>
        <w:jc w:val="center"/>
        <w:rPr>
          <w:rFonts w:ascii="Times New Roman" w:hAnsi="Times New Roman"/>
          <w:sz w:val="32"/>
        </w:rPr>
      </w:pPr>
      <w:bookmarkStart w:id="1" w:name="_Toc97714300"/>
      <w:r>
        <w:rPr>
          <w:rFonts w:ascii="Times New Roman" w:hAnsi="Times New Roman"/>
          <w:sz w:val="32"/>
        </w:rPr>
        <w:t>前</w:t>
      </w:r>
      <w:bookmarkStart w:id="2" w:name="BKQY"/>
      <w:r>
        <w:rPr>
          <w:rFonts w:ascii="Times New Roman" w:hAnsi="Times New Roman"/>
          <w:sz w:val="32"/>
        </w:rPr>
        <w:t>  言</w:t>
      </w:r>
      <w:bookmarkEnd w:id="1"/>
      <w:bookmarkEnd w:id="2"/>
    </w:p>
    <w:p>
      <w:pPr>
        <w:pStyle w:val="20"/>
        <w:spacing w:line="360" w:lineRule="auto"/>
        <w:ind w:firstLine="40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pPr>
        <w:pStyle w:val="20"/>
        <w:spacing w:line="360" w:lineRule="auto"/>
        <w:ind w:firstLine="400"/>
        <w:rPr>
          <w:rFonts w:hint="default" w:ascii="Times New Roman" w:hAnsi="Times New Roman" w:cs="Times New Roman"/>
        </w:rPr>
      </w:pPr>
      <w:r>
        <w:rPr>
          <w:rFonts w:hint="default" w:ascii="Times New Roman" w:hAnsi="Times New Roman" w:cs="Times New Roman"/>
        </w:rPr>
        <w:t>本文件由西北农林科技大学提出。</w:t>
      </w:r>
    </w:p>
    <w:p>
      <w:pPr>
        <w:pStyle w:val="20"/>
        <w:spacing w:line="360" w:lineRule="auto"/>
        <w:ind w:firstLine="400"/>
        <w:rPr>
          <w:rFonts w:hint="default" w:ascii="Times New Roman" w:hAnsi="Times New Roman" w:cs="Times New Roman"/>
        </w:rPr>
      </w:pPr>
      <w:r>
        <w:rPr>
          <w:rFonts w:hint="default" w:ascii="Times New Roman" w:hAnsi="Times New Roman" w:cs="Times New Roman"/>
        </w:rPr>
        <w:t>本文件由陕西省农业农村厅归口。</w:t>
      </w:r>
    </w:p>
    <w:p>
      <w:pPr>
        <w:pStyle w:val="20"/>
        <w:spacing w:line="360" w:lineRule="auto"/>
        <w:ind w:firstLine="400"/>
        <w:rPr>
          <w:rFonts w:hint="default" w:ascii="Times New Roman" w:hAnsi="Times New Roman" w:cs="Times New Roman"/>
        </w:rPr>
      </w:pPr>
      <w:r>
        <w:rPr>
          <w:rFonts w:hint="default" w:ascii="Times New Roman" w:hAnsi="Times New Roman" w:cs="Times New Roman"/>
        </w:rPr>
        <w:t>本文件起草单位：西北农林科技大学、西安市农业技术推广中心。</w:t>
      </w:r>
    </w:p>
    <w:p>
      <w:pPr>
        <w:pStyle w:val="20"/>
        <w:spacing w:line="360" w:lineRule="auto"/>
        <w:ind w:firstLine="400"/>
        <w:rPr>
          <w:rFonts w:hint="default" w:ascii="Times New Roman" w:hAnsi="Times New Roman" w:cs="Times New Roman"/>
        </w:rPr>
      </w:pPr>
      <w:r>
        <w:rPr>
          <w:rFonts w:hint="default" w:ascii="Times New Roman" w:hAnsi="Times New Roman" w:cs="Times New Roman"/>
        </w:rPr>
        <w:t>本文件主要起草人：惠麦侠、岳嘉欣、苏佳妮、路蓉、刘光源、魏有莲、杨岩松、刘晓乐。</w:t>
      </w:r>
    </w:p>
    <w:p>
      <w:pPr>
        <w:pStyle w:val="20"/>
        <w:spacing w:line="360" w:lineRule="auto"/>
        <w:ind w:firstLine="400"/>
        <w:rPr>
          <w:rFonts w:hint="default" w:ascii="Times New Roman" w:hAnsi="Times New Roman" w:cs="Times New Roman"/>
        </w:rPr>
      </w:pPr>
      <w:r>
        <w:rPr>
          <w:rFonts w:hint="default" w:ascii="Times New Roman" w:hAnsi="Times New Roman" w:cs="Times New Roman"/>
        </w:rPr>
        <w:t>本文件由西北农林科技大学负责解释。</w:t>
      </w:r>
    </w:p>
    <w:p>
      <w:pPr>
        <w:pStyle w:val="20"/>
        <w:spacing w:line="360" w:lineRule="auto"/>
        <w:ind w:firstLine="400"/>
        <w:rPr>
          <w:rFonts w:hint="default" w:ascii="Times New Roman" w:hAnsi="Times New Roman" w:cs="Times New Roman"/>
        </w:rPr>
      </w:pPr>
      <w:r>
        <w:rPr>
          <w:rFonts w:hint="default" w:ascii="Times New Roman" w:hAnsi="Times New Roman" w:cs="Times New Roman"/>
        </w:rPr>
        <w:t>本文件首次发布。</w:t>
      </w:r>
    </w:p>
    <w:p>
      <w:pPr>
        <w:pStyle w:val="20"/>
        <w:spacing w:line="360" w:lineRule="auto"/>
        <w:ind w:firstLine="400"/>
        <w:rPr>
          <w:rFonts w:hint="default" w:ascii="Times New Roman" w:hAnsi="Times New Roman" w:cs="Times New Roman"/>
        </w:rPr>
      </w:pPr>
      <w:r>
        <w:rPr>
          <w:rFonts w:hint="default" w:ascii="Times New Roman" w:hAnsi="Times New Roman" w:cs="Times New Roman"/>
        </w:rPr>
        <w:t>联系信息如下：</w:t>
      </w:r>
    </w:p>
    <w:p>
      <w:pPr>
        <w:pStyle w:val="20"/>
        <w:spacing w:line="360" w:lineRule="auto"/>
        <w:ind w:firstLine="400"/>
        <w:rPr>
          <w:rFonts w:hint="default" w:ascii="Times New Roman" w:hAnsi="Times New Roman" w:cs="Times New Roman"/>
        </w:rPr>
      </w:pPr>
      <w:r>
        <w:rPr>
          <w:rFonts w:hint="default" w:ascii="Times New Roman" w:hAnsi="Times New Roman" w:cs="Times New Roman"/>
        </w:rPr>
        <w:t>单位：西北农林科技大学</w:t>
      </w:r>
    </w:p>
    <w:p>
      <w:pPr>
        <w:pStyle w:val="20"/>
        <w:spacing w:line="360" w:lineRule="auto"/>
        <w:ind w:firstLine="400"/>
        <w:rPr>
          <w:rFonts w:hint="default" w:ascii="Times New Roman" w:hAnsi="Times New Roman" w:cs="Times New Roman"/>
        </w:rPr>
      </w:pPr>
      <w:r>
        <w:rPr>
          <w:rFonts w:hint="default" w:ascii="Times New Roman" w:hAnsi="Times New Roman" w:cs="Times New Roman"/>
        </w:rPr>
        <w:t>电话：029-87082613</w:t>
      </w:r>
    </w:p>
    <w:p>
      <w:pPr>
        <w:pStyle w:val="20"/>
        <w:spacing w:line="360" w:lineRule="auto"/>
        <w:ind w:firstLine="400"/>
        <w:rPr>
          <w:rFonts w:hint="default" w:ascii="Times New Roman" w:hAnsi="Times New Roman" w:cs="Times New Roman"/>
        </w:rPr>
      </w:pPr>
      <w:r>
        <w:rPr>
          <w:rFonts w:hint="default" w:ascii="Times New Roman" w:hAnsi="Times New Roman" w:cs="Times New Roman"/>
        </w:rPr>
        <w:t>地址：陕西省杨凌示范区邰城路3号</w:t>
      </w:r>
    </w:p>
    <w:p>
      <w:pPr>
        <w:pStyle w:val="20"/>
        <w:spacing w:line="360" w:lineRule="auto"/>
        <w:ind w:firstLine="400"/>
        <w:rPr>
          <w:rFonts w:hint="default" w:ascii="Times New Roman" w:hAnsi="Times New Roman" w:cs="Times New Roman"/>
        </w:rPr>
        <w:sectPr>
          <w:pgSz w:w="11906" w:h="16838"/>
          <w:pgMar w:top="1440" w:right="1800" w:bottom="1440" w:left="1800" w:header="1418" w:footer="1134" w:gutter="0"/>
          <w:pgNumType w:fmt="upperRoman" w:start="1"/>
          <w:cols w:space="720" w:num="1"/>
          <w:formProt w:val="0"/>
          <w:docGrid w:type="lines" w:linePitch="312" w:charSpace="0"/>
        </w:sectPr>
      </w:pPr>
      <w:r>
        <w:rPr>
          <w:rFonts w:hint="default" w:ascii="Times New Roman" w:hAnsi="Times New Roman" w:cs="Times New Roman"/>
        </w:rPr>
        <w:t>邮编：71210</w:t>
      </w:r>
    </w:p>
    <w:sdt>
      <w:sdtPr>
        <w:tag w:val="NEW_STAND_NAME"/>
        <w:id w:val="595910757"/>
        <w:lock w:val="sdtLocked"/>
        <w:placeholder>
          <w:docPart w:val="{1dc21e07-1415-44a5-b45e-76bc1582613b}"/>
        </w:placeholder>
      </w:sdtPr>
      <w:sdtContent>
        <w:p>
          <w:pPr>
            <w:pStyle w:val="21"/>
            <w:spacing w:before="312" w:beforeLines="100" w:after="686" w:afterLines="220"/>
          </w:pPr>
          <w:bookmarkStart w:id="3" w:name="NEW_STAND_NAME"/>
          <w:r>
            <w:rPr>
              <w:rFonts w:hint="eastAsia"/>
              <w:lang w:val="en-US" w:eastAsia="zh-CN"/>
            </w:rPr>
            <w:t>露地</w:t>
          </w:r>
          <w:r>
            <w:rPr>
              <w:rFonts w:hint="eastAsia"/>
            </w:rPr>
            <w:t>芥蓝周年生产技术规程</w:t>
          </w:r>
        </w:p>
      </w:sdtContent>
    </w:sdt>
    <w:bookmarkEnd w:id="3"/>
    <w:p>
      <w:pPr>
        <w:pStyle w:val="22"/>
        <w:spacing w:before="312" w:after="312"/>
        <w:rPr>
          <w:rFonts w:hint="default" w:ascii="Times New Roman" w:hAnsi="Times New Roman" w:cs="Times New Roman"/>
        </w:rPr>
      </w:pPr>
      <w:bookmarkStart w:id="4" w:name="_Toc17233333"/>
      <w:bookmarkStart w:id="5" w:name="_Toc26986530"/>
      <w:bookmarkStart w:id="6" w:name="_Toc26648465"/>
      <w:bookmarkStart w:id="7" w:name="_Toc26718930"/>
      <w:bookmarkStart w:id="8" w:name="_Toc26986771"/>
      <w:bookmarkStart w:id="9" w:name="_Toc17233325"/>
      <w:bookmarkStart w:id="10" w:name="_Toc24884218"/>
      <w:bookmarkStart w:id="11" w:name="_Toc24884211"/>
      <w:r>
        <w:rPr>
          <w:rFonts w:hint="default" w:ascii="Times New Roman" w:hAnsi="Times New Roman" w:cs="Times New Roman"/>
        </w:rPr>
        <w:t>范围</w:t>
      </w:r>
      <w:bookmarkEnd w:id="4"/>
      <w:bookmarkEnd w:id="5"/>
      <w:bookmarkEnd w:id="6"/>
      <w:bookmarkEnd w:id="7"/>
      <w:bookmarkEnd w:id="8"/>
      <w:bookmarkEnd w:id="9"/>
      <w:bookmarkEnd w:id="10"/>
      <w:bookmarkEnd w:id="11"/>
    </w:p>
    <w:p>
      <w:pPr>
        <w:pStyle w:val="23"/>
        <w:ind w:firstLine="420"/>
        <w:rPr>
          <w:rFonts w:hint="default" w:ascii="Times New Roman" w:hAnsi="Times New Roman" w:cs="Times New Roman"/>
        </w:rPr>
      </w:pPr>
      <w:bookmarkStart w:id="12" w:name="_Toc24884212"/>
      <w:bookmarkStart w:id="13" w:name="_Toc24884219"/>
      <w:bookmarkStart w:id="14" w:name="_Toc26648466"/>
      <w:bookmarkStart w:id="15" w:name="_Toc17233326"/>
      <w:bookmarkStart w:id="16" w:name="_Toc17233334"/>
      <w:r>
        <w:rPr>
          <w:rFonts w:hint="default" w:ascii="Times New Roman" w:hAnsi="Times New Roman" w:cs="Times New Roman"/>
        </w:rPr>
        <w:t>本文件规定了</w:t>
      </w:r>
      <w:r>
        <w:rPr>
          <w:rFonts w:hint="eastAsia" w:ascii="Times New Roman" w:cs="Times New Roman"/>
          <w:lang w:val="en-US" w:eastAsia="zh-CN"/>
        </w:rPr>
        <w:t>露地</w:t>
      </w:r>
      <w:r>
        <w:rPr>
          <w:rFonts w:hint="default" w:ascii="Times New Roman" w:hAnsi="Times New Roman" w:cs="Times New Roman"/>
        </w:rPr>
        <w:t>芥蓝周年生产的术语和定义、茬口安排、品种选择、整地作畦、播种、田间管理、病虫害防治、采收以及生产档案等要求。</w:t>
      </w:r>
    </w:p>
    <w:p>
      <w:pPr>
        <w:pStyle w:val="23"/>
        <w:ind w:firstLine="420"/>
        <w:rPr>
          <w:rFonts w:hint="default" w:ascii="Times New Roman" w:hAnsi="Times New Roman" w:cs="Times New Roman"/>
        </w:rPr>
      </w:pPr>
      <w:r>
        <w:rPr>
          <w:rFonts w:hint="default" w:ascii="Times New Roman" w:hAnsi="Times New Roman" w:cs="Times New Roman"/>
        </w:rPr>
        <w:t>本文件适用于</w:t>
      </w:r>
      <w:bookmarkStart w:id="17" w:name="OLE_LINK3"/>
      <w:r>
        <w:rPr>
          <w:rFonts w:hint="default" w:ascii="Times New Roman" w:hAnsi="Times New Roman" w:cs="Times New Roman"/>
        </w:rPr>
        <w:t>陕西省</w:t>
      </w:r>
      <w:r>
        <w:rPr>
          <w:rFonts w:hint="eastAsia" w:ascii="Times New Roman" w:cs="Times New Roman"/>
          <w:lang w:val="en-US" w:eastAsia="zh-CN"/>
        </w:rPr>
        <w:t>露地</w:t>
      </w:r>
      <w:r>
        <w:rPr>
          <w:rFonts w:hint="default" w:ascii="Times New Roman" w:hAnsi="Times New Roman" w:cs="Times New Roman"/>
        </w:rPr>
        <w:t>芥蓝周年生产管理。生态条件相似地区可参照执行。</w:t>
      </w:r>
      <w:bookmarkEnd w:id="17"/>
    </w:p>
    <w:p>
      <w:pPr>
        <w:pStyle w:val="22"/>
        <w:spacing w:before="312" w:after="312"/>
        <w:rPr>
          <w:rFonts w:hint="default" w:ascii="Times New Roman" w:hAnsi="Times New Roman" w:cs="Times New Roman"/>
        </w:rPr>
      </w:pPr>
      <w:bookmarkStart w:id="18" w:name="_Toc26718931"/>
      <w:bookmarkStart w:id="19" w:name="_Toc26986531"/>
      <w:bookmarkStart w:id="20" w:name="_Toc26986772"/>
      <w:r>
        <w:rPr>
          <w:rFonts w:hint="default" w:ascii="Times New Roman" w:hAnsi="Times New Roman" w:cs="Times New Roman"/>
        </w:rPr>
        <w:t>规范性引用文件</w:t>
      </w:r>
      <w:bookmarkEnd w:id="12"/>
      <w:bookmarkEnd w:id="13"/>
      <w:bookmarkEnd w:id="14"/>
      <w:bookmarkEnd w:id="15"/>
      <w:bookmarkEnd w:id="16"/>
      <w:bookmarkEnd w:id="18"/>
      <w:bookmarkEnd w:id="19"/>
      <w:bookmarkEnd w:id="20"/>
    </w:p>
    <w:sdt>
      <w:sdtPr>
        <w:rPr>
          <w:rFonts w:hint="default" w:ascii="Times New Roman" w:hAnsi="Times New Roman" w:cs="Times New Roman"/>
        </w:rPr>
        <w:id w:val="715848253"/>
        <w:placeholder>
          <w:docPart w:val="{b1b37f82-66b7-4d17-b853-f4aea24f7f0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rPr>
      </w:sdtEndPr>
      <w:sdtContent>
        <w:p>
          <w:pPr>
            <w:pStyle w:val="23"/>
            <w:ind w:firstLine="420"/>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
        <w:ind w:firstLine="420"/>
        <w:rPr>
          <w:rFonts w:hint="default" w:ascii="Times New Roman" w:hAnsi="Times New Roman" w:cs="Times New Roman"/>
        </w:rPr>
      </w:pPr>
      <w:r>
        <w:rPr>
          <w:rFonts w:hint="default" w:ascii="Times New Roman" w:hAnsi="Times New Roman" w:cs="Times New Roman"/>
        </w:rPr>
        <w:t xml:space="preserve">GB/T 8321 (所有部分) </w:t>
      </w:r>
      <w:r>
        <w:rPr>
          <w:rFonts w:hint="eastAsia" w:ascii="Times New Roman" w:cs="Times New Roman"/>
          <w:lang w:val="en-US" w:eastAsia="zh-CN"/>
        </w:rPr>
        <w:t xml:space="preserve"> </w:t>
      </w:r>
      <w:r>
        <w:rPr>
          <w:rFonts w:hint="default" w:ascii="Times New Roman" w:hAnsi="Times New Roman" w:cs="Times New Roman"/>
        </w:rPr>
        <w:t>农药合理使用准则</w:t>
      </w:r>
    </w:p>
    <w:p>
      <w:pPr>
        <w:pStyle w:val="23"/>
        <w:ind w:firstLine="420"/>
        <w:rPr>
          <w:rFonts w:hint="default" w:ascii="Times New Roman" w:hAnsi="Times New Roman" w:cs="Times New Roman"/>
        </w:rPr>
      </w:pPr>
      <w:r>
        <w:rPr>
          <w:rFonts w:hint="default" w:ascii="Times New Roman" w:hAnsi="Times New Roman" w:cs="Times New Roman"/>
        </w:rPr>
        <w:t>GB 16715.2-2010  瓜菜作物种子  第2部分：白菜类</w:t>
      </w:r>
    </w:p>
    <w:p>
      <w:pPr>
        <w:pStyle w:val="23"/>
        <w:ind w:firstLine="420"/>
        <w:rPr>
          <w:rFonts w:hint="default" w:ascii="Times New Roman" w:hAnsi="Times New Roman" w:cs="Times New Roman"/>
        </w:rPr>
      </w:pPr>
      <w:r>
        <w:rPr>
          <w:rFonts w:hint="default" w:ascii="Times New Roman" w:hAnsi="Times New Roman" w:cs="Times New Roman"/>
        </w:rPr>
        <w:t>NY/T 5363-2010  无公害食品 蔬菜生产管理规范</w:t>
      </w:r>
    </w:p>
    <w:p>
      <w:pPr>
        <w:pStyle w:val="23"/>
        <w:ind w:firstLine="420"/>
        <w:rPr>
          <w:rFonts w:hint="default" w:ascii="Times New Roman" w:hAnsi="Times New Roman" w:cs="Times New Roman"/>
        </w:rPr>
      </w:pPr>
      <w:r>
        <w:rPr>
          <w:rFonts w:hint="default" w:ascii="Times New Roman" w:hAnsi="Times New Roman" w:cs="Times New Roman"/>
        </w:rPr>
        <w:t>NY/T 496-2010  肥料合理使用准则  通则</w:t>
      </w:r>
    </w:p>
    <w:p>
      <w:pPr>
        <w:pStyle w:val="22"/>
        <w:spacing w:before="312" w:after="312"/>
        <w:rPr>
          <w:rFonts w:hint="default" w:ascii="Times New Roman" w:hAnsi="Times New Roman" w:cs="Times New Roman"/>
        </w:rPr>
      </w:pPr>
      <w:r>
        <w:rPr>
          <w:rFonts w:hint="default" w:ascii="Times New Roman" w:hAnsi="Times New Roman" w:cs="Times New Roman"/>
          <w:szCs w:val="21"/>
        </w:rPr>
        <w:t>术语和定义</w:t>
      </w:r>
    </w:p>
    <w:sdt>
      <w:sdtPr>
        <w:rPr>
          <w:rFonts w:hint="default" w:ascii="Times New Roman" w:hAnsi="Times New Roman" w:cs="Times New Roman"/>
        </w:rPr>
        <w:id w:val="-1909835108"/>
        <w:placeholder>
          <w:docPart w:val="{039f6908-de20-4a28-874b-4c8524d4d81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p>
          <w:pPr>
            <w:pStyle w:val="23"/>
            <w:ind w:firstLine="420"/>
            <w:rPr>
              <w:rFonts w:hint="default" w:ascii="Times New Roman" w:hAnsi="Times New Roman" w:cs="Times New Roman"/>
            </w:rPr>
          </w:pPr>
          <w:bookmarkStart w:id="21" w:name="_Toc26986532"/>
          <w:bookmarkEnd w:id="21"/>
          <w:r>
            <w:rPr>
              <w:rFonts w:hint="default" w:ascii="Times New Roman" w:hAnsi="Times New Roman" w:cs="Times New Roman"/>
            </w:rPr>
            <w:t>下列术语和定义适用于本文件。</w:t>
          </w:r>
        </w:p>
      </w:sdtContent>
    </w:sdt>
    <w:p>
      <w:pPr>
        <w:pStyle w:val="24"/>
        <w:spacing w:before="156" w:after="156"/>
        <w:rPr>
          <w:rFonts w:hint="default" w:ascii="Times New Roman" w:hAnsi="Times New Roman" w:cs="Times New Roman"/>
        </w:rPr>
      </w:pPr>
      <w:r>
        <w:rPr>
          <w:rFonts w:hint="default" w:ascii="Times New Roman" w:hAnsi="Times New Roman" w:cs="Times New Roman"/>
        </w:rPr>
        <w:t xml:space="preserve">芥蓝   </w:t>
      </w:r>
      <w:r>
        <w:rPr>
          <w:rFonts w:hint="eastAsia" w:ascii="Times New Roman" w:cs="Times New Roman"/>
          <w:lang w:val="en-US" w:eastAsia="zh-CN"/>
        </w:rPr>
        <w:t>C</w:t>
      </w:r>
      <w:r>
        <w:rPr>
          <w:rFonts w:hint="default" w:ascii="Times New Roman" w:hAnsi="Times New Roman" w:cs="Times New Roman"/>
        </w:rPr>
        <w:t>hinese kale</w:t>
      </w:r>
    </w:p>
    <w:p>
      <w:pPr>
        <w:pStyle w:val="23"/>
        <w:ind w:firstLine="420"/>
        <w:rPr>
          <w:rFonts w:hint="default" w:ascii="Times New Roman" w:hAnsi="Times New Roman" w:cs="Times New Roman"/>
        </w:rPr>
      </w:pPr>
      <w:r>
        <w:rPr>
          <w:rFonts w:hint="default" w:ascii="Times New Roman" w:hAnsi="Times New Roman" w:cs="Times New Roman"/>
        </w:rPr>
        <w:t>芥蓝又名芥菜</w:t>
      </w:r>
      <w:r>
        <w:rPr>
          <w:rFonts w:hint="default" w:ascii="Times New Roman" w:hAnsi="Times New Roman" w:cs="Times New Roman"/>
          <w:lang w:eastAsia="zh-CN"/>
        </w:rPr>
        <w:t>（</w:t>
      </w:r>
      <w:r>
        <w:rPr>
          <w:rFonts w:hint="default" w:ascii="Times New Roman" w:hAnsi="Times New Roman" w:cs="Times New Roman"/>
          <w:i/>
          <w:iCs/>
          <w:lang w:eastAsia="zh-CN"/>
        </w:rPr>
        <w:t>Brassica oleracea var. albiflora Kuntze</w:t>
      </w:r>
      <w:r>
        <w:rPr>
          <w:rFonts w:hint="default" w:ascii="Times New Roman" w:hAnsi="Times New Roman" w:cs="Times New Roman"/>
          <w:lang w:eastAsia="zh-CN"/>
        </w:rPr>
        <w:t>）</w:t>
      </w:r>
      <w:r>
        <w:rPr>
          <w:rFonts w:hint="default" w:ascii="Times New Roman" w:hAnsi="Times New Roman" w:cs="Times New Roman"/>
        </w:rPr>
        <w:t>，是</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"https://baike.baidu.com/item/%E5%8D%81%E5%AD%97%E8%8A%B1%E7%A7%91/282107?fromModule=lemma_inlink" \t "https://baike.baidu.com/item/%E8%8A%A5%E8%8F%9C/_blank" </w:instrText>
      </w:r>
      <w:r>
        <w:rPr>
          <w:rFonts w:hint="default" w:ascii="Times New Roman" w:hAnsi="Times New Roman" w:cs="Times New Roman"/>
        </w:rPr>
        <w:fldChar w:fldCharType="separate"/>
      </w:r>
      <w:r>
        <w:rPr>
          <w:rFonts w:hint="default" w:ascii="Times New Roman" w:hAnsi="Times New Roman" w:cs="Times New Roman"/>
        </w:rPr>
        <w:t>十字花科</w:t>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"https://baike.baidu.com/item/%E8%8A%B8%E8%8B%94%E5%B1%9E/6986987?fromModule=lemma_inlink" \t "https://baike.baidu.com/item/%E8%8A%A5%E8%8F%9C/_blank" </w:instrText>
      </w:r>
      <w:r>
        <w:rPr>
          <w:rFonts w:hint="default" w:ascii="Times New Roman" w:hAnsi="Times New Roman" w:cs="Times New Roman"/>
        </w:rPr>
        <w:fldChar w:fldCharType="separate"/>
      </w:r>
      <w:r>
        <w:rPr>
          <w:rFonts w:hint="default" w:ascii="Times New Roman" w:hAnsi="Times New Roman" w:cs="Times New Roman"/>
        </w:rPr>
        <w:t>芸苔属</w:t>
      </w:r>
      <w:r>
        <w:rPr>
          <w:rFonts w:hint="default" w:ascii="Times New Roman" w:hAnsi="Times New Roman" w:cs="Times New Roman"/>
        </w:rPr>
        <w:fldChar w:fldCharType="end"/>
      </w:r>
      <w:r>
        <w:rPr>
          <w:rFonts w:hint="default" w:ascii="Times New Roman" w:hAnsi="Times New Roman" w:cs="Times New Roman"/>
        </w:rPr>
        <w:t>一年生草本植物。</w:t>
      </w:r>
    </w:p>
    <w:p>
      <w:pPr>
        <w:pStyle w:val="24"/>
        <w:spacing w:before="156" w:after="156"/>
        <w:rPr>
          <w:rFonts w:hint="default" w:ascii="Times New Roman" w:hAnsi="Times New Roman" w:cs="Times New Roman"/>
        </w:rPr>
      </w:pPr>
      <w:bookmarkStart w:id="22" w:name="OLE_LINK15"/>
      <w:bookmarkStart w:id="23" w:name="OLE_LINK14"/>
      <w:r>
        <w:rPr>
          <w:rFonts w:hint="default" w:ascii="Times New Roman" w:hAnsi="Times New Roman" w:cs="Times New Roman"/>
        </w:rPr>
        <w:t>周年生产 Annual production</w:t>
      </w:r>
      <w:bookmarkEnd w:id="22"/>
      <w:bookmarkEnd w:id="23"/>
      <w:r>
        <w:rPr>
          <w:rFonts w:hint="default" w:ascii="Times New Roman" w:hAnsi="Times New Roman" w:cs="Times New Roman"/>
        </w:rPr>
        <w:t xml:space="preserve"> </w:t>
      </w:r>
    </w:p>
    <w:p>
      <w:pPr>
        <w:pStyle w:val="23"/>
        <w:ind w:firstLine="420"/>
        <w:rPr>
          <w:rFonts w:hint="default" w:ascii="Times New Roman" w:hAnsi="Times New Roman" w:cs="Times New Roman"/>
        </w:rPr>
      </w:pPr>
      <w:r>
        <w:rPr>
          <w:rFonts w:hint="default" w:ascii="Times New Roman" w:hAnsi="Times New Roman" w:cs="Times New Roman"/>
        </w:rPr>
        <w:t>根据茬口安排，四季种植，全年均衡供应的生产方式。</w:t>
      </w:r>
    </w:p>
    <w:p>
      <w:pPr>
        <w:pStyle w:val="22"/>
        <w:spacing w:before="312" w:after="312"/>
        <w:rPr>
          <w:rFonts w:hint="default" w:ascii="Times New Roman" w:hAnsi="Times New Roman" w:cs="Times New Roman"/>
        </w:rPr>
      </w:pPr>
      <w:r>
        <w:rPr>
          <w:rFonts w:hint="default" w:ascii="Times New Roman" w:hAnsi="Times New Roman" w:cs="Times New Roman"/>
        </w:rPr>
        <w:t>茬口安排</w:t>
      </w:r>
    </w:p>
    <w:p>
      <w:pPr>
        <w:pStyle w:val="23"/>
        <w:ind w:firstLine="420"/>
        <w:rPr>
          <w:rFonts w:hint="default" w:ascii="Times New Roman" w:hAnsi="Times New Roman" w:cs="Times New Roman"/>
        </w:rPr>
      </w:pPr>
      <w:r>
        <w:rPr>
          <w:rFonts w:hint="default" w:ascii="Times New Roman" w:hAnsi="Times New Roman" w:cs="Times New Roman"/>
        </w:rPr>
        <w:t>春夏季一茬生长期60 d左右，秋冬季一茬生长期70 d～80 d。根据条件全年可种植4茬～5茬。</w:t>
      </w:r>
      <w:r>
        <w:rPr>
          <w:rFonts w:hint="default" w:ascii="Times New Roman" w:hAnsi="Times New Roman" w:cs="Times New Roman"/>
          <w:lang w:val="en-US" w:eastAsia="zh-CN"/>
        </w:rPr>
        <w:t>合理安排</w:t>
      </w:r>
      <w:r>
        <w:rPr>
          <w:rFonts w:hint="default" w:ascii="Times New Roman" w:hAnsi="Times New Roman" w:cs="Times New Roman"/>
        </w:rPr>
        <w:t>错期播种，周年生产。</w:t>
      </w:r>
    </w:p>
    <w:p>
      <w:pPr>
        <w:pStyle w:val="22"/>
        <w:spacing w:before="312" w:after="312"/>
        <w:rPr>
          <w:rFonts w:hint="default" w:ascii="Times New Roman" w:hAnsi="Times New Roman" w:cs="Times New Roman"/>
        </w:rPr>
      </w:pPr>
      <w:r>
        <w:rPr>
          <w:rFonts w:hint="default" w:ascii="Times New Roman" w:hAnsi="Times New Roman" w:cs="Times New Roman"/>
        </w:rPr>
        <w:t>品种选择</w:t>
      </w:r>
      <w:r>
        <w:rPr>
          <w:rFonts w:hint="default" w:ascii="Times New Roman" w:hAnsi="Times New Roman" w:cs="Times New Roman"/>
        </w:rPr>
        <w:tab/>
      </w:r>
    </w:p>
    <w:p>
      <w:pPr>
        <w:pStyle w:val="23"/>
        <w:ind w:firstLine="420"/>
        <w:rPr>
          <w:rFonts w:hint="default" w:ascii="Times New Roman" w:hAnsi="Times New Roman" w:cs="Times New Roman"/>
        </w:rPr>
      </w:pPr>
      <w:r>
        <w:rPr>
          <w:rFonts w:hint="default" w:ascii="Times New Roman" w:hAnsi="Times New Roman" w:cs="Times New Roman"/>
        </w:rPr>
        <w:t>选用优质、高产、抗病、符合市场需求的季节专用芥蓝品种；春茬选用耐低温、耐抽薹品种，夏茬选用耐热、耐高湿品种，秋冬茬选用耐寒、耐抽薹和长势强品种。种子质量应符合GB 16715.2-2010的规定。</w:t>
      </w:r>
    </w:p>
    <w:p>
      <w:pPr>
        <w:pStyle w:val="22"/>
        <w:spacing w:before="312" w:after="312"/>
        <w:rPr>
          <w:rFonts w:hint="default" w:ascii="Times New Roman" w:hAnsi="Times New Roman" w:cs="Times New Roman"/>
        </w:rPr>
      </w:pPr>
      <w:r>
        <w:rPr>
          <w:rFonts w:hint="default" w:ascii="Times New Roman" w:hAnsi="Times New Roman" w:cs="Times New Roman"/>
        </w:rPr>
        <w:t>整地作畦</w:t>
      </w:r>
    </w:p>
    <w:p>
      <w:pPr>
        <w:pStyle w:val="23"/>
        <w:ind w:firstLine="420"/>
        <w:rPr>
          <w:rFonts w:hint="default" w:ascii="Times New Roman" w:hAnsi="Times New Roman" w:cs="Times New Roman"/>
        </w:rPr>
      </w:pPr>
      <w:bookmarkStart w:id="24" w:name="OLE_LINK2"/>
      <w:bookmarkStart w:id="25" w:name="OLE_LINK9"/>
      <w:bookmarkStart w:id="26" w:name="OLE_LINK1"/>
      <w:bookmarkStart w:id="27" w:name="OLE_LINK8"/>
      <w:r>
        <w:rPr>
          <w:rFonts w:hint="default" w:ascii="Times New Roman" w:hAnsi="Times New Roman" w:cs="Times New Roman"/>
        </w:rPr>
        <w:t>播种前5 d～10 d，清洁田园，低肥力及中等肥力土壤，每年撒施</w:t>
      </w:r>
      <w:r>
        <w:rPr>
          <w:rFonts w:hint="default" w:ascii="Times New Roman" w:hAnsi="Times New Roman" w:cs="Times New Roman"/>
          <w:szCs w:val="21"/>
        </w:rPr>
        <w:t>一次</w:t>
      </w:r>
      <w:r>
        <w:rPr>
          <w:rFonts w:hint="default" w:ascii="Times New Roman" w:hAnsi="Times New Roman" w:cs="Times New Roman"/>
        </w:rPr>
        <w:t>优质商品有机肥200</w:t>
      </w:r>
      <w:r>
        <w:rPr>
          <w:rFonts w:hint="eastAsia" w:ascii="Times New Roman" w:cs="Times New Roman"/>
          <w:lang w:val="en-US" w:eastAsia="zh-CN"/>
        </w:rPr>
        <w:t xml:space="preserve"> </w:t>
      </w:r>
      <w:r>
        <w:rPr>
          <w:rFonts w:hint="default" w:ascii="Times New Roman" w:hAnsi="Times New Roman" w:cs="Times New Roman"/>
        </w:rPr>
        <w:t>kg/667 m</w:t>
      </w:r>
      <w:r>
        <w:rPr>
          <w:rFonts w:hint="default" w:ascii="Times New Roman" w:hAnsi="Times New Roman" w:cs="Times New Roman"/>
          <w:vertAlign w:val="superscript"/>
        </w:rPr>
        <w:t>2</w:t>
      </w:r>
      <w:r>
        <w:rPr>
          <w:rFonts w:hint="default" w:ascii="Times New Roman" w:hAnsi="Times New Roman" w:cs="Times New Roman"/>
        </w:rPr>
        <w:t>～300 kg/667m</w:t>
      </w:r>
      <w:r>
        <w:rPr>
          <w:rFonts w:hint="default" w:ascii="Times New Roman" w:hAnsi="Times New Roman" w:cs="Times New Roman"/>
          <w:szCs w:val="21"/>
          <w:vertAlign w:val="superscript"/>
        </w:rPr>
        <w:t>2</w:t>
      </w:r>
      <w:r>
        <w:rPr>
          <w:rFonts w:hint="default" w:ascii="Times New Roman" w:hAnsi="Times New Roman" w:cs="Times New Roman"/>
        </w:rPr>
        <w:t>或腐熟农家肥</w:t>
      </w:r>
      <w:r>
        <w:rPr>
          <w:rFonts w:hint="default" w:ascii="Times New Roman" w:hAnsi="Times New Roman" w:cs="Times New Roman"/>
          <w:szCs w:val="21"/>
        </w:rPr>
        <w:t>1000 kg/667m</w:t>
      </w:r>
      <w:r>
        <w:rPr>
          <w:rFonts w:hint="default" w:ascii="Times New Roman" w:hAnsi="Times New Roman" w:cs="Times New Roman"/>
          <w:szCs w:val="21"/>
          <w:vertAlign w:val="superscript"/>
        </w:rPr>
        <w:t>2</w:t>
      </w:r>
      <w:r>
        <w:rPr>
          <w:rFonts w:hint="default" w:ascii="Times New Roman" w:hAnsi="Times New Roman" w:cs="Times New Roman"/>
        </w:rPr>
        <w:t>～</w:t>
      </w:r>
      <w:r>
        <w:rPr>
          <w:rFonts w:hint="default" w:ascii="Times New Roman" w:hAnsi="Times New Roman" w:cs="Times New Roman"/>
          <w:szCs w:val="21"/>
        </w:rPr>
        <w:t>1500 kg/667m</w:t>
      </w:r>
      <w:r>
        <w:rPr>
          <w:rFonts w:hint="default" w:ascii="Times New Roman" w:hAnsi="Times New Roman" w:cs="Times New Roman"/>
          <w:szCs w:val="21"/>
          <w:vertAlign w:val="superscript"/>
        </w:rPr>
        <w:t>2</w:t>
      </w:r>
      <w:r>
        <w:rPr>
          <w:rFonts w:hint="default" w:ascii="Times New Roman" w:hAnsi="Times New Roman" w:cs="Times New Roman"/>
          <w:szCs w:val="21"/>
        </w:rPr>
        <w:t>。每茬可用</w:t>
      </w:r>
      <w:r>
        <w:rPr>
          <w:rFonts w:hint="default" w:ascii="Times New Roman" w:hAnsi="Times New Roman" w:cs="Times New Roman"/>
        </w:rPr>
        <w:t>微生物菌肥20 kg/667m</w:t>
      </w:r>
      <w:r>
        <w:rPr>
          <w:rFonts w:hint="default" w:ascii="Times New Roman" w:hAnsi="Times New Roman" w:cs="Times New Roman"/>
          <w:vertAlign w:val="superscript"/>
        </w:rPr>
        <w:t>2</w:t>
      </w:r>
      <w:r>
        <w:rPr>
          <w:rFonts w:hint="default" w:ascii="Times New Roman" w:hAnsi="Times New Roman" w:cs="Times New Roman"/>
        </w:rPr>
        <w:t>～40 kg/667m</w:t>
      </w:r>
      <w:r>
        <w:rPr>
          <w:rFonts w:hint="default" w:ascii="Times New Roman" w:hAnsi="Times New Roman" w:cs="Times New Roman"/>
          <w:szCs w:val="21"/>
          <w:vertAlign w:val="superscript"/>
        </w:rPr>
        <w:t>2</w:t>
      </w:r>
      <w:r>
        <w:rPr>
          <w:rFonts w:hint="default" w:ascii="Times New Roman" w:hAnsi="Times New Roman" w:cs="Times New Roman"/>
          <w:szCs w:val="21"/>
        </w:rPr>
        <w:t>和</w:t>
      </w:r>
      <w:r>
        <w:rPr>
          <w:rFonts w:hint="default" w:ascii="Times New Roman" w:hAnsi="Times New Roman" w:cs="Times New Roman"/>
        </w:rPr>
        <w:t>三元素复合肥(15-15-15) 10 kg/667m</w:t>
      </w:r>
      <w:r>
        <w:rPr>
          <w:rFonts w:hint="default" w:ascii="Times New Roman" w:hAnsi="Times New Roman" w:cs="Times New Roman"/>
          <w:vertAlign w:val="superscript"/>
        </w:rPr>
        <w:t>2</w:t>
      </w:r>
      <w:r>
        <w:rPr>
          <w:rFonts w:hint="default" w:ascii="Times New Roman" w:hAnsi="Times New Roman" w:cs="Times New Roman"/>
        </w:rPr>
        <w:t>～15 kg/667m</w:t>
      </w:r>
      <w:r>
        <w:rPr>
          <w:rFonts w:hint="default" w:ascii="Times New Roman" w:hAnsi="Times New Roman" w:cs="Times New Roman"/>
          <w:szCs w:val="21"/>
          <w:vertAlign w:val="superscript"/>
        </w:rPr>
        <w:t>2</w:t>
      </w:r>
      <w:r>
        <w:rPr>
          <w:rFonts w:hint="default" w:ascii="Times New Roman" w:hAnsi="Times New Roman" w:cs="Times New Roman"/>
          <w:szCs w:val="21"/>
        </w:rPr>
        <w:t>配施</w:t>
      </w:r>
      <w:r>
        <w:rPr>
          <w:rFonts w:hint="default" w:ascii="Times New Roman" w:hAnsi="Times New Roman" w:cs="Times New Roman"/>
        </w:rPr>
        <w:t>作底肥。基肥要遵循“多施有机肥，少施化肥，有机肥要提前腐熟”的原则。肥料应符合NY/T 496-2010的规定。</w:t>
      </w:r>
      <w:bookmarkEnd w:id="24"/>
      <w:bookmarkEnd w:id="25"/>
      <w:bookmarkEnd w:id="26"/>
      <w:bookmarkEnd w:id="27"/>
      <w:r>
        <w:rPr>
          <w:rFonts w:hint="default" w:ascii="Times New Roman" w:hAnsi="Times New Roman" w:cs="Times New Roman"/>
        </w:rPr>
        <w:t>基肥撒施后，深翻20 cm～30 cm，整平耙细，确保排灌水通畅。做成宽2 m～2.5 m平畦，畦间用宽25 cm的浅垄隔开。</w:t>
      </w:r>
    </w:p>
    <w:p>
      <w:pPr>
        <w:pStyle w:val="22"/>
        <w:spacing w:before="312" w:after="312"/>
        <w:rPr>
          <w:rFonts w:hint="default" w:ascii="Times New Roman" w:hAnsi="Times New Roman" w:cs="Times New Roman"/>
        </w:rPr>
      </w:pPr>
      <w:r>
        <w:rPr>
          <w:rFonts w:hint="default" w:ascii="Times New Roman" w:hAnsi="Times New Roman" w:cs="Times New Roman"/>
        </w:rPr>
        <w:t>播种</w:t>
      </w:r>
    </w:p>
    <w:p>
      <w:pPr>
        <w:pStyle w:val="20"/>
        <w:ind w:firstLine="400"/>
        <w:rPr>
          <w:rFonts w:hint="default" w:ascii="Times New Roman" w:hAnsi="Times New Roman" w:cs="Times New Roman"/>
        </w:rPr>
      </w:pPr>
      <w:r>
        <w:rPr>
          <w:rFonts w:hint="default" w:ascii="Times New Roman" w:hAnsi="Times New Roman" w:eastAsia="宋体" w:cs="Times New Roman"/>
          <w:sz w:val="21"/>
          <w:szCs w:val="21"/>
        </w:rPr>
        <w:t>采用精量机械播种，播后覆盖0.5</w:t>
      </w:r>
      <w:r>
        <w:rPr>
          <w:rFonts w:hint="default" w:ascii="Times New Roman" w:hAnsi="Times New Roman" w:cs="Times New Roman"/>
          <w:sz w:val="21"/>
          <w:szCs w:val="21"/>
          <w:lang w:val="en-US" w:eastAsia="zh-CN"/>
        </w:rPr>
        <w:t xml:space="preserve"> cm</w:t>
      </w:r>
      <w:r>
        <w:rPr>
          <w:rFonts w:hint="default" w:ascii="Times New Roman" w:hAnsi="Times New Roman" w:eastAsia="宋体" w:cs="Times New Roman"/>
          <w:sz w:val="21"/>
          <w:szCs w:val="21"/>
        </w:rPr>
        <w:t>～1</w:t>
      </w:r>
      <w:r>
        <w:rPr>
          <w:rFonts w:hint="default" w:ascii="Times New Roman" w:hAnsi="Times New Roman" w:cs="Times New Roman"/>
          <w:sz w:val="21"/>
          <w:szCs w:val="21"/>
          <w:lang w:val="en-US" w:eastAsia="zh-CN"/>
        </w:rPr>
        <w:t xml:space="preserve"> cm</w:t>
      </w:r>
      <w:r>
        <w:rPr>
          <w:rFonts w:hint="default" w:ascii="Times New Roman" w:hAnsi="Times New Roman" w:eastAsia="宋体" w:cs="Times New Roman"/>
          <w:sz w:val="21"/>
          <w:szCs w:val="21"/>
        </w:rPr>
        <w:t>细土，浅耙镇压，浇透水。用种量为500 g/667m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～750 g/667m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p>
    <w:p>
      <w:pPr>
        <w:pStyle w:val="22"/>
        <w:spacing w:before="312" w:after="312"/>
        <w:rPr>
          <w:rFonts w:hint="default" w:ascii="Times New Roman" w:hAnsi="Times New Roman" w:cs="Times New Roman"/>
        </w:rPr>
      </w:pPr>
      <w:r>
        <w:rPr>
          <w:rFonts w:hint="default" w:ascii="Times New Roman" w:hAnsi="Times New Roman" w:cs="Times New Roman"/>
        </w:rPr>
        <w:t>田间管理</w:t>
      </w:r>
    </w:p>
    <w:p>
      <w:pPr>
        <w:pStyle w:val="24"/>
        <w:spacing w:before="156" w:after="156"/>
        <w:rPr>
          <w:rFonts w:hint="default" w:ascii="Times New Roman" w:hAnsi="Times New Roman" w:cs="Times New Roman"/>
        </w:rPr>
      </w:pPr>
      <w:r>
        <w:rPr>
          <w:rFonts w:hint="default" w:ascii="Times New Roman" w:hAnsi="Times New Roman" w:cs="Times New Roman"/>
        </w:rPr>
        <w:t>浇水</w:t>
      </w:r>
    </w:p>
    <w:p>
      <w:pPr>
        <w:pStyle w:val="23"/>
        <w:ind w:firstLine="420"/>
        <w:rPr>
          <w:rFonts w:hint="default" w:ascii="Times New Roman" w:hAnsi="Times New Roman" w:cs="Times New Roman"/>
        </w:rPr>
      </w:pPr>
      <w:r>
        <w:rPr>
          <w:rFonts w:hint="default" w:ascii="Times New Roman" w:hAnsi="Times New Roman" w:cs="Times New Roman"/>
        </w:rPr>
        <w:t>播种时浇透水，出苗后保持土壤湿润、见干见湿、忌过干过湿。夏秋季选早晚浇水；冬春季选晴天中午浇水，小水勤浇，切忌大水漫灌。采收前7 d～10 d 停止浇水。</w:t>
      </w:r>
    </w:p>
    <w:p>
      <w:pPr>
        <w:pStyle w:val="24"/>
        <w:spacing w:before="156" w:after="156"/>
        <w:rPr>
          <w:rFonts w:hint="default" w:ascii="Times New Roman" w:hAnsi="Times New Roman" w:cs="Times New Roman"/>
        </w:rPr>
      </w:pPr>
      <w:r>
        <w:rPr>
          <w:rFonts w:hint="default" w:ascii="Times New Roman" w:hAnsi="Times New Roman" w:cs="Times New Roman"/>
        </w:rPr>
        <w:t>追肥</w:t>
      </w:r>
    </w:p>
    <w:p>
      <w:pPr>
        <w:pStyle w:val="23"/>
        <w:ind w:firstLine="420"/>
        <w:rPr>
          <w:rFonts w:hint="default" w:ascii="Times New Roman" w:hAnsi="Times New Roman" w:cs="Times New Roman"/>
        </w:rPr>
      </w:pPr>
      <w:r>
        <w:rPr>
          <w:rFonts w:hint="default" w:ascii="Times New Roman" w:hAnsi="Times New Roman" w:cs="Times New Roman"/>
        </w:rPr>
        <w:t>追肥以氮肥、钙肥为主，辅助喷施0.3%～0.5%的磷酸二氢钾等叶面肥，肥料应符合NY/T 496</w:t>
      </w:r>
      <w:r>
        <w:rPr>
          <w:rFonts w:hint="eastAsia" w:ascii="Times New Roman" w:cs="Times New Roman"/>
          <w:lang w:val="en-US" w:eastAsia="zh-CN"/>
        </w:rPr>
        <w:t>-2010</w:t>
      </w:r>
      <w:bookmarkStart w:id="36" w:name="_GoBack"/>
      <w:bookmarkEnd w:id="36"/>
      <w:r>
        <w:rPr>
          <w:rFonts w:hint="default" w:ascii="Times New Roman" w:hAnsi="Times New Roman" w:cs="Times New Roman"/>
        </w:rPr>
        <w:t>的规定。出苗2周后，结合浇水追肥，每次施尿素10 kg/667m</w:t>
      </w:r>
      <w:r>
        <w:rPr>
          <w:rFonts w:hint="default" w:ascii="Times New Roman" w:hAnsi="Times New Roman" w:cs="Times New Roman"/>
          <w:vertAlign w:val="superscript"/>
        </w:rPr>
        <w:t>2</w:t>
      </w:r>
      <w:r>
        <w:rPr>
          <w:rFonts w:hint="default" w:ascii="Times New Roman" w:hAnsi="Times New Roman" w:cs="Times New Roman"/>
        </w:rPr>
        <w:t>～15 kg/667m</w:t>
      </w:r>
      <w:r>
        <w:rPr>
          <w:rFonts w:hint="default" w:ascii="Times New Roman" w:hAnsi="Times New Roman" w:cs="Times New Roman"/>
          <w:vertAlign w:val="superscript"/>
        </w:rPr>
        <w:t>2</w:t>
      </w:r>
      <w:r>
        <w:rPr>
          <w:rFonts w:hint="default" w:ascii="Times New Roman" w:hAnsi="Times New Roman" w:cs="Times New Roman"/>
        </w:rPr>
        <w:t>或追施水溶冲施肥10 kg/667m</w:t>
      </w:r>
      <w:r>
        <w:rPr>
          <w:rFonts w:hint="default" w:ascii="Times New Roman" w:hAnsi="Times New Roman" w:cs="Times New Roman"/>
          <w:vertAlign w:val="superscript"/>
        </w:rPr>
        <w:t>2</w:t>
      </w:r>
      <w:bookmarkStart w:id="28" w:name="OLE_LINK4"/>
      <w:bookmarkStart w:id="29" w:name="OLE_LINK5"/>
      <w:bookmarkStart w:id="30" w:name="OLE_LINK7"/>
      <w:bookmarkStart w:id="31" w:name="OLE_LINK6"/>
      <w:r>
        <w:rPr>
          <w:rFonts w:hint="default" w:ascii="Times New Roman" w:hAnsi="Times New Roman" w:cs="Times New Roman"/>
        </w:rPr>
        <w:t>～</w:t>
      </w:r>
      <w:bookmarkEnd w:id="28"/>
      <w:bookmarkEnd w:id="29"/>
      <w:bookmarkEnd w:id="30"/>
      <w:bookmarkEnd w:id="31"/>
      <w:r>
        <w:rPr>
          <w:rFonts w:hint="default" w:ascii="Times New Roman" w:hAnsi="Times New Roman" w:cs="Times New Roman"/>
        </w:rPr>
        <w:t>20 kg/667m</w:t>
      </w:r>
      <w:r>
        <w:rPr>
          <w:rFonts w:hint="default" w:ascii="Times New Roman" w:hAnsi="Times New Roman" w:cs="Times New Roman"/>
          <w:vertAlign w:val="superscript"/>
        </w:rPr>
        <w:t>2</w:t>
      </w:r>
      <w:r>
        <w:rPr>
          <w:rFonts w:hint="default" w:ascii="Times New Roman" w:hAnsi="Times New Roman" w:cs="Times New Roman"/>
        </w:rPr>
        <w:t>。冬春季每茬追肥2次，夏秋季每茬追肥1次。夏茬天气潮湿、闷热时，追肥不宜过多。</w:t>
      </w:r>
    </w:p>
    <w:p>
      <w:pPr>
        <w:pStyle w:val="24"/>
        <w:spacing w:before="156" w:after="156"/>
        <w:rPr>
          <w:rFonts w:hint="default" w:ascii="Times New Roman" w:hAnsi="Times New Roman" w:cs="Times New Roman"/>
        </w:rPr>
      </w:pPr>
      <w:r>
        <w:rPr>
          <w:rFonts w:hint="default" w:ascii="Times New Roman" w:hAnsi="Times New Roman" w:cs="Times New Roman"/>
        </w:rPr>
        <w:t>间苗除草</w:t>
      </w:r>
    </w:p>
    <w:p>
      <w:pPr>
        <w:pStyle w:val="23"/>
        <w:ind w:firstLine="420"/>
        <w:rPr>
          <w:rFonts w:hint="default" w:ascii="Times New Roman" w:hAnsi="Times New Roman" w:cs="Times New Roman"/>
        </w:rPr>
      </w:pPr>
      <w:r>
        <w:rPr>
          <w:rFonts w:hint="default" w:ascii="Times New Roman" w:hAnsi="Times New Roman" w:cs="Times New Roman"/>
        </w:rPr>
        <w:t>结合间苗拔除田间杂草。2片叶～3片叶时开始，间除过密丛生苗、弱苗，留苗株距15 cm～20 cm，行距20 cm～25 cm。保持田间和大棚</w:t>
      </w:r>
      <w:r>
        <w:rPr>
          <w:rFonts w:hint="eastAsia" w:ascii="Times New Roman" w:cs="Times New Roman"/>
          <w:lang w:val="en-US" w:eastAsia="zh-CN"/>
        </w:rPr>
        <w:t>的</w:t>
      </w:r>
      <w:r>
        <w:rPr>
          <w:rFonts w:hint="default" w:ascii="Times New Roman" w:hAnsi="Times New Roman" w:cs="Times New Roman"/>
        </w:rPr>
        <w:t>四周清洁</w:t>
      </w:r>
      <w:r>
        <w:rPr>
          <w:rFonts w:hint="eastAsia" w:ascii="Times New Roman" w:cs="Times New Roman"/>
          <w:lang w:eastAsia="zh-CN"/>
        </w:rPr>
        <w:t>，</w:t>
      </w:r>
      <w:r>
        <w:rPr>
          <w:rFonts w:hint="default" w:ascii="Times New Roman" w:hAnsi="Times New Roman" w:cs="Times New Roman"/>
        </w:rPr>
        <w:t>无杂草。</w:t>
      </w:r>
    </w:p>
    <w:p>
      <w:pPr>
        <w:pStyle w:val="24"/>
        <w:spacing w:before="156" w:after="156"/>
        <w:rPr>
          <w:rFonts w:hint="default" w:ascii="Times New Roman" w:hAnsi="Times New Roman" w:cs="Times New Roman"/>
        </w:rPr>
      </w:pPr>
      <w:r>
        <w:rPr>
          <w:rFonts w:hint="default" w:ascii="Times New Roman" w:hAnsi="Times New Roman" w:cs="Times New Roman"/>
        </w:rPr>
        <w:t>遮阳降温</w:t>
      </w:r>
    </w:p>
    <w:p>
      <w:pPr>
        <w:pStyle w:val="23"/>
        <w:ind w:firstLine="420"/>
        <w:rPr>
          <w:rFonts w:hint="default" w:ascii="Times New Roman" w:hAnsi="Times New Roman" w:cs="Times New Roman"/>
        </w:rPr>
      </w:pPr>
      <w:r>
        <w:rPr>
          <w:rFonts w:hint="default" w:ascii="Times New Roman" w:hAnsi="Times New Roman" w:cs="Times New Roman"/>
        </w:rPr>
        <w:t>7月～8月，播种后要及时搭建遮阳网，结合喷灌喷淋降温。齐苗后可根据温度逐渐揭去遮阳网。</w:t>
      </w:r>
    </w:p>
    <w:p>
      <w:pPr>
        <w:pStyle w:val="24"/>
        <w:spacing w:before="156" w:after="156"/>
        <w:rPr>
          <w:rFonts w:hint="default" w:ascii="Times New Roman" w:hAnsi="Times New Roman" w:cs="Times New Roman"/>
        </w:rPr>
      </w:pPr>
      <w:r>
        <w:rPr>
          <w:rFonts w:hint="default" w:ascii="Times New Roman" w:hAnsi="Times New Roman" w:cs="Times New Roman"/>
        </w:rPr>
        <w:t>覆膜保温</w:t>
      </w:r>
    </w:p>
    <w:p>
      <w:pPr>
        <w:pStyle w:val="23"/>
        <w:ind w:firstLine="420"/>
        <w:rPr>
          <w:rFonts w:hint="default" w:ascii="Times New Roman" w:hAnsi="Times New Roman" w:cs="Times New Roman"/>
        </w:rPr>
      </w:pPr>
      <w:r>
        <w:rPr>
          <w:rFonts w:hint="default" w:ascii="Times New Roman" w:hAnsi="Times New Roman" w:cs="Times New Roman"/>
        </w:rPr>
        <w:t>冬季气温降至零度以下时，露地栽培应用塑料薄膜覆盖保温。</w:t>
      </w:r>
    </w:p>
    <w:p>
      <w:pPr>
        <w:pStyle w:val="22"/>
        <w:spacing w:before="312" w:after="312"/>
        <w:rPr>
          <w:rFonts w:hint="default" w:ascii="Times New Roman" w:hAnsi="Times New Roman" w:cs="Times New Roman"/>
        </w:rPr>
      </w:pPr>
      <w:r>
        <w:rPr>
          <w:rFonts w:hint="default" w:ascii="Times New Roman" w:hAnsi="Times New Roman" w:cs="Times New Roman"/>
        </w:rPr>
        <w:t>病虫害防治</w:t>
      </w:r>
    </w:p>
    <w:p>
      <w:pPr>
        <w:pStyle w:val="24"/>
        <w:spacing w:before="156" w:after="156"/>
        <w:rPr>
          <w:rFonts w:hint="default" w:ascii="Times New Roman" w:hAnsi="Times New Roman" w:cs="Times New Roman"/>
        </w:rPr>
      </w:pPr>
      <w:r>
        <w:rPr>
          <w:rFonts w:hint="default" w:ascii="Times New Roman" w:hAnsi="Times New Roman" w:cs="Times New Roman"/>
        </w:rPr>
        <w:t xml:space="preserve">农业防治 </w:t>
      </w:r>
    </w:p>
    <w:p>
      <w:pPr>
        <w:pStyle w:val="23"/>
        <w:ind w:firstLine="420"/>
        <w:rPr>
          <w:rFonts w:hint="default" w:ascii="Times New Roman" w:hAnsi="Times New Roman" w:cs="Times New Roman"/>
        </w:rPr>
      </w:pPr>
      <w:r>
        <w:rPr>
          <w:rFonts w:hint="default" w:ascii="Times New Roman" w:hAnsi="Times New Roman" w:cs="Times New Roman"/>
        </w:rPr>
        <w:t>合理轮作，避免与十字花科作物连作；前茬收获后要彻底清洁田园；深翻土壤，增加腐熟有机肥的用量，合理减少化肥的用量；选用抗病虫、抗逆品种；合理密植和浇水施肥。</w:t>
      </w:r>
    </w:p>
    <w:p>
      <w:pPr>
        <w:pStyle w:val="24"/>
        <w:spacing w:before="156" w:after="156"/>
        <w:rPr>
          <w:rFonts w:hint="default" w:ascii="Times New Roman" w:hAnsi="Times New Roman" w:cs="Times New Roman"/>
        </w:rPr>
      </w:pPr>
      <w:r>
        <w:rPr>
          <w:rFonts w:hint="default" w:ascii="Times New Roman" w:hAnsi="Times New Roman" w:cs="Times New Roman"/>
        </w:rPr>
        <w:t>物理防治</w:t>
      </w:r>
    </w:p>
    <w:p>
      <w:pPr>
        <w:pStyle w:val="23"/>
        <w:ind w:firstLine="420"/>
        <w:rPr>
          <w:rFonts w:hint="default" w:ascii="Times New Roman" w:hAnsi="Times New Roman" w:cs="Times New Roman"/>
        </w:rPr>
      </w:pPr>
      <w:r>
        <w:rPr>
          <w:rFonts w:hint="default" w:ascii="Times New Roman" w:hAnsi="Times New Roman" w:cs="Times New Roman"/>
        </w:rPr>
        <w:t>采用40目～60目防虫网覆盖栽培，阻隔害虫；设置杀虫灯、性诱剂、色板等诱杀害虫，悬挂黄板加信息素诱杀蚜虫和黄曲条跳甲等；采用信息素光源诱捕器加性诱剂诱捕小菜蛾、斜纹夜蛾等鳞翅目害虫。</w:t>
      </w:r>
    </w:p>
    <w:p>
      <w:pPr>
        <w:pStyle w:val="24"/>
        <w:spacing w:before="156" w:after="156"/>
        <w:rPr>
          <w:rFonts w:hint="default" w:ascii="Times New Roman" w:hAnsi="Times New Roman" w:cs="Times New Roman"/>
        </w:rPr>
      </w:pPr>
      <w:r>
        <w:rPr>
          <w:rFonts w:hint="default" w:ascii="Times New Roman" w:hAnsi="Times New Roman" w:cs="Times New Roman"/>
        </w:rPr>
        <w:t>生物防治</w:t>
      </w:r>
    </w:p>
    <w:p>
      <w:pPr>
        <w:pStyle w:val="23"/>
        <w:ind w:firstLine="420"/>
        <w:rPr>
          <w:rFonts w:hint="default" w:ascii="Times New Roman" w:hAnsi="Times New Roman" w:cs="Times New Roman"/>
        </w:rPr>
      </w:pPr>
      <w:r>
        <w:rPr>
          <w:rFonts w:hint="default" w:ascii="Times New Roman" w:hAnsi="Times New Roman" w:cs="Times New Roman"/>
        </w:rPr>
        <w:t xml:space="preserve">病害如霜霉病、黑斑病等可选用6%阿泰灵1000倍～1500倍液、80%乙蒜素乳油1000倍～1500倍液喷雾。虫害如小菜蛾、菜青虫、黄曲条跳甲等可选用0.6%苦参碱500倍～1000倍液、0.3%印楝素1000倍～1500倍液。 </w:t>
      </w:r>
    </w:p>
    <w:p>
      <w:pPr>
        <w:pStyle w:val="24"/>
        <w:spacing w:before="156" w:after="156"/>
        <w:rPr>
          <w:rFonts w:hint="default" w:ascii="Times New Roman" w:hAnsi="Times New Roman" w:cs="Times New Roman"/>
        </w:rPr>
      </w:pPr>
      <w:r>
        <w:rPr>
          <w:rFonts w:hint="default" w:ascii="Times New Roman" w:hAnsi="Times New Roman" w:cs="Times New Roman"/>
        </w:rPr>
        <w:t>化学防治</w:t>
      </w:r>
    </w:p>
    <w:p>
      <w:pPr>
        <w:pStyle w:val="25"/>
        <w:spacing w:before="156" w:after="156"/>
        <w:rPr>
          <w:rFonts w:hint="default" w:ascii="Times New Roman" w:hAnsi="Times New Roman" w:cs="Times New Roman"/>
        </w:rPr>
      </w:pPr>
      <w:r>
        <w:rPr>
          <w:rFonts w:hint="default" w:ascii="Times New Roman" w:hAnsi="Times New Roman" w:cs="Times New Roman"/>
        </w:rPr>
        <w:t>防治要求</w:t>
      </w:r>
    </w:p>
    <w:p>
      <w:pPr>
        <w:pStyle w:val="23"/>
        <w:ind w:firstLine="420"/>
        <w:rPr>
          <w:rFonts w:hint="default" w:ascii="Times New Roman" w:hAnsi="Times New Roman" w:cs="Times New Roman"/>
        </w:rPr>
      </w:pPr>
      <w:bookmarkStart w:id="32" w:name="OLE_LINK18"/>
      <w:bookmarkStart w:id="33" w:name="OLE_LINK19"/>
      <w:r>
        <w:rPr>
          <w:rFonts w:hint="default" w:ascii="Times New Roman" w:hAnsi="Times New Roman" w:cs="Times New Roman"/>
        </w:rPr>
        <w:t>病虫害发病初期选用低毒、低残留的化学农药防治，严格执行GB/T 8321和NY/T 5363-2010的规定</w:t>
      </w:r>
      <w:bookmarkEnd w:id="32"/>
      <w:bookmarkEnd w:id="33"/>
      <w:r>
        <w:rPr>
          <w:rFonts w:hint="default" w:ascii="Times New Roman" w:hAnsi="Times New Roman" w:cs="Times New Roman"/>
        </w:rPr>
        <w:t xml:space="preserve">。 </w:t>
      </w:r>
    </w:p>
    <w:p>
      <w:pPr>
        <w:pStyle w:val="25"/>
        <w:spacing w:before="156" w:after="156"/>
        <w:rPr>
          <w:rFonts w:hint="default" w:ascii="Times New Roman" w:hAnsi="Times New Roman" w:cs="Times New Roman"/>
        </w:rPr>
      </w:pPr>
      <w:r>
        <w:rPr>
          <w:rFonts w:hint="default" w:ascii="Times New Roman" w:hAnsi="Times New Roman" w:cs="Times New Roman"/>
        </w:rPr>
        <w:t>病害</w:t>
      </w:r>
    </w:p>
    <w:p>
      <w:pPr>
        <w:pStyle w:val="23"/>
        <w:ind w:firstLine="420"/>
        <w:rPr>
          <w:rFonts w:hint="default" w:ascii="Times New Roman" w:hAnsi="Times New Roman" w:cs="Times New Roman"/>
        </w:rPr>
      </w:pPr>
      <w:r>
        <w:rPr>
          <w:rFonts w:hint="default" w:ascii="Times New Roman" w:hAnsi="Times New Roman" w:cs="Times New Roman"/>
        </w:rPr>
        <w:t>病害有黑斑病，病毒病，霜霉病等，可选用50%氯溴异氰尿酸可溶性粉剂20 g/667m</w:t>
      </w:r>
      <w:r>
        <w:rPr>
          <w:rFonts w:hint="default" w:ascii="Times New Roman" w:hAnsi="Times New Roman" w:cs="Times New Roman"/>
          <w:vertAlign w:val="superscript"/>
        </w:rPr>
        <w:t>2</w:t>
      </w:r>
      <w:r>
        <w:rPr>
          <w:rFonts w:hint="default" w:ascii="Times New Roman" w:hAnsi="Times New Roman" w:cs="Times New Roman"/>
        </w:rPr>
        <w:t>～40 g/667m</w:t>
      </w:r>
      <w:r>
        <w:rPr>
          <w:rFonts w:hint="default" w:ascii="Times New Roman" w:hAnsi="Times New Roman" w:cs="Times New Roman"/>
          <w:vertAlign w:val="superscript"/>
        </w:rPr>
        <w:t>2</w:t>
      </w:r>
      <w:r>
        <w:rPr>
          <w:rFonts w:hint="default" w:ascii="Times New Roman" w:hAnsi="Times New Roman" w:cs="Times New Roman"/>
        </w:rPr>
        <w:t xml:space="preserve"> 或者1000倍～1500倍液喷雾、吡唑醚菌酯可溶性粉剂10 g/667m</w:t>
      </w:r>
      <w:r>
        <w:rPr>
          <w:rFonts w:hint="default" w:ascii="Times New Roman" w:hAnsi="Times New Roman" w:cs="Times New Roman"/>
          <w:vertAlign w:val="superscript"/>
        </w:rPr>
        <w:t>2</w:t>
      </w:r>
      <w:r>
        <w:rPr>
          <w:rFonts w:hint="default" w:ascii="Times New Roman" w:hAnsi="Times New Roman" w:cs="Times New Roman"/>
        </w:rPr>
        <w:t>～15 g/667m</w:t>
      </w:r>
      <w:r>
        <w:rPr>
          <w:rFonts w:hint="default" w:ascii="Times New Roman" w:hAnsi="Times New Roman" w:cs="Times New Roman"/>
          <w:vertAlign w:val="superscript"/>
        </w:rPr>
        <w:t>2</w:t>
      </w:r>
      <w:r>
        <w:rPr>
          <w:rFonts w:hint="default" w:ascii="Times New Roman" w:hAnsi="Times New Roman" w:cs="Times New Roman"/>
        </w:rPr>
        <w:t xml:space="preserve"> 或者1000倍～1500倍液喷雾、10%苯醚甲环唑水分散颗粒剂30 g/667m</w:t>
      </w:r>
      <w:r>
        <w:rPr>
          <w:rFonts w:hint="default" w:ascii="Times New Roman" w:hAnsi="Times New Roman" w:cs="Times New Roman"/>
          <w:vertAlign w:val="superscript"/>
        </w:rPr>
        <w:t>2</w:t>
      </w:r>
      <w:r>
        <w:rPr>
          <w:rFonts w:hint="default" w:ascii="Times New Roman" w:hAnsi="Times New Roman" w:cs="Times New Roman"/>
        </w:rPr>
        <w:t>～40 g/667m</w:t>
      </w:r>
      <w:r>
        <w:rPr>
          <w:rFonts w:hint="default" w:ascii="Times New Roman" w:hAnsi="Times New Roman" w:cs="Times New Roman"/>
          <w:vertAlign w:val="superscript"/>
        </w:rPr>
        <w:t>2</w:t>
      </w:r>
      <w:r>
        <w:rPr>
          <w:rFonts w:hint="default" w:ascii="Times New Roman" w:hAnsi="Times New Roman" w:cs="Times New Roman"/>
        </w:rPr>
        <w:t>或者800倍～1000倍液喷雾等。常用农药种类及用法用量见附录A.1。</w:t>
      </w:r>
    </w:p>
    <w:p>
      <w:pPr>
        <w:pStyle w:val="25"/>
        <w:spacing w:before="156" w:after="156"/>
        <w:rPr>
          <w:rFonts w:hint="default" w:ascii="Times New Roman" w:hAnsi="Times New Roman" w:cs="Times New Roman"/>
        </w:rPr>
      </w:pPr>
      <w:r>
        <w:rPr>
          <w:rFonts w:hint="default" w:ascii="Times New Roman" w:hAnsi="Times New Roman" w:cs="Times New Roman"/>
        </w:rPr>
        <w:t>虫害</w:t>
      </w:r>
    </w:p>
    <w:p>
      <w:pPr>
        <w:pStyle w:val="23"/>
        <w:ind w:firstLine="420"/>
        <w:rPr>
          <w:rFonts w:hint="default" w:ascii="Times New Roman" w:hAnsi="Times New Roman" w:cs="Times New Roman"/>
        </w:rPr>
      </w:pPr>
      <w:r>
        <w:rPr>
          <w:rFonts w:hint="default" w:ascii="Times New Roman" w:hAnsi="Times New Roman" w:cs="Times New Roman"/>
        </w:rPr>
        <w:t>害虫有小菜蛾、菜青虫、蚜虫、黄曲条跳甲、蜗牛等，可选用下列一种或几种广谱性药剂复配喷雾防治：25%噻虫嗪水分散粒剂10 g/667m</w:t>
      </w:r>
      <w:r>
        <w:rPr>
          <w:rFonts w:hint="default" w:ascii="Times New Roman" w:hAnsi="Times New Roman" w:cs="Times New Roman"/>
          <w:vertAlign w:val="superscript"/>
        </w:rPr>
        <w:t>2</w:t>
      </w:r>
      <w:r>
        <w:rPr>
          <w:rFonts w:hint="default" w:ascii="Times New Roman" w:hAnsi="Times New Roman" w:cs="Times New Roman"/>
        </w:rPr>
        <w:t>～20 g/667m</w:t>
      </w:r>
      <w:r>
        <w:rPr>
          <w:rFonts w:hint="default" w:ascii="Times New Roman" w:hAnsi="Times New Roman" w:cs="Times New Roman"/>
          <w:vertAlign w:val="superscript"/>
        </w:rPr>
        <w:t>2</w:t>
      </w:r>
      <w:r>
        <w:rPr>
          <w:rFonts w:hint="default" w:ascii="Times New Roman" w:hAnsi="Times New Roman" w:cs="Times New Roman"/>
        </w:rPr>
        <w:t>或浓度为2500倍～5000倍液；2.5%高效氯氟氰菊酯乳油40 mL/667m</w:t>
      </w:r>
      <w:r>
        <w:rPr>
          <w:rFonts w:hint="default" w:ascii="Times New Roman" w:hAnsi="Times New Roman" w:cs="Times New Roman"/>
          <w:vertAlign w:val="superscript"/>
        </w:rPr>
        <w:t>2</w:t>
      </w:r>
      <w:r>
        <w:rPr>
          <w:rFonts w:hint="default" w:ascii="Times New Roman" w:hAnsi="Times New Roman" w:cs="Times New Roman"/>
        </w:rPr>
        <w:t>～60 mL/667m</w:t>
      </w:r>
      <w:r>
        <w:rPr>
          <w:rFonts w:hint="default" w:ascii="Times New Roman" w:hAnsi="Times New Roman" w:cs="Times New Roman"/>
          <w:vertAlign w:val="superscript"/>
        </w:rPr>
        <w:t>2</w:t>
      </w:r>
      <w:r>
        <w:rPr>
          <w:rFonts w:hint="default" w:ascii="Times New Roman" w:hAnsi="Times New Roman" w:cs="Times New Roman"/>
        </w:rPr>
        <w:t xml:space="preserve"> 或浓度为1000倍～2000倍液；22.4%螺虫乙酯水分散粒剂10 g/667m</w:t>
      </w:r>
      <w:r>
        <w:rPr>
          <w:rFonts w:hint="default" w:ascii="Times New Roman" w:hAnsi="Times New Roman" w:cs="Times New Roman"/>
          <w:vertAlign w:val="superscript"/>
        </w:rPr>
        <w:t>2</w:t>
      </w:r>
      <w:r>
        <w:rPr>
          <w:rFonts w:hint="default" w:ascii="Times New Roman" w:hAnsi="Times New Roman" w:cs="Times New Roman"/>
        </w:rPr>
        <w:t>～20 g/667m</w:t>
      </w:r>
      <w:r>
        <w:rPr>
          <w:rFonts w:hint="default" w:ascii="Times New Roman" w:hAnsi="Times New Roman" w:cs="Times New Roman"/>
          <w:vertAlign w:val="superscript"/>
        </w:rPr>
        <w:t>2</w:t>
      </w:r>
      <w:r>
        <w:rPr>
          <w:rFonts w:hint="default" w:ascii="Times New Roman" w:hAnsi="Times New Roman" w:cs="Times New Roman"/>
        </w:rPr>
        <w:t>或浓度为2500倍～5000倍液；可用5%的啶虫脒乳油与10.5%阿维哒螨灵水乳剂1500倍～2000倍液复配。常用农药种类及用法用量见附录A.2。</w:t>
      </w:r>
    </w:p>
    <w:p>
      <w:pPr>
        <w:pStyle w:val="22"/>
        <w:spacing w:before="312" w:after="312"/>
        <w:rPr>
          <w:rFonts w:hint="default" w:ascii="Times New Roman" w:hAnsi="Times New Roman" w:cs="Times New Roman"/>
        </w:rPr>
      </w:pPr>
      <w:r>
        <w:rPr>
          <w:rFonts w:hint="default" w:ascii="Times New Roman" w:hAnsi="Times New Roman" w:cs="Times New Roman"/>
        </w:rPr>
        <w:t>采收</w:t>
      </w:r>
    </w:p>
    <w:p>
      <w:pPr>
        <w:pStyle w:val="24"/>
        <w:spacing w:before="156" w:after="156"/>
        <w:rPr>
          <w:rFonts w:hint="default" w:ascii="Times New Roman" w:hAnsi="Times New Roman" w:cs="Times New Roman"/>
        </w:rPr>
      </w:pPr>
      <w:r>
        <w:rPr>
          <w:rFonts w:hint="default" w:ascii="Times New Roman" w:hAnsi="Times New Roman" w:cs="Times New Roman"/>
        </w:rPr>
        <w:t>采收时间</w:t>
      </w:r>
    </w:p>
    <w:p>
      <w:pPr>
        <w:pStyle w:val="23"/>
        <w:ind w:firstLine="420"/>
        <w:rPr>
          <w:rFonts w:hint="default" w:ascii="Times New Roman" w:hAnsi="Times New Roman" w:cs="Times New Roman"/>
        </w:rPr>
      </w:pPr>
      <w:r>
        <w:rPr>
          <w:rFonts w:hint="default" w:ascii="Times New Roman" w:hAnsi="Times New Roman" w:cs="Times New Roman"/>
        </w:rPr>
        <w:t>植株菜薹和叶片顶端接近时采收最佳，采摘高度一般在15～25</w:t>
      </w:r>
      <w:r>
        <w:rPr>
          <w:rFonts w:hint="default" w:ascii="Times New Roman" w:hAnsi="Times New Roman" w:cs="Times New Roman"/>
          <w:lang w:val="en-US" w:eastAsia="zh-CN"/>
        </w:rPr>
        <w:t xml:space="preserve"> </w:t>
      </w:r>
      <w:r>
        <w:rPr>
          <w:rFonts w:hint="default" w:ascii="Times New Roman" w:hAnsi="Times New Roman" w:cs="Times New Roman"/>
        </w:rPr>
        <w:t>cm左右，适宜在清晨采收。主薹采收后20 d左右采收第1批侧薹，以后10 d～15 d采收1次侧薹。</w:t>
      </w:r>
    </w:p>
    <w:p>
      <w:pPr>
        <w:pStyle w:val="24"/>
        <w:spacing w:before="156" w:after="156"/>
        <w:rPr>
          <w:rFonts w:hint="default" w:ascii="Times New Roman" w:hAnsi="Times New Roman" w:cs="Times New Roman"/>
        </w:rPr>
      </w:pPr>
      <w:r>
        <w:rPr>
          <w:rFonts w:hint="default" w:ascii="Times New Roman" w:hAnsi="Times New Roman" w:cs="Times New Roman"/>
        </w:rPr>
        <w:t>采后处理</w:t>
      </w:r>
    </w:p>
    <w:p>
      <w:pPr>
        <w:pStyle w:val="20"/>
        <w:ind w:firstLine="400"/>
        <w:rPr>
          <w:rFonts w:hint="default" w:ascii="Times New Roman" w:hAnsi="Times New Roman" w:cs="Times New Roman"/>
        </w:rPr>
      </w:pPr>
      <w:r>
        <w:rPr>
          <w:rFonts w:hint="default" w:ascii="Times New Roman" w:hAnsi="Times New Roman" w:cs="Times New Roman"/>
          <w:sz w:val="21"/>
          <w:szCs w:val="21"/>
        </w:rPr>
        <w:t>采收后及时清除老叶、泥土和杂质。芥蓝属于不耐贮藏鲜菜，采收后需鲜货上市。远途运输需将菜薹置于1～3 ℃的恒温室内，空气相对湿度保持95 %以上，预冷24 h后，用内有泡沫塑料隔温层的专用纸箱包装运输。</w:t>
      </w:r>
    </w:p>
    <w:p>
      <w:pPr>
        <w:pStyle w:val="22"/>
        <w:spacing w:before="312" w:after="312"/>
        <w:rPr>
          <w:rFonts w:hint="default" w:ascii="Times New Roman" w:hAnsi="Times New Roman" w:cs="Times New Roman"/>
        </w:rPr>
      </w:pPr>
      <w:r>
        <w:rPr>
          <w:rFonts w:hint="default" w:ascii="Times New Roman" w:hAnsi="Times New Roman" w:cs="Times New Roman"/>
        </w:rPr>
        <w:t>生产档案</w:t>
      </w:r>
    </w:p>
    <w:p>
      <w:pPr>
        <w:pStyle w:val="23"/>
        <w:ind w:firstLine="420"/>
        <w:rPr>
          <w:rFonts w:hint="default" w:ascii="Times New Roman" w:hAnsi="Times New Roman" w:cs="Times New Roman"/>
        </w:rPr>
      </w:pPr>
      <w:r>
        <w:rPr>
          <w:rFonts w:hint="default" w:ascii="Times New Roman" w:hAnsi="Times New Roman" w:cs="Times New Roman"/>
        </w:rPr>
        <w:t>建立农产品生产记录档案，如实记载使用农业投入品的名称、来源、用法、用量和使用、停用的日期；病虫草害的发生和防治情况；收获日期。农产品生产记录档案应当保存两年。</w:t>
      </w:r>
    </w:p>
    <w:p>
      <w:pPr>
        <w:pStyle w:val="23"/>
        <w:ind w:firstLine="420"/>
        <w:rPr>
          <w:rFonts w:hint="default" w:ascii="Times New Roman" w:hAnsi="Times New Roman" w:cs="Times New Roman"/>
        </w:rPr>
        <w:sectPr>
          <w:footerReference r:id="rId6" w:type="default"/>
          <w:headerReference r:id="rId5" w:type="even"/>
          <w:footerReference r:id="rId7" w:type="even"/>
          <w:pgSz w:w="11906" w:h="16838"/>
          <w:pgMar w:top="2410" w:right="1134" w:bottom="1134" w:left="1134" w:header="1418" w:footer="1134" w:gutter="284"/>
          <w:pgNumType w:start="1"/>
          <w:cols w:space="425" w:num="1"/>
          <w:formProt w:val="0"/>
          <w:docGrid w:type="lines" w:linePitch="312" w:charSpace="0"/>
        </w:sectPr>
      </w:pPr>
    </w:p>
    <w:p>
      <w:pPr>
        <w:pStyle w:val="26"/>
        <w:rPr>
          <w:rFonts w:hint="default" w:ascii="Times New Roman" w:hAnsi="Times New Roman" w:cs="Times New Roman"/>
          <w:vanish w:val="0"/>
        </w:rPr>
      </w:pPr>
      <w:bookmarkStart w:id="34" w:name="BookMark5"/>
    </w:p>
    <w:p>
      <w:pPr>
        <w:pStyle w:val="27"/>
        <w:rPr>
          <w:rFonts w:hint="default" w:ascii="Times New Roman" w:hAnsi="Times New Roman" w:cs="Times New Roman"/>
          <w:vanish w:val="0"/>
        </w:rPr>
      </w:pPr>
    </w:p>
    <w:p>
      <w:pPr>
        <w:pStyle w:val="28"/>
        <w:spacing w:before="78" w:after="156"/>
        <w:rPr>
          <w:rFonts w:hint="default" w:ascii="Times New Roman" w:hAnsi="Times New Roman" w:cs="Times New Roman"/>
        </w:rPr>
      </w:pPr>
    </w:p>
    <w:p>
      <w:pPr>
        <w:pStyle w:val="28"/>
        <w:spacing w:before="78" w:after="156"/>
        <w:rPr>
          <w:rFonts w:hint="default" w:ascii="Times New Roman" w:hAnsi="Times New Roman" w:cs="Times New Roman"/>
        </w:rPr>
      </w:pPr>
      <w:r>
        <w:rPr>
          <w:rFonts w:hint="default" w:ascii="Times New Roman" w:hAnsi="Times New Roman" w:cs="Times New Roman"/>
        </w:rPr>
        <w:t>（资料性）</w:t>
      </w:r>
    </w:p>
    <w:p>
      <w:pPr>
        <w:pStyle w:val="28"/>
        <w:spacing w:before="78" w:after="156"/>
        <w:rPr>
          <w:rFonts w:hint="default" w:ascii="Times New Roman" w:hAnsi="Times New Roman" w:cs="Times New Roman"/>
        </w:rPr>
      </w:pPr>
      <w:r>
        <w:rPr>
          <w:rFonts w:hint="default" w:ascii="Times New Roman" w:hAnsi="Times New Roman" w:cs="Times New Roman"/>
        </w:rPr>
        <w:t>芥蓝主要病虫害常用药剂及用法</w:t>
      </w:r>
    </w:p>
    <w:p>
      <w:pPr>
        <w:pStyle w:val="29"/>
        <w:spacing w:before="156" w:after="156"/>
        <w:rPr>
          <w:rFonts w:hint="default" w:ascii="Times New Roman" w:hAnsi="Times New Roman" w:cs="Times New Roman"/>
        </w:rPr>
      </w:pPr>
      <w:r>
        <w:rPr>
          <w:rFonts w:hint="default" w:ascii="Times New Roman" w:hAnsi="Times New Roman" w:cs="Times New Roman"/>
        </w:rPr>
        <w:t>芥蓝主要病虫害常用药剂及用法</w:t>
      </w:r>
    </w:p>
    <w:p>
      <w:pPr>
        <w:pStyle w:val="23"/>
        <w:ind w:firstLine="420"/>
        <w:rPr>
          <w:rFonts w:hint="default" w:ascii="Times New Roman" w:hAnsi="Times New Roman" w:cs="Times New Roman"/>
        </w:rPr>
      </w:pPr>
      <w:r>
        <w:rPr>
          <w:rFonts w:hint="default" w:ascii="Times New Roman" w:hAnsi="Times New Roman" w:cs="Times New Roman"/>
        </w:rPr>
        <w:t>芥蓝主要病害常用药剂及用法参照表 A.1执行。</w:t>
      </w:r>
    </w:p>
    <w:p>
      <w:pPr>
        <w:pStyle w:val="30"/>
        <w:spacing w:before="156" w:after="156"/>
        <w:rPr>
          <w:rFonts w:hint="default" w:ascii="Times New Roman" w:hAnsi="Times New Roman" w:cs="Times New Roman"/>
        </w:rPr>
      </w:pPr>
      <w:r>
        <w:rPr>
          <w:rFonts w:hint="default" w:ascii="Times New Roman" w:hAnsi="Times New Roman" w:cs="Times New Roman"/>
        </w:rPr>
        <w:t>主要病害防治常用药剂及用法</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11"/>
        <w:gridCol w:w="1418"/>
        <w:gridCol w:w="1134"/>
        <w:gridCol w:w="992"/>
        <w:gridCol w:w="1985"/>
        <w:gridCol w:w="1413"/>
        <w:gridCol w:w="12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病害名称</w:t>
            </w: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药剂名称</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含量</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剂型</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用法</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用量</w:t>
            </w:r>
          </w:p>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/667 m</w:t>
            </w:r>
            <w:r>
              <w:rPr>
                <w:rFonts w:hint="default" w:ascii="Times New Roman" w:hAnsi="Times New Roman" w:cs="Times New Roman"/>
                <w:sz w:val="18"/>
                <w:szCs w:val="18"/>
                <w:vertAlign w:val="superscript"/>
              </w:rPr>
              <w:t>2</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安全间隔期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restart"/>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霜霉病</w:t>
            </w: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氯菌霜霉威</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687.5 g/L</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悬浮剂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800倍～1000倍液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60 mL～75 mL</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continue"/>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精甲霜猛锌</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68%</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水分散剂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600倍～800倍液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 g～130 g</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 d～7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continue"/>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噁酮霜脲氰</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52.5%</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水分散剂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 g～40 g</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continue"/>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霜霉威盐酸盐</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722 g/L</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800倍～1000倍液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60 mL</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continue"/>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氯溴异氰尿酸</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水分散剂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 g～40 g</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restart"/>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黑斑病</w:t>
            </w: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氟菌肟菌脂</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43%</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悬浮剂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800倍～1000倍液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15 mL～30 mL</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d～5d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continue"/>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氟硅唑</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水乳剂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6000倍～8000倍液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40 g～50 g</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continue"/>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氯溴异氰尿酸</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水分散剂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1000倍～1500倍喷</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 g～40 g</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restart"/>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黑腐病</w:t>
            </w: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氟菌肟菌脂</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43%</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悬浮剂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2000倍～3000倍液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15 mL～30 mL</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d～5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continue"/>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氢氧化铜</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46%</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水分散剂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1000倍～3000倍液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25 g～45 g</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 d～10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continue"/>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氟硅唑</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水乳剂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6000倍～8000倍液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40 g～50 g</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continue"/>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喹啉酮</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33.5%</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悬浮剂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34 mL～38 mL</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continue"/>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春雷霉素</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500倍～1000倍液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150 mL</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restart"/>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病毒病</w:t>
            </w: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氯溴异氰尿酸</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水分散剂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30 g～40 g</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continue"/>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盐酸西丁寡糖</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6.56%</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45 mL</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 d～10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11" w:type="dxa"/>
            <w:vMerge w:val="continue"/>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p>
        </w:tc>
        <w:tc>
          <w:tcPr>
            <w:tcW w:w="141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氨基寡糖素</w:t>
            </w:r>
          </w:p>
        </w:tc>
        <w:tc>
          <w:tcPr>
            <w:tcW w:w="1134"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水剂</w:t>
            </w:r>
          </w:p>
        </w:tc>
        <w:tc>
          <w:tcPr>
            <w:tcW w:w="1985"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1000倍～1500倍液</w:t>
            </w:r>
          </w:p>
        </w:tc>
        <w:tc>
          <w:tcPr>
            <w:tcW w:w="1413"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64 mL～107 mL</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 d～7 d</w:t>
            </w:r>
          </w:p>
        </w:tc>
      </w:tr>
    </w:tbl>
    <w:p>
      <w:pPr>
        <w:pStyle w:val="29"/>
        <w:spacing w:before="156" w:after="156"/>
        <w:rPr>
          <w:rFonts w:hint="default" w:ascii="Times New Roman" w:hAnsi="Times New Roman" w:cs="Times New Roman"/>
        </w:rPr>
      </w:pPr>
      <w:r>
        <w:rPr>
          <w:rFonts w:hint="default" w:ascii="Times New Roman" w:hAnsi="Times New Roman" w:cs="Times New Roman"/>
        </w:rPr>
        <w:t>芥蓝主要虫害常用药剂及用法</w:t>
      </w:r>
    </w:p>
    <w:p>
      <w:pPr>
        <w:pStyle w:val="23"/>
        <w:ind w:firstLine="420"/>
        <w:rPr>
          <w:rFonts w:hint="default" w:ascii="Times New Roman" w:hAnsi="Times New Roman" w:cs="Times New Roman"/>
        </w:rPr>
      </w:pPr>
      <w:r>
        <w:rPr>
          <w:rFonts w:hint="default" w:ascii="Times New Roman" w:hAnsi="Times New Roman" w:cs="Times New Roman"/>
        </w:rPr>
        <w:t>芥蓝主要虫害常用药剂及用法参照表 A.2执行。</w:t>
      </w:r>
    </w:p>
    <w:p>
      <w:pPr>
        <w:pStyle w:val="30"/>
        <w:spacing w:before="156" w:after="156"/>
        <w:rPr>
          <w:rFonts w:hint="default" w:ascii="Times New Roman" w:hAnsi="Times New Roman" w:cs="Times New Roman"/>
        </w:rPr>
      </w:pPr>
      <w:r>
        <w:rPr>
          <w:rFonts w:hint="default" w:ascii="Times New Roman" w:hAnsi="Times New Roman" w:cs="Times New Roman"/>
        </w:rPr>
        <w:t>芥蓝主要虫害防治常用药剂及用法</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986"/>
        <w:gridCol w:w="1695"/>
        <w:gridCol w:w="853"/>
        <w:gridCol w:w="992"/>
        <w:gridCol w:w="1972"/>
        <w:gridCol w:w="1568"/>
        <w:gridCol w:w="113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86"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害虫名称</w:t>
            </w:r>
          </w:p>
        </w:tc>
        <w:tc>
          <w:tcPr>
            <w:tcW w:w="1695"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药剂名称</w:t>
            </w:r>
          </w:p>
        </w:tc>
        <w:tc>
          <w:tcPr>
            <w:tcW w:w="853"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含量</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剂型</w:t>
            </w:r>
          </w:p>
        </w:tc>
        <w:tc>
          <w:tcPr>
            <w:tcW w:w="1972"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用法</w:t>
            </w:r>
          </w:p>
        </w:tc>
        <w:tc>
          <w:tcPr>
            <w:tcW w:w="1568"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用量</w:t>
            </w:r>
          </w:p>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/667 m</w:t>
            </w:r>
            <w:r>
              <w:rPr>
                <w:rFonts w:hint="default" w:ascii="Times New Roman" w:hAnsi="Times New Roman" w:cs="Times New Roman"/>
                <w:bCs/>
                <w:sz w:val="18"/>
                <w:szCs w:val="18"/>
                <w:vertAlign w:val="superscript"/>
              </w:rPr>
              <w:t>2</w:t>
            </w:r>
          </w:p>
        </w:tc>
        <w:tc>
          <w:tcPr>
            <w:tcW w:w="1138"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安全间隔期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86" w:type="dxa"/>
            <w:vMerge w:val="restart"/>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蚜虫</w:t>
            </w:r>
          </w:p>
        </w:tc>
        <w:tc>
          <w:tcPr>
            <w:tcW w:w="16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高效氯氟氰菊酯</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2.5%</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乳油</w:t>
            </w:r>
          </w:p>
        </w:tc>
        <w:tc>
          <w:tcPr>
            <w:tcW w:w="197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1000倍</w:t>
            </w:r>
            <w:r>
              <w:rPr>
                <w:rFonts w:hint="default" w:ascii="Times New Roman" w:hAnsi="Times New Roman" w:cs="Times New Roman"/>
                <w:sz w:val="18"/>
                <w:szCs w:val="18"/>
              </w:rPr>
              <w:t>～</w:t>
            </w:r>
            <w:r>
              <w:rPr>
                <w:rFonts w:hint="default" w:ascii="Times New Roman" w:hAnsi="Times New Roman" w:cs="Times New Roman"/>
                <w:bCs/>
                <w:sz w:val="18"/>
                <w:szCs w:val="18"/>
              </w:rPr>
              <w:t>2000倍液</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40</w:t>
            </w:r>
            <w:r>
              <w:rPr>
                <w:rFonts w:hint="default" w:ascii="Times New Roman" w:hAnsi="Times New Roman" w:cs="Times New Roman"/>
                <w:sz w:val="18"/>
                <w:szCs w:val="18"/>
              </w:rPr>
              <w:t xml:space="preserve"> mL～</w:t>
            </w:r>
            <w:r>
              <w:rPr>
                <w:rFonts w:hint="default" w:ascii="Times New Roman" w:hAnsi="Times New Roman" w:cs="Times New Roman"/>
                <w:bCs/>
                <w:sz w:val="18"/>
                <w:szCs w:val="18"/>
              </w:rPr>
              <w:t>60 mL</w:t>
            </w:r>
          </w:p>
        </w:tc>
        <w:tc>
          <w:tcPr>
            <w:tcW w:w="113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86" w:type="dxa"/>
            <w:vMerge w:val="continue"/>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bookmarkStart w:id="35" w:name="BookMark8"/>
          </w:p>
        </w:tc>
        <w:tc>
          <w:tcPr>
            <w:tcW w:w="16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吡虫啉</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70%</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水分散剂</w:t>
            </w:r>
          </w:p>
        </w:tc>
        <w:tc>
          <w:tcPr>
            <w:tcW w:w="197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5000倍液</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1.5</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2 g</w:t>
            </w:r>
          </w:p>
        </w:tc>
        <w:tc>
          <w:tcPr>
            <w:tcW w:w="113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86" w:type="dxa"/>
            <w:vMerge w:val="continue"/>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p>
        </w:tc>
        <w:tc>
          <w:tcPr>
            <w:tcW w:w="16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氟啶虫酰胺</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水分散剂</w:t>
            </w:r>
          </w:p>
        </w:tc>
        <w:tc>
          <w:tcPr>
            <w:tcW w:w="197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1000倍</w:t>
            </w:r>
            <w:r>
              <w:rPr>
                <w:rFonts w:hint="default" w:ascii="Times New Roman" w:hAnsi="Times New Roman" w:cs="Times New Roman"/>
                <w:sz w:val="18"/>
                <w:szCs w:val="18"/>
              </w:rPr>
              <w:t>～</w:t>
            </w:r>
            <w:r>
              <w:rPr>
                <w:rFonts w:hint="default" w:ascii="Times New Roman" w:hAnsi="Times New Roman" w:cs="Times New Roman"/>
                <w:bCs/>
                <w:sz w:val="18"/>
                <w:szCs w:val="18"/>
              </w:rPr>
              <w:t>2000倍液</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50 g</w:t>
            </w:r>
          </w:p>
        </w:tc>
        <w:tc>
          <w:tcPr>
            <w:tcW w:w="113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bookmarkEnd w:id="34"/>
    </w:tbl>
    <w:p>
      <w:pPr>
        <w:pStyle w:val="23"/>
        <w:spacing w:before="156" w:beforeLines="50" w:after="156" w:afterLines="50"/>
        <w:ind w:firstLine="0" w:firstLineChars="0"/>
        <w:jc w:val="center"/>
        <w:rPr>
          <w:rFonts w:hint="default" w:ascii="Times New Roman" w:hAnsi="Times New Roman" w:eastAsia="黑体" w:cs="Times New Roman"/>
        </w:rPr>
      </w:pPr>
      <w:r>
        <w:rPr>
          <w:rFonts w:hint="default" w:ascii="Times New Roman" w:hAnsi="Times New Roman" w:eastAsia="黑体" w:cs="Times New Roman"/>
        </w:rPr>
        <w:t>表A.2  芥蓝主要虫害防治常用药剂及用法</w:t>
      </w:r>
      <w:r>
        <w:rPr>
          <w:rFonts w:hint="default" w:ascii="Times New Roman" w:hAnsi="Times New Roman" w:cs="Times New Roman"/>
        </w:rPr>
        <w:t>（续）</w:t>
      </w:r>
    </w:p>
    <w:tbl>
      <w:tblPr>
        <w:tblStyle w:val="8"/>
        <w:tblW w:w="92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171"/>
        <w:gridCol w:w="1495"/>
        <w:gridCol w:w="853"/>
        <w:gridCol w:w="992"/>
        <w:gridCol w:w="1874"/>
        <w:gridCol w:w="1568"/>
        <w:gridCol w:w="126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171"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害虫名称</w:t>
            </w:r>
          </w:p>
        </w:tc>
        <w:tc>
          <w:tcPr>
            <w:tcW w:w="1495"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药剂名称</w:t>
            </w:r>
          </w:p>
        </w:tc>
        <w:tc>
          <w:tcPr>
            <w:tcW w:w="853"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含量</w:t>
            </w:r>
          </w:p>
        </w:tc>
        <w:tc>
          <w:tcPr>
            <w:tcW w:w="992"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剂型</w:t>
            </w:r>
          </w:p>
        </w:tc>
        <w:tc>
          <w:tcPr>
            <w:tcW w:w="1874"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用法</w:t>
            </w:r>
          </w:p>
        </w:tc>
        <w:tc>
          <w:tcPr>
            <w:tcW w:w="1568"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用量</w:t>
            </w:r>
          </w:p>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/667 m</w:t>
            </w:r>
            <w:r>
              <w:rPr>
                <w:rFonts w:hint="default" w:ascii="Times New Roman" w:hAnsi="Times New Roman" w:cs="Times New Roman"/>
                <w:bCs/>
                <w:sz w:val="18"/>
                <w:szCs w:val="18"/>
                <w:vertAlign w:val="superscript"/>
              </w:rPr>
              <w:t>2</w:t>
            </w:r>
          </w:p>
        </w:tc>
        <w:tc>
          <w:tcPr>
            <w:tcW w:w="1268" w:type="dxa"/>
            <w:shd w:val="clear" w:color="auto" w:fill="auto"/>
            <w:vAlign w:val="center"/>
          </w:tcPr>
          <w:p>
            <w:pPr>
              <w:pStyle w:val="20"/>
              <w:adjustRightInd w:val="0"/>
              <w:snapToGrid w:val="0"/>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安全间隔期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restart"/>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蚜虫</w:t>
            </w:r>
          </w:p>
        </w:tc>
        <w:tc>
          <w:tcPr>
            <w:tcW w:w="1495"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噻虫嗪</w:t>
            </w:r>
          </w:p>
        </w:tc>
        <w:tc>
          <w:tcPr>
            <w:tcW w:w="853"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25%</w:t>
            </w:r>
          </w:p>
        </w:tc>
        <w:tc>
          <w:tcPr>
            <w:tcW w:w="992"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水分散剂</w:t>
            </w:r>
          </w:p>
        </w:tc>
        <w:tc>
          <w:tcPr>
            <w:tcW w:w="1874"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2500倍～5000倍液</w:t>
            </w:r>
          </w:p>
        </w:tc>
        <w:tc>
          <w:tcPr>
            <w:tcW w:w="1568"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20</w:t>
            </w:r>
            <w:r>
              <w:rPr>
                <w:rFonts w:hint="default" w:ascii="Times New Roman" w:hAnsi="Times New Roman" w:cs="Times New Roman"/>
                <w:sz w:val="18"/>
                <w:szCs w:val="18"/>
              </w:rPr>
              <w:t xml:space="preserve"> g</w:t>
            </w:r>
          </w:p>
        </w:tc>
        <w:tc>
          <w:tcPr>
            <w:tcW w:w="1268"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螺虫乙酯</w:t>
            </w:r>
          </w:p>
        </w:tc>
        <w:tc>
          <w:tcPr>
            <w:tcW w:w="853"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22.4%</w:t>
            </w:r>
          </w:p>
        </w:tc>
        <w:tc>
          <w:tcPr>
            <w:tcW w:w="992"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水分散剂</w:t>
            </w:r>
          </w:p>
        </w:tc>
        <w:tc>
          <w:tcPr>
            <w:tcW w:w="1874"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2500倍～5000倍液</w:t>
            </w:r>
          </w:p>
        </w:tc>
        <w:tc>
          <w:tcPr>
            <w:tcW w:w="1568"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20</w:t>
            </w:r>
            <w:r>
              <w:rPr>
                <w:rFonts w:hint="default" w:ascii="Times New Roman" w:hAnsi="Times New Roman" w:cs="Times New Roman"/>
                <w:sz w:val="18"/>
                <w:szCs w:val="18"/>
              </w:rPr>
              <w:t xml:space="preserve"> g</w:t>
            </w:r>
          </w:p>
        </w:tc>
        <w:tc>
          <w:tcPr>
            <w:tcW w:w="1268"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啶虫脒</w:t>
            </w:r>
          </w:p>
        </w:tc>
        <w:tc>
          <w:tcPr>
            <w:tcW w:w="853"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5%</w:t>
            </w:r>
          </w:p>
        </w:tc>
        <w:tc>
          <w:tcPr>
            <w:tcW w:w="992"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乳油</w:t>
            </w:r>
          </w:p>
        </w:tc>
        <w:tc>
          <w:tcPr>
            <w:tcW w:w="1874"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1500倍～2000倍液</w:t>
            </w:r>
          </w:p>
        </w:tc>
        <w:tc>
          <w:tcPr>
            <w:tcW w:w="1568"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1.5</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2</w:t>
            </w:r>
            <w:r>
              <w:rPr>
                <w:rFonts w:hint="default" w:ascii="Times New Roman" w:hAnsi="Times New Roman" w:cs="Times New Roman"/>
                <w:sz w:val="18"/>
                <w:szCs w:val="18"/>
              </w:rPr>
              <w:t xml:space="preserve"> g</w:t>
            </w:r>
          </w:p>
        </w:tc>
        <w:tc>
          <w:tcPr>
            <w:tcW w:w="1268" w:type="dxa"/>
            <w:shd w:val="clear" w:color="auto" w:fill="auto"/>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14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restart"/>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菜青虫</w:t>
            </w:r>
          </w:p>
        </w:tc>
        <w:tc>
          <w:tcPr>
            <w:tcW w:w="14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杀螟丹</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98%</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可溶粉剂</w:t>
            </w:r>
          </w:p>
        </w:tc>
        <w:tc>
          <w:tcPr>
            <w:tcW w:w="1874"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1500倍</w:t>
            </w:r>
            <w:r>
              <w:rPr>
                <w:rFonts w:hint="default" w:ascii="Times New Roman" w:hAnsi="Times New Roman" w:cs="Times New Roman"/>
                <w:sz w:val="18"/>
                <w:szCs w:val="18"/>
              </w:rPr>
              <w:t>～</w:t>
            </w:r>
            <w:r>
              <w:rPr>
                <w:rFonts w:hint="default" w:ascii="Times New Roman" w:hAnsi="Times New Roman" w:cs="Times New Roman"/>
                <w:bCs/>
                <w:sz w:val="18"/>
                <w:szCs w:val="18"/>
              </w:rPr>
              <w:t>2000倍液</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60 g</w:t>
            </w:r>
          </w:p>
        </w:tc>
        <w:tc>
          <w:tcPr>
            <w:tcW w:w="12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高效氯氟氰菊酯</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2.5%</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乳油</w:t>
            </w:r>
          </w:p>
        </w:tc>
        <w:tc>
          <w:tcPr>
            <w:tcW w:w="1874"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1000倍</w:t>
            </w:r>
            <w:r>
              <w:rPr>
                <w:rFonts w:hint="default" w:ascii="Times New Roman" w:hAnsi="Times New Roman" w:cs="Times New Roman"/>
                <w:sz w:val="18"/>
                <w:szCs w:val="18"/>
              </w:rPr>
              <w:t>～</w:t>
            </w:r>
            <w:r>
              <w:rPr>
                <w:rFonts w:hint="default" w:ascii="Times New Roman" w:hAnsi="Times New Roman" w:cs="Times New Roman"/>
                <w:bCs/>
                <w:sz w:val="18"/>
                <w:szCs w:val="18"/>
              </w:rPr>
              <w:t>2000倍液</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40</w:t>
            </w:r>
            <w:r>
              <w:rPr>
                <w:rFonts w:hint="default" w:ascii="Times New Roman" w:hAnsi="Times New Roman" w:cs="Times New Roman"/>
                <w:sz w:val="18"/>
                <w:szCs w:val="18"/>
              </w:rPr>
              <w:t xml:space="preserve"> mL～</w:t>
            </w:r>
            <w:r>
              <w:rPr>
                <w:rFonts w:hint="default" w:ascii="Times New Roman" w:hAnsi="Times New Roman" w:cs="Times New Roman"/>
                <w:bCs/>
                <w:sz w:val="18"/>
                <w:szCs w:val="18"/>
              </w:rPr>
              <w:t>60 mL</w:t>
            </w:r>
          </w:p>
        </w:tc>
        <w:tc>
          <w:tcPr>
            <w:tcW w:w="12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restart"/>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黄曲条跳甲</w:t>
            </w:r>
          </w:p>
        </w:tc>
        <w:tc>
          <w:tcPr>
            <w:tcW w:w="14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联苯噻虫胺</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颗粒剂</w:t>
            </w:r>
          </w:p>
        </w:tc>
        <w:tc>
          <w:tcPr>
            <w:tcW w:w="1874"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撒施</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w:t>
            </w:r>
            <w:r>
              <w:rPr>
                <w:rFonts w:hint="default" w:ascii="Times New Roman" w:hAnsi="Times New Roman" w:cs="Times New Roman"/>
                <w:sz w:val="18"/>
                <w:szCs w:val="18"/>
              </w:rPr>
              <w:t xml:space="preserve"> kg～</w:t>
            </w:r>
            <w:r>
              <w:rPr>
                <w:rFonts w:hint="default" w:ascii="Times New Roman" w:hAnsi="Times New Roman" w:cs="Times New Roman"/>
                <w:bCs/>
                <w:sz w:val="18"/>
                <w:szCs w:val="18"/>
              </w:rPr>
              <w:t>4 kg</w:t>
            </w:r>
          </w:p>
        </w:tc>
        <w:tc>
          <w:tcPr>
            <w:tcW w:w="12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丁硫啶虫脒</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8%</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乳油</w:t>
            </w:r>
          </w:p>
        </w:tc>
        <w:tc>
          <w:tcPr>
            <w:tcW w:w="1874" w:type="dxa"/>
            <w:shd w:val="clear" w:color="auto" w:fill="auto"/>
            <w:vAlign w:val="center"/>
          </w:tcPr>
          <w:p>
            <w:pPr>
              <w:pStyle w:val="20"/>
              <w:tabs>
                <w:tab w:val="center" w:pos="504"/>
              </w:tabs>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2000倍</w:t>
            </w:r>
            <w:r>
              <w:rPr>
                <w:rFonts w:hint="default" w:ascii="Times New Roman" w:hAnsi="Times New Roman" w:cs="Times New Roman"/>
                <w:sz w:val="18"/>
                <w:szCs w:val="18"/>
              </w:rPr>
              <w:t>～</w:t>
            </w:r>
            <w:r>
              <w:rPr>
                <w:rFonts w:hint="default" w:ascii="Times New Roman" w:hAnsi="Times New Roman" w:cs="Times New Roman"/>
                <w:bCs/>
                <w:sz w:val="18"/>
                <w:szCs w:val="18"/>
              </w:rPr>
              <w:t>2500倍液</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w:t>
            </w:r>
            <w:r>
              <w:rPr>
                <w:rFonts w:hint="default" w:ascii="Times New Roman" w:hAnsi="Times New Roman" w:cs="Times New Roman"/>
                <w:sz w:val="18"/>
                <w:szCs w:val="18"/>
              </w:rPr>
              <w:t xml:space="preserve"> mL～</w:t>
            </w:r>
            <w:r>
              <w:rPr>
                <w:rFonts w:hint="default" w:ascii="Times New Roman" w:hAnsi="Times New Roman" w:cs="Times New Roman"/>
                <w:bCs/>
                <w:sz w:val="18"/>
                <w:szCs w:val="18"/>
              </w:rPr>
              <w:t>50 mL</w:t>
            </w:r>
          </w:p>
        </w:tc>
        <w:tc>
          <w:tcPr>
            <w:tcW w:w="12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蜗牛</w:t>
            </w:r>
          </w:p>
        </w:tc>
        <w:tc>
          <w:tcPr>
            <w:tcW w:w="14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四聚乙醛</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6%</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颗粒剂</w:t>
            </w:r>
          </w:p>
        </w:tc>
        <w:tc>
          <w:tcPr>
            <w:tcW w:w="1874"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撒施</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400</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600 g</w:t>
            </w:r>
          </w:p>
        </w:tc>
        <w:tc>
          <w:tcPr>
            <w:tcW w:w="12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restart"/>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小菜蛾</w:t>
            </w:r>
          </w:p>
        </w:tc>
        <w:tc>
          <w:tcPr>
            <w:tcW w:w="14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氯虫苯甲酰胺</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35%</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水分散剂</w:t>
            </w:r>
          </w:p>
        </w:tc>
        <w:tc>
          <w:tcPr>
            <w:tcW w:w="1874"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17500倍</w:t>
            </w:r>
            <w:r>
              <w:rPr>
                <w:rFonts w:hint="default" w:ascii="Times New Roman" w:hAnsi="Times New Roman" w:cs="Times New Roman"/>
                <w:sz w:val="18"/>
                <w:szCs w:val="18"/>
              </w:rPr>
              <w:t>～</w:t>
            </w:r>
            <w:r>
              <w:rPr>
                <w:rFonts w:hint="default" w:ascii="Times New Roman" w:hAnsi="Times New Roman" w:cs="Times New Roman"/>
                <w:bCs/>
                <w:sz w:val="18"/>
                <w:szCs w:val="18"/>
              </w:rPr>
              <w:t>25000倍液</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4</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6 g</w:t>
            </w:r>
          </w:p>
        </w:tc>
        <w:tc>
          <w:tcPr>
            <w:tcW w:w="12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四唑虫酰胺</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200 g/L</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悬浮剂</w:t>
            </w:r>
          </w:p>
        </w:tc>
        <w:tc>
          <w:tcPr>
            <w:tcW w:w="1874"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6000倍</w:t>
            </w:r>
            <w:r>
              <w:rPr>
                <w:rFonts w:hint="default" w:ascii="Times New Roman" w:hAnsi="Times New Roman" w:cs="Times New Roman"/>
                <w:sz w:val="18"/>
                <w:szCs w:val="18"/>
              </w:rPr>
              <w:t>～</w:t>
            </w:r>
            <w:r>
              <w:rPr>
                <w:rFonts w:hint="default" w:ascii="Times New Roman" w:hAnsi="Times New Roman" w:cs="Times New Roman"/>
                <w:bCs/>
                <w:sz w:val="18"/>
                <w:szCs w:val="18"/>
              </w:rPr>
              <w:t>8000倍液</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7.5</w:t>
            </w:r>
            <w:r>
              <w:rPr>
                <w:rFonts w:hint="default" w:ascii="Times New Roman" w:hAnsi="Times New Roman" w:cs="Times New Roman"/>
                <w:sz w:val="18"/>
                <w:szCs w:val="18"/>
              </w:rPr>
              <w:t xml:space="preserve"> mL～</w:t>
            </w:r>
            <w:r>
              <w:rPr>
                <w:rFonts w:hint="default" w:ascii="Times New Roman" w:hAnsi="Times New Roman" w:cs="Times New Roman"/>
                <w:bCs/>
                <w:sz w:val="18"/>
                <w:szCs w:val="18"/>
              </w:rPr>
              <w:t>10 mL</w:t>
            </w:r>
          </w:p>
        </w:tc>
        <w:tc>
          <w:tcPr>
            <w:tcW w:w="12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杀螟丹</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98%</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可溶粉剂</w:t>
            </w:r>
          </w:p>
        </w:tc>
        <w:tc>
          <w:tcPr>
            <w:tcW w:w="1874"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1500倍</w:t>
            </w:r>
            <w:r>
              <w:rPr>
                <w:rFonts w:hint="default" w:ascii="Times New Roman" w:hAnsi="Times New Roman" w:cs="Times New Roman"/>
                <w:sz w:val="18"/>
                <w:szCs w:val="18"/>
              </w:rPr>
              <w:t>～</w:t>
            </w:r>
            <w:r>
              <w:rPr>
                <w:rFonts w:hint="default" w:ascii="Times New Roman" w:hAnsi="Times New Roman" w:cs="Times New Roman"/>
                <w:bCs/>
                <w:sz w:val="18"/>
                <w:szCs w:val="18"/>
              </w:rPr>
              <w:t>2000倍液</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60 g</w:t>
            </w:r>
          </w:p>
        </w:tc>
        <w:tc>
          <w:tcPr>
            <w:tcW w:w="12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restart"/>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斑潜蝇</w:t>
            </w:r>
          </w:p>
        </w:tc>
        <w:tc>
          <w:tcPr>
            <w:tcW w:w="14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阿维杀虫单</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20%</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微乳剂</w:t>
            </w:r>
          </w:p>
        </w:tc>
        <w:tc>
          <w:tcPr>
            <w:tcW w:w="1874"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1000倍</w:t>
            </w:r>
            <w:r>
              <w:rPr>
                <w:rFonts w:hint="default" w:ascii="Times New Roman" w:hAnsi="Times New Roman" w:cs="Times New Roman"/>
                <w:sz w:val="18"/>
                <w:szCs w:val="18"/>
              </w:rPr>
              <w:t>～</w:t>
            </w:r>
            <w:r>
              <w:rPr>
                <w:rFonts w:hint="default" w:ascii="Times New Roman" w:hAnsi="Times New Roman" w:cs="Times New Roman"/>
                <w:bCs/>
                <w:sz w:val="18"/>
                <w:szCs w:val="18"/>
              </w:rPr>
              <w:t>2000倍液</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30</w:t>
            </w:r>
            <w:r>
              <w:rPr>
                <w:rFonts w:hint="default" w:ascii="Times New Roman" w:hAnsi="Times New Roman" w:cs="Times New Roman"/>
                <w:sz w:val="18"/>
                <w:szCs w:val="18"/>
              </w:rPr>
              <w:t xml:space="preserve"> mL～</w:t>
            </w:r>
            <w:r>
              <w:rPr>
                <w:rFonts w:hint="default" w:ascii="Times New Roman" w:hAnsi="Times New Roman" w:cs="Times New Roman"/>
                <w:bCs/>
                <w:sz w:val="18"/>
                <w:szCs w:val="18"/>
              </w:rPr>
              <w:t>60 mL</w:t>
            </w:r>
          </w:p>
        </w:tc>
        <w:tc>
          <w:tcPr>
            <w:tcW w:w="12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5 d</w:t>
            </w:r>
            <w:r>
              <w:rPr>
                <w:rFonts w:hint="default" w:ascii="Times New Roman" w:hAnsi="Times New Roman" w:cs="Times New Roman"/>
                <w:sz w:val="18"/>
                <w:szCs w:val="18"/>
              </w:rPr>
              <w:t>～</w:t>
            </w: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氯虫苯甲酰胺</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35%</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水分散剂</w:t>
            </w:r>
          </w:p>
        </w:tc>
        <w:tc>
          <w:tcPr>
            <w:tcW w:w="1874"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17500倍</w:t>
            </w:r>
            <w:r>
              <w:rPr>
                <w:rFonts w:hint="default" w:ascii="Times New Roman" w:hAnsi="Times New Roman" w:cs="Times New Roman"/>
                <w:sz w:val="18"/>
                <w:szCs w:val="18"/>
              </w:rPr>
              <w:t>～</w:t>
            </w:r>
            <w:r>
              <w:rPr>
                <w:rFonts w:hint="default" w:ascii="Times New Roman" w:hAnsi="Times New Roman" w:cs="Times New Roman"/>
                <w:bCs/>
                <w:sz w:val="18"/>
                <w:szCs w:val="18"/>
              </w:rPr>
              <w:t>25000倍液</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4</w:t>
            </w:r>
            <w:r>
              <w:rPr>
                <w:rFonts w:hint="default" w:ascii="Times New Roman" w:hAnsi="Times New Roman" w:cs="Times New Roman"/>
                <w:sz w:val="18"/>
                <w:szCs w:val="18"/>
              </w:rPr>
              <w:t xml:space="preserve"> g～</w:t>
            </w:r>
            <w:r>
              <w:rPr>
                <w:rFonts w:hint="default" w:ascii="Times New Roman" w:hAnsi="Times New Roman" w:cs="Times New Roman"/>
                <w:bCs/>
                <w:sz w:val="18"/>
                <w:szCs w:val="18"/>
              </w:rPr>
              <w:t>6 g</w:t>
            </w:r>
          </w:p>
        </w:tc>
        <w:tc>
          <w:tcPr>
            <w:tcW w:w="12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71" w:type="dxa"/>
            <w:vMerge w:val="continue"/>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p>
        </w:tc>
        <w:tc>
          <w:tcPr>
            <w:tcW w:w="1495"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四唑虫酰胺</w:t>
            </w:r>
          </w:p>
        </w:tc>
        <w:tc>
          <w:tcPr>
            <w:tcW w:w="853"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200 g/L</w:t>
            </w:r>
          </w:p>
        </w:tc>
        <w:tc>
          <w:tcPr>
            <w:tcW w:w="992"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悬浮剂</w:t>
            </w:r>
          </w:p>
        </w:tc>
        <w:tc>
          <w:tcPr>
            <w:tcW w:w="1874"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6000倍</w:t>
            </w:r>
            <w:r>
              <w:rPr>
                <w:rFonts w:hint="default" w:ascii="Times New Roman" w:hAnsi="Times New Roman" w:cs="Times New Roman"/>
                <w:sz w:val="18"/>
                <w:szCs w:val="18"/>
              </w:rPr>
              <w:t>～</w:t>
            </w:r>
            <w:r>
              <w:rPr>
                <w:rFonts w:hint="default" w:ascii="Times New Roman" w:hAnsi="Times New Roman" w:cs="Times New Roman"/>
                <w:bCs/>
                <w:sz w:val="18"/>
                <w:szCs w:val="18"/>
              </w:rPr>
              <w:t>8000倍液</w:t>
            </w:r>
          </w:p>
        </w:tc>
        <w:tc>
          <w:tcPr>
            <w:tcW w:w="15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7.5</w:t>
            </w:r>
            <w:r>
              <w:rPr>
                <w:rFonts w:hint="default" w:ascii="Times New Roman" w:hAnsi="Times New Roman" w:cs="Times New Roman"/>
                <w:sz w:val="18"/>
                <w:szCs w:val="18"/>
              </w:rPr>
              <w:t xml:space="preserve"> mL～</w:t>
            </w:r>
            <w:r>
              <w:rPr>
                <w:rFonts w:hint="default" w:ascii="Times New Roman" w:hAnsi="Times New Roman" w:cs="Times New Roman"/>
                <w:bCs/>
                <w:sz w:val="18"/>
                <w:szCs w:val="18"/>
              </w:rPr>
              <w:t>10 mL</w:t>
            </w:r>
          </w:p>
        </w:tc>
        <w:tc>
          <w:tcPr>
            <w:tcW w:w="1268" w:type="dxa"/>
            <w:shd w:val="clear" w:color="auto" w:fill="auto"/>
            <w:vAlign w:val="center"/>
          </w:tcPr>
          <w:p>
            <w:pPr>
              <w:pStyle w:val="20"/>
              <w:adjustRightInd w:val="0"/>
              <w:snapToGrid w:val="0"/>
              <w:spacing w:line="400" w:lineRule="exact"/>
              <w:ind w:firstLine="0" w:firstLineChars="0"/>
              <w:jc w:val="center"/>
              <w:rPr>
                <w:rFonts w:hint="default" w:ascii="Times New Roman" w:hAnsi="Times New Roman" w:cs="Times New Roman"/>
                <w:bCs/>
                <w:sz w:val="18"/>
                <w:szCs w:val="18"/>
              </w:rPr>
            </w:pPr>
            <w:r>
              <w:rPr>
                <w:rFonts w:hint="default" w:ascii="Times New Roman" w:hAnsi="Times New Roman" w:cs="Times New Roman"/>
                <w:bCs/>
                <w:sz w:val="18"/>
                <w:szCs w:val="18"/>
              </w:rPr>
              <w:t>7 d</w:t>
            </w:r>
          </w:p>
        </w:tc>
      </w:tr>
    </w:tbl>
    <w:p>
      <w:pPr>
        <w:pStyle w:val="23"/>
        <w:ind w:firstLine="0" w:firstLineChars="0"/>
        <w:jc w:val="center"/>
        <w:rPr>
          <w:rFonts w:hint="default" w:ascii="Times New Roman" w:hAnsi="Times New Roman" w:cs="Times New Roman"/>
        </w:rPr>
      </w:pPr>
      <w:r>
        <w:rPr>
          <w:rFonts w:hint="default" w:ascii="Times New Roman" w:hAnsi="Times New Roman" w:cs="Times New Roman"/>
        </w:rP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5"/>
    </w:p>
    <w:p/>
    <w:p/>
    <w:sectPr>
      <w:headerReference r:id="rId8" w:type="default"/>
      <w:footerReference r:id="rId10" w:type="default"/>
      <w:headerReference r:id="rId9" w:type="even"/>
      <w:footerReference r:id="rId11" w:type="even"/>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 PAGE   \* MERGEFORMAT \* MERGEFORMAT </w:instrText>
    </w:r>
    <w:r>
      <w:fldChar w:fldCharType="separate"/>
    </w:r>
    <w: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fldChar w:fldCharType="begin"/>
    </w:r>
    <w:r>
      <w:instrText xml:space="preserve">PAGE   \* MERGEFORMAT</w:instrText>
    </w:r>
    <w:r>
      <w:fldChar w:fldCharType="separate"/>
    </w:r>
    <w:r>
      <w:rPr>
        <w:lang w:val="zh-CN"/>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rPr>
      <w:t>DB6111/T 177-2021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rPr>
      <w:t>DB6111/T 177-2021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02D1C"/>
    <w:multiLevelType w:val="multilevel"/>
    <w:tmpl w:val="48802D1C"/>
    <w:lvl w:ilvl="0" w:tentative="0">
      <w:start w:val="1"/>
      <w:numFmt w:val="upperLetter"/>
      <w:pStyle w:val="26"/>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603797C"/>
    <w:multiLevelType w:val="multilevel"/>
    <w:tmpl w:val="5603797C"/>
    <w:lvl w:ilvl="0" w:tentative="0">
      <w:start w:val="1"/>
      <w:numFmt w:val="upperLetter"/>
      <w:pStyle w:val="27"/>
      <w:suff w:val="space"/>
      <w:lvlText w:val="%1"/>
      <w:lvlJc w:val="left"/>
      <w:pPr>
        <w:ind w:left="425" w:hanging="425"/>
      </w:pPr>
      <w:rPr>
        <w:rFonts w:hint="eastAsia"/>
      </w:rPr>
    </w:lvl>
    <w:lvl w:ilvl="1" w:tentative="0">
      <w:start w:val="1"/>
      <w:numFmt w:val="decimal"/>
      <w:pStyle w:val="3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57D3FBC"/>
    <w:multiLevelType w:val="multilevel"/>
    <w:tmpl w:val="657D3FBC"/>
    <w:lvl w:ilvl="0" w:tentative="0">
      <w:start w:val="1"/>
      <w:numFmt w:val="upperLetter"/>
      <w:pStyle w:val="28"/>
      <w:suff w:val="nothing"/>
      <w:lvlText w:val="附录%1"/>
      <w:lvlJc w:val="left"/>
      <w:pPr>
        <w:ind w:left="0" w:firstLine="0"/>
      </w:pPr>
      <w:rPr>
        <w:rFonts w:hint="eastAsia"/>
        <w:spacing w:val="100"/>
      </w:rPr>
    </w:lvl>
    <w:lvl w:ilvl="1" w:tentative="0">
      <w:start w:val="1"/>
      <w:numFmt w:val="decimal"/>
      <w:pStyle w:val="29"/>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2"/>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NmQxNjkyMTIyZTJhMTZlNzM1NDk0MTM4ZDQ4YjgifQ=="/>
  </w:docVars>
  <w:rsids>
    <w:rsidRoot w:val="358713B8"/>
    <w:rsid w:val="00066A29"/>
    <w:rsid w:val="0093255A"/>
    <w:rsid w:val="00C25021"/>
    <w:rsid w:val="07411248"/>
    <w:rsid w:val="0F4E11BD"/>
    <w:rsid w:val="105C6685"/>
    <w:rsid w:val="1ABD2416"/>
    <w:rsid w:val="2E5D5F97"/>
    <w:rsid w:val="358713B8"/>
    <w:rsid w:val="48624447"/>
    <w:rsid w:val="4E0846A8"/>
    <w:rsid w:val="50722E0D"/>
    <w:rsid w:val="5B2D6220"/>
    <w:rsid w:val="6C651664"/>
    <w:rsid w:val="73D274E6"/>
    <w:rsid w:val="7D29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szCs w:val="20"/>
    </w:rPr>
  </w:style>
  <w:style w:type="paragraph" w:styleId="4">
    <w:name w:val="Balloon Text"/>
    <w:basedOn w:val="1"/>
    <w:link w:val="37"/>
    <w:autoRedefine/>
    <w:qFormat/>
    <w:uiPriority w:val="0"/>
    <w:pPr>
      <w:spacing w:line="240" w:lineRule="auto"/>
    </w:pPr>
    <w:rPr>
      <w:sz w:val="18"/>
      <w:szCs w:val="18"/>
    </w:rPr>
  </w:style>
  <w:style w:type="paragraph" w:styleId="5">
    <w:name w:val="footer"/>
    <w:basedOn w:val="1"/>
    <w:link w:val="36"/>
    <w:autoRedefine/>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35"/>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qFormat/>
    <w:uiPriority w:val="0"/>
    <w:pPr>
      <w:spacing w:beforeLines="50" w:afterLines="50"/>
      <w:jc w:val="left"/>
      <w:outlineLvl w:val="0"/>
    </w:pPr>
    <w:rPr>
      <w:rFonts w:ascii="Cambria" w:hAnsi="Cambria" w:eastAsia="黑体"/>
      <w:bCs/>
      <w:szCs w:val="32"/>
    </w:rPr>
  </w:style>
  <w:style w:type="character" w:styleId="10">
    <w:name w:val="Hyperlink"/>
    <w:basedOn w:val="9"/>
    <w:autoRedefine/>
    <w:qFormat/>
    <w:uiPriority w:val="0"/>
    <w:rPr>
      <w:color w:val="0000FF"/>
      <w:u w:val="single"/>
    </w:rPr>
  </w:style>
  <w:style w:type="paragraph" w:customStyle="1" w:styleId="11">
    <w:name w:val="其他标准标志"/>
    <w:basedOn w:val="1"/>
    <w:autoRedefine/>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2">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
    <w:name w:val="其他发布日期"/>
    <w:basedOn w:val="1"/>
    <w:autoRedefine/>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17">
    <w:name w:val="其他实施日期"/>
    <w:basedOn w:val="1"/>
    <w:autoRedefine/>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18">
    <w:name w:val="其他发布部门"/>
    <w:basedOn w:val="1"/>
    <w:autoRedefine/>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19">
    <w:name w:val="发布"/>
    <w:qFormat/>
    <w:uiPriority w:val="0"/>
    <w:rPr>
      <w:rFonts w:ascii="黑体" w:eastAsia="黑体"/>
      <w:spacing w:val="85"/>
      <w:w w:val="100"/>
      <w:position w:val="3"/>
      <w:sz w:val="28"/>
      <w:szCs w:val="28"/>
    </w:rPr>
  </w:style>
  <w:style w:type="paragraph" w:customStyle="1" w:styleId="20">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21">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22">
    <w:name w:val="标准文件_章标题"/>
    <w:next w:val="23"/>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3">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标准文件_一级条标题"/>
    <w:basedOn w:val="22"/>
    <w:next w:val="23"/>
    <w:autoRedefine/>
    <w:qFormat/>
    <w:uiPriority w:val="0"/>
    <w:pPr>
      <w:numPr>
        <w:ilvl w:val="2"/>
      </w:numPr>
      <w:spacing w:before="50" w:beforeLines="50" w:after="50" w:afterLines="50"/>
      <w:outlineLvl w:val="1"/>
    </w:pPr>
  </w:style>
  <w:style w:type="paragraph" w:customStyle="1" w:styleId="25">
    <w:name w:val="标准文件_二级条标题"/>
    <w:next w:val="23"/>
    <w:autoRedefine/>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6">
    <w:name w:val="标准文件_附录图标号"/>
    <w:basedOn w:val="23"/>
    <w:next w:val="23"/>
    <w:autoRedefine/>
    <w:qFormat/>
    <w:uiPriority w:val="0"/>
    <w:pPr>
      <w:numPr>
        <w:ilvl w:val="0"/>
        <w:numId w:val="2"/>
      </w:numPr>
      <w:spacing w:line="14" w:lineRule="exact"/>
      <w:ind w:firstLine="0" w:firstLineChars="0"/>
      <w:jc w:val="center"/>
    </w:pPr>
    <w:rPr>
      <w:rFonts w:ascii="黑体" w:hAnsi="黑体" w:eastAsia="黑体"/>
      <w:vanish/>
      <w:sz w:val="2"/>
      <w:szCs w:val="21"/>
    </w:rPr>
  </w:style>
  <w:style w:type="paragraph" w:customStyle="1" w:styleId="27">
    <w:name w:val="标准文件_附录表标号"/>
    <w:basedOn w:val="23"/>
    <w:next w:val="23"/>
    <w:autoRedefine/>
    <w:qFormat/>
    <w:uiPriority w:val="0"/>
    <w:pPr>
      <w:numPr>
        <w:ilvl w:val="0"/>
        <w:numId w:val="3"/>
      </w:numPr>
      <w:spacing w:line="14" w:lineRule="exact"/>
      <w:ind w:firstLine="0" w:firstLineChars="0"/>
      <w:jc w:val="center"/>
    </w:pPr>
    <w:rPr>
      <w:rFonts w:eastAsia="黑体"/>
      <w:vanish/>
      <w:sz w:val="2"/>
    </w:rPr>
  </w:style>
  <w:style w:type="paragraph" w:customStyle="1" w:styleId="28">
    <w:name w:val="标准文件_附录标识"/>
    <w:next w:val="23"/>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29">
    <w:name w:val="标准文件_附录一级条标题"/>
    <w:next w:val="23"/>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30">
    <w:name w:val="标准文件_附录表标题"/>
    <w:next w:val="23"/>
    <w:autoRedefine/>
    <w:qFormat/>
    <w:uiPriority w:val="0"/>
    <w:pPr>
      <w:numPr>
        <w:ilvl w:val="1"/>
        <w:numId w:val="3"/>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31">
    <w:name w:val="标准文件_页眉偶数页"/>
    <w:basedOn w:val="32"/>
    <w:next w:val="1"/>
    <w:autoRedefine/>
    <w:qFormat/>
    <w:uiPriority w:val="0"/>
    <w:pPr>
      <w:tabs>
        <w:tab w:val="center" w:pos="4154"/>
        <w:tab w:val="right" w:pos="8306"/>
      </w:tabs>
      <w:jc w:val="left"/>
    </w:pPr>
  </w:style>
  <w:style w:type="paragraph" w:customStyle="1" w:styleId="3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34">
    <w:name w:val="标准文件_页脚偶数页"/>
    <w:autoRedefine/>
    <w:qFormat/>
    <w:uiPriority w:val="0"/>
    <w:pPr>
      <w:ind w:left="198"/>
    </w:pPr>
    <w:rPr>
      <w:rFonts w:ascii="宋体" w:hAnsi="Times New Roman" w:eastAsia="宋体" w:cs="Times New Roman"/>
      <w:sz w:val="18"/>
      <w:lang w:val="en-US" w:eastAsia="zh-CN" w:bidi="ar-SA"/>
    </w:rPr>
  </w:style>
  <w:style w:type="character" w:customStyle="1" w:styleId="35">
    <w:name w:val="页眉 Char"/>
    <w:basedOn w:val="9"/>
    <w:link w:val="6"/>
    <w:autoRedefine/>
    <w:qFormat/>
    <w:uiPriority w:val="0"/>
    <w:rPr>
      <w:rFonts w:ascii="Calibri" w:hAnsi="Calibri"/>
      <w:kern w:val="2"/>
      <w:sz w:val="18"/>
      <w:szCs w:val="18"/>
    </w:rPr>
  </w:style>
  <w:style w:type="character" w:customStyle="1" w:styleId="36">
    <w:name w:val="页脚 Char"/>
    <w:basedOn w:val="9"/>
    <w:link w:val="5"/>
    <w:autoRedefine/>
    <w:qFormat/>
    <w:uiPriority w:val="0"/>
    <w:rPr>
      <w:rFonts w:ascii="Calibri" w:hAnsi="Calibri"/>
      <w:kern w:val="2"/>
      <w:sz w:val="18"/>
      <w:szCs w:val="18"/>
    </w:rPr>
  </w:style>
  <w:style w:type="character" w:customStyle="1" w:styleId="37">
    <w:name w:val="批注框文本 Char"/>
    <w:basedOn w:val="9"/>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dc21e07-1415-44a5-b45e-76bc1582613b}"/>
        <w:style w:val=""/>
        <w:category>
          <w:name w:val="常规"/>
          <w:gallery w:val="placeholder"/>
        </w:category>
        <w:types>
          <w:type w:val="bbPlcHdr"/>
        </w:types>
        <w:behaviors>
          <w:behavior w:val="content"/>
        </w:behaviors>
        <w:description w:val=""/>
        <w:guid w:val="{1DC21E07-1415-44A5-B45E-76BC1582613B}"/>
      </w:docPartPr>
      <w:docPartBody>
        <w:p>
          <w:pPr>
            <w:pStyle w:val="4"/>
          </w:pPr>
          <w:r>
            <w:rPr>
              <w:rStyle w:val="5"/>
              <w:rFonts w:hint="eastAsia"/>
            </w:rPr>
            <w:t>单击或点击此处输入文字。</w:t>
          </w:r>
        </w:p>
      </w:docPartBody>
    </w:docPart>
    <w:docPart>
      <w:docPartPr>
        <w:name w:val="{b1b37f82-66b7-4d17-b853-f4aea24f7f0b}"/>
        <w:style w:val=""/>
        <w:category>
          <w:name w:val="常规"/>
          <w:gallery w:val="placeholder"/>
        </w:category>
        <w:types>
          <w:type w:val="bbPlcHdr"/>
        </w:types>
        <w:behaviors>
          <w:behavior w:val="content"/>
        </w:behaviors>
        <w:description w:val=""/>
        <w:guid w:val="{B1B37F82-66B7-4D17-B853-F4AEA24F7F0B}"/>
      </w:docPartPr>
      <w:docPartBody>
        <w:p>
          <w:pPr>
            <w:pStyle w:val="6"/>
          </w:pPr>
          <w:r>
            <w:rPr>
              <w:rStyle w:val="5"/>
              <w:rFonts w:hint="eastAsia"/>
            </w:rPr>
            <w:t>选择一项。</w:t>
          </w:r>
        </w:p>
      </w:docPartBody>
    </w:docPart>
    <w:docPart>
      <w:docPartPr>
        <w:name w:val="{039f6908-de20-4a28-874b-4c8524d4d814}"/>
        <w:style w:val=""/>
        <w:category>
          <w:name w:val="常规"/>
          <w:gallery w:val="placeholder"/>
        </w:category>
        <w:types>
          <w:type w:val="bbPlcHdr"/>
        </w:types>
        <w:behaviors>
          <w:behavior w:val="content"/>
        </w:behaviors>
        <w:description w:val=""/>
        <w:guid w:val="{039F6908-DE20-4A28-874B-4C8524D4D814}"/>
      </w:docPartPr>
      <w:docPartBody>
        <w:p>
          <w:pPr>
            <w:pStyle w:val="7"/>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810E0"/>
    <w:rsid w:val="009810E0"/>
    <w:rsid w:val="00DE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D794DE25DA3342F085EE5786E9E4C266"/>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 w:type="paragraph" w:customStyle="1" w:styleId="6">
    <w:name w:val="9F4917413C194F1B8F730E37FE8EB0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E763D5FB9B740538BDED4C41301B65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756</Words>
  <Characters>4310</Characters>
  <Lines>35</Lines>
  <Paragraphs>10</Paragraphs>
  <TotalTime>2</TotalTime>
  <ScaleCrop>false</ScaleCrop>
  <LinksUpToDate>false</LinksUpToDate>
  <CharactersWithSpaces>5056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2023-02-18T08:40:00Z</dcterms:created>
  <dc:creator>asus</dc:creator>
  <cp:lastModifiedBy>阿嘉仔</cp:lastModifiedBy>
  <dcterms:modified xsi:type="dcterms:W3CDTF">2024-01-30T02:03:25Z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F39116041E9649729CEFEFE56AEFDFA7_13</vt:lpwstr>
  </property>
</Properties>
</file>