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  <w:t>《胡萝卜采后处理及冷链运输技术规范》</w:t>
      </w:r>
    </w:p>
    <w:p>
      <w:pPr>
        <w:spacing w:before="156" w:beforeLines="50"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  <w:t>编制说明</w:t>
      </w:r>
    </w:p>
    <w:p>
      <w:pPr>
        <w:spacing w:before="156" w:beforeLines="50"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</w:t>
      </w:r>
    </w:p>
    <w:p>
      <w:pPr>
        <w:numPr>
          <w:ilvl w:val="0"/>
          <w:numId w:val="2"/>
        </w:numPr>
        <w:spacing w:before="156" w:beforeLines="50" w:line="36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工作简况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1.任务来源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为了规范陕西省胡萝卜采后处理及冷链运输技术，渭南市农业科学研究院申报并获批入选2023年度陕西省地方标准制修订项目计划—胡萝卜采后处理及冷链运输技术规范（项目编号：SDBXM142-2023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zh-TW" w:eastAsia="zh-CN" w:bidi="ar-SA"/>
        </w:rPr>
        <w:t>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按照“陕西省市场监督管理局关于下达2023年度陕西省地方标准制修订项目计划的通知”(陕市监函〔2023〕410 号)文件的要求，特起草本标准。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2.标准制定的目的意义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胡萝卜是维生素A的重要来源，不仅含有丰富的胡萝卜素，还可以促进细胞生长，具有保护人体细胞组织的功能和作用，素有“小人参”之称，营养价值和药用价值较高，深受广大消费者的喜爱。目前我国已经成为世界胡萝卜第一生产国，而陕西省常年胡萝卜种植面积有40万亩左右，产品主要销往云南、贵州、湖南等地；胡萝卜作为我省重要的区域优势特色产业，在助力乡村振兴、优化产业结构、带动农民脱贫致富以及壮大地方经济方面起到了的积极的推动作用。</w:t>
      </w:r>
    </w:p>
    <w:p>
      <w:pPr>
        <w:pStyle w:val="3"/>
        <w:adjustRightInd/>
        <w:snapToGrid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近年来，全国胡萝卜主产区约50%的产品由陕西省胡萝卜种植企业收购并销售处理，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从田间采收的胡萝卜，大小不一并带有泥沙,若不进行采后处理,商品性将大打折扣，经济效益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。目前我省在胡萝卜采后处理加工方面尚无标准化的操作规程，种植大户和收购企业对胡萝卜的采后处理仅凭经验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盲目探索，具体操作中常因采后处理技术不规范或冷链运输中操作不当，导致胡萝卜商品率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，给企业带来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较大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的经济损失，影响了出口创汇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效益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，对胡萝卜全产业链发展造成了很大影响。</w:t>
      </w:r>
    </w:p>
    <w:p>
      <w:pPr>
        <w:pStyle w:val="3"/>
        <w:adjustRightInd/>
        <w:snapToGrid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该规程的制定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可有效规范胡萝卜采后处理及冷链运输中的具体操作技术；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对发展全产业链区域优势特色产业具有促进作用；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对助力产业振兴，发展地方区域经济具有重要意义。</w:t>
      </w:r>
    </w:p>
    <w:p>
      <w:pPr>
        <w:pStyle w:val="3"/>
        <w:adjustRightInd/>
        <w:snapToGrid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3.主要工作过程</w:t>
      </w:r>
    </w:p>
    <w:p>
      <w:pPr>
        <w:pStyle w:val="3"/>
        <w:adjustRightInd/>
        <w:snapToGrid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  <w:t>3.1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  <w:t>技术来源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（1）渭南市农业科学研究院在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胡萝卜产区、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大荔县荔盛萝卜专业合作社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等地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对胡萝卜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采后处理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进行了实地考察和研究，设计适宜胡萝卜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预冷和贮藏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适宜温湿度等环境条件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，并研究与其配套的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所需设备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（2）调查掌握胡萝卜主产区的生产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规模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采后处理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、以及产后销售等方面的情况。并对目前的情况和标准的执行应用情况进行了解。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（3）课题组成员从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胡萝卜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品种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选择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、栽培模式更新、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采收时期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预冷和贮藏方法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运输设备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等方面进行了科学研究和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反复讨论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，并从品质、商品率等方面对该项技术的产品进行了评价，制定了本规程的相关内容。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（4）参考现有相关标准，总结引用部分内容，参考的主要标准有：GB 4806.7  食品安全国家标准 食品接触用塑料材料及制品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 5749  生活饮用水卫生标准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GB/T 191  包装储运图示标志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GB/T 4456  包装用聚乙烯吹塑薄膜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GB/T 6543  运输包装用单瓦楞纸箱和双瓦楞纸箱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GB/T 4892  硬质直方体运输包装尺寸系列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GB/T 33129  新鲜水果、蔬菜包装和冷链运输通用操作规程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GH/T 1239  果蔬风冷预冷装备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QC/T 449  保温车、冷藏车技术条件及试验方法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before="156" w:beforeLines="5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3.2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编制过程</w:t>
      </w:r>
    </w:p>
    <w:p>
      <w:pPr>
        <w:spacing w:before="156" w:beforeLines="5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本标准的编制工作从20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年5月开始，由渭南市农业科学研究院主持起草工作、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榆林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市农业科学研究院、宝鸡市农业科学研究院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大荔县荔盛萝卜专业合作社、大荔县设施农业发展中心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协助完成。</w:t>
      </w:r>
    </w:p>
    <w:p>
      <w:pPr>
        <w:spacing w:before="156" w:beforeLines="50" w:line="360" w:lineRule="auto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本标准的编制过程中，编写人员首先是收集、查阅胡萝卜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贮藏运输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领域的相关资料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国内法规、标准、规范、办法，掌握胡萝卜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储运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技术应用的实际情况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参照相近的国家标准、行业标准确定本标准中的各项指标，于20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年11月形成标准编写提纲。其次是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团队成员积极开展胡萝卜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贮藏运输技术的调研与测试，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在渭南市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胡萝卜产区及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大荔县荔盛萝卜专业合作社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等地开展了全面的调研工作，与相关人员研讨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贮藏运输技术及改进措施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针对有关胡萝卜贮运主要技术指标进行测试，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于202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形成《胡萝卜采后处理及冷链运输技术规范》标准初稿，202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月形成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该标准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征求意见稿。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4.起草组成员及承担任务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起草组成员共计1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 xml:space="preserve">人，分别承担任务如下： 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赵增寿，渭南市农业科学研究院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高级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农艺师，负责标准起草编写工作。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赵银平，渭南市农业科学研究院农艺师，负责该标准的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文本编写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张永民，渭南市农业科学研究院副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院长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，协助完成标准的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统筹协调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史亮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，渭南市农业科学研究院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高级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农艺师，负责标准的文本规范工作。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高敏丽，渭南市农业科学研究院高级农艺师，负责该技术标准的文本规范工作。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王璞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，渭南市农业科学研究院农艺师，负责标准的材料搜集工作。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耿永胜，大荔县荔盛萝卜专业合作社总经理，负责该技术标准的技术校准工作。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辛鑫，宝鸡市农业科学研究院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高级农艺师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，负责标准的材料文本校准工作。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霍红盼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，渭南市农业科所研究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农艺师，负责该技术标准的调研工作。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杨琳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，渭南市农业科所研究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农艺师，负责该技术标准的调研工作。</w:t>
      </w:r>
    </w:p>
    <w:p>
      <w:pPr>
        <w:spacing w:line="360" w:lineRule="auto"/>
        <w:ind w:firstLine="600" w:firstLineChars="200"/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王震，大荔县设施农业发展中心农艺师，负责该技术标准的技术指标调研工作。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张芙蓉，榆林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高级农艺师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，负责标准的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技术校对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工作。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张显，西北农林科技大学园艺学院教授，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负责该技术标准的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技术指导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工作。</w:t>
      </w:r>
    </w:p>
    <w:p>
      <w:pPr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shd w:val="clear" w:color="auto" w:fill="FFFFFF"/>
        </w:rPr>
        <w:t>二、标准编制原则和确定标准主要内容</w:t>
      </w:r>
    </w:p>
    <w:p>
      <w:pPr>
        <w:pStyle w:val="7"/>
        <w:numPr>
          <w:ilvl w:val="0"/>
          <w:numId w:val="3"/>
        </w:numPr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编写原则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本标准制定严格按GB/T1.1-2020《标准化工作导则第1部分：标准的结构和编写规则》，GB/T1.2《标准化工作导则第2部分:标准中规范性技术要素内容的确定方法》要求进行。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本标准的编制遵循“科学性、适应性、通用性、安全可靠性和可操作性”的原则。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1.1 科学性原则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本标准编制前对市场及该产业标准限定范围内的胡萝卜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储运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进行了充分的产业调研，又融入当前先进的、科学的操作手段，理论与实际紧密结合，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对标准文稿进行反复研讨，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尽可能做到技术和实践上的科学性。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1.2 适应性原则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《胡萝卜采后处理及冷链运输技术规范》的制定，适应当前陕西省农业产业脱贫、发展区域优势特色产业的方针政策和要求，且该项技术目前在陕西省胡萝卜主产区已形成一定的规模，对当地农业增产、农民增收起到了积极的推动作用，能够在提高生产效益的同时兼顾社会效益和生态效益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1.3 通用性原则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本标准制定引用了同产业（行业）的相关标准，并通过调研、立足现实生产需要，将目前陕西省胡萝卜主产区的</w:t>
      </w:r>
      <w:r>
        <w:rPr>
          <w:rFonts w:hint="eastAsia" w:eastAsia="仿宋_GB2312" w:cs="Times New Roman"/>
          <w:color w:val="auto"/>
          <w:sz w:val="30"/>
          <w:szCs w:val="30"/>
          <w:lang w:eastAsia="zh-CN"/>
        </w:rPr>
        <w:t>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运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技术进行提炼、总结、集成，因此该规程</w:t>
      </w:r>
      <w:r>
        <w:rPr>
          <w:rFonts w:hint="eastAsia" w:eastAsia="仿宋_GB2312" w:cs="Times New Roman"/>
          <w:color w:val="auto"/>
          <w:sz w:val="30"/>
          <w:szCs w:val="30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相同的农业环境、气候条件区域均可使用，充分体现通用性原则。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1.4 安全可靠性原则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本标准对陕西省胡萝卜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采后处理及冷链运输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过程中，各生产环节做了详尽的说明和规范，引用了当前国内胡萝卜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采后处理及冷链运输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中的主要技术标准，规范内容安全可靠。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1.5可操作性原则</w:t>
      </w:r>
    </w:p>
    <w:p>
      <w:pPr>
        <w:pStyle w:val="7"/>
        <w:spacing w:before="30" w:beforeAutospacing="0" w:after="3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本标准是在陕西省胡萝卜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采后处理及冷链运输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进行了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/>
        </w:rPr>
        <w:t>多次调试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t>，并对该规程适宜范围进行严格限定后制定的，内容通俗易懂、紧密联系生产实际，充分体现了可操作性原则。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与原有相关技术标准的差异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40" w:lineRule="atLeast"/>
        <w:ind w:left="0" w:right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2.1标准编号及名称：T/GXAS 069-2020《胡萝卜采后商品化处理及冷链运输操作技术规程》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2.2发布单位：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广西壮族自治区农业科学院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2.3发布时间：20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月1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日。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2.4主要技术指标对比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（1）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分级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T/GXAS 069-2020《胡萝卜采后商品化处理及冷链运输操作技术规程》分级为特级、一级、二级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3个等级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；该标准按特级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一级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二级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三级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4个等级划分，不仅有外观性状的划分，还有大小质量的划分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eastAsia="zh-CN"/>
        </w:rPr>
        <w:t>，更加详细具体。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（2）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预冷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T/GXAS 069-2020《胡萝卜采后商品化处理及冷链运输操作技术规程》预冷温度是-1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2℃，湿度为90%；该标准预冷在温度-1℃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1℃，湿度70%以上的环境下。</w:t>
      </w:r>
    </w:p>
    <w:p>
      <w:pPr>
        <w:pStyle w:val="7"/>
        <w:spacing w:before="0" w:beforeAutospacing="0" w:after="0" w:afterAutospacing="0"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（3）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/>
        </w:rPr>
        <w:t>贮藏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T/GXAS 069-2020《胡萝卜采后商品化处理及冷链运输操作技术规程》贮藏时湿度为90%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95%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该标准贮藏时湿度为70%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>80%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。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ind w:firstLine="560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</w:rPr>
        <w:t>主要内容</w:t>
      </w:r>
    </w:p>
    <w:p>
      <w:pPr>
        <w:widowControl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共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部分内容，包括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范围、规范性引用文件、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整理</w:t>
      </w:r>
      <w:r>
        <w:rPr>
          <w:rFonts w:hint="eastAsia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筛选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、清洗、分级、包装、标识、预冷、贮藏以及运输。</w:t>
      </w:r>
    </w:p>
    <w:p>
      <w:pPr>
        <w:numPr>
          <w:ilvl w:val="255"/>
          <w:numId w:val="0"/>
        </w:numPr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验证</w:t>
      </w:r>
    </w:p>
    <w:p>
      <w:pPr>
        <w:numPr>
          <w:ilvl w:val="255"/>
          <w:numId w:val="0"/>
        </w:numPr>
        <w:spacing w:line="360" w:lineRule="auto"/>
        <w:ind w:firstLine="588" w:firstLineChars="196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在编写过程中，渭南市农业科学研究院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从任务下达后制定起草编写方案和进度安排，明确任务职责，深入胡萝卜生产销售等有代表性等合作社、农户、企业进行调研，掌握实际技术要求，征求大家意见，召开研讨会，起草草案并反复研究讨论，形成征求意见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四、知识产权说明</w:t>
      </w:r>
    </w:p>
    <w:p>
      <w:pPr>
        <w:spacing w:line="600" w:lineRule="atLeas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标准制定过程中参考了以下标准，结合当前生产实际进行了创新，完成了标准的编写。标准中不涉及相关专利。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bookmarkStart w:id="0" w:name="_Toc19107356"/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 4806.7  食品安全国家标准 食品接触用塑料材料及制品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 5749  生活饮用水卫生标准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GB/T 191  包装储运图示标志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GB/T 4456  包装用聚乙烯吹塑薄膜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GB/T 6543  运输包装用单瓦楞纸箱和双瓦楞纸箱 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GB/T 4892  硬质直方体运输包装尺寸系列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GB/T 33129  新鲜水果、蔬菜包装和冷链运输通用操作规程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GH/T 1239  果蔬风冷预冷装备</w:t>
      </w:r>
    </w:p>
    <w:p>
      <w:pPr>
        <w:pStyle w:val="16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QC/T 449  保温车、冷藏车技术条件及试验方法</w:t>
      </w:r>
    </w:p>
    <w:bookmarkEnd w:id="0"/>
    <w:p>
      <w:pPr>
        <w:ind w:firstLine="602" w:firstLineChars="200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五、重大意见分歧的处理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本标准无重大分歧意见。</w:t>
      </w:r>
    </w:p>
    <w:p>
      <w:pPr>
        <w:widowControl/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六、标准性质的建议说明</w:t>
      </w:r>
    </w:p>
    <w:p>
      <w:pPr>
        <w:widowControl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本标准未采用国际标准和国外标准。本标准具有一定的地域限制性，建议发布实施过程中要按照在本标准规定区域范围内应用，将本标准作为推荐性地方标准批准发布。</w:t>
      </w:r>
    </w:p>
    <w:p>
      <w:pPr>
        <w:widowControl/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eastAsia" w:eastAsia="仿宋_GB2312" w:cs="Times New Roman"/>
          <w:b/>
          <w:color w:val="auto"/>
          <w:sz w:val="30"/>
          <w:szCs w:val="30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其他应予说明的事项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标准征求意见稿是经多次讨论、协商、统一形成的，同时欢迎相关领导、专家提出宝贵的意见和建议，以完善该规程，适应技术和生产发展的需要，推动我省胡萝卜产业的健康发展。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9AF4C16"/>
    <w:multiLevelType w:val="singleLevel"/>
    <w:tmpl w:val="59AF4C1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AFBC55"/>
    <w:multiLevelType w:val="singleLevel"/>
    <w:tmpl w:val="59AFBC5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mQwZTNhNDc3NmQyN2NhNWE0YzhlZDVkYjVkNDEifQ=="/>
  </w:docVars>
  <w:rsids>
    <w:rsidRoot w:val="00BF3C07"/>
    <w:rsid w:val="000173D7"/>
    <w:rsid w:val="00027AC6"/>
    <w:rsid w:val="00035C29"/>
    <w:rsid w:val="00063D4F"/>
    <w:rsid w:val="000943CE"/>
    <w:rsid w:val="000B13AF"/>
    <w:rsid w:val="000E706A"/>
    <w:rsid w:val="00140412"/>
    <w:rsid w:val="00156498"/>
    <w:rsid w:val="001564E2"/>
    <w:rsid w:val="00161A58"/>
    <w:rsid w:val="001673A8"/>
    <w:rsid w:val="00171E6F"/>
    <w:rsid w:val="001E7D99"/>
    <w:rsid w:val="001F3935"/>
    <w:rsid w:val="00215768"/>
    <w:rsid w:val="0021753F"/>
    <w:rsid w:val="00226D22"/>
    <w:rsid w:val="00227480"/>
    <w:rsid w:val="002D758D"/>
    <w:rsid w:val="002F5C89"/>
    <w:rsid w:val="0037611B"/>
    <w:rsid w:val="003821AE"/>
    <w:rsid w:val="003A5798"/>
    <w:rsid w:val="003C4E0F"/>
    <w:rsid w:val="003D7DFA"/>
    <w:rsid w:val="0042486E"/>
    <w:rsid w:val="004B6205"/>
    <w:rsid w:val="004C627E"/>
    <w:rsid w:val="004E670C"/>
    <w:rsid w:val="0050096C"/>
    <w:rsid w:val="005016F9"/>
    <w:rsid w:val="005157A6"/>
    <w:rsid w:val="00534911"/>
    <w:rsid w:val="005401B9"/>
    <w:rsid w:val="00545ACE"/>
    <w:rsid w:val="005E10CB"/>
    <w:rsid w:val="005F240F"/>
    <w:rsid w:val="005F5520"/>
    <w:rsid w:val="005F6B45"/>
    <w:rsid w:val="00606566"/>
    <w:rsid w:val="0063689B"/>
    <w:rsid w:val="00690CE8"/>
    <w:rsid w:val="006B2A5B"/>
    <w:rsid w:val="006C3DBC"/>
    <w:rsid w:val="00712CA7"/>
    <w:rsid w:val="0073122E"/>
    <w:rsid w:val="00816F22"/>
    <w:rsid w:val="0088677E"/>
    <w:rsid w:val="008C431F"/>
    <w:rsid w:val="00903929"/>
    <w:rsid w:val="00922974"/>
    <w:rsid w:val="0093660A"/>
    <w:rsid w:val="00940F8A"/>
    <w:rsid w:val="009B6949"/>
    <w:rsid w:val="009E239A"/>
    <w:rsid w:val="009E3491"/>
    <w:rsid w:val="009F5D82"/>
    <w:rsid w:val="00A22A47"/>
    <w:rsid w:val="00A53589"/>
    <w:rsid w:val="00A92173"/>
    <w:rsid w:val="00AC34FC"/>
    <w:rsid w:val="00AF03E0"/>
    <w:rsid w:val="00B16622"/>
    <w:rsid w:val="00B533C2"/>
    <w:rsid w:val="00BE294A"/>
    <w:rsid w:val="00BF3C07"/>
    <w:rsid w:val="00C713EE"/>
    <w:rsid w:val="00C73649"/>
    <w:rsid w:val="00C75DB8"/>
    <w:rsid w:val="00C91126"/>
    <w:rsid w:val="00CB7C14"/>
    <w:rsid w:val="00CC10AC"/>
    <w:rsid w:val="00CD7827"/>
    <w:rsid w:val="00CF1E36"/>
    <w:rsid w:val="00CF4BDC"/>
    <w:rsid w:val="00D03D04"/>
    <w:rsid w:val="00D3097A"/>
    <w:rsid w:val="00D4705E"/>
    <w:rsid w:val="00D56EC5"/>
    <w:rsid w:val="00D678F9"/>
    <w:rsid w:val="00DB1CE5"/>
    <w:rsid w:val="00DB663E"/>
    <w:rsid w:val="00E0446E"/>
    <w:rsid w:val="00E6051E"/>
    <w:rsid w:val="00EB7030"/>
    <w:rsid w:val="00EC4251"/>
    <w:rsid w:val="00ED2C6E"/>
    <w:rsid w:val="00F02CAE"/>
    <w:rsid w:val="00F301C2"/>
    <w:rsid w:val="00F57C03"/>
    <w:rsid w:val="00FA1145"/>
    <w:rsid w:val="00FB5F6C"/>
    <w:rsid w:val="00FD0848"/>
    <w:rsid w:val="00FE1EB2"/>
    <w:rsid w:val="00FF2C3B"/>
    <w:rsid w:val="06EC09AC"/>
    <w:rsid w:val="08F74BD4"/>
    <w:rsid w:val="1AE6196C"/>
    <w:rsid w:val="23306498"/>
    <w:rsid w:val="250366FD"/>
    <w:rsid w:val="2DD52D7B"/>
    <w:rsid w:val="2F25260C"/>
    <w:rsid w:val="3070385A"/>
    <w:rsid w:val="3C614B2C"/>
    <w:rsid w:val="46F20E49"/>
    <w:rsid w:val="47F164E0"/>
    <w:rsid w:val="49831FB1"/>
    <w:rsid w:val="4B7A73E4"/>
    <w:rsid w:val="4FEE40C2"/>
    <w:rsid w:val="50C103F1"/>
    <w:rsid w:val="52F6093F"/>
    <w:rsid w:val="55733821"/>
    <w:rsid w:val="59B83EF9"/>
    <w:rsid w:val="5C124D64"/>
    <w:rsid w:val="5D624EEF"/>
    <w:rsid w:val="66E12DA8"/>
    <w:rsid w:val="6B594E10"/>
    <w:rsid w:val="6C524FA2"/>
    <w:rsid w:val="704E0CBB"/>
    <w:rsid w:val="7318735E"/>
    <w:rsid w:val="746C513D"/>
    <w:rsid w:val="7CF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autoSpaceDE w:val="0"/>
      <w:autoSpaceDN w:val="0"/>
      <w:adjustRightInd w:val="0"/>
      <w:snapToGrid w:val="0"/>
      <w:spacing w:line="360" w:lineRule="auto"/>
      <w:ind w:firstLine="640" w:firstLineChars="200"/>
      <w:textAlignment w:val="baseline"/>
    </w:pPr>
    <w:rPr>
      <w:rFonts w:ascii="宋体" w:cs="宋体"/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99"/>
    <w:rPr>
      <w:rFonts w:ascii="宋体" w:hAnsi="Times New Roman" w:eastAsia="宋体" w:cs="宋体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段 Char"/>
    <w:link w:val="16"/>
    <w:qFormat/>
    <w:uiPriority w:val="0"/>
    <w:rPr>
      <w:rFonts w:ascii="宋体"/>
      <w:sz w:val="21"/>
    </w:rPr>
  </w:style>
  <w:style w:type="paragraph" w:customStyle="1" w:styleId="16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  <w:style w:type="paragraph" w:customStyle="1" w:styleId="17">
    <w:name w:val="章标题"/>
    <w:next w:val="16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3438</Words>
  <Characters>3699</Characters>
  <Lines>25</Lines>
  <Paragraphs>7</Paragraphs>
  <TotalTime>8</TotalTime>
  <ScaleCrop>false</ScaleCrop>
  <LinksUpToDate>false</LinksUpToDate>
  <CharactersWithSpaces>3769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2021-05-06T07:13:00Z</dcterms:created>
  <dc:creator>AutoBVT</dc:creator>
  <cp:lastModifiedBy>水说心很透明</cp:lastModifiedBy>
  <cp:lastPrinted>2024-06-26T01:54:00Z</cp:lastPrinted>
  <dcterms:modified xsi:type="dcterms:W3CDTF">2024-06-28T07:24:16Z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EDF12545158F48169A0D6AD1D1914D2C_13</vt:lpwstr>
  </property>
</Properties>
</file>