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D85CC">
      <w:pPr>
        <w:spacing w:line="720" w:lineRule="auto"/>
        <w:jc w:val="center"/>
        <w:rPr>
          <w:rFonts w:ascii="宋体"/>
          <w:bCs/>
          <w:sz w:val="44"/>
          <w:szCs w:val="44"/>
        </w:rPr>
      </w:pPr>
    </w:p>
    <w:p w14:paraId="1B2E2E26">
      <w:pPr>
        <w:spacing w:line="720" w:lineRule="auto"/>
        <w:jc w:val="center"/>
        <w:rPr>
          <w:rFonts w:ascii="宋体"/>
          <w:bCs/>
          <w:sz w:val="44"/>
          <w:szCs w:val="44"/>
        </w:rPr>
      </w:pPr>
    </w:p>
    <w:p w14:paraId="66E91539">
      <w:pPr>
        <w:spacing w:line="720" w:lineRule="auto"/>
        <w:jc w:val="center"/>
        <w:rPr>
          <w:rFonts w:ascii="宋体"/>
          <w:bCs/>
          <w:sz w:val="44"/>
          <w:szCs w:val="44"/>
        </w:rPr>
      </w:pPr>
      <w:r>
        <w:rPr>
          <w:rFonts w:hint="eastAsia" w:ascii="宋体" w:hAnsi="宋体"/>
          <w:bCs/>
          <w:sz w:val="44"/>
          <w:szCs w:val="44"/>
          <w:lang w:val="en-US" w:eastAsia="zh-CN"/>
        </w:rPr>
        <w:t>陕西</w:t>
      </w:r>
      <w:r>
        <w:rPr>
          <w:rFonts w:hint="eastAsia" w:ascii="宋体" w:hAnsi="宋体"/>
          <w:bCs/>
          <w:sz w:val="44"/>
          <w:szCs w:val="44"/>
        </w:rPr>
        <w:t>省地方标准</w:t>
      </w:r>
    </w:p>
    <w:p w14:paraId="77136905">
      <w:pPr>
        <w:spacing w:line="720" w:lineRule="auto"/>
        <w:jc w:val="center"/>
        <w:rPr>
          <w:rFonts w:ascii="宋体"/>
          <w:sz w:val="44"/>
          <w:szCs w:val="44"/>
        </w:rPr>
      </w:pPr>
      <w:r>
        <w:rPr>
          <w:rFonts w:hint="eastAsia" w:ascii="宋体" w:hAnsi="宋体"/>
          <w:bCs/>
          <w:sz w:val="44"/>
          <w:szCs w:val="44"/>
        </w:rPr>
        <w:t>《</w:t>
      </w:r>
      <w:r>
        <w:rPr>
          <w:rFonts w:hint="eastAsia" w:ascii="宋体" w:hAnsi="宋体"/>
          <w:sz w:val="44"/>
          <w:szCs w:val="44"/>
        </w:rPr>
        <w:t>车用汽油快速检测方法</w:t>
      </w:r>
    </w:p>
    <w:p w14:paraId="54700DE5">
      <w:pPr>
        <w:spacing w:line="720" w:lineRule="auto"/>
        <w:jc w:val="center"/>
        <w:rPr>
          <w:rFonts w:ascii="宋体"/>
          <w:bCs/>
          <w:sz w:val="44"/>
          <w:szCs w:val="44"/>
        </w:rPr>
      </w:pPr>
      <w:r>
        <w:rPr>
          <w:rFonts w:hint="eastAsia" w:ascii="宋体" w:hAnsi="宋体"/>
          <w:sz w:val="44"/>
          <w:szCs w:val="44"/>
        </w:rPr>
        <w:t>近红外光谱法</w:t>
      </w:r>
      <w:r>
        <w:rPr>
          <w:rFonts w:hint="eastAsia" w:ascii="宋体" w:hAnsi="宋体"/>
          <w:bCs/>
          <w:sz w:val="44"/>
          <w:szCs w:val="44"/>
        </w:rPr>
        <w:t>》</w:t>
      </w:r>
    </w:p>
    <w:p w14:paraId="0928BEBE">
      <w:pPr>
        <w:spacing w:line="480" w:lineRule="auto"/>
        <w:jc w:val="center"/>
        <w:rPr>
          <w:rFonts w:ascii="宋体"/>
          <w:b/>
          <w:bCs/>
          <w:sz w:val="72"/>
          <w:szCs w:val="72"/>
        </w:rPr>
      </w:pPr>
      <w:r>
        <w:rPr>
          <w:rFonts w:hint="eastAsia" w:ascii="宋体" w:hAnsi="宋体"/>
          <w:b/>
          <w:bCs/>
          <w:sz w:val="72"/>
          <w:szCs w:val="72"/>
        </w:rPr>
        <w:t>编</w:t>
      </w:r>
      <w:r>
        <w:rPr>
          <w:b/>
          <w:bCs/>
          <w:sz w:val="72"/>
          <w:szCs w:val="72"/>
        </w:rPr>
        <w:t></w:t>
      </w:r>
      <w:r>
        <w:rPr>
          <w:rFonts w:hint="eastAsia" w:ascii="宋体" w:hAnsi="宋体"/>
          <w:b/>
          <w:bCs/>
          <w:sz w:val="72"/>
          <w:szCs w:val="72"/>
        </w:rPr>
        <w:t>制</w:t>
      </w:r>
      <w:r>
        <w:rPr>
          <w:b/>
          <w:bCs/>
          <w:sz w:val="72"/>
          <w:szCs w:val="72"/>
        </w:rPr>
        <w:t></w:t>
      </w:r>
      <w:r>
        <w:rPr>
          <w:rFonts w:hint="eastAsia" w:ascii="宋体" w:hAnsi="宋体"/>
          <w:b/>
          <w:bCs/>
          <w:sz w:val="72"/>
          <w:szCs w:val="72"/>
        </w:rPr>
        <w:t>说</w:t>
      </w:r>
      <w:r>
        <w:rPr>
          <w:b/>
          <w:bCs/>
          <w:sz w:val="72"/>
          <w:szCs w:val="72"/>
        </w:rPr>
        <w:t></w:t>
      </w:r>
      <w:r>
        <w:rPr>
          <w:rFonts w:hint="eastAsia" w:ascii="宋体" w:hAnsi="宋体"/>
          <w:b/>
          <w:bCs/>
          <w:sz w:val="72"/>
          <w:szCs w:val="72"/>
        </w:rPr>
        <w:t>明</w:t>
      </w:r>
    </w:p>
    <w:p w14:paraId="4F1143EC">
      <w:pPr>
        <w:spacing w:line="360" w:lineRule="auto"/>
        <w:jc w:val="center"/>
        <w:rPr>
          <w:rFonts w:ascii="宋体"/>
          <w:b/>
          <w:bCs/>
          <w:sz w:val="72"/>
          <w:szCs w:val="72"/>
        </w:rPr>
      </w:pPr>
    </w:p>
    <w:p w14:paraId="5AB2B612">
      <w:pPr>
        <w:spacing w:line="360" w:lineRule="auto"/>
        <w:jc w:val="center"/>
        <w:rPr>
          <w:rFonts w:ascii="宋体"/>
          <w:b/>
          <w:bCs/>
          <w:sz w:val="24"/>
        </w:rPr>
      </w:pPr>
    </w:p>
    <w:p w14:paraId="40CC2F22">
      <w:pPr>
        <w:spacing w:line="360" w:lineRule="auto"/>
        <w:jc w:val="center"/>
        <w:rPr>
          <w:rFonts w:ascii="宋体"/>
          <w:b/>
          <w:bCs/>
          <w:sz w:val="24"/>
        </w:rPr>
      </w:pPr>
    </w:p>
    <w:p w14:paraId="75C00DD0">
      <w:pPr>
        <w:spacing w:line="360" w:lineRule="auto"/>
        <w:jc w:val="center"/>
        <w:rPr>
          <w:rFonts w:ascii="宋体"/>
          <w:b/>
          <w:bCs/>
          <w:sz w:val="24"/>
        </w:rPr>
      </w:pPr>
    </w:p>
    <w:p w14:paraId="2A5FA747">
      <w:pPr>
        <w:spacing w:line="360" w:lineRule="auto"/>
        <w:jc w:val="center"/>
        <w:rPr>
          <w:rFonts w:ascii="宋体"/>
          <w:b/>
          <w:bCs/>
          <w:sz w:val="24"/>
        </w:rPr>
      </w:pPr>
    </w:p>
    <w:p w14:paraId="1DD63C58">
      <w:pPr>
        <w:spacing w:line="360" w:lineRule="auto"/>
        <w:jc w:val="center"/>
        <w:rPr>
          <w:rFonts w:ascii="宋体"/>
          <w:b/>
          <w:bCs/>
          <w:sz w:val="24"/>
        </w:rPr>
      </w:pPr>
    </w:p>
    <w:p w14:paraId="4191BC10">
      <w:pPr>
        <w:spacing w:line="360" w:lineRule="auto"/>
        <w:jc w:val="center"/>
        <w:rPr>
          <w:rFonts w:ascii="宋体"/>
          <w:b/>
          <w:bCs/>
          <w:sz w:val="24"/>
        </w:rPr>
      </w:pPr>
    </w:p>
    <w:p w14:paraId="3E70FAA8">
      <w:pPr>
        <w:spacing w:line="360" w:lineRule="auto"/>
        <w:jc w:val="center"/>
        <w:rPr>
          <w:rFonts w:ascii="宋体"/>
          <w:b/>
          <w:bCs/>
          <w:sz w:val="24"/>
        </w:rPr>
      </w:pPr>
    </w:p>
    <w:p w14:paraId="258E132D">
      <w:pPr>
        <w:spacing w:line="360" w:lineRule="auto"/>
        <w:jc w:val="center"/>
        <w:rPr>
          <w:rFonts w:ascii="宋体"/>
          <w:b/>
          <w:bCs/>
          <w:sz w:val="24"/>
        </w:rPr>
      </w:pPr>
    </w:p>
    <w:p w14:paraId="26AE5628">
      <w:pPr>
        <w:spacing w:line="360" w:lineRule="auto"/>
        <w:jc w:val="center"/>
        <w:rPr>
          <w:rFonts w:ascii="宋体"/>
          <w:b/>
          <w:bCs/>
          <w:sz w:val="24"/>
        </w:rPr>
      </w:pPr>
    </w:p>
    <w:p w14:paraId="6B7CBA16">
      <w:pPr>
        <w:spacing w:line="360" w:lineRule="auto"/>
        <w:jc w:val="center"/>
        <w:rPr>
          <w:rFonts w:ascii="宋体"/>
          <w:b/>
          <w:bCs/>
          <w:sz w:val="24"/>
        </w:rPr>
      </w:pPr>
    </w:p>
    <w:p w14:paraId="456234DA">
      <w:pPr>
        <w:spacing w:line="360" w:lineRule="auto"/>
        <w:jc w:val="center"/>
        <w:rPr>
          <w:rFonts w:ascii="宋体"/>
          <w:bCs/>
          <w:sz w:val="32"/>
          <w:szCs w:val="32"/>
        </w:rPr>
      </w:pPr>
      <w:r>
        <w:rPr>
          <w:rFonts w:hint="eastAsia" w:ascii="宋体" w:hAnsi="宋体"/>
          <w:bCs/>
          <w:sz w:val="32"/>
          <w:szCs w:val="32"/>
          <w:lang w:val="en-US" w:eastAsia="zh-CN"/>
        </w:rPr>
        <w:t>延安油气产品质量检验检测有限责任公司</w:t>
      </w:r>
    </w:p>
    <w:p w14:paraId="2D7916B1">
      <w:pPr>
        <w:spacing w:line="360" w:lineRule="auto"/>
        <w:jc w:val="center"/>
        <w:rPr>
          <w:rFonts w:ascii="宋体"/>
          <w:b/>
          <w:sz w:val="24"/>
        </w:rPr>
      </w:pPr>
      <w:r>
        <w:rPr>
          <w:rFonts w:hint="eastAsia" w:ascii="宋体" w:hAnsi="宋体"/>
          <w:bCs/>
          <w:sz w:val="32"/>
          <w:szCs w:val="32"/>
          <w:lang w:val="en-US" w:eastAsia="zh-CN"/>
        </w:rPr>
        <w:t>2024</w:t>
      </w:r>
      <w:r>
        <w:rPr>
          <w:rFonts w:hint="eastAsia" w:ascii="宋体" w:hAnsi="宋体"/>
          <w:bCs/>
          <w:sz w:val="32"/>
          <w:szCs w:val="32"/>
        </w:rPr>
        <w:t>年</w:t>
      </w:r>
      <w:r>
        <w:rPr>
          <w:rFonts w:hint="eastAsia" w:ascii="宋体" w:hAnsi="宋体"/>
          <w:bCs/>
          <w:sz w:val="32"/>
          <w:szCs w:val="32"/>
          <w:lang w:val="en-US" w:eastAsia="zh-CN"/>
        </w:rPr>
        <w:t>7</w:t>
      </w:r>
      <w:r>
        <w:rPr>
          <w:rFonts w:hint="eastAsia" w:ascii="宋体" w:hAnsi="宋体"/>
          <w:bCs/>
          <w:sz w:val="32"/>
          <w:szCs w:val="32"/>
        </w:rPr>
        <w:t>月</w:t>
      </w:r>
    </w:p>
    <w:p w14:paraId="505A71D3">
      <w:pPr>
        <w:pStyle w:val="11"/>
        <w:ind w:firstLine="560"/>
        <w:rPr>
          <w:rFonts w:hAnsi="宋体"/>
          <w:sz w:val="28"/>
          <w:szCs w:val="28"/>
        </w:rPr>
      </w:pPr>
      <w:r>
        <w:rPr>
          <w:rFonts w:hAnsi="宋体"/>
          <w:sz w:val="28"/>
          <w:szCs w:val="28"/>
        </w:rPr>
        <w:br w:type="page"/>
      </w:r>
    </w:p>
    <w:p w14:paraId="380EE616">
      <w:pPr>
        <w:autoSpaceDE w:val="0"/>
        <w:autoSpaceDN w:val="0"/>
        <w:adjustRightInd w:val="0"/>
        <w:snapToGrid w:val="0"/>
        <w:spacing w:line="360" w:lineRule="auto"/>
        <w:ind w:firstLine="560" w:firstLineChars="200"/>
        <w:jc w:val="left"/>
        <w:rPr>
          <w:rFonts w:ascii="宋体"/>
          <w:sz w:val="28"/>
          <w:szCs w:val="28"/>
        </w:rPr>
      </w:pPr>
      <w:r>
        <w:rPr>
          <w:rFonts w:hint="eastAsia" w:ascii="宋体" w:hAnsi="宋体"/>
          <w:sz w:val="28"/>
          <w:szCs w:val="28"/>
        </w:rPr>
        <w:t>根据</w:t>
      </w:r>
      <w:r>
        <w:rPr>
          <w:rFonts w:hint="eastAsia" w:ascii="宋体" w:hAnsi="宋体"/>
          <w:sz w:val="28"/>
          <w:szCs w:val="28"/>
          <w:lang w:val="en-US" w:eastAsia="zh-CN"/>
        </w:rPr>
        <w:t>陕西省</w:t>
      </w:r>
      <w:r>
        <w:rPr>
          <w:rFonts w:hint="eastAsia" w:ascii="宋体" w:hAnsi="宋体"/>
          <w:sz w:val="28"/>
          <w:szCs w:val="28"/>
        </w:rPr>
        <w:t>关于加快油品质量快速检测能力建设的要求，</w:t>
      </w:r>
      <w:r>
        <w:rPr>
          <w:rFonts w:hint="eastAsia" w:ascii="宋体" w:hAnsi="宋体"/>
          <w:sz w:val="28"/>
          <w:szCs w:val="28"/>
          <w:lang w:val="en-US" w:eastAsia="zh-CN"/>
        </w:rPr>
        <w:t>延安油气产品质量检验检测有限责任公司</w:t>
      </w:r>
      <w:r>
        <w:rPr>
          <w:rFonts w:hint="eastAsia" w:ascii="宋体" w:hAnsi="宋体"/>
          <w:sz w:val="28"/>
          <w:szCs w:val="28"/>
        </w:rPr>
        <w:t>已完成地方标准全部实验研究内容，并已形成</w:t>
      </w:r>
      <w:r>
        <w:rPr>
          <w:rFonts w:hint="eastAsia" w:ascii="宋体" w:hAnsi="宋体"/>
          <w:sz w:val="28"/>
          <w:szCs w:val="28"/>
          <w:lang w:val="en-US" w:eastAsia="zh-CN"/>
        </w:rPr>
        <w:t>征求意见</w:t>
      </w:r>
      <w:r>
        <w:rPr>
          <w:rFonts w:hint="eastAsia" w:ascii="宋体" w:hAnsi="宋体"/>
          <w:sz w:val="28"/>
          <w:szCs w:val="28"/>
        </w:rPr>
        <w:t>稿</w:t>
      </w:r>
      <w:r>
        <w:rPr>
          <w:rFonts w:hint="eastAsia" w:ascii="宋体" w:hAnsi="宋体"/>
          <w:sz w:val="28"/>
          <w:szCs w:val="28"/>
        </w:rPr>
        <w:t>，现对标准制定过程中的有关情况说明如下：</w:t>
      </w:r>
    </w:p>
    <w:p w14:paraId="2A672A4D">
      <w:pPr>
        <w:spacing w:line="360" w:lineRule="auto"/>
        <w:rPr>
          <w:rFonts w:ascii="宋体"/>
          <w:b/>
          <w:sz w:val="28"/>
          <w:szCs w:val="28"/>
        </w:rPr>
      </w:pPr>
      <w:r>
        <w:rPr>
          <w:rFonts w:hint="eastAsia" w:ascii="宋体" w:hAnsi="宋体"/>
          <w:b/>
          <w:sz w:val="28"/>
          <w:szCs w:val="28"/>
        </w:rPr>
        <w:t>一、制定标准的目的和意义</w:t>
      </w:r>
    </w:p>
    <w:p w14:paraId="6EFC6708">
      <w:pPr>
        <w:spacing w:line="360" w:lineRule="auto"/>
        <w:ind w:right="-17" w:rightChars="-8" w:firstLine="560" w:firstLineChars="200"/>
        <w:jc w:val="left"/>
        <w:rPr>
          <w:rFonts w:ascii="宋体"/>
          <w:sz w:val="28"/>
          <w:szCs w:val="28"/>
        </w:rPr>
      </w:pPr>
      <w:r>
        <w:rPr>
          <w:rFonts w:hint="eastAsia" w:ascii="宋体" w:hAnsi="宋体"/>
          <w:sz w:val="28"/>
          <w:szCs w:val="28"/>
        </w:rPr>
        <w:t>为贯彻落实《国务院关于印发打赢蓝天保卫战三年行动计划的通知》等有关文件的部署和要求，国家发展和改革委员会</w:t>
      </w:r>
      <w:r>
        <w:rPr>
          <w:rFonts w:ascii="宋体" w:hAnsi="宋体"/>
          <w:sz w:val="28"/>
          <w:szCs w:val="28"/>
        </w:rPr>
        <w:t>2018</w:t>
      </w:r>
      <w:r>
        <w:rPr>
          <w:rFonts w:hint="eastAsia" w:ascii="宋体" w:hAnsi="宋体"/>
          <w:sz w:val="28"/>
          <w:szCs w:val="28"/>
        </w:rPr>
        <w:t>年</w:t>
      </w:r>
      <w:r>
        <w:rPr>
          <w:rFonts w:ascii="宋体" w:hAnsi="宋体"/>
          <w:sz w:val="28"/>
          <w:szCs w:val="28"/>
        </w:rPr>
        <w:t>12</w:t>
      </w:r>
      <w:r>
        <w:rPr>
          <w:rFonts w:hint="eastAsia" w:ascii="宋体" w:hAnsi="宋体"/>
          <w:sz w:val="28"/>
          <w:szCs w:val="28"/>
        </w:rPr>
        <w:t>月</w:t>
      </w:r>
      <w:r>
        <w:rPr>
          <w:rFonts w:ascii="宋体" w:hAnsi="宋体"/>
          <w:sz w:val="28"/>
          <w:szCs w:val="28"/>
        </w:rPr>
        <w:t>29</w:t>
      </w:r>
      <w:r>
        <w:rPr>
          <w:rFonts w:hint="eastAsia" w:ascii="宋体" w:hAnsi="宋体"/>
          <w:sz w:val="28"/>
          <w:szCs w:val="28"/>
        </w:rPr>
        <w:t>日发布公告（</w:t>
      </w:r>
      <w:r>
        <w:rPr>
          <w:rFonts w:ascii="宋体" w:hAnsi="宋体"/>
          <w:sz w:val="28"/>
          <w:szCs w:val="28"/>
        </w:rPr>
        <w:t>2018</w:t>
      </w:r>
      <w:r>
        <w:rPr>
          <w:rFonts w:hint="eastAsia" w:ascii="宋体" w:hAnsi="宋体"/>
          <w:sz w:val="28"/>
          <w:szCs w:val="28"/>
        </w:rPr>
        <w:t>年第</w:t>
      </w:r>
      <w:r>
        <w:rPr>
          <w:rFonts w:ascii="宋体" w:hAnsi="宋体"/>
          <w:sz w:val="28"/>
          <w:szCs w:val="28"/>
        </w:rPr>
        <w:t>16</w:t>
      </w:r>
      <w:r>
        <w:rPr>
          <w:rFonts w:hint="eastAsia" w:ascii="宋体" w:hAnsi="宋体"/>
          <w:sz w:val="28"/>
          <w:szCs w:val="28"/>
        </w:rPr>
        <w:t>号）要求：国家和地方有关职能部门加强成品油质量监督管理，加大对炼油企业、油库和城乡结合部、郊区、农村加油站（点）油品质量、安全、环保等方面的监管力度，禁止生产、销售和使用非标车船燃油（气），强化社会监督，以推进成品油质量升级，改善空气质量。</w:t>
      </w:r>
    </w:p>
    <w:p w14:paraId="5250C851">
      <w:pPr>
        <w:spacing w:line="360" w:lineRule="auto"/>
        <w:ind w:right="-17" w:rightChars="-8" w:firstLine="560" w:firstLineChars="200"/>
        <w:jc w:val="left"/>
        <w:rPr>
          <w:rFonts w:ascii="宋体"/>
          <w:sz w:val="28"/>
          <w:szCs w:val="28"/>
        </w:rPr>
      </w:pPr>
      <w:r>
        <w:rPr>
          <w:rFonts w:hint="eastAsia" w:ascii="宋体" w:hAnsi="宋体"/>
          <w:sz w:val="28"/>
          <w:szCs w:val="28"/>
        </w:rPr>
        <w:t>车用汽油作为消耗量最大的成品油，监管重点已从生产领域扩大至生产、储存、销售及使用的全链接，监管领域和监管力度的加强对汽油检测的及时性和有效性提出了更高要求。而我国汽油产品标准中规定的检测方法及检测设备，适用于在实验室环境下进行测量，并且检验周期长，检验费用高</w:t>
      </w:r>
      <w:r>
        <w:rPr>
          <w:rFonts w:ascii="宋体"/>
          <w:sz w:val="28"/>
          <w:szCs w:val="28"/>
        </w:rPr>
        <w:t>,</w:t>
      </w:r>
      <w:r>
        <w:rPr>
          <w:rFonts w:hint="eastAsia" w:ascii="宋体" w:hAnsi="宋体"/>
          <w:sz w:val="28"/>
          <w:szCs w:val="28"/>
        </w:rPr>
        <w:t>不适用于汽油的快速检测要求。因此，为了满足新形势下汽油监管要求和监管力度，建立车用汽油的快速检测方法和标准迫在眉睫。</w:t>
      </w:r>
    </w:p>
    <w:p w14:paraId="71649BF2">
      <w:pPr>
        <w:spacing w:line="360" w:lineRule="auto"/>
        <w:ind w:right="-17" w:rightChars="-8" w:firstLine="560" w:firstLineChars="200"/>
        <w:jc w:val="left"/>
        <w:rPr>
          <w:sz w:val="28"/>
          <w:szCs w:val="28"/>
        </w:rPr>
      </w:pPr>
      <w:r>
        <w:rPr>
          <w:rFonts w:hint="eastAsia" w:ascii="宋体" w:hAnsi="宋体"/>
          <w:sz w:val="28"/>
          <w:szCs w:val="28"/>
        </w:rPr>
        <w:t>本标准利用近红外光谱法快速检测车用汽油的汽油产品质量指标，</w:t>
      </w:r>
      <w:r>
        <w:rPr>
          <w:rFonts w:hint="eastAsia"/>
          <w:sz w:val="28"/>
          <w:szCs w:val="28"/>
        </w:rPr>
        <w:t>建立起相应的准确度高、稳定性好的定量检测方法，</w:t>
      </w:r>
      <w:r>
        <w:rPr>
          <w:rFonts w:hint="eastAsia" w:ascii="宋体" w:hAnsi="宋体"/>
          <w:sz w:val="28"/>
          <w:szCs w:val="28"/>
        </w:rPr>
        <w:t>通过实验验证，选择了</w:t>
      </w:r>
      <w:r>
        <w:rPr>
          <w:rFonts w:hint="eastAsia"/>
          <w:sz w:val="28"/>
          <w:szCs w:val="28"/>
        </w:rPr>
        <w:t>研究法辛烷值、苯含量、芳烃含量、烯烃含量、氧含量、甲醇含量、密度等指标含量作为快速检测项目。</w:t>
      </w:r>
    </w:p>
    <w:p w14:paraId="43898D4E">
      <w:pPr>
        <w:spacing w:line="590" w:lineRule="exact"/>
        <w:ind w:right="-17" w:rightChars="-8" w:firstLine="560" w:firstLineChars="200"/>
        <w:jc w:val="left"/>
        <w:rPr>
          <w:rFonts w:ascii="宋体"/>
          <w:sz w:val="28"/>
          <w:szCs w:val="28"/>
        </w:rPr>
      </w:pPr>
      <w:r>
        <w:rPr>
          <w:rFonts w:hint="eastAsia" w:ascii="宋体" w:hAnsi="宋体"/>
          <w:sz w:val="28"/>
          <w:szCs w:val="28"/>
        </w:rPr>
        <w:t>建立的车用汽油快速检测标准，能够快速判定汽油产品质量的合格性，可节约抽检费用，有更多的财力支持汽油监督管理的有效、全面开展，为国家和地方有关职能部门加强成品油质量监督管理提供了技术保障；能够维护汽油销售者、消费者的权益，有效制止不法分子从中获取暴利，有效避免不合格汽油产品流入消费市场，能够强有力地推进成品油质量升级。</w:t>
      </w:r>
    </w:p>
    <w:p w14:paraId="30A3E5CC">
      <w:pPr>
        <w:spacing w:line="590" w:lineRule="exact"/>
        <w:ind w:right="-17" w:rightChars="-8"/>
        <w:jc w:val="left"/>
        <w:rPr>
          <w:rFonts w:ascii="宋体" w:hAnsi="宋体"/>
          <w:b/>
          <w:sz w:val="28"/>
          <w:szCs w:val="28"/>
        </w:rPr>
      </w:pPr>
      <w:r>
        <w:rPr>
          <w:rFonts w:hint="eastAsia" w:ascii="宋体" w:hAnsi="宋体"/>
          <w:b/>
          <w:sz w:val="28"/>
          <w:szCs w:val="28"/>
        </w:rPr>
        <w:t>二、制定标准原则</w:t>
      </w:r>
    </w:p>
    <w:p w14:paraId="286BA059">
      <w:pPr>
        <w:spacing w:line="590" w:lineRule="exact"/>
        <w:ind w:right="-17" w:rightChars="-8" w:firstLine="560" w:firstLineChars="200"/>
        <w:jc w:val="left"/>
        <w:rPr>
          <w:rFonts w:hint="eastAsia" w:ascii="宋体" w:hAnsi="宋体"/>
          <w:sz w:val="28"/>
          <w:szCs w:val="28"/>
        </w:rPr>
      </w:pPr>
      <w:r>
        <w:rPr>
          <w:rFonts w:hint="eastAsia" w:ascii="宋体" w:hAnsi="宋体"/>
          <w:sz w:val="28"/>
          <w:szCs w:val="28"/>
        </w:rPr>
        <w:t>标准编制遵循“先进性，实用性，统一性，规范性”的原则，按照GB/T 1.1-2009标准化工作导则第1部分：标准的结构和编写规则》和GB/T 20001.4-2015《标准编写规则第4部分：试验方法标准》进行编制。</w:t>
      </w:r>
    </w:p>
    <w:p w14:paraId="6A653709">
      <w:pPr>
        <w:spacing w:line="590" w:lineRule="exact"/>
        <w:ind w:right="-17" w:rightChars="-8"/>
        <w:jc w:val="left"/>
        <w:rPr>
          <w:rFonts w:ascii="宋体"/>
          <w:b/>
          <w:sz w:val="28"/>
          <w:szCs w:val="28"/>
        </w:rPr>
      </w:pPr>
      <w:r>
        <w:rPr>
          <w:rFonts w:hint="eastAsia" w:ascii="宋体" w:hAnsi="宋体"/>
          <w:b/>
          <w:sz w:val="28"/>
          <w:szCs w:val="28"/>
        </w:rPr>
        <w:t>三、标准制定的进程</w:t>
      </w:r>
    </w:p>
    <w:p w14:paraId="65964C86">
      <w:pPr>
        <w:spacing w:line="580" w:lineRule="exact"/>
        <w:ind w:firstLine="560" w:firstLineChars="200"/>
        <w:rPr>
          <w:rFonts w:ascii="Calibri" w:hAnsi="Calibri" w:cs="Arial"/>
          <w:sz w:val="28"/>
          <w:szCs w:val="22"/>
        </w:rPr>
      </w:pPr>
      <w:r>
        <w:rPr>
          <w:rFonts w:hint="eastAsia"/>
          <w:sz w:val="28"/>
          <w:szCs w:val="28"/>
        </w:rPr>
        <w:t>本标准编制工作由</w:t>
      </w:r>
      <w:r>
        <w:rPr>
          <w:rFonts w:hint="eastAsia"/>
          <w:sz w:val="28"/>
          <w:szCs w:val="28"/>
          <w:lang w:val="en-US" w:eastAsia="zh-CN"/>
        </w:rPr>
        <w:t>延安油气产品质量检验检测有限责任公司</w:t>
      </w:r>
      <w:r>
        <w:rPr>
          <w:rFonts w:hint="eastAsia"/>
          <w:sz w:val="28"/>
          <w:szCs w:val="28"/>
        </w:rPr>
        <w:t>承担。编制小组在查阅有关文献、资料和调研的基础上，收集样品1000余份，完成了各项试验和验证工作，于20</w:t>
      </w:r>
      <w:r>
        <w:rPr>
          <w:rFonts w:hint="eastAsia"/>
          <w:sz w:val="28"/>
          <w:szCs w:val="28"/>
          <w:lang w:val="en-US" w:eastAsia="zh-CN"/>
        </w:rPr>
        <w:t>24</w:t>
      </w:r>
      <w:r>
        <w:rPr>
          <w:rFonts w:hint="eastAsia"/>
          <w:sz w:val="28"/>
          <w:szCs w:val="28"/>
        </w:rPr>
        <w:t>年</w:t>
      </w:r>
      <w:r>
        <w:rPr>
          <w:rFonts w:hint="eastAsia"/>
          <w:sz w:val="28"/>
          <w:szCs w:val="28"/>
          <w:lang w:val="en-US" w:eastAsia="zh-CN"/>
        </w:rPr>
        <w:t>7</w:t>
      </w:r>
      <w:r>
        <w:rPr>
          <w:rFonts w:hint="eastAsia"/>
          <w:sz w:val="28"/>
          <w:szCs w:val="28"/>
        </w:rPr>
        <w:t>月形成了《车用汽油快速检测方法 近红外光谱法》征求意见稿，</w:t>
      </w:r>
      <w:r>
        <w:rPr>
          <w:rFonts w:hint="eastAsia"/>
          <w:sz w:val="28"/>
          <w:szCs w:val="28"/>
          <w:lang w:val="en-US" w:eastAsia="zh-CN"/>
        </w:rPr>
        <w:t>计划</w:t>
      </w:r>
      <w:r>
        <w:rPr>
          <w:rFonts w:hint="eastAsia"/>
          <w:sz w:val="28"/>
          <w:szCs w:val="28"/>
        </w:rPr>
        <w:t>向有关科研院所、生产单位和使用单位征求意见。</w:t>
      </w:r>
      <w:r>
        <w:rPr>
          <w:rFonts w:hint="eastAsia"/>
          <w:color w:val="FF0000"/>
          <w:sz w:val="28"/>
          <w:szCs w:val="28"/>
        </w:rPr>
        <w:t>20</w:t>
      </w:r>
      <w:r>
        <w:rPr>
          <w:rFonts w:hint="eastAsia"/>
          <w:color w:val="FF0000"/>
          <w:sz w:val="28"/>
          <w:szCs w:val="28"/>
          <w:lang w:val="en-US" w:eastAsia="zh-CN"/>
        </w:rPr>
        <w:t>24</w:t>
      </w:r>
      <w:r>
        <w:rPr>
          <w:rFonts w:hint="eastAsia"/>
          <w:color w:val="FF0000"/>
          <w:sz w:val="28"/>
          <w:szCs w:val="28"/>
        </w:rPr>
        <w:t>年</w:t>
      </w:r>
      <w:r>
        <w:rPr>
          <w:rFonts w:hint="eastAsia"/>
          <w:color w:val="FF0000"/>
          <w:sz w:val="28"/>
          <w:szCs w:val="28"/>
          <w:lang w:val="en-US" w:eastAsia="zh-CN"/>
        </w:rPr>
        <w:t>8</w:t>
      </w:r>
      <w:r>
        <w:rPr>
          <w:rFonts w:hint="eastAsia"/>
          <w:color w:val="FF0000"/>
          <w:sz w:val="28"/>
          <w:szCs w:val="28"/>
        </w:rPr>
        <w:t>月</w:t>
      </w:r>
      <w:r>
        <w:rPr>
          <w:rFonts w:hint="eastAsia"/>
          <w:sz w:val="28"/>
          <w:szCs w:val="28"/>
          <w:lang w:val="en-US" w:eastAsia="zh-CN"/>
        </w:rPr>
        <w:t>计划</w:t>
      </w:r>
      <w:r>
        <w:rPr>
          <w:rFonts w:hint="eastAsia"/>
          <w:sz w:val="28"/>
          <w:szCs w:val="28"/>
        </w:rPr>
        <w:t>发出《车用汽油快速检测方法 近红外光谱法》地方标准制定意见征求函</w:t>
      </w:r>
      <w:r>
        <w:rPr>
          <w:rFonts w:hint="eastAsia"/>
          <w:sz w:val="28"/>
          <w:szCs w:val="28"/>
          <w:lang w:val="en-US" w:eastAsia="zh-CN"/>
        </w:rPr>
        <w:t>/表10-20</w:t>
      </w:r>
      <w:r>
        <w:rPr>
          <w:rFonts w:hint="eastAsia"/>
          <w:sz w:val="28"/>
          <w:szCs w:val="28"/>
        </w:rPr>
        <w:t>份</w:t>
      </w:r>
      <w:r>
        <w:rPr>
          <w:rFonts w:hint="eastAsia" w:ascii="Calibri" w:hAnsi="Calibri" w:cs="Arial"/>
          <w:sz w:val="28"/>
          <w:szCs w:val="22"/>
        </w:rPr>
        <w:t>，根据反馈意见对标准文本进行修改和总结，形成标准送审稿初稿。</w:t>
      </w:r>
      <w:r>
        <w:rPr>
          <w:rFonts w:hint="eastAsia" w:ascii="Calibri" w:hAnsi="Calibri" w:cs="Arial"/>
          <w:sz w:val="28"/>
          <w:szCs w:val="22"/>
          <w:lang w:val="en-US" w:eastAsia="zh-CN"/>
        </w:rPr>
        <w:t>计划于</w:t>
      </w:r>
      <w:r>
        <w:rPr>
          <w:rFonts w:hint="eastAsia" w:ascii="Calibri" w:hAnsi="Calibri" w:cs="Arial"/>
          <w:sz w:val="28"/>
          <w:szCs w:val="22"/>
        </w:rPr>
        <w:t>20</w:t>
      </w:r>
      <w:r>
        <w:rPr>
          <w:rFonts w:hint="eastAsia" w:ascii="Calibri" w:hAnsi="Calibri" w:cs="Arial"/>
          <w:sz w:val="28"/>
          <w:szCs w:val="22"/>
          <w:lang w:val="en-US" w:eastAsia="zh-CN"/>
        </w:rPr>
        <w:t>24</w:t>
      </w:r>
      <w:r>
        <w:rPr>
          <w:rFonts w:hint="eastAsia" w:ascii="Calibri" w:hAnsi="Calibri" w:cs="Arial"/>
          <w:sz w:val="28"/>
          <w:szCs w:val="22"/>
        </w:rPr>
        <w:t>年</w:t>
      </w:r>
      <w:r>
        <w:rPr>
          <w:rFonts w:hint="eastAsia" w:ascii="Calibri" w:hAnsi="Calibri" w:cs="Arial"/>
          <w:sz w:val="28"/>
          <w:szCs w:val="22"/>
          <w:lang w:val="en-US" w:eastAsia="zh-CN"/>
        </w:rPr>
        <w:t>9</w:t>
      </w:r>
      <w:r>
        <w:rPr>
          <w:rFonts w:hint="eastAsia" w:ascii="Calibri" w:hAnsi="Calibri" w:cs="Arial"/>
          <w:sz w:val="28"/>
          <w:szCs w:val="22"/>
        </w:rPr>
        <w:t>月下旬，编制小组编制完成最终的标准送审稿等材料。</w:t>
      </w:r>
      <w:r>
        <w:rPr>
          <w:rFonts w:hint="eastAsia" w:ascii="Calibri" w:hAnsi="Calibri" w:cs="Arial"/>
          <w:sz w:val="28"/>
          <w:szCs w:val="22"/>
          <w:lang w:val="en-US" w:eastAsia="zh-CN"/>
        </w:rPr>
        <w:t>计划于</w:t>
      </w:r>
      <w:r>
        <w:rPr>
          <w:rFonts w:hint="eastAsia" w:ascii="Calibri" w:hAnsi="Calibri" w:cs="Arial"/>
          <w:sz w:val="28"/>
          <w:szCs w:val="22"/>
        </w:rPr>
        <w:t>20</w:t>
      </w:r>
      <w:r>
        <w:rPr>
          <w:rFonts w:hint="eastAsia" w:ascii="Calibri" w:hAnsi="Calibri" w:cs="Arial"/>
          <w:sz w:val="28"/>
          <w:szCs w:val="22"/>
          <w:lang w:val="en-US" w:eastAsia="zh-CN"/>
        </w:rPr>
        <w:t>24</w:t>
      </w:r>
      <w:r>
        <w:rPr>
          <w:rFonts w:hint="eastAsia" w:ascii="Calibri" w:hAnsi="Calibri" w:cs="Arial"/>
          <w:sz w:val="28"/>
          <w:szCs w:val="22"/>
        </w:rPr>
        <w:t>年</w:t>
      </w:r>
      <w:r>
        <w:rPr>
          <w:rFonts w:hint="eastAsia" w:ascii="Calibri" w:hAnsi="Calibri" w:cs="Arial"/>
          <w:sz w:val="28"/>
          <w:szCs w:val="22"/>
          <w:lang w:val="en-US" w:eastAsia="zh-CN"/>
        </w:rPr>
        <w:t>10</w:t>
      </w:r>
      <w:r>
        <w:rPr>
          <w:rFonts w:hint="eastAsia" w:ascii="Calibri" w:hAnsi="Calibri" w:cs="Arial"/>
          <w:sz w:val="28"/>
          <w:szCs w:val="22"/>
        </w:rPr>
        <w:t>月，召开标准审查会，专家对标准送审稿进行审查，工作组根据修改意见对标准就行修改形成标准报批稿。</w:t>
      </w:r>
    </w:p>
    <w:p w14:paraId="51B3BF09">
      <w:pPr>
        <w:spacing w:line="580" w:lineRule="exact"/>
        <w:outlineLvl w:val="0"/>
        <w:rPr>
          <w:rFonts w:ascii="宋体" w:hAnsi="宋体"/>
          <w:b/>
          <w:sz w:val="28"/>
          <w:szCs w:val="28"/>
        </w:rPr>
      </w:pPr>
      <w:r>
        <w:rPr>
          <w:rFonts w:hint="eastAsia" w:ascii="宋体" w:hAnsi="宋体"/>
          <w:b/>
          <w:sz w:val="28"/>
          <w:szCs w:val="28"/>
        </w:rPr>
        <w:t>四、制定标准的依据</w:t>
      </w:r>
    </w:p>
    <w:p w14:paraId="2303B939">
      <w:pPr>
        <w:spacing w:line="580" w:lineRule="exact"/>
        <w:ind w:firstLine="561"/>
        <w:rPr>
          <w:sz w:val="28"/>
          <w:szCs w:val="28"/>
        </w:rPr>
      </w:pPr>
      <w:r>
        <w:rPr>
          <w:rFonts w:hint="eastAsia"/>
          <w:sz w:val="28"/>
          <w:szCs w:val="28"/>
        </w:rPr>
        <w:t>本中心在充分收集、认真研究相关标准及资料的基础上，结合本实验室的条件和本实验方法的技术特点，对车用汽油的近红外光谱测定法进行探索，在考察了方法的相关系数、精密度、准确度及应用范围的前提下，通过反复研究和分析，建立了车用汽油的近红外光谱快速检测方法，对本标准进行准确性和重复性实验，均符合要求。</w:t>
      </w:r>
    </w:p>
    <w:p w14:paraId="08DC5CAC">
      <w:pPr>
        <w:spacing w:line="580" w:lineRule="exact"/>
        <w:ind w:right="-17" w:rightChars="-8"/>
        <w:jc w:val="left"/>
        <w:rPr>
          <w:rFonts w:ascii="宋体"/>
          <w:b/>
          <w:sz w:val="28"/>
          <w:szCs w:val="28"/>
        </w:rPr>
      </w:pPr>
      <w:r>
        <w:rPr>
          <w:rFonts w:hint="eastAsia" w:ascii="宋体" w:hAnsi="宋体"/>
          <w:b/>
          <w:sz w:val="28"/>
          <w:szCs w:val="28"/>
        </w:rPr>
        <w:t>五、主要实验（或验证）情况</w:t>
      </w:r>
    </w:p>
    <w:p w14:paraId="39B2D4CD">
      <w:pPr>
        <w:autoSpaceDE w:val="0"/>
        <w:autoSpaceDN w:val="0"/>
        <w:adjustRightInd w:val="0"/>
        <w:spacing w:line="580" w:lineRule="exact"/>
        <w:ind w:firstLine="560" w:firstLineChars="200"/>
        <w:jc w:val="left"/>
        <w:rPr>
          <w:rFonts w:ascii="宋体"/>
          <w:sz w:val="28"/>
          <w:szCs w:val="28"/>
        </w:rPr>
      </w:pPr>
      <w:r>
        <w:rPr>
          <w:rFonts w:hint="eastAsia" w:ascii="宋体" w:hAnsi="宋体"/>
          <w:sz w:val="28"/>
          <w:szCs w:val="28"/>
        </w:rPr>
        <w:t>近红外光谱法是通过偏最小二乘法等现代化学计量学方法，建立光谱与质量指标之间的线性或非线性关系（定标模型），从而实现利用光谱信息对待测样品的多种质量指标的快速测定。因此，近红外分析方法的核心是建立定标模型，定标模型需要的样品数目要足够多，能统计确定光谱变量与待校正组分浓度或性质之间的关系，定标集样</w:t>
      </w:r>
    </w:p>
    <w:p w14:paraId="6CA01571">
      <w:pPr>
        <w:autoSpaceDE w:val="0"/>
        <w:autoSpaceDN w:val="0"/>
        <w:adjustRightInd w:val="0"/>
        <w:spacing w:line="580" w:lineRule="exact"/>
        <w:jc w:val="left"/>
        <w:rPr>
          <w:rFonts w:ascii="宋体"/>
          <w:sz w:val="28"/>
          <w:szCs w:val="28"/>
        </w:rPr>
      </w:pPr>
      <w:r>
        <w:rPr>
          <w:rFonts w:hint="eastAsia" w:ascii="宋体" w:hAnsi="宋体"/>
          <w:sz w:val="28"/>
          <w:szCs w:val="28"/>
        </w:rPr>
        <w:t>品数目至少500个，通常不少于</w:t>
      </w:r>
      <w:r>
        <w:rPr>
          <w:rFonts w:ascii="宋体" w:hAnsi="宋体"/>
          <w:sz w:val="28"/>
          <w:szCs w:val="28"/>
        </w:rPr>
        <w:t>6k</w:t>
      </w:r>
      <w:r>
        <w:rPr>
          <w:rFonts w:hint="eastAsia" w:ascii="宋体" w:hAnsi="宋体"/>
          <w:sz w:val="28"/>
          <w:szCs w:val="28"/>
        </w:rPr>
        <w:t>（</w:t>
      </w:r>
      <w:r>
        <w:rPr>
          <w:rFonts w:ascii="宋体" w:hAnsi="宋体"/>
          <w:sz w:val="28"/>
          <w:szCs w:val="28"/>
        </w:rPr>
        <w:t>k</w:t>
      </w:r>
      <w:r>
        <w:rPr>
          <w:rFonts w:hint="eastAsia" w:ascii="宋体" w:hAnsi="宋体"/>
          <w:sz w:val="28"/>
          <w:szCs w:val="28"/>
        </w:rPr>
        <w:t>为</w:t>
      </w:r>
      <w:r>
        <w:rPr>
          <w:rFonts w:ascii="宋体" w:hAnsi="宋体"/>
          <w:sz w:val="28"/>
          <w:szCs w:val="28"/>
        </w:rPr>
        <w:t>PLS</w:t>
      </w:r>
      <w:r>
        <w:rPr>
          <w:rFonts w:hint="eastAsia" w:ascii="宋体" w:hAnsi="宋体"/>
          <w:sz w:val="28"/>
          <w:szCs w:val="28"/>
        </w:rPr>
        <w:t>的主因子数）。</w:t>
      </w:r>
    </w:p>
    <w:p w14:paraId="7BC0A92D">
      <w:pPr>
        <w:spacing w:line="580" w:lineRule="exact"/>
        <w:ind w:firstLine="420" w:firstLineChars="150"/>
        <w:jc w:val="left"/>
        <w:rPr>
          <w:sz w:val="28"/>
          <w:szCs w:val="28"/>
        </w:rPr>
      </w:pPr>
      <w:r>
        <w:rPr>
          <w:rFonts w:hint="eastAsia"/>
          <w:sz w:val="28"/>
          <w:szCs w:val="28"/>
        </w:rPr>
        <w:t>本项目组自</w:t>
      </w:r>
      <w:r>
        <w:rPr>
          <w:sz w:val="28"/>
          <w:szCs w:val="28"/>
        </w:rPr>
        <w:t>20</w:t>
      </w:r>
      <w:r>
        <w:rPr>
          <w:rFonts w:hint="eastAsia"/>
          <w:sz w:val="28"/>
          <w:szCs w:val="28"/>
          <w:lang w:val="en-US" w:eastAsia="zh-CN"/>
        </w:rPr>
        <w:t>22</w:t>
      </w:r>
      <w:r>
        <w:rPr>
          <w:rFonts w:hint="eastAsia"/>
          <w:sz w:val="28"/>
          <w:szCs w:val="28"/>
        </w:rPr>
        <w:t>年</w:t>
      </w:r>
      <w:r>
        <w:rPr>
          <w:rFonts w:hint="eastAsia"/>
          <w:sz w:val="28"/>
          <w:szCs w:val="28"/>
          <w:lang w:val="en-US" w:eastAsia="zh-CN"/>
        </w:rPr>
        <w:t>5</w:t>
      </w:r>
      <w:r>
        <w:rPr>
          <w:rFonts w:hint="eastAsia"/>
          <w:sz w:val="28"/>
          <w:szCs w:val="28"/>
        </w:rPr>
        <w:t>月以来，开始车用汽油的定标模型的建立与验证工作，样品来源包括炼油企业、各社会加油站及中石油中石化加油站，采集样品量上万批次，基本覆盖了</w:t>
      </w:r>
      <w:r>
        <w:rPr>
          <w:rFonts w:hint="eastAsia"/>
          <w:sz w:val="28"/>
          <w:szCs w:val="28"/>
          <w:lang w:val="en-US" w:eastAsia="zh-CN"/>
        </w:rPr>
        <w:t>陕西省</w:t>
      </w:r>
      <w:r>
        <w:rPr>
          <w:rFonts w:hint="eastAsia"/>
          <w:sz w:val="28"/>
          <w:szCs w:val="28"/>
        </w:rPr>
        <w:t>车用汽油的牌号及加工工艺。采集样品的质量指标能够覆盖</w:t>
      </w:r>
      <w:r>
        <w:rPr>
          <w:sz w:val="28"/>
          <w:szCs w:val="28"/>
        </w:rPr>
        <w:t>GB 17930</w:t>
      </w:r>
      <w:r>
        <w:rPr>
          <w:rFonts w:hint="eastAsia"/>
          <w:sz w:val="28"/>
          <w:szCs w:val="28"/>
        </w:rPr>
        <w:t>《车用汽油》中要求的质量指标，具有代表性。</w:t>
      </w:r>
    </w:p>
    <w:p w14:paraId="0B4E52A6">
      <w:pPr>
        <w:autoSpaceDE w:val="0"/>
        <w:autoSpaceDN w:val="0"/>
        <w:adjustRightInd w:val="0"/>
        <w:spacing w:line="590" w:lineRule="exact"/>
        <w:ind w:firstLine="560" w:firstLineChars="200"/>
        <w:jc w:val="left"/>
        <w:rPr>
          <w:rFonts w:ascii="宋体" w:hAnsi="宋体"/>
          <w:sz w:val="28"/>
          <w:szCs w:val="28"/>
        </w:rPr>
      </w:pPr>
      <w:r>
        <w:rPr>
          <w:rFonts w:hint="eastAsia" w:ascii="宋体" w:hAnsi="宋体"/>
          <w:sz w:val="28"/>
          <w:szCs w:val="28"/>
        </w:rPr>
        <w:t>本标准采用傅立叶变换近红外光谱仪进行车用汽油的快速检测方法进行实验验证工作，包括快速项目的选择和定标模型的建立</w:t>
      </w:r>
      <w:r>
        <w:rPr>
          <w:rFonts w:hint="eastAsia" w:ascii="宋体" w:hAnsi="宋体"/>
          <w:sz w:val="28"/>
          <w:szCs w:val="28"/>
          <w:lang w:eastAsia="zh-CN"/>
        </w:rPr>
        <w:t>维护</w:t>
      </w:r>
      <w:r>
        <w:rPr>
          <w:rFonts w:hint="eastAsia" w:ascii="宋体" w:hAnsi="宋体"/>
          <w:sz w:val="28"/>
          <w:szCs w:val="28"/>
        </w:rPr>
        <w:t>等内容；对建立的定标模型进行了实验验证，考察了方法的准确性；进行了方法的精密度试验研究，并进行了</w:t>
      </w:r>
      <w:r>
        <w:rPr>
          <w:rFonts w:ascii="宋体" w:hAnsi="宋体"/>
          <w:sz w:val="28"/>
          <w:szCs w:val="28"/>
        </w:rPr>
        <w:t>2</w:t>
      </w:r>
      <w:r>
        <w:rPr>
          <w:rFonts w:hint="eastAsia" w:ascii="宋体" w:hAnsi="宋体"/>
          <w:sz w:val="28"/>
          <w:szCs w:val="28"/>
        </w:rPr>
        <w:t>个实验室之间的比对试验。</w:t>
      </w:r>
    </w:p>
    <w:p w14:paraId="3CE0EF94">
      <w:pPr>
        <w:pStyle w:val="11"/>
        <w:numPr>
          <w:ilvl w:val="0"/>
          <w:numId w:val="1"/>
        </w:numPr>
        <w:ind w:firstLineChars="0"/>
        <w:rPr>
          <w:b/>
          <w:sz w:val="28"/>
          <w:szCs w:val="28"/>
        </w:rPr>
      </w:pPr>
      <w:r>
        <w:rPr>
          <w:rFonts w:hint="eastAsia"/>
          <w:b/>
          <w:sz w:val="28"/>
          <w:szCs w:val="28"/>
        </w:rPr>
        <w:t>试验仪器条件的确定</w:t>
      </w:r>
    </w:p>
    <w:p w14:paraId="2DE9BA74">
      <w:pPr>
        <w:pStyle w:val="11"/>
        <w:ind w:firstLine="560"/>
        <w:jc w:val="left"/>
        <w:rPr>
          <w:rFonts w:hAnsi="宋体"/>
          <w:kern w:val="2"/>
          <w:sz w:val="28"/>
          <w:szCs w:val="28"/>
        </w:rPr>
      </w:pPr>
      <w:r>
        <w:rPr>
          <w:rFonts w:hint="eastAsia" w:hAnsi="宋体"/>
          <w:kern w:val="2"/>
          <w:sz w:val="28"/>
          <w:szCs w:val="28"/>
        </w:rPr>
        <w:t>采用的傅立叶变换近红外光谱仪应符合GB/T 29858要求，光谱系统配备具有平面镜电磁驱动干涉功能的动态准直干涉仪。化学计量学软件至少含 PLS（偏最小二乘法）多元校正算法，</w:t>
      </w:r>
      <w:r>
        <w:rPr>
          <w:rFonts w:hint="eastAsia" w:hAnsi="宋体"/>
          <w:kern w:val="2"/>
          <w:sz w:val="28"/>
          <w:szCs w:val="28"/>
          <w:lang w:eastAsia="zh-CN"/>
        </w:rPr>
        <w:t>分析软件</w:t>
      </w:r>
      <w:r>
        <w:rPr>
          <w:rFonts w:hint="eastAsia" w:hAnsi="宋体"/>
          <w:kern w:val="2"/>
          <w:sz w:val="28"/>
          <w:szCs w:val="28"/>
        </w:rPr>
        <w:t>具有近红外光谱数据的收集、存储分析和计算功能，采用马氏距离判断样品的异常性</w:t>
      </w:r>
      <w:r>
        <w:rPr>
          <w:rFonts w:hint="eastAsia" w:hAnsi="宋体"/>
          <w:kern w:val="2"/>
          <w:sz w:val="28"/>
          <w:szCs w:val="28"/>
          <w:lang w:eastAsia="zh-CN"/>
        </w:rPr>
        <w:t>并出具置信度值</w:t>
      </w:r>
      <w:r>
        <w:rPr>
          <w:rFonts w:hint="eastAsia" w:hAnsi="宋体"/>
          <w:kern w:val="2"/>
          <w:sz w:val="28"/>
          <w:szCs w:val="28"/>
        </w:rPr>
        <w:t>以保障定标模型预测的可靠性。</w:t>
      </w:r>
    </w:p>
    <w:p w14:paraId="102E6F30">
      <w:pPr>
        <w:pStyle w:val="11"/>
        <w:ind w:firstLine="560"/>
        <w:jc w:val="left"/>
        <w:rPr>
          <w:rFonts w:hAnsi="宋体"/>
          <w:kern w:val="2"/>
          <w:sz w:val="28"/>
          <w:szCs w:val="28"/>
        </w:rPr>
      </w:pPr>
      <w:r>
        <w:rPr>
          <w:rFonts w:hint="eastAsia" w:hAnsi="宋体"/>
          <w:kern w:val="2"/>
          <w:sz w:val="28"/>
          <w:szCs w:val="28"/>
        </w:rPr>
        <w:t>按照仪器操作手册设定仪器参数，扫描波长范围：8800 cm</w:t>
      </w:r>
      <w:r>
        <w:rPr>
          <w:rFonts w:hint="eastAsia" w:hAnsi="宋体"/>
          <w:kern w:val="2"/>
          <w:sz w:val="28"/>
          <w:szCs w:val="28"/>
          <w:vertAlign w:val="superscript"/>
        </w:rPr>
        <w:t>-1</w:t>
      </w:r>
      <w:r>
        <w:rPr>
          <w:rFonts w:hint="eastAsia" w:hAnsi="宋体"/>
          <w:kern w:val="2"/>
          <w:sz w:val="28"/>
          <w:szCs w:val="28"/>
        </w:rPr>
        <w:t>～4400cm</w:t>
      </w:r>
      <w:r>
        <w:rPr>
          <w:rFonts w:hint="eastAsia" w:hAnsi="宋体"/>
          <w:kern w:val="2"/>
          <w:sz w:val="28"/>
          <w:szCs w:val="28"/>
          <w:vertAlign w:val="superscript"/>
        </w:rPr>
        <w:t>-1</w:t>
      </w:r>
      <w:r>
        <w:rPr>
          <w:rFonts w:hint="eastAsia" w:hAnsi="宋体"/>
          <w:kern w:val="2"/>
          <w:sz w:val="28"/>
          <w:szCs w:val="28"/>
        </w:rPr>
        <w:t>；扫描平均次数：32次。测定定标样品集、验证样品集和待测试样的光谱时，仪器参数应一致。</w:t>
      </w:r>
    </w:p>
    <w:p w14:paraId="48107095">
      <w:pPr>
        <w:pStyle w:val="11"/>
        <w:numPr>
          <w:ilvl w:val="0"/>
          <w:numId w:val="1"/>
        </w:numPr>
        <w:ind w:firstLineChars="0"/>
        <w:rPr>
          <w:b/>
        </w:rPr>
      </w:pPr>
      <w:r>
        <w:rPr>
          <w:rFonts w:hint="eastAsia"/>
          <w:b/>
          <w:sz w:val="28"/>
          <w:szCs w:val="28"/>
        </w:rPr>
        <w:t>定标模型建立</w:t>
      </w:r>
    </w:p>
    <w:p w14:paraId="48CB7BB6">
      <w:pPr>
        <w:ind w:firstLine="700" w:firstLineChars="250"/>
        <w:jc w:val="left"/>
        <w:rPr>
          <w:sz w:val="28"/>
          <w:szCs w:val="28"/>
        </w:rPr>
      </w:pPr>
      <w:r>
        <w:rPr>
          <w:rFonts w:hint="eastAsia" w:ascii="宋体" w:hAnsi="宋体"/>
          <w:sz w:val="28"/>
          <w:szCs w:val="28"/>
        </w:rPr>
        <w:t>近红外光谱法是利用含有氢基团（</w:t>
      </w:r>
      <w:r>
        <w:rPr>
          <w:rFonts w:ascii="宋体" w:hAnsi="宋体"/>
          <w:sz w:val="28"/>
          <w:szCs w:val="28"/>
        </w:rPr>
        <w:t>X—H</w:t>
      </w:r>
      <w:r>
        <w:rPr>
          <w:rFonts w:hint="eastAsia" w:ascii="宋体" w:hAnsi="宋体"/>
          <w:sz w:val="28"/>
          <w:szCs w:val="28"/>
        </w:rPr>
        <w:t>，</w:t>
      </w:r>
      <w:r>
        <w:rPr>
          <w:rFonts w:ascii="宋体" w:hAnsi="宋体"/>
          <w:sz w:val="28"/>
          <w:szCs w:val="28"/>
        </w:rPr>
        <w:t xml:space="preserve">X </w:t>
      </w:r>
      <w:r>
        <w:rPr>
          <w:rFonts w:hint="eastAsia" w:ascii="宋体" w:hAnsi="宋体"/>
          <w:sz w:val="28"/>
          <w:szCs w:val="28"/>
        </w:rPr>
        <w:t>为：</w:t>
      </w:r>
      <w:r>
        <w:rPr>
          <w:rFonts w:ascii="宋体" w:hAnsi="宋体"/>
          <w:sz w:val="28"/>
          <w:szCs w:val="28"/>
        </w:rPr>
        <w:t>C</w:t>
      </w:r>
      <w:r>
        <w:rPr>
          <w:rFonts w:hint="eastAsia" w:ascii="宋体" w:hAnsi="宋体"/>
          <w:sz w:val="28"/>
          <w:szCs w:val="28"/>
        </w:rPr>
        <w:t>，</w:t>
      </w:r>
      <w:r>
        <w:rPr>
          <w:rFonts w:ascii="宋体" w:hAnsi="宋体"/>
          <w:sz w:val="28"/>
          <w:szCs w:val="28"/>
        </w:rPr>
        <w:t>O</w:t>
      </w:r>
      <w:r>
        <w:rPr>
          <w:rFonts w:hint="eastAsia" w:ascii="宋体" w:hAnsi="宋体"/>
          <w:sz w:val="28"/>
          <w:szCs w:val="28"/>
        </w:rPr>
        <w:t>，</w:t>
      </w:r>
      <w:r>
        <w:rPr>
          <w:rFonts w:ascii="宋体" w:hAnsi="宋体"/>
          <w:sz w:val="28"/>
          <w:szCs w:val="28"/>
        </w:rPr>
        <w:t xml:space="preserve">N </w:t>
      </w:r>
      <w:r>
        <w:rPr>
          <w:rFonts w:hint="eastAsia" w:ascii="宋体" w:hAnsi="宋体"/>
          <w:sz w:val="28"/>
          <w:szCs w:val="28"/>
        </w:rPr>
        <w:t>等）化学键的伸缩振动的倍频和合频，以透射或反射方式获取在近红外区的吸收光谱。根据此原理，选取</w:t>
      </w:r>
      <w:r>
        <w:rPr>
          <w:rFonts w:hint="eastAsia"/>
          <w:sz w:val="28"/>
          <w:szCs w:val="28"/>
        </w:rPr>
        <w:t>研究法辛烷值、苯含量、芳烃含量、烯烃含量、氧含量、甲醇含量、密度等项目作为车用汽油的快速检测项目。</w:t>
      </w:r>
    </w:p>
    <w:p w14:paraId="2D3D1BE3">
      <w:pPr>
        <w:jc w:val="left"/>
        <w:rPr>
          <w:b/>
          <w:sz w:val="28"/>
          <w:szCs w:val="28"/>
        </w:rPr>
      </w:pPr>
      <w:r>
        <w:rPr>
          <w:rFonts w:hint="eastAsia"/>
          <w:b/>
          <w:sz w:val="28"/>
          <w:szCs w:val="28"/>
        </w:rPr>
        <w:t>2</w:t>
      </w:r>
      <w:r>
        <w:rPr>
          <w:b/>
          <w:sz w:val="28"/>
          <w:szCs w:val="28"/>
        </w:rPr>
        <w:t xml:space="preserve">.1 </w:t>
      </w:r>
      <w:r>
        <w:rPr>
          <w:rFonts w:hint="eastAsia"/>
          <w:b/>
          <w:sz w:val="28"/>
          <w:szCs w:val="28"/>
        </w:rPr>
        <w:t>定标样品集的确定</w:t>
      </w:r>
    </w:p>
    <w:p w14:paraId="753EF844">
      <w:pPr>
        <w:ind w:firstLine="700" w:firstLineChars="250"/>
        <w:jc w:val="left"/>
        <w:rPr>
          <w:sz w:val="28"/>
          <w:szCs w:val="28"/>
        </w:rPr>
      </w:pPr>
      <w:r>
        <w:rPr>
          <w:rFonts w:hint="eastAsia"/>
          <w:sz w:val="28"/>
          <w:szCs w:val="28"/>
        </w:rPr>
        <w:t>从炼油企业和加油站收集的样品都具有研究法辛烷值、苯含量、芳烃含量、烯烃含量、氧含量、密度等指标，可直接作为定标样品集用来建立定标模型，但是却没有甲醇等指标含量，因此无法建立相关的定标模型。为充分完善定标模型，项目组在车用汽油中添加甲醇来建立相关的定标模型。考虑到甲醇为车用汽油中不得人为添加的添加剂，因此配置浓度范围为</w:t>
      </w:r>
      <w:r>
        <w:rPr>
          <w:sz w:val="28"/>
          <w:szCs w:val="28"/>
        </w:rPr>
        <w:t>0.2%</w:t>
      </w:r>
      <w:r>
        <w:rPr>
          <w:rFonts w:hint="eastAsia"/>
          <w:sz w:val="28"/>
          <w:szCs w:val="28"/>
        </w:rPr>
        <w:t>～</w:t>
      </w:r>
      <w:r>
        <w:rPr>
          <w:sz w:val="28"/>
          <w:szCs w:val="28"/>
        </w:rPr>
        <w:t>2.5%</w:t>
      </w:r>
      <w:r>
        <w:rPr>
          <w:rFonts w:hint="eastAsia"/>
          <w:sz w:val="28"/>
          <w:szCs w:val="28"/>
        </w:rPr>
        <w:t>（质量分数），分别选择了不同炼油企业的5</w:t>
      </w:r>
      <w:r>
        <w:rPr>
          <w:sz w:val="28"/>
          <w:szCs w:val="28"/>
        </w:rPr>
        <w:t>00</w:t>
      </w:r>
      <w:r>
        <w:rPr>
          <w:rFonts w:hint="eastAsia"/>
          <w:sz w:val="28"/>
          <w:szCs w:val="28"/>
        </w:rPr>
        <w:t>个车用汽油样品来配制定标样品集。</w:t>
      </w:r>
    </w:p>
    <w:p w14:paraId="64F6D9E4">
      <w:pPr>
        <w:jc w:val="left"/>
        <w:rPr>
          <w:b/>
          <w:sz w:val="28"/>
          <w:szCs w:val="28"/>
        </w:rPr>
      </w:pPr>
      <w:r>
        <w:rPr>
          <w:rFonts w:hint="eastAsia"/>
          <w:b/>
          <w:sz w:val="28"/>
          <w:szCs w:val="28"/>
        </w:rPr>
        <w:t>2</w:t>
      </w:r>
      <w:r>
        <w:rPr>
          <w:b/>
          <w:sz w:val="28"/>
          <w:szCs w:val="28"/>
        </w:rPr>
        <w:t>.2</w:t>
      </w:r>
      <w:r>
        <w:rPr>
          <w:rFonts w:hint="eastAsia"/>
          <w:b/>
          <w:sz w:val="28"/>
          <w:szCs w:val="28"/>
        </w:rPr>
        <w:t>定标模型的建立</w:t>
      </w:r>
    </w:p>
    <w:p w14:paraId="2DDBBCDF">
      <w:pPr>
        <w:ind w:firstLine="420" w:firstLineChars="150"/>
        <w:jc w:val="left"/>
        <w:rPr>
          <w:rFonts w:hint="eastAsia"/>
          <w:sz w:val="28"/>
          <w:szCs w:val="28"/>
        </w:rPr>
      </w:pPr>
      <w:r>
        <w:rPr>
          <w:rFonts w:hint="eastAsia"/>
          <w:sz w:val="28"/>
          <w:szCs w:val="28"/>
        </w:rPr>
        <w:t>利用化学计量学软件，建立各项质量指标与光谱数据关系的定标模型，定标模型的相关系数</w:t>
      </w:r>
      <w:r>
        <w:rPr>
          <w:sz w:val="28"/>
          <w:szCs w:val="28"/>
        </w:rPr>
        <w:t>(R</w:t>
      </w:r>
      <w:r>
        <w:rPr>
          <w:sz w:val="28"/>
          <w:szCs w:val="28"/>
          <w:vertAlign w:val="superscript"/>
        </w:rPr>
        <w:t>2</w:t>
      </w:r>
      <w:r>
        <w:rPr>
          <w:sz w:val="28"/>
          <w:szCs w:val="28"/>
        </w:rPr>
        <w:t>)</w:t>
      </w:r>
      <w:r>
        <w:rPr>
          <w:rFonts w:hint="eastAsia"/>
          <w:sz w:val="28"/>
          <w:szCs w:val="28"/>
        </w:rPr>
        <w:t>和统计偏差</w:t>
      </w:r>
      <w:r>
        <w:rPr>
          <w:rFonts w:hint="eastAsia"/>
          <w:sz w:val="28"/>
          <w:szCs w:val="28"/>
          <w:lang w:eastAsia="zh-CN"/>
        </w:rPr>
        <w:t>。</w:t>
      </w:r>
      <w:r>
        <w:rPr>
          <w:rFonts w:hint="eastAsia"/>
          <w:sz w:val="28"/>
          <w:szCs w:val="28"/>
        </w:rPr>
        <w:t>研究法辛烷值、苯含量、芳烃含量、烯烃含量、氧含量、甲醇含量、密度等指标的统计偏差较小，表明定标模型的数据大多集中在它的实际值附近；相同的相关系数均大于0.95，表明线性相关系也较好。</w:t>
      </w:r>
    </w:p>
    <w:p w14:paraId="6DB34CCB">
      <w:pPr>
        <w:pStyle w:val="11"/>
        <w:numPr>
          <w:ilvl w:val="0"/>
          <w:numId w:val="1"/>
        </w:numPr>
        <w:ind w:firstLineChars="0"/>
        <w:jc w:val="both"/>
        <w:rPr>
          <w:b/>
          <w:sz w:val="28"/>
          <w:szCs w:val="28"/>
        </w:rPr>
      </w:pPr>
      <w:r>
        <w:rPr>
          <w:rFonts w:hint="eastAsia"/>
          <w:b/>
          <w:sz w:val="28"/>
          <w:szCs w:val="28"/>
        </w:rPr>
        <w:t>定标模型验证</w:t>
      </w:r>
    </w:p>
    <w:p w14:paraId="2E2A5F4C">
      <w:pPr>
        <w:ind w:firstLine="560" w:firstLineChars="200"/>
        <w:jc w:val="left"/>
        <w:rPr>
          <w:sz w:val="28"/>
          <w:szCs w:val="28"/>
        </w:rPr>
      </w:pPr>
      <w:r>
        <w:rPr>
          <w:rFonts w:hint="eastAsia"/>
          <w:sz w:val="28"/>
          <w:szCs w:val="28"/>
        </w:rPr>
        <w:t>近红外定量模型的适用范围和可靠性完全依赖于校正集样品的代表性和化学数据的准确性。为了确认所建立的模型能否对实际样品进行准确地预测分析，需要对所建立的模型进行验证。选取了具有代表性的</w:t>
      </w:r>
      <w:r>
        <w:rPr>
          <w:rFonts w:hint="eastAsia"/>
          <w:sz w:val="28"/>
          <w:szCs w:val="28"/>
          <w:lang w:val="en-US" w:eastAsia="zh-CN"/>
        </w:rPr>
        <w:t>10</w:t>
      </w:r>
      <w:r>
        <w:rPr>
          <w:rFonts w:hint="eastAsia"/>
          <w:sz w:val="28"/>
          <w:szCs w:val="28"/>
        </w:rPr>
        <w:t>批次车用汽油样品作为验证样品集，对建立的定标模型进行验证。表3列出了车用汽油的近红外光谱测定值、标准测定值及其偏差。标准测定值是按照车用汽油产品标准中规定的方法标准进行测定得出，因此若近红外光谱测定值与标准测定值的偏差符合方法标准中规定了再现性，即认为定标模型测定准确定好。</w:t>
      </w:r>
    </w:p>
    <w:p w14:paraId="0A143871">
      <w:pPr>
        <w:ind w:firstLine="560" w:firstLineChars="200"/>
        <w:jc w:val="left"/>
        <w:rPr>
          <w:sz w:val="28"/>
          <w:szCs w:val="28"/>
        </w:rPr>
      </w:pPr>
      <w:r>
        <w:rPr>
          <w:rFonts w:hint="eastAsia"/>
          <w:sz w:val="28"/>
          <w:szCs w:val="28"/>
        </w:rPr>
        <w:t>表2为</w:t>
      </w:r>
      <w:r>
        <w:rPr>
          <w:sz w:val="28"/>
          <w:szCs w:val="28"/>
        </w:rPr>
        <w:t>GB 17930</w:t>
      </w:r>
      <w:r>
        <w:rPr>
          <w:rFonts w:hint="eastAsia"/>
          <w:sz w:val="28"/>
          <w:szCs w:val="28"/>
        </w:rPr>
        <w:t>《车用汽油》产品标准中规定的各方法标准的重复性和再现性。从表3数据可以看出：研究法辛烷值、苯含量、芳烃含量、烯烃含量、氧含量、甲醇含量、密度等各项质量指标的偏差范围均能满足表</w:t>
      </w:r>
      <w:r>
        <w:rPr>
          <w:rFonts w:hint="eastAsia"/>
          <w:sz w:val="28"/>
          <w:szCs w:val="28"/>
          <w:lang w:val="en-US" w:eastAsia="zh-CN"/>
        </w:rPr>
        <w:t>1</w:t>
      </w:r>
      <w:r>
        <w:rPr>
          <w:rFonts w:hint="eastAsia"/>
          <w:sz w:val="28"/>
          <w:szCs w:val="28"/>
        </w:rPr>
        <w:t>中的再现性要求，可见建立的定标模型准确性较好，能够满足快速检测。</w:t>
      </w:r>
    </w:p>
    <w:p w14:paraId="338E8412">
      <w:pPr>
        <w:spacing w:line="256" w:lineRule="exact"/>
        <w:ind w:left="2560"/>
        <w:rPr>
          <w:rFonts w:hint="eastAsia" w:ascii="黑体" w:hAnsi="黑体" w:eastAsia="黑体"/>
        </w:rPr>
      </w:pPr>
    </w:p>
    <w:p w14:paraId="19BE3BB9">
      <w:pPr>
        <w:spacing w:line="256" w:lineRule="exact"/>
        <w:ind w:left="2560"/>
        <w:rPr>
          <w:rFonts w:hint="eastAsia" w:ascii="黑体" w:hAnsi="黑体" w:eastAsia="黑体"/>
        </w:rPr>
      </w:pPr>
    </w:p>
    <w:p w14:paraId="25ABC967">
      <w:pPr>
        <w:spacing w:line="256" w:lineRule="exact"/>
        <w:ind w:left="2560"/>
        <w:rPr>
          <w:rFonts w:hint="eastAsia" w:ascii="黑体" w:hAnsi="黑体" w:eastAsia="黑体"/>
        </w:rPr>
      </w:pPr>
    </w:p>
    <w:p w14:paraId="70882B29">
      <w:pPr>
        <w:spacing w:line="256" w:lineRule="exact"/>
        <w:ind w:left="2560"/>
        <w:rPr>
          <w:rFonts w:hint="eastAsia" w:ascii="黑体" w:hAnsi="黑体" w:eastAsia="黑体"/>
        </w:rPr>
      </w:pPr>
    </w:p>
    <w:p w14:paraId="798CF34F">
      <w:pPr>
        <w:spacing w:line="256" w:lineRule="exact"/>
        <w:ind w:left="2560"/>
        <w:rPr>
          <w:rFonts w:hint="eastAsia" w:ascii="黑体" w:hAnsi="黑体" w:eastAsia="黑体"/>
        </w:rPr>
      </w:pPr>
    </w:p>
    <w:p w14:paraId="3BAF5292">
      <w:pPr>
        <w:spacing w:line="256" w:lineRule="exact"/>
        <w:ind w:left="2560"/>
        <w:rPr>
          <w:rFonts w:ascii="黑体" w:hAnsi="黑体" w:eastAsia="黑体"/>
        </w:rPr>
      </w:pPr>
      <w:r>
        <w:rPr>
          <w:rFonts w:hint="eastAsia" w:ascii="黑体" w:hAnsi="黑体" w:eastAsia="黑体"/>
        </w:rPr>
        <w:t>表</w:t>
      </w:r>
      <w:r>
        <w:rPr>
          <w:rFonts w:hint="eastAsia" w:eastAsia="黑体"/>
          <w:lang w:val="en-US" w:eastAsia="zh-CN"/>
        </w:rPr>
        <w:t>1</w:t>
      </w:r>
      <w:r>
        <w:rPr>
          <w:rFonts w:hint="eastAsia" w:ascii="黑体" w:hAnsi="黑体" w:eastAsia="黑体"/>
        </w:rPr>
        <w:t>车用汽油各项质量指标重复性和再现性</w:t>
      </w:r>
    </w:p>
    <w:tbl>
      <w:tblPr>
        <w:tblStyle w:val="6"/>
        <w:tblW w:w="7609" w:type="dxa"/>
        <w:jc w:val="center"/>
        <w:tblLayout w:type="fixed"/>
        <w:tblCellMar>
          <w:top w:w="0" w:type="dxa"/>
          <w:left w:w="0" w:type="dxa"/>
          <w:bottom w:w="0" w:type="dxa"/>
          <w:right w:w="0" w:type="dxa"/>
        </w:tblCellMar>
      </w:tblPr>
      <w:tblGrid>
        <w:gridCol w:w="3057"/>
        <w:gridCol w:w="1895"/>
        <w:gridCol w:w="1134"/>
        <w:gridCol w:w="1523"/>
      </w:tblGrid>
      <w:tr w14:paraId="07ED8961">
        <w:tblPrEx>
          <w:tblCellMar>
            <w:top w:w="0" w:type="dxa"/>
            <w:left w:w="0" w:type="dxa"/>
            <w:bottom w:w="0" w:type="dxa"/>
            <w:right w:w="0" w:type="dxa"/>
          </w:tblCellMar>
        </w:tblPrEx>
        <w:trPr>
          <w:trHeight w:val="258" w:hRule="atLeast"/>
          <w:jc w:val="center"/>
        </w:trPr>
        <w:tc>
          <w:tcPr>
            <w:tcW w:w="3057" w:type="dxa"/>
            <w:tcBorders>
              <w:top w:val="single" w:color="auto" w:sz="8" w:space="0"/>
              <w:left w:val="single" w:color="auto" w:sz="8" w:space="0"/>
              <w:right w:val="single" w:color="auto" w:sz="8" w:space="0"/>
            </w:tcBorders>
            <w:vAlign w:val="bottom"/>
          </w:tcPr>
          <w:p w14:paraId="56913ACC">
            <w:pPr>
              <w:spacing w:line="240" w:lineRule="exact"/>
              <w:ind w:left="1160"/>
              <w:rPr>
                <w:rFonts w:ascii="宋体"/>
              </w:rPr>
            </w:pPr>
            <w:r>
              <w:rPr>
                <w:rFonts w:hint="eastAsia" w:ascii="宋体" w:hAnsi="宋体"/>
              </w:rPr>
              <w:t>项目</w:t>
            </w:r>
          </w:p>
        </w:tc>
        <w:tc>
          <w:tcPr>
            <w:tcW w:w="1895" w:type="dxa"/>
            <w:tcBorders>
              <w:top w:val="single" w:color="auto" w:sz="8" w:space="0"/>
              <w:right w:val="single" w:color="auto" w:sz="8" w:space="0"/>
            </w:tcBorders>
            <w:vAlign w:val="bottom"/>
          </w:tcPr>
          <w:p w14:paraId="62021443">
            <w:pPr>
              <w:spacing w:line="240" w:lineRule="exact"/>
              <w:jc w:val="center"/>
              <w:rPr>
                <w:rFonts w:ascii="宋体"/>
                <w:w w:val="98"/>
              </w:rPr>
            </w:pPr>
            <w:r>
              <w:rPr>
                <w:rFonts w:hint="eastAsia" w:ascii="宋体" w:hAnsi="宋体"/>
                <w:w w:val="98"/>
              </w:rPr>
              <w:t>标准</w:t>
            </w:r>
          </w:p>
        </w:tc>
        <w:tc>
          <w:tcPr>
            <w:tcW w:w="1134" w:type="dxa"/>
            <w:tcBorders>
              <w:top w:val="single" w:color="auto" w:sz="8" w:space="0"/>
              <w:right w:val="single" w:color="auto" w:sz="8" w:space="0"/>
            </w:tcBorders>
            <w:vAlign w:val="bottom"/>
          </w:tcPr>
          <w:p w14:paraId="6497BC6E">
            <w:pPr>
              <w:spacing w:line="240" w:lineRule="exact"/>
              <w:jc w:val="center"/>
              <w:rPr>
                <w:rFonts w:ascii="宋体"/>
                <w:w w:val="98"/>
              </w:rPr>
            </w:pPr>
            <w:r>
              <w:rPr>
                <w:rFonts w:hint="eastAsia" w:ascii="宋体" w:hAnsi="宋体"/>
                <w:w w:val="98"/>
              </w:rPr>
              <w:t>重复性</w:t>
            </w:r>
          </w:p>
        </w:tc>
        <w:tc>
          <w:tcPr>
            <w:tcW w:w="1523" w:type="dxa"/>
            <w:tcBorders>
              <w:top w:val="single" w:color="auto" w:sz="8" w:space="0"/>
              <w:right w:val="single" w:color="auto" w:sz="8" w:space="0"/>
            </w:tcBorders>
            <w:vAlign w:val="bottom"/>
          </w:tcPr>
          <w:p w14:paraId="749421E7">
            <w:pPr>
              <w:spacing w:line="240" w:lineRule="exact"/>
              <w:jc w:val="center"/>
              <w:rPr>
                <w:rFonts w:ascii="宋体"/>
                <w:w w:val="98"/>
              </w:rPr>
            </w:pPr>
            <w:r>
              <w:rPr>
                <w:rFonts w:hint="eastAsia" w:ascii="宋体" w:hAnsi="宋体"/>
                <w:w w:val="98"/>
              </w:rPr>
              <w:t>再现性</w:t>
            </w:r>
          </w:p>
        </w:tc>
      </w:tr>
      <w:tr w14:paraId="00F3F488">
        <w:tblPrEx>
          <w:tblCellMar>
            <w:top w:w="0" w:type="dxa"/>
            <w:left w:w="0" w:type="dxa"/>
            <w:bottom w:w="0" w:type="dxa"/>
            <w:right w:w="0" w:type="dxa"/>
          </w:tblCellMar>
        </w:tblPrEx>
        <w:trPr>
          <w:trHeight w:val="272" w:hRule="atLeast"/>
          <w:jc w:val="center"/>
        </w:trPr>
        <w:tc>
          <w:tcPr>
            <w:tcW w:w="3057" w:type="dxa"/>
            <w:tcBorders>
              <w:left w:val="single" w:color="auto" w:sz="8" w:space="0"/>
              <w:bottom w:val="single" w:color="auto" w:sz="8" w:space="0"/>
              <w:right w:val="single" w:color="auto" w:sz="8" w:space="0"/>
            </w:tcBorders>
            <w:vAlign w:val="bottom"/>
          </w:tcPr>
          <w:p w14:paraId="542DC0CC">
            <w:pPr>
              <w:spacing w:line="240" w:lineRule="atLeast"/>
              <w:ind w:left="120"/>
              <w:rPr>
                <w:rFonts w:ascii="宋体" w:hAnsi="Calibri" w:cs="Arial"/>
              </w:rPr>
            </w:pPr>
            <w:r>
              <w:rPr>
                <w:rFonts w:hint="eastAsia" w:ascii="宋体" w:hAnsi="Calibri" w:cs="Arial"/>
              </w:rPr>
              <w:t>研究法辛烷值</w:t>
            </w:r>
          </w:p>
        </w:tc>
        <w:tc>
          <w:tcPr>
            <w:tcW w:w="1895" w:type="dxa"/>
            <w:tcBorders>
              <w:bottom w:val="single" w:color="auto" w:sz="8" w:space="0"/>
              <w:right w:val="single" w:color="auto" w:sz="8" w:space="0"/>
            </w:tcBorders>
            <w:vAlign w:val="bottom"/>
          </w:tcPr>
          <w:p w14:paraId="2B28D721">
            <w:pPr>
              <w:spacing w:line="256" w:lineRule="exact"/>
              <w:jc w:val="center"/>
            </w:pPr>
            <w:r>
              <w:t>GB/T 5487</w:t>
            </w:r>
          </w:p>
        </w:tc>
        <w:tc>
          <w:tcPr>
            <w:tcW w:w="1134" w:type="dxa"/>
            <w:tcBorders>
              <w:bottom w:val="single" w:color="auto" w:sz="8" w:space="0"/>
              <w:right w:val="single" w:color="auto" w:sz="8" w:space="0"/>
            </w:tcBorders>
            <w:vAlign w:val="bottom"/>
          </w:tcPr>
          <w:p w14:paraId="2B404EDA">
            <w:pPr>
              <w:spacing w:line="240" w:lineRule="atLeast"/>
              <w:jc w:val="center"/>
              <w:rPr>
                <w:w w:val="98"/>
              </w:rPr>
            </w:pPr>
            <w:r>
              <w:rPr>
                <w:w w:val="98"/>
              </w:rPr>
              <w:t>0.2</w:t>
            </w:r>
          </w:p>
        </w:tc>
        <w:tc>
          <w:tcPr>
            <w:tcW w:w="1523" w:type="dxa"/>
            <w:tcBorders>
              <w:bottom w:val="single" w:color="auto" w:sz="8" w:space="0"/>
              <w:right w:val="single" w:color="auto" w:sz="8" w:space="0"/>
            </w:tcBorders>
            <w:vAlign w:val="bottom"/>
          </w:tcPr>
          <w:p w14:paraId="3BE76F85">
            <w:pPr>
              <w:spacing w:line="240" w:lineRule="atLeast"/>
              <w:jc w:val="center"/>
              <w:rPr>
                <w:w w:val="98"/>
              </w:rPr>
            </w:pPr>
            <w:r>
              <w:rPr>
                <w:rFonts w:eastAsia="Times New Roman"/>
                <w:w w:val="98"/>
              </w:rPr>
              <w:t>0.</w:t>
            </w:r>
            <w:r>
              <w:rPr>
                <w:w w:val="98"/>
              </w:rPr>
              <w:t>7</w:t>
            </w:r>
          </w:p>
        </w:tc>
      </w:tr>
      <w:tr w14:paraId="6FFC3CEA">
        <w:tblPrEx>
          <w:tblCellMar>
            <w:top w:w="0" w:type="dxa"/>
            <w:left w:w="0" w:type="dxa"/>
            <w:bottom w:w="0" w:type="dxa"/>
            <w:right w:w="0" w:type="dxa"/>
          </w:tblCellMar>
        </w:tblPrEx>
        <w:trPr>
          <w:trHeight w:val="272" w:hRule="atLeast"/>
          <w:jc w:val="center"/>
        </w:trPr>
        <w:tc>
          <w:tcPr>
            <w:tcW w:w="3057" w:type="dxa"/>
            <w:tcBorders>
              <w:left w:val="single" w:color="auto" w:sz="8" w:space="0"/>
              <w:bottom w:val="single" w:color="auto" w:sz="8" w:space="0"/>
              <w:right w:val="single" w:color="auto" w:sz="8" w:space="0"/>
            </w:tcBorders>
            <w:vAlign w:val="bottom"/>
          </w:tcPr>
          <w:p w14:paraId="5B86AB91">
            <w:pPr>
              <w:spacing w:line="240" w:lineRule="atLeast"/>
              <w:ind w:left="120"/>
              <w:rPr>
                <w:rFonts w:ascii="宋体" w:hAnsi="Calibri" w:cs="Arial"/>
              </w:rPr>
            </w:pPr>
            <w:r>
              <w:rPr>
                <w:rFonts w:hint="eastAsia" w:ascii="宋体" w:hAnsi="Calibri" w:cs="Arial"/>
              </w:rPr>
              <w:t>马达法辛烷值</w:t>
            </w:r>
          </w:p>
        </w:tc>
        <w:tc>
          <w:tcPr>
            <w:tcW w:w="1895" w:type="dxa"/>
            <w:tcBorders>
              <w:bottom w:val="single" w:color="auto" w:sz="8" w:space="0"/>
              <w:right w:val="single" w:color="auto" w:sz="8" w:space="0"/>
            </w:tcBorders>
            <w:vAlign w:val="bottom"/>
          </w:tcPr>
          <w:p w14:paraId="226FDFE4">
            <w:pPr>
              <w:spacing w:line="256" w:lineRule="exact"/>
              <w:jc w:val="center"/>
            </w:pPr>
            <w:r>
              <w:t>GB/T 503</w:t>
            </w:r>
          </w:p>
        </w:tc>
        <w:tc>
          <w:tcPr>
            <w:tcW w:w="1134" w:type="dxa"/>
            <w:tcBorders>
              <w:bottom w:val="single" w:color="auto" w:sz="8" w:space="0"/>
              <w:right w:val="single" w:color="auto" w:sz="8" w:space="0"/>
            </w:tcBorders>
            <w:vAlign w:val="bottom"/>
          </w:tcPr>
          <w:p w14:paraId="7903EA1A">
            <w:pPr>
              <w:spacing w:line="240" w:lineRule="atLeast"/>
              <w:jc w:val="center"/>
              <w:rPr>
                <w:w w:val="98"/>
              </w:rPr>
            </w:pPr>
            <w:r>
              <w:rPr>
                <w:w w:val="98"/>
              </w:rPr>
              <w:t>0.2</w:t>
            </w:r>
          </w:p>
        </w:tc>
        <w:tc>
          <w:tcPr>
            <w:tcW w:w="1523" w:type="dxa"/>
            <w:tcBorders>
              <w:bottom w:val="single" w:color="auto" w:sz="8" w:space="0"/>
              <w:right w:val="single" w:color="auto" w:sz="8" w:space="0"/>
            </w:tcBorders>
            <w:vAlign w:val="bottom"/>
          </w:tcPr>
          <w:p w14:paraId="55EAC554">
            <w:pPr>
              <w:spacing w:line="240" w:lineRule="atLeast"/>
              <w:jc w:val="center"/>
              <w:rPr>
                <w:w w:val="98"/>
              </w:rPr>
            </w:pPr>
            <w:r>
              <w:rPr>
                <w:w w:val="98"/>
              </w:rPr>
              <w:t>0.9</w:t>
            </w:r>
          </w:p>
        </w:tc>
      </w:tr>
      <w:tr w14:paraId="05B6C4F8">
        <w:tblPrEx>
          <w:tblCellMar>
            <w:top w:w="0" w:type="dxa"/>
            <w:left w:w="0" w:type="dxa"/>
            <w:bottom w:w="0" w:type="dxa"/>
            <w:right w:w="0" w:type="dxa"/>
          </w:tblCellMar>
        </w:tblPrEx>
        <w:trPr>
          <w:trHeight w:val="272" w:hRule="atLeast"/>
          <w:jc w:val="center"/>
        </w:trPr>
        <w:tc>
          <w:tcPr>
            <w:tcW w:w="3057" w:type="dxa"/>
            <w:tcBorders>
              <w:left w:val="single" w:color="auto" w:sz="8" w:space="0"/>
              <w:bottom w:val="single" w:color="auto" w:sz="8" w:space="0"/>
              <w:right w:val="single" w:color="auto" w:sz="8" w:space="0"/>
            </w:tcBorders>
            <w:vAlign w:val="center"/>
          </w:tcPr>
          <w:p w14:paraId="613CA16B">
            <w:pPr>
              <w:spacing w:line="240" w:lineRule="atLeast"/>
              <w:ind w:left="120"/>
              <w:jc w:val="left"/>
              <w:rPr>
                <w:rFonts w:ascii="宋体" w:hAnsi="Calibri" w:cs="Arial"/>
              </w:rPr>
            </w:pPr>
            <w:r>
              <w:rPr>
                <w:rFonts w:hint="eastAsia" w:ascii="宋体" w:hAnsi="Calibri" w:cs="Arial"/>
              </w:rPr>
              <w:t>抗爆指数</w:t>
            </w:r>
          </w:p>
        </w:tc>
        <w:tc>
          <w:tcPr>
            <w:tcW w:w="1895" w:type="dxa"/>
            <w:tcBorders>
              <w:bottom w:val="single" w:color="auto" w:sz="8" w:space="0"/>
              <w:right w:val="single" w:color="auto" w:sz="8" w:space="0"/>
            </w:tcBorders>
            <w:vAlign w:val="bottom"/>
          </w:tcPr>
          <w:p w14:paraId="0299A7E8">
            <w:pPr>
              <w:spacing w:line="256" w:lineRule="exact"/>
              <w:jc w:val="center"/>
            </w:pPr>
            <w:r>
              <w:t>GB/T 503</w:t>
            </w:r>
            <w:r>
              <w:rPr>
                <w:rFonts w:hint="eastAsia"/>
              </w:rPr>
              <w:t>、</w:t>
            </w:r>
            <w:r>
              <w:t>GB/T 5487</w:t>
            </w:r>
          </w:p>
        </w:tc>
        <w:tc>
          <w:tcPr>
            <w:tcW w:w="1134" w:type="dxa"/>
            <w:tcBorders>
              <w:bottom w:val="single" w:color="auto" w:sz="8" w:space="0"/>
              <w:right w:val="single" w:color="auto" w:sz="8" w:space="0"/>
            </w:tcBorders>
            <w:vAlign w:val="bottom"/>
          </w:tcPr>
          <w:p w14:paraId="04542703">
            <w:pPr>
              <w:spacing w:line="240" w:lineRule="atLeast"/>
              <w:jc w:val="center"/>
              <w:rPr>
                <w:w w:val="98"/>
              </w:rPr>
            </w:pPr>
            <w:r>
              <w:rPr>
                <w:w w:val="98"/>
              </w:rPr>
              <w:t>0.2</w:t>
            </w:r>
          </w:p>
        </w:tc>
        <w:tc>
          <w:tcPr>
            <w:tcW w:w="1523" w:type="dxa"/>
            <w:tcBorders>
              <w:bottom w:val="single" w:color="auto" w:sz="8" w:space="0"/>
              <w:right w:val="single" w:color="auto" w:sz="8" w:space="0"/>
            </w:tcBorders>
            <w:vAlign w:val="bottom"/>
          </w:tcPr>
          <w:p w14:paraId="6F067796">
            <w:pPr>
              <w:spacing w:line="240" w:lineRule="atLeast"/>
              <w:jc w:val="center"/>
              <w:rPr>
                <w:w w:val="98"/>
              </w:rPr>
            </w:pPr>
            <w:r>
              <w:rPr>
                <w:w w:val="98"/>
              </w:rPr>
              <w:t>0.8</w:t>
            </w:r>
          </w:p>
        </w:tc>
      </w:tr>
      <w:tr w14:paraId="329A65A2">
        <w:tblPrEx>
          <w:tblCellMar>
            <w:top w:w="0" w:type="dxa"/>
            <w:left w:w="0" w:type="dxa"/>
            <w:bottom w:w="0" w:type="dxa"/>
            <w:right w:w="0" w:type="dxa"/>
          </w:tblCellMar>
        </w:tblPrEx>
        <w:trPr>
          <w:trHeight w:val="158" w:hRule="atLeast"/>
          <w:jc w:val="center"/>
        </w:trPr>
        <w:tc>
          <w:tcPr>
            <w:tcW w:w="3057" w:type="dxa"/>
            <w:vMerge w:val="restart"/>
            <w:tcBorders>
              <w:left w:val="single" w:color="auto" w:sz="8" w:space="0"/>
              <w:right w:val="single" w:color="auto" w:sz="8" w:space="0"/>
            </w:tcBorders>
            <w:vAlign w:val="center"/>
          </w:tcPr>
          <w:p w14:paraId="34F12C03">
            <w:pPr>
              <w:spacing w:line="256" w:lineRule="exact"/>
              <w:ind w:left="120"/>
              <w:jc w:val="left"/>
              <w:rPr>
                <w:rFonts w:ascii="宋体" w:hAnsi="Calibri" w:cs="Arial"/>
              </w:rPr>
            </w:pPr>
            <w:r>
              <w:rPr>
                <w:rFonts w:hint="eastAsia" w:ascii="宋体" w:hAnsi="宋体" w:cs="Arial"/>
              </w:rPr>
              <w:t>芳烃含量</w:t>
            </w:r>
            <w:r>
              <w:rPr>
                <w:rFonts w:ascii="宋体" w:hAnsi="宋体" w:cs="Arial"/>
              </w:rPr>
              <w:t>/</w:t>
            </w:r>
            <w:r>
              <w:rPr>
                <w:rFonts w:ascii="宋体" w:hAnsi="Calibri" w:eastAsia="Times New Roman" w:cs="Arial"/>
              </w:rPr>
              <w:t>%</w:t>
            </w:r>
            <w:r>
              <w:rPr>
                <w:rFonts w:hint="eastAsia" w:ascii="宋体" w:hAnsi="宋体" w:cs="Arial"/>
              </w:rPr>
              <w:t>（体积分数）</w:t>
            </w:r>
          </w:p>
        </w:tc>
        <w:tc>
          <w:tcPr>
            <w:tcW w:w="1895" w:type="dxa"/>
            <w:tcBorders>
              <w:bottom w:val="single" w:color="auto" w:sz="8" w:space="0"/>
              <w:right w:val="single" w:color="auto" w:sz="8" w:space="0"/>
            </w:tcBorders>
            <w:vAlign w:val="bottom"/>
          </w:tcPr>
          <w:p w14:paraId="7C23482C">
            <w:pPr>
              <w:spacing w:line="256" w:lineRule="exact"/>
              <w:jc w:val="center"/>
            </w:pPr>
            <w:r>
              <w:t>GB/T 30519</w:t>
            </w:r>
          </w:p>
        </w:tc>
        <w:tc>
          <w:tcPr>
            <w:tcW w:w="1134" w:type="dxa"/>
            <w:tcBorders>
              <w:bottom w:val="single" w:color="auto" w:sz="4" w:space="0"/>
              <w:right w:val="single" w:color="auto" w:sz="8" w:space="0"/>
            </w:tcBorders>
            <w:vAlign w:val="bottom"/>
          </w:tcPr>
          <w:p w14:paraId="6EF87479">
            <w:pPr>
              <w:spacing w:line="240" w:lineRule="atLeast"/>
              <w:jc w:val="center"/>
              <w:rPr>
                <w:w w:val="98"/>
              </w:rPr>
            </w:pPr>
            <w:r>
              <w:rPr>
                <w:w w:val="98"/>
              </w:rPr>
              <w:t>0.6</w:t>
            </w:r>
          </w:p>
        </w:tc>
        <w:tc>
          <w:tcPr>
            <w:tcW w:w="1523" w:type="dxa"/>
            <w:tcBorders>
              <w:bottom w:val="single" w:color="auto" w:sz="4" w:space="0"/>
              <w:right w:val="single" w:color="auto" w:sz="8" w:space="0"/>
            </w:tcBorders>
            <w:vAlign w:val="bottom"/>
          </w:tcPr>
          <w:p w14:paraId="29071202">
            <w:pPr>
              <w:spacing w:line="240" w:lineRule="atLeast"/>
              <w:jc w:val="center"/>
              <w:rPr>
                <w:w w:val="98"/>
              </w:rPr>
            </w:pPr>
            <w:r>
              <w:rPr>
                <w:w w:val="98"/>
              </w:rPr>
              <w:t>1.4</w:t>
            </w:r>
          </w:p>
        </w:tc>
      </w:tr>
      <w:tr w14:paraId="1261DA0E">
        <w:tblPrEx>
          <w:tblCellMar>
            <w:top w:w="0" w:type="dxa"/>
            <w:left w:w="0" w:type="dxa"/>
            <w:bottom w:w="0" w:type="dxa"/>
            <w:right w:w="0" w:type="dxa"/>
          </w:tblCellMar>
        </w:tblPrEx>
        <w:trPr>
          <w:trHeight w:val="157" w:hRule="atLeast"/>
          <w:jc w:val="center"/>
        </w:trPr>
        <w:tc>
          <w:tcPr>
            <w:tcW w:w="3057" w:type="dxa"/>
            <w:vMerge w:val="continue"/>
            <w:tcBorders>
              <w:left w:val="single" w:color="auto" w:sz="8" w:space="0"/>
              <w:bottom w:val="single" w:color="auto" w:sz="8" w:space="0"/>
              <w:right w:val="single" w:color="auto" w:sz="8" w:space="0"/>
            </w:tcBorders>
            <w:vAlign w:val="center"/>
          </w:tcPr>
          <w:p w14:paraId="2ACDECDE">
            <w:pPr>
              <w:spacing w:line="256" w:lineRule="exact"/>
              <w:ind w:left="120"/>
              <w:jc w:val="left"/>
              <w:rPr>
                <w:rFonts w:ascii="宋体"/>
              </w:rPr>
            </w:pPr>
          </w:p>
        </w:tc>
        <w:tc>
          <w:tcPr>
            <w:tcW w:w="1895" w:type="dxa"/>
            <w:tcBorders>
              <w:bottom w:val="single" w:color="auto" w:sz="8" w:space="0"/>
              <w:right w:val="single" w:color="auto" w:sz="8" w:space="0"/>
            </w:tcBorders>
            <w:vAlign w:val="bottom"/>
          </w:tcPr>
          <w:p w14:paraId="6C691C18">
            <w:pPr>
              <w:spacing w:line="256" w:lineRule="exact"/>
              <w:jc w:val="center"/>
            </w:pPr>
            <w:r>
              <w:t>GB/T 11132</w:t>
            </w:r>
          </w:p>
        </w:tc>
        <w:tc>
          <w:tcPr>
            <w:tcW w:w="1134" w:type="dxa"/>
            <w:tcBorders>
              <w:top w:val="single" w:color="auto" w:sz="4" w:space="0"/>
              <w:bottom w:val="single" w:color="auto" w:sz="8" w:space="0"/>
              <w:right w:val="single" w:color="auto" w:sz="8" w:space="0"/>
            </w:tcBorders>
            <w:vAlign w:val="bottom"/>
          </w:tcPr>
          <w:p w14:paraId="2365D639">
            <w:pPr>
              <w:spacing w:line="240" w:lineRule="atLeast"/>
              <w:jc w:val="center"/>
              <w:rPr>
                <w:w w:val="98"/>
              </w:rPr>
            </w:pPr>
            <w:r>
              <w:rPr>
                <w:w w:val="98"/>
              </w:rPr>
              <w:t>1.3</w:t>
            </w:r>
          </w:p>
        </w:tc>
        <w:tc>
          <w:tcPr>
            <w:tcW w:w="1523" w:type="dxa"/>
            <w:tcBorders>
              <w:top w:val="single" w:color="auto" w:sz="4" w:space="0"/>
              <w:bottom w:val="single" w:color="auto" w:sz="8" w:space="0"/>
              <w:right w:val="single" w:color="auto" w:sz="8" w:space="0"/>
            </w:tcBorders>
            <w:vAlign w:val="bottom"/>
          </w:tcPr>
          <w:p w14:paraId="64C05F9B">
            <w:pPr>
              <w:spacing w:line="240" w:lineRule="atLeast"/>
              <w:jc w:val="center"/>
              <w:rPr>
                <w:w w:val="98"/>
              </w:rPr>
            </w:pPr>
            <w:r>
              <w:rPr>
                <w:w w:val="98"/>
              </w:rPr>
              <w:t>3.7</w:t>
            </w:r>
          </w:p>
        </w:tc>
      </w:tr>
      <w:tr w14:paraId="3482B686">
        <w:tblPrEx>
          <w:tblCellMar>
            <w:top w:w="0" w:type="dxa"/>
            <w:left w:w="0" w:type="dxa"/>
            <w:bottom w:w="0" w:type="dxa"/>
            <w:right w:w="0" w:type="dxa"/>
          </w:tblCellMar>
        </w:tblPrEx>
        <w:trPr>
          <w:trHeight w:val="158" w:hRule="atLeast"/>
          <w:jc w:val="center"/>
        </w:trPr>
        <w:tc>
          <w:tcPr>
            <w:tcW w:w="3057" w:type="dxa"/>
            <w:vMerge w:val="restart"/>
            <w:tcBorders>
              <w:left w:val="single" w:color="auto" w:sz="8" w:space="0"/>
              <w:right w:val="single" w:color="auto" w:sz="8" w:space="0"/>
            </w:tcBorders>
            <w:vAlign w:val="center"/>
          </w:tcPr>
          <w:p w14:paraId="562404D1">
            <w:pPr>
              <w:spacing w:line="256" w:lineRule="exact"/>
              <w:ind w:left="120"/>
              <w:jc w:val="left"/>
              <w:rPr>
                <w:rFonts w:ascii="宋体" w:cs="Arial"/>
              </w:rPr>
            </w:pPr>
            <w:r>
              <w:rPr>
                <w:rFonts w:hint="eastAsia" w:ascii="宋体" w:hAnsi="宋体" w:cs="Arial"/>
              </w:rPr>
              <w:t>烯烃含量</w:t>
            </w:r>
            <w:r>
              <w:rPr>
                <w:rFonts w:ascii="宋体" w:hAnsi="宋体" w:cs="Arial"/>
              </w:rPr>
              <w:t>/</w:t>
            </w:r>
            <w:r>
              <w:rPr>
                <w:rFonts w:ascii="宋体" w:hAnsi="Calibri" w:eastAsia="Times New Roman" w:cs="Arial"/>
              </w:rPr>
              <w:t>%</w:t>
            </w:r>
            <w:r>
              <w:rPr>
                <w:rFonts w:hint="eastAsia" w:ascii="宋体" w:hAnsi="宋体" w:cs="Arial"/>
              </w:rPr>
              <w:t>（体积分数）</w:t>
            </w:r>
          </w:p>
        </w:tc>
        <w:tc>
          <w:tcPr>
            <w:tcW w:w="1895" w:type="dxa"/>
            <w:tcBorders>
              <w:bottom w:val="single" w:color="auto" w:sz="8" w:space="0"/>
              <w:right w:val="single" w:color="auto" w:sz="8" w:space="0"/>
            </w:tcBorders>
            <w:vAlign w:val="bottom"/>
          </w:tcPr>
          <w:p w14:paraId="4870A2BB">
            <w:pPr>
              <w:spacing w:line="256" w:lineRule="exact"/>
              <w:jc w:val="center"/>
            </w:pPr>
            <w:r>
              <w:t>GB/T 30519</w:t>
            </w:r>
          </w:p>
        </w:tc>
        <w:tc>
          <w:tcPr>
            <w:tcW w:w="1134" w:type="dxa"/>
            <w:tcBorders>
              <w:bottom w:val="single" w:color="auto" w:sz="4" w:space="0"/>
              <w:right w:val="single" w:color="auto" w:sz="8" w:space="0"/>
            </w:tcBorders>
            <w:vAlign w:val="bottom"/>
          </w:tcPr>
          <w:p w14:paraId="102CE627">
            <w:pPr>
              <w:spacing w:line="240" w:lineRule="atLeast"/>
              <w:jc w:val="center"/>
              <w:rPr>
                <w:w w:val="98"/>
              </w:rPr>
            </w:pPr>
            <w:r>
              <w:rPr>
                <w:w w:val="98"/>
              </w:rPr>
              <w:t>0.8</w:t>
            </w:r>
          </w:p>
        </w:tc>
        <w:tc>
          <w:tcPr>
            <w:tcW w:w="1523" w:type="dxa"/>
            <w:tcBorders>
              <w:bottom w:val="single" w:color="auto" w:sz="4" w:space="0"/>
              <w:right w:val="single" w:color="auto" w:sz="8" w:space="0"/>
            </w:tcBorders>
            <w:vAlign w:val="bottom"/>
          </w:tcPr>
          <w:p w14:paraId="69AA69EC">
            <w:pPr>
              <w:spacing w:line="240" w:lineRule="atLeast"/>
              <w:jc w:val="center"/>
              <w:rPr>
                <w:rFonts w:hint="eastAsia" w:eastAsia="宋体"/>
                <w:w w:val="98"/>
                <w:lang w:eastAsia="zh-CN"/>
              </w:rPr>
            </w:pPr>
            <w:r>
              <w:rPr>
                <w:w w:val="98"/>
              </w:rPr>
              <w:t>2.</w:t>
            </w:r>
            <w:r>
              <w:rPr>
                <w:rFonts w:hint="eastAsia"/>
                <w:w w:val="98"/>
                <w:lang w:val="en-US" w:eastAsia="zh-CN"/>
              </w:rPr>
              <w:t>0</w:t>
            </w:r>
          </w:p>
        </w:tc>
      </w:tr>
      <w:tr w14:paraId="1873BD7F">
        <w:tblPrEx>
          <w:tblCellMar>
            <w:top w:w="0" w:type="dxa"/>
            <w:left w:w="0" w:type="dxa"/>
            <w:bottom w:w="0" w:type="dxa"/>
            <w:right w:w="0" w:type="dxa"/>
          </w:tblCellMar>
        </w:tblPrEx>
        <w:trPr>
          <w:trHeight w:val="353" w:hRule="atLeast"/>
          <w:jc w:val="center"/>
        </w:trPr>
        <w:tc>
          <w:tcPr>
            <w:tcW w:w="3057" w:type="dxa"/>
            <w:vMerge w:val="continue"/>
            <w:tcBorders>
              <w:left w:val="single" w:color="auto" w:sz="8" w:space="0"/>
              <w:bottom w:val="single" w:color="auto" w:sz="8" w:space="0"/>
              <w:right w:val="single" w:color="auto" w:sz="8" w:space="0"/>
            </w:tcBorders>
            <w:vAlign w:val="center"/>
          </w:tcPr>
          <w:p w14:paraId="4205BB5F">
            <w:pPr>
              <w:spacing w:line="256" w:lineRule="exact"/>
              <w:ind w:left="120"/>
              <w:jc w:val="left"/>
              <w:rPr>
                <w:rFonts w:ascii="宋体"/>
              </w:rPr>
            </w:pPr>
          </w:p>
        </w:tc>
        <w:tc>
          <w:tcPr>
            <w:tcW w:w="1895" w:type="dxa"/>
            <w:tcBorders>
              <w:bottom w:val="single" w:color="auto" w:sz="8" w:space="0"/>
              <w:right w:val="single" w:color="auto" w:sz="8" w:space="0"/>
            </w:tcBorders>
            <w:vAlign w:val="bottom"/>
          </w:tcPr>
          <w:p w14:paraId="72D3EDA2">
            <w:pPr>
              <w:spacing w:line="256" w:lineRule="exact"/>
              <w:jc w:val="center"/>
            </w:pPr>
            <w:r>
              <w:t>GB/T 11132</w:t>
            </w:r>
          </w:p>
        </w:tc>
        <w:tc>
          <w:tcPr>
            <w:tcW w:w="1134" w:type="dxa"/>
            <w:tcBorders>
              <w:top w:val="single" w:color="auto" w:sz="4" w:space="0"/>
              <w:bottom w:val="single" w:color="auto" w:sz="8" w:space="0"/>
              <w:right w:val="single" w:color="auto" w:sz="8" w:space="0"/>
            </w:tcBorders>
            <w:vAlign w:val="bottom"/>
          </w:tcPr>
          <w:p w14:paraId="6B8AD42C">
            <w:pPr>
              <w:spacing w:line="240" w:lineRule="atLeast"/>
              <w:jc w:val="center"/>
              <w:rPr>
                <w:w w:val="98"/>
              </w:rPr>
            </w:pPr>
            <w:r>
              <w:rPr>
                <w:w w:val="98"/>
              </w:rPr>
              <w:t>1.0</w:t>
            </w:r>
          </w:p>
        </w:tc>
        <w:tc>
          <w:tcPr>
            <w:tcW w:w="1523" w:type="dxa"/>
            <w:tcBorders>
              <w:top w:val="single" w:color="auto" w:sz="4" w:space="0"/>
              <w:bottom w:val="single" w:color="auto" w:sz="8" w:space="0"/>
              <w:right w:val="single" w:color="auto" w:sz="8" w:space="0"/>
            </w:tcBorders>
            <w:vAlign w:val="bottom"/>
          </w:tcPr>
          <w:p w14:paraId="30ED8B53">
            <w:pPr>
              <w:spacing w:line="240" w:lineRule="atLeast"/>
              <w:jc w:val="center"/>
              <w:rPr>
                <w:rFonts w:hint="eastAsia" w:eastAsia="宋体"/>
                <w:w w:val="98"/>
                <w:lang w:eastAsia="zh-CN"/>
              </w:rPr>
            </w:pPr>
            <w:r>
              <w:rPr>
                <w:w w:val="98"/>
              </w:rPr>
              <w:t>3.</w:t>
            </w:r>
            <w:r>
              <w:rPr>
                <w:rFonts w:hint="eastAsia"/>
                <w:w w:val="98"/>
                <w:lang w:val="en-US" w:eastAsia="zh-CN"/>
              </w:rPr>
              <w:t>0</w:t>
            </w:r>
          </w:p>
        </w:tc>
      </w:tr>
      <w:tr w14:paraId="2BA2A0F1">
        <w:tblPrEx>
          <w:tblCellMar>
            <w:top w:w="0" w:type="dxa"/>
            <w:left w:w="0" w:type="dxa"/>
            <w:bottom w:w="0" w:type="dxa"/>
            <w:right w:w="0" w:type="dxa"/>
          </w:tblCellMar>
        </w:tblPrEx>
        <w:trPr>
          <w:trHeight w:val="105" w:hRule="atLeast"/>
          <w:jc w:val="center"/>
        </w:trPr>
        <w:tc>
          <w:tcPr>
            <w:tcW w:w="3057" w:type="dxa"/>
            <w:vMerge w:val="restart"/>
            <w:tcBorders>
              <w:left w:val="single" w:color="auto" w:sz="8" w:space="0"/>
              <w:right w:val="single" w:color="auto" w:sz="8" w:space="0"/>
            </w:tcBorders>
            <w:vAlign w:val="center"/>
          </w:tcPr>
          <w:p w14:paraId="4B3C6EA8">
            <w:pPr>
              <w:jc w:val="left"/>
            </w:pPr>
            <w:r>
              <w:rPr>
                <w:rFonts w:hint="eastAsia"/>
              </w:rPr>
              <w:t>苯含量</w:t>
            </w:r>
            <w:r>
              <w:t>/ %</w:t>
            </w:r>
            <w:r>
              <w:rPr>
                <w:rFonts w:hint="eastAsia"/>
              </w:rPr>
              <w:t>（体积分数）</w:t>
            </w:r>
          </w:p>
        </w:tc>
        <w:tc>
          <w:tcPr>
            <w:tcW w:w="1895" w:type="dxa"/>
            <w:tcBorders>
              <w:bottom w:val="single" w:color="auto" w:sz="8" w:space="0"/>
              <w:right w:val="single" w:color="auto" w:sz="8" w:space="0"/>
            </w:tcBorders>
            <w:vAlign w:val="bottom"/>
          </w:tcPr>
          <w:p w14:paraId="1060D083">
            <w:pPr>
              <w:spacing w:line="256" w:lineRule="exact"/>
              <w:jc w:val="center"/>
            </w:pPr>
            <w:r>
              <w:t>GB/T 30519</w:t>
            </w:r>
          </w:p>
        </w:tc>
        <w:tc>
          <w:tcPr>
            <w:tcW w:w="1134" w:type="dxa"/>
            <w:tcBorders>
              <w:bottom w:val="single" w:color="auto" w:sz="4" w:space="0"/>
              <w:right w:val="single" w:color="auto" w:sz="8" w:space="0"/>
            </w:tcBorders>
            <w:vAlign w:val="bottom"/>
          </w:tcPr>
          <w:p w14:paraId="3B2CA8C0">
            <w:pPr>
              <w:spacing w:line="240" w:lineRule="atLeast"/>
              <w:jc w:val="center"/>
              <w:rPr>
                <w:w w:val="98"/>
              </w:rPr>
            </w:pPr>
            <w:r>
              <w:rPr>
                <w:w w:val="98"/>
              </w:rPr>
              <w:t>0.03</w:t>
            </w:r>
          </w:p>
        </w:tc>
        <w:tc>
          <w:tcPr>
            <w:tcW w:w="1523" w:type="dxa"/>
            <w:tcBorders>
              <w:bottom w:val="single" w:color="auto" w:sz="4" w:space="0"/>
              <w:right w:val="single" w:color="auto" w:sz="8" w:space="0"/>
            </w:tcBorders>
            <w:vAlign w:val="bottom"/>
          </w:tcPr>
          <w:p w14:paraId="30BE5AC5">
            <w:pPr>
              <w:spacing w:line="240" w:lineRule="atLeast"/>
              <w:jc w:val="center"/>
              <w:rPr>
                <w:w w:val="98"/>
              </w:rPr>
            </w:pPr>
            <w:r>
              <w:rPr>
                <w:w w:val="98"/>
              </w:rPr>
              <w:t>0.07</w:t>
            </w:r>
          </w:p>
        </w:tc>
      </w:tr>
      <w:tr w14:paraId="07ECFF8E">
        <w:tblPrEx>
          <w:tblCellMar>
            <w:top w:w="0" w:type="dxa"/>
            <w:left w:w="0" w:type="dxa"/>
            <w:bottom w:w="0" w:type="dxa"/>
            <w:right w:w="0" w:type="dxa"/>
          </w:tblCellMar>
        </w:tblPrEx>
        <w:trPr>
          <w:trHeight w:val="105" w:hRule="atLeast"/>
          <w:jc w:val="center"/>
        </w:trPr>
        <w:tc>
          <w:tcPr>
            <w:tcW w:w="3057" w:type="dxa"/>
            <w:vMerge w:val="continue"/>
            <w:tcBorders>
              <w:left w:val="single" w:color="auto" w:sz="8" w:space="0"/>
              <w:right w:val="single" w:color="auto" w:sz="8" w:space="0"/>
            </w:tcBorders>
            <w:vAlign w:val="center"/>
          </w:tcPr>
          <w:p w14:paraId="193BE67C">
            <w:pPr>
              <w:jc w:val="left"/>
            </w:pPr>
          </w:p>
        </w:tc>
        <w:tc>
          <w:tcPr>
            <w:tcW w:w="1895" w:type="dxa"/>
            <w:tcBorders>
              <w:bottom w:val="single" w:color="auto" w:sz="8" w:space="0"/>
              <w:right w:val="single" w:color="auto" w:sz="8" w:space="0"/>
            </w:tcBorders>
            <w:vAlign w:val="bottom"/>
          </w:tcPr>
          <w:p w14:paraId="2D215F78">
            <w:pPr>
              <w:spacing w:line="256" w:lineRule="exact"/>
              <w:jc w:val="center"/>
            </w:pPr>
            <w:r>
              <w:t>SH/T 0713</w:t>
            </w:r>
          </w:p>
        </w:tc>
        <w:tc>
          <w:tcPr>
            <w:tcW w:w="1134" w:type="dxa"/>
            <w:tcBorders>
              <w:top w:val="single" w:color="auto" w:sz="4" w:space="0"/>
              <w:bottom w:val="single" w:color="auto" w:sz="4" w:space="0"/>
              <w:right w:val="single" w:color="auto" w:sz="8" w:space="0"/>
            </w:tcBorders>
            <w:vAlign w:val="bottom"/>
          </w:tcPr>
          <w:p w14:paraId="4AEE4730">
            <w:pPr>
              <w:spacing w:line="240" w:lineRule="atLeast"/>
              <w:jc w:val="center"/>
              <w:rPr>
                <w:w w:val="98"/>
              </w:rPr>
            </w:pPr>
            <w:r>
              <w:rPr>
                <w:w w:val="98"/>
              </w:rPr>
              <w:t>0.04</w:t>
            </w:r>
          </w:p>
        </w:tc>
        <w:tc>
          <w:tcPr>
            <w:tcW w:w="1523" w:type="dxa"/>
            <w:tcBorders>
              <w:top w:val="single" w:color="auto" w:sz="4" w:space="0"/>
              <w:bottom w:val="single" w:color="auto" w:sz="4" w:space="0"/>
              <w:right w:val="single" w:color="auto" w:sz="8" w:space="0"/>
            </w:tcBorders>
            <w:vAlign w:val="bottom"/>
          </w:tcPr>
          <w:p w14:paraId="200368D0">
            <w:pPr>
              <w:spacing w:line="240" w:lineRule="atLeast"/>
              <w:jc w:val="center"/>
              <w:rPr>
                <w:w w:val="98"/>
              </w:rPr>
            </w:pPr>
            <w:r>
              <w:rPr>
                <w:w w:val="98"/>
              </w:rPr>
              <w:t>0.18</w:t>
            </w:r>
          </w:p>
        </w:tc>
      </w:tr>
      <w:tr w14:paraId="3C473EE5">
        <w:tblPrEx>
          <w:tblCellMar>
            <w:top w:w="0" w:type="dxa"/>
            <w:left w:w="0" w:type="dxa"/>
            <w:bottom w:w="0" w:type="dxa"/>
            <w:right w:w="0" w:type="dxa"/>
          </w:tblCellMar>
        </w:tblPrEx>
        <w:trPr>
          <w:trHeight w:val="105" w:hRule="atLeast"/>
          <w:jc w:val="center"/>
        </w:trPr>
        <w:tc>
          <w:tcPr>
            <w:tcW w:w="3057" w:type="dxa"/>
            <w:vMerge w:val="continue"/>
            <w:tcBorders>
              <w:left w:val="single" w:color="auto" w:sz="8" w:space="0"/>
              <w:bottom w:val="single" w:color="auto" w:sz="8" w:space="0"/>
              <w:right w:val="single" w:color="auto" w:sz="8" w:space="0"/>
            </w:tcBorders>
            <w:vAlign w:val="center"/>
          </w:tcPr>
          <w:p w14:paraId="11DD96F4">
            <w:pPr>
              <w:jc w:val="left"/>
            </w:pPr>
          </w:p>
        </w:tc>
        <w:tc>
          <w:tcPr>
            <w:tcW w:w="1895" w:type="dxa"/>
            <w:tcBorders>
              <w:bottom w:val="single" w:color="auto" w:sz="8" w:space="0"/>
              <w:right w:val="single" w:color="auto" w:sz="8" w:space="0"/>
            </w:tcBorders>
            <w:vAlign w:val="bottom"/>
          </w:tcPr>
          <w:p w14:paraId="0B6C9E34">
            <w:pPr>
              <w:spacing w:line="256" w:lineRule="exact"/>
              <w:jc w:val="center"/>
            </w:pPr>
            <w:r>
              <w:t>SH/T 0693</w:t>
            </w:r>
          </w:p>
        </w:tc>
        <w:tc>
          <w:tcPr>
            <w:tcW w:w="1134" w:type="dxa"/>
            <w:tcBorders>
              <w:top w:val="single" w:color="auto" w:sz="4" w:space="0"/>
              <w:bottom w:val="single" w:color="auto" w:sz="8" w:space="0"/>
              <w:right w:val="single" w:color="auto" w:sz="8" w:space="0"/>
            </w:tcBorders>
            <w:vAlign w:val="bottom"/>
          </w:tcPr>
          <w:p w14:paraId="06163585">
            <w:pPr>
              <w:spacing w:line="240" w:lineRule="atLeast"/>
              <w:jc w:val="center"/>
              <w:rPr>
                <w:w w:val="98"/>
              </w:rPr>
            </w:pPr>
            <w:r>
              <w:rPr>
                <w:w w:val="98"/>
              </w:rPr>
              <w:t>0.0265</w:t>
            </w:r>
          </w:p>
        </w:tc>
        <w:tc>
          <w:tcPr>
            <w:tcW w:w="1523" w:type="dxa"/>
            <w:tcBorders>
              <w:top w:val="single" w:color="auto" w:sz="4" w:space="0"/>
              <w:bottom w:val="single" w:color="auto" w:sz="8" w:space="0"/>
              <w:right w:val="single" w:color="auto" w:sz="8" w:space="0"/>
            </w:tcBorders>
            <w:vAlign w:val="bottom"/>
          </w:tcPr>
          <w:p w14:paraId="540B2B3A">
            <w:pPr>
              <w:spacing w:line="240" w:lineRule="atLeast"/>
              <w:jc w:val="center"/>
              <w:rPr>
                <w:w w:val="98"/>
              </w:rPr>
            </w:pPr>
            <w:r>
              <w:rPr>
                <w:w w:val="98"/>
              </w:rPr>
              <w:t>0.1229</w:t>
            </w:r>
          </w:p>
        </w:tc>
      </w:tr>
      <w:tr w14:paraId="0D4A875B">
        <w:tblPrEx>
          <w:tblCellMar>
            <w:top w:w="0" w:type="dxa"/>
            <w:left w:w="0" w:type="dxa"/>
            <w:bottom w:w="0" w:type="dxa"/>
            <w:right w:w="0" w:type="dxa"/>
          </w:tblCellMar>
        </w:tblPrEx>
        <w:trPr>
          <w:trHeight w:val="273" w:hRule="atLeast"/>
          <w:jc w:val="center"/>
        </w:trPr>
        <w:tc>
          <w:tcPr>
            <w:tcW w:w="3057" w:type="dxa"/>
            <w:tcBorders>
              <w:left w:val="single" w:color="auto" w:sz="8" w:space="0"/>
              <w:bottom w:val="single" w:color="auto" w:sz="8" w:space="0"/>
              <w:right w:val="single" w:color="auto" w:sz="8" w:space="0"/>
            </w:tcBorders>
            <w:vAlign w:val="center"/>
          </w:tcPr>
          <w:p w14:paraId="059C4FB9">
            <w:pPr>
              <w:jc w:val="left"/>
            </w:pPr>
            <w:r>
              <w:rPr>
                <w:rFonts w:hint="eastAsia"/>
              </w:rPr>
              <w:t>氧含量</w:t>
            </w:r>
            <w:r>
              <w:t>/ %</w:t>
            </w:r>
            <w:r>
              <w:rPr>
                <w:rFonts w:hint="eastAsia"/>
              </w:rPr>
              <w:t>（质量分数）</w:t>
            </w:r>
          </w:p>
        </w:tc>
        <w:tc>
          <w:tcPr>
            <w:tcW w:w="1895" w:type="dxa"/>
            <w:tcBorders>
              <w:bottom w:val="single" w:color="auto" w:sz="8" w:space="0"/>
              <w:right w:val="single" w:color="auto" w:sz="8" w:space="0"/>
            </w:tcBorders>
            <w:vAlign w:val="bottom"/>
          </w:tcPr>
          <w:p w14:paraId="71A1A6A0">
            <w:pPr>
              <w:spacing w:line="256" w:lineRule="exact"/>
            </w:pPr>
            <w:r>
              <w:rPr>
                <w:w w:val="99"/>
              </w:rPr>
              <w:t>NB/SH/T 0663</w:t>
            </w:r>
          </w:p>
        </w:tc>
        <w:tc>
          <w:tcPr>
            <w:tcW w:w="1134" w:type="dxa"/>
            <w:tcBorders>
              <w:bottom w:val="single" w:color="auto" w:sz="8" w:space="0"/>
              <w:right w:val="single" w:color="auto" w:sz="8" w:space="0"/>
            </w:tcBorders>
            <w:vAlign w:val="bottom"/>
          </w:tcPr>
          <w:p w14:paraId="45EF50BB">
            <w:pPr>
              <w:spacing w:line="240" w:lineRule="atLeast"/>
              <w:jc w:val="center"/>
              <w:rPr>
                <w:w w:val="98"/>
              </w:rPr>
            </w:pPr>
            <w:r>
              <w:rPr>
                <w:w w:val="98"/>
              </w:rPr>
              <w:t>0.02</w:t>
            </w:r>
          </w:p>
        </w:tc>
        <w:tc>
          <w:tcPr>
            <w:tcW w:w="1523" w:type="dxa"/>
            <w:tcBorders>
              <w:bottom w:val="single" w:color="auto" w:sz="8" w:space="0"/>
              <w:right w:val="single" w:color="auto" w:sz="8" w:space="0"/>
            </w:tcBorders>
            <w:vAlign w:val="bottom"/>
          </w:tcPr>
          <w:p w14:paraId="069FD05F">
            <w:pPr>
              <w:spacing w:line="240" w:lineRule="atLeast"/>
              <w:jc w:val="center"/>
              <w:rPr>
                <w:w w:val="98"/>
              </w:rPr>
            </w:pPr>
            <w:r>
              <w:rPr>
                <w:rFonts w:eastAsia="Times New Roman"/>
              </w:rPr>
              <w:t>0.0</w:t>
            </w:r>
            <w:r>
              <w:t>9</w:t>
            </w:r>
          </w:p>
        </w:tc>
      </w:tr>
      <w:tr w14:paraId="4D1FB74C">
        <w:tblPrEx>
          <w:tblCellMar>
            <w:top w:w="0" w:type="dxa"/>
            <w:left w:w="0" w:type="dxa"/>
            <w:bottom w:w="0" w:type="dxa"/>
            <w:right w:w="0" w:type="dxa"/>
          </w:tblCellMar>
        </w:tblPrEx>
        <w:trPr>
          <w:trHeight w:val="158" w:hRule="atLeast"/>
          <w:jc w:val="center"/>
        </w:trPr>
        <w:tc>
          <w:tcPr>
            <w:tcW w:w="3057" w:type="dxa"/>
            <w:vMerge w:val="restart"/>
            <w:tcBorders>
              <w:top w:val="single" w:color="auto" w:sz="8" w:space="0"/>
              <w:left w:val="single" w:color="auto" w:sz="8" w:space="0"/>
              <w:bottom w:val="single" w:color="auto" w:sz="4" w:space="0"/>
              <w:right w:val="single" w:color="auto" w:sz="8" w:space="0"/>
            </w:tcBorders>
            <w:vAlign w:val="center"/>
          </w:tcPr>
          <w:p w14:paraId="508E13ED">
            <w:pPr>
              <w:jc w:val="left"/>
            </w:pPr>
            <w:r>
              <w:rPr>
                <w:rFonts w:hint="eastAsia"/>
              </w:rPr>
              <w:t>密度</w:t>
            </w:r>
            <w:r>
              <w:t>/(g/cm3)</w:t>
            </w:r>
          </w:p>
        </w:tc>
        <w:tc>
          <w:tcPr>
            <w:tcW w:w="1895" w:type="dxa"/>
            <w:tcBorders>
              <w:bottom w:val="single" w:color="auto" w:sz="8" w:space="0"/>
              <w:right w:val="single" w:color="auto" w:sz="8" w:space="0"/>
            </w:tcBorders>
            <w:vAlign w:val="bottom"/>
          </w:tcPr>
          <w:p w14:paraId="6DF01E09">
            <w:pPr>
              <w:spacing w:line="256" w:lineRule="exact"/>
              <w:ind w:firstLine="210" w:firstLineChars="100"/>
            </w:pPr>
            <w:r>
              <w:t>SH/T 0604</w:t>
            </w:r>
          </w:p>
        </w:tc>
        <w:tc>
          <w:tcPr>
            <w:tcW w:w="1134" w:type="dxa"/>
            <w:tcBorders>
              <w:bottom w:val="single" w:color="auto" w:sz="4" w:space="0"/>
              <w:right w:val="single" w:color="auto" w:sz="8" w:space="0"/>
            </w:tcBorders>
            <w:vAlign w:val="bottom"/>
          </w:tcPr>
          <w:p w14:paraId="03AEAA5F">
            <w:pPr>
              <w:spacing w:line="240" w:lineRule="atLeast"/>
              <w:jc w:val="center"/>
              <w:rPr>
                <w:w w:val="98"/>
              </w:rPr>
            </w:pPr>
            <w:r>
              <w:rPr>
                <w:w w:val="98"/>
              </w:rPr>
              <w:t>0.4</w:t>
            </w:r>
          </w:p>
        </w:tc>
        <w:tc>
          <w:tcPr>
            <w:tcW w:w="1523" w:type="dxa"/>
            <w:tcBorders>
              <w:bottom w:val="single" w:color="auto" w:sz="4" w:space="0"/>
              <w:right w:val="single" w:color="auto" w:sz="8" w:space="0"/>
            </w:tcBorders>
            <w:vAlign w:val="bottom"/>
          </w:tcPr>
          <w:p w14:paraId="305CCABD">
            <w:pPr>
              <w:spacing w:line="240" w:lineRule="atLeast"/>
              <w:jc w:val="center"/>
              <w:rPr>
                <w:w w:val="98"/>
              </w:rPr>
            </w:pPr>
            <w:r>
              <w:rPr>
                <w:w w:val="98"/>
              </w:rPr>
              <w:t>1.5</w:t>
            </w:r>
          </w:p>
        </w:tc>
      </w:tr>
      <w:tr w14:paraId="25A52CBD">
        <w:tblPrEx>
          <w:tblCellMar>
            <w:top w:w="0" w:type="dxa"/>
            <w:left w:w="0" w:type="dxa"/>
            <w:bottom w:w="0" w:type="dxa"/>
            <w:right w:w="0" w:type="dxa"/>
          </w:tblCellMar>
        </w:tblPrEx>
        <w:trPr>
          <w:trHeight w:val="157" w:hRule="atLeast"/>
          <w:jc w:val="center"/>
        </w:trPr>
        <w:tc>
          <w:tcPr>
            <w:tcW w:w="3057" w:type="dxa"/>
            <w:vMerge w:val="continue"/>
            <w:tcBorders>
              <w:left w:val="single" w:color="auto" w:sz="8" w:space="0"/>
              <w:bottom w:val="single" w:color="auto" w:sz="4" w:space="0"/>
              <w:right w:val="single" w:color="auto" w:sz="8" w:space="0"/>
            </w:tcBorders>
            <w:vAlign w:val="bottom"/>
          </w:tcPr>
          <w:p w14:paraId="5C1D3CF4">
            <w:pPr>
              <w:spacing w:line="256" w:lineRule="exact"/>
              <w:ind w:left="120"/>
              <w:rPr>
                <w:rFonts w:ascii="宋体"/>
              </w:rPr>
            </w:pPr>
          </w:p>
        </w:tc>
        <w:tc>
          <w:tcPr>
            <w:tcW w:w="1895" w:type="dxa"/>
            <w:tcBorders>
              <w:bottom w:val="single" w:color="auto" w:sz="8" w:space="0"/>
              <w:right w:val="single" w:color="auto" w:sz="8" w:space="0"/>
            </w:tcBorders>
            <w:vAlign w:val="bottom"/>
          </w:tcPr>
          <w:p w14:paraId="2C276451">
            <w:pPr>
              <w:spacing w:line="256" w:lineRule="exact"/>
              <w:ind w:firstLine="210" w:firstLineChars="100"/>
            </w:pPr>
            <w:r>
              <w:t>GB/T 1884</w:t>
            </w:r>
          </w:p>
        </w:tc>
        <w:tc>
          <w:tcPr>
            <w:tcW w:w="1134" w:type="dxa"/>
            <w:tcBorders>
              <w:top w:val="single" w:color="auto" w:sz="4" w:space="0"/>
              <w:bottom w:val="single" w:color="auto" w:sz="8" w:space="0"/>
              <w:right w:val="single" w:color="auto" w:sz="8" w:space="0"/>
            </w:tcBorders>
            <w:vAlign w:val="bottom"/>
          </w:tcPr>
          <w:p w14:paraId="0C761700">
            <w:pPr>
              <w:spacing w:line="240" w:lineRule="atLeast"/>
              <w:jc w:val="center"/>
              <w:rPr>
                <w:w w:val="98"/>
              </w:rPr>
            </w:pPr>
            <w:r>
              <w:rPr>
                <w:w w:val="98"/>
              </w:rPr>
              <w:t>0.5</w:t>
            </w:r>
          </w:p>
        </w:tc>
        <w:tc>
          <w:tcPr>
            <w:tcW w:w="1523" w:type="dxa"/>
            <w:tcBorders>
              <w:top w:val="single" w:color="auto" w:sz="4" w:space="0"/>
              <w:bottom w:val="single" w:color="auto" w:sz="8" w:space="0"/>
              <w:right w:val="single" w:color="auto" w:sz="8" w:space="0"/>
            </w:tcBorders>
            <w:vAlign w:val="bottom"/>
          </w:tcPr>
          <w:p w14:paraId="7693ADB9">
            <w:pPr>
              <w:spacing w:line="240" w:lineRule="atLeast"/>
              <w:jc w:val="center"/>
              <w:rPr>
                <w:w w:val="98"/>
              </w:rPr>
            </w:pPr>
            <w:r>
              <w:rPr>
                <w:w w:val="98"/>
              </w:rPr>
              <w:t>1.2</w:t>
            </w:r>
          </w:p>
        </w:tc>
      </w:tr>
    </w:tbl>
    <w:p w14:paraId="0D41F8B1">
      <w:pPr>
        <w:jc w:val="left"/>
        <w:rPr>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pPr>
    </w:p>
    <w:p w14:paraId="08090148">
      <w:pPr>
        <w:jc w:val="center"/>
        <w:rPr>
          <w:sz w:val="18"/>
          <w:szCs w:val="18"/>
        </w:rPr>
      </w:pPr>
      <w:r>
        <w:rPr>
          <w:rFonts w:hint="eastAsia"/>
          <w:sz w:val="18"/>
          <w:szCs w:val="18"/>
        </w:rPr>
        <w:t>表</w:t>
      </w:r>
      <w:r>
        <w:rPr>
          <w:rFonts w:hint="eastAsia"/>
          <w:sz w:val="18"/>
          <w:szCs w:val="18"/>
          <w:lang w:val="en-US" w:eastAsia="zh-CN"/>
        </w:rPr>
        <w:t>2</w:t>
      </w:r>
      <w:r>
        <w:rPr>
          <w:sz w:val="18"/>
          <w:szCs w:val="18"/>
        </w:rPr>
        <w:t xml:space="preserve"> </w:t>
      </w:r>
      <w:r>
        <w:rPr>
          <w:rFonts w:hint="eastAsia"/>
          <w:sz w:val="18"/>
          <w:szCs w:val="18"/>
        </w:rPr>
        <w:t>定标模型验证结果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57"/>
        <w:gridCol w:w="457"/>
        <w:gridCol w:w="801"/>
        <w:gridCol w:w="951"/>
        <w:gridCol w:w="348"/>
        <w:gridCol w:w="801"/>
        <w:gridCol w:w="951"/>
        <w:gridCol w:w="344"/>
        <w:gridCol w:w="870"/>
        <w:gridCol w:w="1035"/>
        <w:gridCol w:w="377"/>
        <w:gridCol w:w="870"/>
        <w:gridCol w:w="1035"/>
        <w:gridCol w:w="377"/>
        <w:gridCol w:w="801"/>
        <w:gridCol w:w="951"/>
        <w:gridCol w:w="405"/>
        <w:gridCol w:w="801"/>
        <w:gridCol w:w="951"/>
        <w:gridCol w:w="405"/>
      </w:tblGrid>
      <w:tr w14:paraId="48AF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0" w:type="auto"/>
            <w:vMerge w:val="restart"/>
            <w:shd w:val="clear" w:color="auto" w:fill="auto"/>
            <w:tcMar>
              <w:top w:w="15" w:type="dxa"/>
              <w:left w:w="15" w:type="dxa"/>
              <w:right w:w="15" w:type="dxa"/>
            </w:tcMar>
            <w:vAlign w:val="top"/>
          </w:tcPr>
          <w:p w14:paraId="13D7232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shd w:val="clear" w:color="auto" w:fill="auto"/>
            <w:tcMar>
              <w:top w:w="15" w:type="dxa"/>
              <w:left w:w="15" w:type="dxa"/>
              <w:right w:w="15" w:type="dxa"/>
            </w:tcMar>
            <w:vAlign w:val="top"/>
          </w:tcPr>
          <w:p w14:paraId="480CDE5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牌号</w:t>
            </w:r>
          </w:p>
        </w:tc>
        <w:tc>
          <w:tcPr>
            <w:tcW w:w="0" w:type="auto"/>
            <w:gridSpan w:val="3"/>
            <w:shd w:val="clear" w:color="auto" w:fill="auto"/>
            <w:tcMar>
              <w:top w:w="15" w:type="dxa"/>
              <w:left w:w="15" w:type="dxa"/>
              <w:right w:w="15" w:type="dxa"/>
            </w:tcMar>
            <w:vAlign w:val="center"/>
          </w:tcPr>
          <w:p w14:paraId="2A3861DF">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研究法辛烷值</w:t>
            </w:r>
          </w:p>
        </w:tc>
        <w:tc>
          <w:tcPr>
            <w:tcW w:w="0" w:type="auto"/>
            <w:gridSpan w:val="3"/>
            <w:shd w:val="clear" w:color="auto" w:fill="auto"/>
            <w:tcMar>
              <w:top w:w="15" w:type="dxa"/>
              <w:left w:w="15" w:type="dxa"/>
              <w:right w:w="15" w:type="dxa"/>
            </w:tcMar>
            <w:vAlign w:val="center"/>
          </w:tcPr>
          <w:p w14:paraId="3C573B05">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抗爆指数</w:t>
            </w:r>
          </w:p>
        </w:tc>
        <w:tc>
          <w:tcPr>
            <w:tcW w:w="0" w:type="auto"/>
            <w:gridSpan w:val="3"/>
            <w:shd w:val="clear" w:color="auto" w:fill="auto"/>
            <w:tcMar>
              <w:top w:w="15" w:type="dxa"/>
              <w:left w:w="15" w:type="dxa"/>
              <w:right w:w="15" w:type="dxa"/>
            </w:tcMar>
            <w:vAlign w:val="center"/>
          </w:tcPr>
          <w:p w14:paraId="6FC257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芳烃含量</w:t>
            </w:r>
            <w:r>
              <w:rPr>
                <w:rStyle w:val="16"/>
                <w:rFonts w:eastAsia="宋体"/>
                <w:sz w:val="21"/>
                <w:szCs w:val="21"/>
                <w:lang w:val="en-US" w:eastAsia="zh-CN" w:bidi="ar"/>
              </w:rPr>
              <w:t>/%</w:t>
            </w:r>
            <w:r>
              <w:rPr>
                <w:rStyle w:val="17"/>
                <w:sz w:val="21"/>
                <w:szCs w:val="21"/>
                <w:lang w:val="en-US" w:eastAsia="zh-CN" w:bidi="ar"/>
              </w:rPr>
              <w:t>（体积分数）</w:t>
            </w:r>
          </w:p>
        </w:tc>
        <w:tc>
          <w:tcPr>
            <w:tcW w:w="0" w:type="auto"/>
            <w:gridSpan w:val="3"/>
            <w:shd w:val="clear" w:color="auto" w:fill="auto"/>
            <w:tcMar>
              <w:top w:w="15" w:type="dxa"/>
              <w:left w:w="15" w:type="dxa"/>
              <w:right w:w="15" w:type="dxa"/>
            </w:tcMar>
            <w:vAlign w:val="center"/>
          </w:tcPr>
          <w:p w14:paraId="544E38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烯烃含量</w:t>
            </w:r>
            <w:r>
              <w:rPr>
                <w:rStyle w:val="16"/>
                <w:rFonts w:eastAsia="宋体"/>
                <w:sz w:val="21"/>
                <w:szCs w:val="21"/>
                <w:lang w:val="en-US" w:eastAsia="zh-CN" w:bidi="ar"/>
              </w:rPr>
              <w:t>/%</w:t>
            </w:r>
            <w:r>
              <w:rPr>
                <w:rStyle w:val="17"/>
                <w:sz w:val="21"/>
                <w:szCs w:val="21"/>
                <w:lang w:val="en-US" w:eastAsia="zh-CN" w:bidi="ar"/>
              </w:rPr>
              <w:t>（体积分数）</w:t>
            </w:r>
          </w:p>
        </w:tc>
        <w:tc>
          <w:tcPr>
            <w:tcW w:w="0" w:type="auto"/>
            <w:gridSpan w:val="3"/>
            <w:shd w:val="clear" w:color="auto" w:fill="auto"/>
            <w:tcMar>
              <w:top w:w="15" w:type="dxa"/>
              <w:left w:w="15" w:type="dxa"/>
              <w:right w:w="15" w:type="dxa"/>
            </w:tcMar>
            <w:vAlign w:val="center"/>
          </w:tcPr>
          <w:p w14:paraId="1DC756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苯含量</w:t>
            </w:r>
            <w:r>
              <w:rPr>
                <w:rStyle w:val="16"/>
                <w:rFonts w:eastAsia="宋体"/>
                <w:sz w:val="21"/>
                <w:szCs w:val="21"/>
                <w:lang w:val="en-US" w:eastAsia="zh-CN" w:bidi="ar"/>
              </w:rPr>
              <w:t>/ %</w:t>
            </w:r>
            <w:r>
              <w:rPr>
                <w:rStyle w:val="17"/>
                <w:sz w:val="21"/>
                <w:szCs w:val="21"/>
                <w:lang w:val="en-US" w:eastAsia="zh-CN" w:bidi="ar"/>
              </w:rPr>
              <w:t>（体积分数）</w:t>
            </w:r>
          </w:p>
        </w:tc>
        <w:tc>
          <w:tcPr>
            <w:tcW w:w="0" w:type="auto"/>
            <w:gridSpan w:val="3"/>
            <w:shd w:val="clear" w:color="auto" w:fill="auto"/>
            <w:tcMar>
              <w:top w:w="15" w:type="dxa"/>
              <w:left w:w="15" w:type="dxa"/>
              <w:right w:w="15" w:type="dxa"/>
            </w:tcMar>
            <w:vAlign w:val="center"/>
          </w:tcPr>
          <w:p w14:paraId="6AC261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氧含量</w:t>
            </w:r>
            <w:r>
              <w:rPr>
                <w:rStyle w:val="16"/>
                <w:rFonts w:eastAsia="宋体"/>
                <w:sz w:val="21"/>
                <w:szCs w:val="21"/>
                <w:lang w:val="en-US" w:eastAsia="zh-CN" w:bidi="ar"/>
              </w:rPr>
              <w:t>/ %</w:t>
            </w:r>
            <w:r>
              <w:rPr>
                <w:rStyle w:val="17"/>
                <w:sz w:val="21"/>
                <w:szCs w:val="21"/>
                <w:lang w:val="en-US" w:eastAsia="zh-CN" w:bidi="ar"/>
              </w:rPr>
              <w:t>（质量分数）</w:t>
            </w:r>
          </w:p>
        </w:tc>
      </w:tr>
      <w:tr w14:paraId="27A2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5" w:hRule="atLeast"/>
        </w:trPr>
        <w:tc>
          <w:tcPr>
            <w:tcW w:w="0" w:type="auto"/>
            <w:vMerge w:val="continue"/>
            <w:shd w:val="clear" w:color="auto" w:fill="auto"/>
            <w:tcMar>
              <w:top w:w="15" w:type="dxa"/>
              <w:left w:w="15" w:type="dxa"/>
              <w:right w:w="15" w:type="dxa"/>
            </w:tcMar>
            <w:vAlign w:val="top"/>
          </w:tcPr>
          <w:p w14:paraId="18846CE2">
            <w:pPr>
              <w:jc w:val="center"/>
              <w:rPr>
                <w:rFonts w:hint="eastAsia" w:ascii="宋体" w:hAnsi="宋体" w:eastAsia="宋体" w:cs="宋体"/>
                <w:i w:val="0"/>
                <w:color w:val="000000"/>
                <w:sz w:val="22"/>
                <w:szCs w:val="22"/>
                <w:u w:val="none"/>
              </w:rPr>
            </w:pPr>
          </w:p>
        </w:tc>
        <w:tc>
          <w:tcPr>
            <w:tcW w:w="0" w:type="auto"/>
            <w:shd w:val="clear" w:color="auto" w:fill="auto"/>
            <w:tcMar>
              <w:top w:w="15" w:type="dxa"/>
              <w:left w:w="15" w:type="dxa"/>
              <w:right w:w="15" w:type="dxa"/>
            </w:tcMar>
            <w:vAlign w:val="top"/>
          </w:tcPr>
          <w:p w14:paraId="0BC299FA">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17"/>
                <w:sz w:val="22"/>
                <w:szCs w:val="22"/>
                <w:lang w:val="en-US" w:eastAsia="zh-CN" w:bidi="ar"/>
              </w:rPr>
              <w:t>号</w:t>
            </w:r>
          </w:p>
        </w:tc>
        <w:tc>
          <w:tcPr>
            <w:tcW w:w="0" w:type="auto"/>
            <w:shd w:val="clear" w:color="auto" w:fill="auto"/>
            <w:tcMar>
              <w:top w:w="15" w:type="dxa"/>
              <w:left w:w="15" w:type="dxa"/>
              <w:right w:w="15" w:type="dxa"/>
            </w:tcMar>
            <w:vAlign w:val="top"/>
          </w:tcPr>
          <w:p w14:paraId="21183631">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标准测定值</w:t>
            </w:r>
          </w:p>
        </w:tc>
        <w:tc>
          <w:tcPr>
            <w:tcW w:w="0" w:type="auto"/>
            <w:shd w:val="clear" w:color="auto" w:fill="auto"/>
            <w:tcMar>
              <w:top w:w="15" w:type="dxa"/>
              <w:left w:w="15" w:type="dxa"/>
              <w:right w:w="15" w:type="dxa"/>
            </w:tcMar>
            <w:vAlign w:val="top"/>
          </w:tcPr>
          <w:p w14:paraId="240714E0">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近红外测定值</w:t>
            </w:r>
          </w:p>
        </w:tc>
        <w:tc>
          <w:tcPr>
            <w:tcW w:w="0" w:type="auto"/>
            <w:shd w:val="clear" w:color="auto" w:fill="auto"/>
            <w:tcMar>
              <w:top w:w="15" w:type="dxa"/>
              <w:left w:w="15" w:type="dxa"/>
              <w:right w:w="15" w:type="dxa"/>
            </w:tcMar>
            <w:vAlign w:val="top"/>
          </w:tcPr>
          <w:p w14:paraId="52B604DE">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w:t>
            </w:r>
          </w:p>
        </w:tc>
        <w:tc>
          <w:tcPr>
            <w:tcW w:w="0" w:type="auto"/>
            <w:shd w:val="clear" w:color="auto" w:fill="auto"/>
            <w:tcMar>
              <w:top w:w="15" w:type="dxa"/>
              <w:left w:w="15" w:type="dxa"/>
              <w:right w:w="15" w:type="dxa"/>
            </w:tcMar>
            <w:vAlign w:val="top"/>
          </w:tcPr>
          <w:p w14:paraId="48585BF6">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标准测定值</w:t>
            </w:r>
          </w:p>
        </w:tc>
        <w:tc>
          <w:tcPr>
            <w:tcW w:w="0" w:type="auto"/>
            <w:shd w:val="clear" w:color="auto" w:fill="auto"/>
            <w:tcMar>
              <w:top w:w="15" w:type="dxa"/>
              <w:left w:w="15" w:type="dxa"/>
              <w:right w:w="15" w:type="dxa"/>
            </w:tcMar>
            <w:vAlign w:val="top"/>
          </w:tcPr>
          <w:p w14:paraId="6DE0DF06">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近红外测定值</w:t>
            </w:r>
          </w:p>
        </w:tc>
        <w:tc>
          <w:tcPr>
            <w:tcW w:w="0" w:type="auto"/>
            <w:shd w:val="clear" w:color="auto" w:fill="auto"/>
            <w:tcMar>
              <w:top w:w="15" w:type="dxa"/>
              <w:left w:w="15" w:type="dxa"/>
              <w:right w:w="15" w:type="dxa"/>
            </w:tcMar>
            <w:vAlign w:val="top"/>
          </w:tcPr>
          <w:p w14:paraId="1D6285B5">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w:t>
            </w:r>
          </w:p>
        </w:tc>
        <w:tc>
          <w:tcPr>
            <w:tcW w:w="0" w:type="auto"/>
            <w:shd w:val="clear" w:color="auto" w:fill="auto"/>
            <w:tcMar>
              <w:top w:w="15" w:type="dxa"/>
              <w:left w:w="15" w:type="dxa"/>
              <w:right w:w="15" w:type="dxa"/>
            </w:tcMar>
            <w:vAlign w:val="top"/>
          </w:tcPr>
          <w:p w14:paraId="557D5D94">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标准测定值</w:t>
            </w:r>
          </w:p>
        </w:tc>
        <w:tc>
          <w:tcPr>
            <w:tcW w:w="0" w:type="auto"/>
            <w:shd w:val="clear" w:color="auto" w:fill="auto"/>
            <w:tcMar>
              <w:top w:w="15" w:type="dxa"/>
              <w:left w:w="15" w:type="dxa"/>
              <w:right w:w="15" w:type="dxa"/>
            </w:tcMar>
            <w:vAlign w:val="top"/>
          </w:tcPr>
          <w:p w14:paraId="2143D6C3">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近红外测定值</w:t>
            </w:r>
          </w:p>
        </w:tc>
        <w:tc>
          <w:tcPr>
            <w:tcW w:w="0" w:type="auto"/>
            <w:shd w:val="clear" w:color="auto" w:fill="auto"/>
            <w:tcMar>
              <w:top w:w="15" w:type="dxa"/>
              <w:left w:w="15" w:type="dxa"/>
              <w:right w:w="15" w:type="dxa"/>
            </w:tcMar>
            <w:vAlign w:val="top"/>
          </w:tcPr>
          <w:p w14:paraId="749BA034">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w:t>
            </w:r>
          </w:p>
        </w:tc>
        <w:tc>
          <w:tcPr>
            <w:tcW w:w="0" w:type="auto"/>
            <w:shd w:val="clear" w:color="auto" w:fill="auto"/>
            <w:tcMar>
              <w:top w:w="15" w:type="dxa"/>
              <w:left w:w="15" w:type="dxa"/>
              <w:right w:w="15" w:type="dxa"/>
            </w:tcMar>
            <w:vAlign w:val="top"/>
          </w:tcPr>
          <w:p w14:paraId="1D9FF7A5">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标准测定值</w:t>
            </w:r>
          </w:p>
        </w:tc>
        <w:tc>
          <w:tcPr>
            <w:tcW w:w="0" w:type="auto"/>
            <w:shd w:val="clear" w:color="auto" w:fill="auto"/>
            <w:tcMar>
              <w:top w:w="15" w:type="dxa"/>
              <w:left w:w="15" w:type="dxa"/>
              <w:right w:w="15" w:type="dxa"/>
            </w:tcMar>
            <w:vAlign w:val="top"/>
          </w:tcPr>
          <w:p w14:paraId="6B60C27C">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近红外测定值</w:t>
            </w:r>
          </w:p>
        </w:tc>
        <w:tc>
          <w:tcPr>
            <w:tcW w:w="0" w:type="auto"/>
            <w:shd w:val="clear" w:color="auto" w:fill="auto"/>
            <w:tcMar>
              <w:top w:w="15" w:type="dxa"/>
              <w:left w:w="15" w:type="dxa"/>
              <w:right w:w="15" w:type="dxa"/>
            </w:tcMar>
            <w:vAlign w:val="top"/>
          </w:tcPr>
          <w:p w14:paraId="45C44B02">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w:t>
            </w:r>
          </w:p>
        </w:tc>
        <w:tc>
          <w:tcPr>
            <w:tcW w:w="0" w:type="auto"/>
            <w:shd w:val="clear" w:color="auto" w:fill="auto"/>
            <w:tcMar>
              <w:top w:w="15" w:type="dxa"/>
              <w:left w:w="15" w:type="dxa"/>
              <w:right w:w="15" w:type="dxa"/>
            </w:tcMar>
            <w:vAlign w:val="top"/>
          </w:tcPr>
          <w:p w14:paraId="066770F8">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标准测定值</w:t>
            </w:r>
          </w:p>
        </w:tc>
        <w:tc>
          <w:tcPr>
            <w:tcW w:w="0" w:type="auto"/>
            <w:shd w:val="clear" w:color="auto" w:fill="auto"/>
            <w:tcMar>
              <w:top w:w="15" w:type="dxa"/>
              <w:left w:w="15" w:type="dxa"/>
              <w:right w:w="15" w:type="dxa"/>
            </w:tcMar>
            <w:vAlign w:val="top"/>
          </w:tcPr>
          <w:p w14:paraId="3803E910">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近红外测定值</w:t>
            </w:r>
          </w:p>
        </w:tc>
        <w:tc>
          <w:tcPr>
            <w:tcW w:w="0" w:type="auto"/>
            <w:shd w:val="clear" w:color="auto" w:fill="auto"/>
            <w:tcMar>
              <w:top w:w="15" w:type="dxa"/>
              <w:left w:w="15" w:type="dxa"/>
              <w:right w:w="15" w:type="dxa"/>
            </w:tcMar>
            <w:vAlign w:val="top"/>
          </w:tcPr>
          <w:p w14:paraId="67C725D5">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w:t>
            </w:r>
          </w:p>
        </w:tc>
        <w:tc>
          <w:tcPr>
            <w:tcW w:w="0" w:type="auto"/>
            <w:shd w:val="clear" w:color="auto" w:fill="auto"/>
            <w:tcMar>
              <w:top w:w="15" w:type="dxa"/>
              <w:left w:w="15" w:type="dxa"/>
              <w:right w:w="15" w:type="dxa"/>
            </w:tcMar>
            <w:vAlign w:val="top"/>
          </w:tcPr>
          <w:p w14:paraId="342ACB87">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标准测定值</w:t>
            </w:r>
          </w:p>
        </w:tc>
        <w:tc>
          <w:tcPr>
            <w:tcW w:w="0" w:type="auto"/>
            <w:shd w:val="clear" w:color="auto" w:fill="auto"/>
            <w:tcMar>
              <w:top w:w="15" w:type="dxa"/>
              <w:left w:w="15" w:type="dxa"/>
              <w:right w:w="15" w:type="dxa"/>
            </w:tcMar>
            <w:vAlign w:val="top"/>
          </w:tcPr>
          <w:p w14:paraId="5B97B39E">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近红外测定值</w:t>
            </w:r>
          </w:p>
        </w:tc>
        <w:tc>
          <w:tcPr>
            <w:tcW w:w="0" w:type="auto"/>
            <w:shd w:val="clear" w:color="auto" w:fill="auto"/>
            <w:tcMar>
              <w:top w:w="15" w:type="dxa"/>
              <w:left w:w="15" w:type="dxa"/>
              <w:right w:w="15" w:type="dxa"/>
            </w:tcMar>
            <w:vAlign w:val="top"/>
          </w:tcPr>
          <w:p w14:paraId="1FB178E2">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w:t>
            </w:r>
          </w:p>
        </w:tc>
      </w:tr>
      <w:tr w14:paraId="4C24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35BE46A2">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0" w:type="auto"/>
            <w:shd w:val="clear" w:color="auto" w:fill="auto"/>
            <w:tcMar>
              <w:top w:w="15" w:type="dxa"/>
              <w:left w:w="15" w:type="dxa"/>
              <w:right w:w="15" w:type="dxa"/>
            </w:tcMar>
            <w:vAlign w:val="top"/>
          </w:tcPr>
          <w:p w14:paraId="5D639807">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w:t>
            </w:r>
          </w:p>
        </w:tc>
        <w:tc>
          <w:tcPr>
            <w:tcW w:w="0" w:type="auto"/>
            <w:shd w:val="clear" w:color="auto" w:fill="auto"/>
            <w:tcMar>
              <w:top w:w="15" w:type="dxa"/>
              <w:left w:w="15" w:type="dxa"/>
              <w:right w:w="15" w:type="dxa"/>
            </w:tcMar>
            <w:vAlign w:val="center"/>
          </w:tcPr>
          <w:p w14:paraId="1DBE680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92.5 </w:t>
            </w:r>
          </w:p>
        </w:tc>
        <w:tc>
          <w:tcPr>
            <w:tcW w:w="0" w:type="auto"/>
            <w:shd w:val="clear" w:color="auto" w:fill="auto"/>
            <w:tcMar>
              <w:top w:w="15" w:type="dxa"/>
              <w:left w:w="15" w:type="dxa"/>
              <w:right w:w="15" w:type="dxa"/>
            </w:tcMar>
            <w:vAlign w:val="center"/>
          </w:tcPr>
          <w:p w14:paraId="18508260">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92.5 </w:t>
            </w:r>
          </w:p>
        </w:tc>
        <w:tc>
          <w:tcPr>
            <w:tcW w:w="0" w:type="auto"/>
            <w:shd w:val="clear" w:color="auto" w:fill="auto"/>
            <w:tcMar>
              <w:top w:w="15" w:type="dxa"/>
              <w:left w:w="15" w:type="dxa"/>
              <w:right w:w="15" w:type="dxa"/>
            </w:tcMar>
            <w:vAlign w:val="center"/>
          </w:tcPr>
          <w:p w14:paraId="3D9AD00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 </w:t>
            </w:r>
          </w:p>
        </w:tc>
        <w:tc>
          <w:tcPr>
            <w:tcW w:w="0" w:type="auto"/>
            <w:shd w:val="clear" w:color="auto" w:fill="auto"/>
            <w:tcMar>
              <w:top w:w="15" w:type="dxa"/>
              <w:left w:w="15" w:type="dxa"/>
              <w:right w:w="15" w:type="dxa"/>
            </w:tcMar>
            <w:vAlign w:val="top"/>
          </w:tcPr>
          <w:p w14:paraId="792FCA10">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86.8 </w:t>
            </w:r>
          </w:p>
        </w:tc>
        <w:tc>
          <w:tcPr>
            <w:tcW w:w="0" w:type="auto"/>
            <w:shd w:val="clear" w:color="auto" w:fill="auto"/>
            <w:tcMar>
              <w:top w:w="15" w:type="dxa"/>
              <w:left w:w="15" w:type="dxa"/>
              <w:right w:w="15" w:type="dxa"/>
            </w:tcMar>
            <w:vAlign w:val="top"/>
          </w:tcPr>
          <w:p w14:paraId="1EDF01DB">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87.1 </w:t>
            </w:r>
          </w:p>
        </w:tc>
        <w:tc>
          <w:tcPr>
            <w:tcW w:w="0" w:type="auto"/>
            <w:shd w:val="clear" w:color="auto" w:fill="auto"/>
            <w:tcMar>
              <w:top w:w="15" w:type="dxa"/>
              <w:left w:w="15" w:type="dxa"/>
              <w:right w:w="15" w:type="dxa"/>
            </w:tcMar>
            <w:vAlign w:val="top"/>
          </w:tcPr>
          <w:p w14:paraId="4D404A80">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 </w:t>
            </w:r>
          </w:p>
        </w:tc>
        <w:tc>
          <w:tcPr>
            <w:tcW w:w="0" w:type="auto"/>
            <w:shd w:val="clear" w:color="auto" w:fill="auto"/>
            <w:tcMar>
              <w:top w:w="15" w:type="dxa"/>
              <w:left w:w="15" w:type="dxa"/>
              <w:right w:w="15" w:type="dxa"/>
            </w:tcMar>
            <w:vAlign w:val="center"/>
          </w:tcPr>
          <w:p w14:paraId="08F80F89">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33.3 </w:t>
            </w:r>
          </w:p>
        </w:tc>
        <w:tc>
          <w:tcPr>
            <w:tcW w:w="0" w:type="auto"/>
            <w:shd w:val="clear" w:color="auto" w:fill="auto"/>
            <w:tcMar>
              <w:top w:w="15" w:type="dxa"/>
              <w:left w:w="15" w:type="dxa"/>
              <w:right w:w="15" w:type="dxa"/>
            </w:tcMar>
            <w:vAlign w:val="center"/>
          </w:tcPr>
          <w:p w14:paraId="7F92BA9C">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31.6 </w:t>
            </w:r>
          </w:p>
        </w:tc>
        <w:tc>
          <w:tcPr>
            <w:tcW w:w="0" w:type="auto"/>
            <w:shd w:val="clear" w:color="auto" w:fill="auto"/>
            <w:tcMar>
              <w:top w:w="15" w:type="dxa"/>
              <w:left w:w="15" w:type="dxa"/>
              <w:right w:w="15" w:type="dxa"/>
            </w:tcMar>
            <w:vAlign w:val="center"/>
          </w:tcPr>
          <w:p w14:paraId="08577AE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 </w:t>
            </w:r>
          </w:p>
        </w:tc>
        <w:tc>
          <w:tcPr>
            <w:tcW w:w="0" w:type="auto"/>
            <w:shd w:val="clear" w:color="auto" w:fill="auto"/>
            <w:tcMar>
              <w:top w:w="15" w:type="dxa"/>
              <w:left w:w="15" w:type="dxa"/>
              <w:right w:w="15" w:type="dxa"/>
            </w:tcMar>
            <w:vAlign w:val="center"/>
          </w:tcPr>
          <w:p w14:paraId="133A8F5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15.0 </w:t>
            </w:r>
          </w:p>
        </w:tc>
        <w:tc>
          <w:tcPr>
            <w:tcW w:w="0" w:type="auto"/>
            <w:shd w:val="clear" w:color="auto" w:fill="auto"/>
            <w:tcMar>
              <w:top w:w="15" w:type="dxa"/>
              <w:left w:w="15" w:type="dxa"/>
              <w:right w:w="15" w:type="dxa"/>
            </w:tcMar>
            <w:vAlign w:val="center"/>
          </w:tcPr>
          <w:p w14:paraId="25216EA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15.8 </w:t>
            </w:r>
          </w:p>
        </w:tc>
        <w:tc>
          <w:tcPr>
            <w:tcW w:w="0" w:type="auto"/>
            <w:shd w:val="clear" w:color="auto" w:fill="auto"/>
            <w:tcMar>
              <w:top w:w="15" w:type="dxa"/>
              <w:left w:w="15" w:type="dxa"/>
              <w:right w:w="15" w:type="dxa"/>
            </w:tcMar>
            <w:vAlign w:val="center"/>
          </w:tcPr>
          <w:p w14:paraId="4F125C0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-0.8 </w:t>
            </w:r>
          </w:p>
        </w:tc>
        <w:tc>
          <w:tcPr>
            <w:tcW w:w="0" w:type="auto"/>
            <w:shd w:val="clear" w:color="auto" w:fill="auto"/>
            <w:tcMar>
              <w:top w:w="15" w:type="dxa"/>
              <w:left w:w="15" w:type="dxa"/>
              <w:right w:w="15" w:type="dxa"/>
            </w:tcMar>
            <w:vAlign w:val="top"/>
          </w:tcPr>
          <w:p w14:paraId="2E7775D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0.41</w:t>
            </w:r>
          </w:p>
        </w:tc>
        <w:tc>
          <w:tcPr>
            <w:tcW w:w="0" w:type="auto"/>
            <w:shd w:val="clear" w:color="auto" w:fill="auto"/>
            <w:tcMar>
              <w:top w:w="15" w:type="dxa"/>
              <w:left w:w="15" w:type="dxa"/>
              <w:right w:w="15" w:type="dxa"/>
            </w:tcMar>
            <w:vAlign w:val="top"/>
          </w:tcPr>
          <w:p w14:paraId="1274E948">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0.34</w:t>
            </w:r>
          </w:p>
        </w:tc>
        <w:tc>
          <w:tcPr>
            <w:tcW w:w="0" w:type="auto"/>
            <w:shd w:val="clear" w:color="auto" w:fill="auto"/>
            <w:tcMar>
              <w:top w:w="15" w:type="dxa"/>
              <w:left w:w="15" w:type="dxa"/>
              <w:right w:w="15" w:type="dxa"/>
            </w:tcMar>
            <w:vAlign w:val="top"/>
          </w:tcPr>
          <w:p w14:paraId="480BB02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-0.07</w:t>
            </w:r>
          </w:p>
        </w:tc>
        <w:tc>
          <w:tcPr>
            <w:tcW w:w="0" w:type="auto"/>
            <w:shd w:val="clear" w:color="auto" w:fill="auto"/>
            <w:tcMar>
              <w:top w:w="15" w:type="dxa"/>
              <w:left w:w="15" w:type="dxa"/>
              <w:right w:w="15" w:type="dxa"/>
            </w:tcMar>
            <w:vAlign w:val="top"/>
          </w:tcPr>
          <w:p w14:paraId="3D2EADB5">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1.67</w:t>
            </w:r>
          </w:p>
        </w:tc>
        <w:tc>
          <w:tcPr>
            <w:tcW w:w="0" w:type="auto"/>
            <w:shd w:val="clear" w:color="auto" w:fill="auto"/>
            <w:tcMar>
              <w:top w:w="15" w:type="dxa"/>
              <w:left w:w="15" w:type="dxa"/>
              <w:right w:w="15" w:type="dxa"/>
            </w:tcMar>
            <w:vAlign w:val="center"/>
          </w:tcPr>
          <w:p w14:paraId="61EE5EDF">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w:t>
            </w:r>
          </w:p>
        </w:tc>
        <w:tc>
          <w:tcPr>
            <w:tcW w:w="0" w:type="auto"/>
            <w:shd w:val="clear" w:color="auto" w:fill="auto"/>
            <w:tcMar>
              <w:top w:w="15" w:type="dxa"/>
              <w:left w:w="15" w:type="dxa"/>
              <w:right w:w="15" w:type="dxa"/>
            </w:tcMar>
            <w:vAlign w:val="top"/>
          </w:tcPr>
          <w:p w14:paraId="1765CEB2">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-0.01</w:t>
            </w:r>
          </w:p>
        </w:tc>
      </w:tr>
      <w:tr w14:paraId="2D49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55C8C383">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0" w:type="auto"/>
            <w:shd w:val="clear" w:color="auto" w:fill="auto"/>
            <w:tcMar>
              <w:top w:w="15" w:type="dxa"/>
              <w:left w:w="15" w:type="dxa"/>
              <w:right w:w="15" w:type="dxa"/>
            </w:tcMar>
            <w:vAlign w:val="top"/>
          </w:tcPr>
          <w:p w14:paraId="38C7CF2C">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0" w:type="auto"/>
            <w:shd w:val="clear" w:color="auto" w:fill="auto"/>
            <w:tcMar>
              <w:top w:w="15" w:type="dxa"/>
              <w:left w:w="15" w:type="dxa"/>
              <w:right w:w="15" w:type="dxa"/>
            </w:tcMar>
            <w:vAlign w:val="center"/>
          </w:tcPr>
          <w:p w14:paraId="3638B47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96.1 </w:t>
            </w:r>
          </w:p>
        </w:tc>
        <w:tc>
          <w:tcPr>
            <w:tcW w:w="0" w:type="auto"/>
            <w:shd w:val="clear" w:color="auto" w:fill="auto"/>
            <w:tcMar>
              <w:top w:w="15" w:type="dxa"/>
              <w:left w:w="15" w:type="dxa"/>
              <w:right w:w="15" w:type="dxa"/>
            </w:tcMar>
            <w:vAlign w:val="center"/>
          </w:tcPr>
          <w:p w14:paraId="1EEC553F">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95.9 </w:t>
            </w:r>
          </w:p>
        </w:tc>
        <w:tc>
          <w:tcPr>
            <w:tcW w:w="0" w:type="auto"/>
            <w:shd w:val="clear" w:color="auto" w:fill="auto"/>
            <w:tcMar>
              <w:top w:w="15" w:type="dxa"/>
              <w:left w:w="15" w:type="dxa"/>
              <w:right w:w="15" w:type="dxa"/>
            </w:tcMar>
            <w:vAlign w:val="center"/>
          </w:tcPr>
          <w:p w14:paraId="0F801709">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0.2 </w:t>
            </w:r>
          </w:p>
        </w:tc>
        <w:tc>
          <w:tcPr>
            <w:tcW w:w="0" w:type="auto"/>
            <w:shd w:val="clear" w:color="auto" w:fill="auto"/>
            <w:tcMar>
              <w:top w:w="15" w:type="dxa"/>
              <w:left w:w="15" w:type="dxa"/>
              <w:right w:w="15" w:type="dxa"/>
            </w:tcMar>
            <w:vAlign w:val="top"/>
          </w:tcPr>
          <w:p w14:paraId="405AF019">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90.2 </w:t>
            </w:r>
          </w:p>
        </w:tc>
        <w:tc>
          <w:tcPr>
            <w:tcW w:w="0" w:type="auto"/>
            <w:shd w:val="clear" w:color="auto" w:fill="auto"/>
            <w:tcMar>
              <w:top w:w="15" w:type="dxa"/>
              <w:left w:w="15" w:type="dxa"/>
              <w:right w:w="15" w:type="dxa"/>
            </w:tcMar>
            <w:vAlign w:val="top"/>
          </w:tcPr>
          <w:p w14:paraId="37E945A3">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90.5 </w:t>
            </w:r>
          </w:p>
        </w:tc>
        <w:tc>
          <w:tcPr>
            <w:tcW w:w="0" w:type="auto"/>
            <w:shd w:val="clear" w:color="auto" w:fill="auto"/>
            <w:tcMar>
              <w:top w:w="15" w:type="dxa"/>
              <w:left w:w="15" w:type="dxa"/>
              <w:right w:w="15" w:type="dxa"/>
            </w:tcMar>
            <w:vAlign w:val="top"/>
          </w:tcPr>
          <w:p w14:paraId="1C15D310">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 </w:t>
            </w:r>
          </w:p>
        </w:tc>
        <w:tc>
          <w:tcPr>
            <w:tcW w:w="0" w:type="auto"/>
            <w:shd w:val="clear" w:color="auto" w:fill="auto"/>
            <w:tcMar>
              <w:top w:w="15" w:type="dxa"/>
              <w:left w:w="15" w:type="dxa"/>
              <w:right w:w="15" w:type="dxa"/>
            </w:tcMar>
            <w:vAlign w:val="center"/>
          </w:tcPr>
          <w:p w14:paraId="6D82A08D">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27.2 </w:t>
            </w:r>
          </w:p>
        </w:tc>
        <w:tc>
          <w:tcPr>
            <w:tcW w:w="0" w:type="auto"/>
            <w:shd w:val="clear" w:color="auto" w:fill="auto"/>
            <w:tcMar>
              <w:top w:w="15" w:type="dxa"/>
              <w:left w:w="15" w:type="dxa"/>
              <w:right w:w="15" w:type="dxa"/>
            </w:tcMar>
            <w:vAlign w:val="center"/>
          </w:tcPr>
          <w:p w14:paraId="3EBE3033">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26.4 </w:t>
            </w:r>
          </w:p>
        </w:tc>
        <w:tc>
          <w:tcPr>
            <w:tcW w:w="0" w:type="auto"/>
            <w:shd w:val="clear" w:color="auto" w:fill="auto"/>
            <w:tcMar>
              <w:top w:w="15" w:type="dxa"/>
              <w:left w:w="15" w:type="dxa"/>
              <w:right w:w="15" w:type="dxa"/>
            </w:tcMar>
            <w:vAlign w:val="center"/>
          </w:tcPr>
          <w:p w14:paraId="6F314BAC">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0.8 </w:t>
            </w:r>
          </w:p>
        </w:tc>
        <w:tc>
          <w:tcPr>
            <w:tcW w:w="0" w:type="auto"/>
            <w:shd w:val="clear" w:color="auto" w:fill="auto"/>
            <w:tcMar>
              <w:top w:w="15" w:type="dxa"/>
              <w:left w:w="15" w:type="dxa"/>
              <w:right w:w="15" w:type="dxa"/>
            </w:tcMar>
            <w:vAlign w:val="center"/>
          </w:tcPr>
          <w:p w14:paraId="6098EFD1">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13.3 </w:t>
            </w:r>
          </w:p>
        </w:tc>
        <w:tc>
          <w:tcPr>
            <w:tcW w:w="0" w:type="auto"/>
            <w:shd w:val="clear" w:color="auto" w:fill="auto"/>
            <w:tcMar>
              <w:top w:w="15" w:type="dxa"/>
              <w:left w:w="15" w:type="dxa"/>
              <w:right w:w="15" w:type="dxa"/>
            </w:tcMar>
            <w:vAlign w:val="center"/>
          </w:tcPr>
          <w:p w14:paraId="3D66355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13.2 </w:t>
            </w:r>
          </w:p>
        </w:tc>
        <w:tc>
          <w:tcPr>
            <w:tcW w:w="0" w:type="auto"/>
            <w:shd w:val="clear" w:color="auto" w:fill="auto"/>
            <w:tcMar>
              <w:top w:w="15" w:type="dxa"/>
              <w:left w:w="15" w:type="dxa"/>
              <w:right w:w="15" w:type="dxa"/>
            </w:tcMar>
            <w:vAlign w:val="center"/>
          </w:tcPr>
          <w:p w14:paraId="11FD35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 </w:t>
            </w:r>
          </w:p>
        </w:tc>
        <w:tc>
          <w:tcPr>
            <w:tcW w:w="0" w:type="auto"/>
            <w:shd w:val="clear" w:color="auto" w:fill="auto"/>
            <w:tcMar>
              <w:top w:w="15" w:type="dxa"/>
              <w:left w:w="15" w:type="dxa"/>
              <w:right w:w="15" w:type="dxa"/>
            </w:tcMar>
            <w:vAlign w:val="top"/>
          </w:tcPr>
          <w:p w14:paraId="40DA62D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0.31</w:t>
            </w:r>
          </w:p>
        </w:tc>
        <w:tc>
          <w:tcPr>
            <w:tcW w:w="0" w:type="auto"/>
            <w:shd w:val="clear" w:color="auto" w:fill="auto"/>
            <w:tcMar>
              <w:top w:w="15" w:type="dxa"/>
              <w:left w:w="15" w:type="dxa"/>
              <w:right w:w="15" w:type="dxa"/>
            </w:tcMar>
            <w:vAlign w:val="top"/>
          </w:tcPr>
          <w:p w14:paraId="3BE2463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w:t>
            </w:r>
          </w:p>
        </w:tc>
        <w:tc>
          <w:tcPr>
            <w:tcW w:w="0" w:type="auto"/>
            <w:shd w:val="clear" w:color="auto" w:fill="auto"/>
            <w:tcMar>
              <w:top w:w="15" w:type="dxa"/>
              <w:left w:w="15" w:type="dxa"/>
              <w:right w:w="15" w:type="dxa"/>
            </w:tcMar>
            <w:vAlign w:val="top"/>
          </w:tcPr>
          <w:p w14:paraId="30289CAE">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-0.01</w:t>
            </w:r>
          </w:p>
        </w:tc>
        <w:tc>
          <w:tcPr>
            <w:tcW w:w="0" w:type="auto"/>
            <w:shd w:val="clear" w:color="auto" w:fill="auto"/>
            <w:tcMar>
              <w:top w:w="15" w:type="dxa"/>
              <w:left w:w="15" w:type="dxa"/>
              <w:right w:w="15" w:type="dxa"/>
            </w:tcMar>
            <w:vAlign w:val="top"/>
          </w:tcPr>
          <w:p w14:paraId="2D088C3D">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1.97</w:t>
            </w:r>
          </w:p>
        </w:tc>
        <w:tc>
          <w:tcPr>
            <w:tcW w:w="0" w:type="auto"/>
            <w:shd w:val="clear" w:color="auto" w:fill="auto"/>
            <w:tcMar>
              <w:top w:w="15" w:type="dxa"/>
              <w:left w:w="15" w:type="dxa"/>
              <w:right w:w="15" w:type="dxa"/>
            </w:tcMar>
            <w:vAlign w:val="center"/>
          </w:tcPr>
          <w:p w14:paraId="398B9DB2">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w:t>
            </w:r>
          </w:p>
        </w:tc>
        <w:tc>
          <w:tcPr>
            <w:tcW w:w="0" w:type="auto"/>
            <w:shd w:val="clear" w:color="auto" w:fill="auto"/>
            <w:tcMar>
              <w:top w:w="15" w:type="dxa"/>
              <w:left w:w="15" w:type="dxa"/>
              <w:right w:w="15" w:type="dxa"/>
            </w:tcMar>
            <w:vAlign w:val="top"/>
          </w:tcPr>
          <w:p w14:paraId="3F3B78DC">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0.22</w:t>
            </w:r>
          </w:p>
        </w:tc>
      </w:tr>
      <w:tr w14:paraId="1E72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11F18C9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0" w:type="auto"/>
            <w:shd w:val="clear" w:color="auto" w:fill="auto"/>
            <w:tcMar>
              <w:top w:w="15" w:type="dxa"/>
              <w:left w:w="15" w:type="dxa"/>
              <w:right w:w="15" w:type="dxa"/>
            </w:tcMar>
            <w:vAlign w:val="top"/>
          </w:tcPr>
          <w:p w14:paraId="0123AC7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w:t>
            </w:r>
          </w:p>
        </w:tc>
        <w:tc>
          <w:tcPr>
            <w:tcW w:w="0" w:type="auto"/>
            <w:shd w:val="clear" w:color="auto" w:fill="auto"/>
            <w:tcMar>
              <w:top w:w="15" w:type="dxa"/>
              <w:left w:w="15" w:type="dxa"/>
              <w:right w:w="15" w:type="dxa"/>
            </w:tcMar>
            <w:vAlign w:val="center"/>
          </w:tcPr>
          <w:p w14:paraId="09E7E2A2">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92.4 </w:t>
            </w:r>
          </w:p>
        </w:tc>
        <w:tc>
          <w:tcPr>
            <w:tcW w:w="0" w:type="auto"/>
            <w:shd w:val="clear" w:color="auto" w:fill="auto"/>
            <w:tcMar>
              <w:top w:w="15" w:type="dxa"/>
              <w:left w:w="15" w:type="dxa"/>
              <w:right w:w="15" w:type="dxa"/>
            </w:tcMar>
            <w:vAlign w:val="center"/>
          </w:tcPr>
          <w:p w14:paraId="2A4B9A5D">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92.5 </w:t>
            </w:r>
          </w:p>
        </w:tc>
        <w:tc>
          <w:tcPr>
            <w:tcW w:w="0" w:type="auto"/>
            <w:shd w:val="clear" w:color="auto" w:fill="auto"/>
            <w:tcMar>
              <w:top w:w="15" w:type="dxa"/>
              <w:left w:w="15" w:type="dxa"/>
              <w:right w:w="15" w:type="dxa"/>
            </w:tcMar>
            <w:vAlign w:val="center"/>
          </w:tcPr>
          <w:p w14:paraId="23F55D0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 </w:t>
            </w:r>
          </w:p>
        </w:tc>
        <w:tc>
          <w:tcPr>
            <w:tcW w:w="0" w:type="auto"/>
            <w:shd w:val="clear" w:color="auto" w:fill="auto"/>
            <w:tcMar>
              <w:top w:w="15" w:type="dxa"/>
              <w:left w:w="15" w:type="dxa"/>
              <w:right w:w="15" w:type="dxa"/>
            </w:tcMar>
            <w:vAlign w:val="top"/>
          </w:tcPr>
          <w:p w14:paraId="08240F5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86.8 </w:t>
            </w:r>
          </w:p>
        </w:tc>
        <w:tc>
          <w:tcPr>
            <w:tcW w:w="0" w:type="auto"/>
            <w:shd w:val="clear" w:color="auto" w:fill="auto"/>
            <w:tcMar>
              <w:top w:w="15" w:type="dxa"/>
              <w:left w:w="15" w:type="dxa"/>
              <w:right w:w="15" w:type="dxa"/>
            </w:tcMar>
            <w:vAlign w:val="top"/>
          </w:tcPr>
          <w:p w14:paraId="00024679">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87.2 </w:t>
            </w:r>
          </w:p>
        </w:tc>
        <w:tc>
          <w:tcPr>
            <w:tcW w:w="0" w:type="auto"/>
            <w:shd w:val="clear" w:color="auto" w:fill="auto"/>
            <w:tcMar>
              <w:top w:w="15" w:type="dxa"/>
              <w:left w:w="15" w:type="dxa"/>
              <w:right w:w="15" w:type="dxa"/>
            </w:tcMar>
            <w:vAlign w:val="top"/>
          </w:tcPr>
          <w:p w14:paraId="099CA7ED">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0.4 </w:t>
            </w:r>
          </w:p>
        </w:tc>
        <w:tc>
          <w:tcPr>
            <w:tcW w:w="0" w:type="auto"/>
            <w:shd w:val="clear" w:color="auto" w:fill="auto"/>
            <w:tcMar>
              <w:top w:w="15" w:type="dxa"/>
              <w:left w:w="15" w:type="dxa"/>
              <w:right w:w="15" w:type="dxa"/>
            </w:tcMar>
            <w:vAlign w:val="center"/>
          </w:tcPr>
          <w:p w14:paraId="58D4EDFF">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32.3 </w:t>
            </w:r>
          </w:p>
        </w:tc>
        <w:tc>
          <w:tcPr>
            <w:tcW w:w="0" w:type="auto"/>
            <w:shd w:val="clear" w:color="auto" w:fill="auto"/>
            <w:tcMar>
              <w:top w:w="15" w:type="dxa"/>
              <w:left w:w="15" w:type="dxa"/>
              <w:right w:w="15" w:type="dxa"/>
            </w:tcMar>
            <w:vAlign w:val="center"/>
          </w:tcPr>
          <w:p w14:paraId="253F83A1">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31.1 </w:t>
            </w:r>
          </w:p>
        </w:tc>
        <w:tc>
          <w:tcPr>
            <w:tcW w:w="0" w:type="auto"/>
            <w:shd w:val="clear" w:color="auto" w:fill="auto"/>
            <w:tcMar>
              <w:top w:w="15" w:type="dxa"/>
              <w:left w:w="15" w:type="dxa"/>
              <w:right w:w="15" w:type="dxa"/>
            </w:tcMar>
            <w:vAlign w:val="center"/>
          </w:tcPr>
          <w:p w14:paraId="13DC1DAD">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 </w:t>
            </w:r>
          </w:p>
        </w:tc>
        <w:tc>
          <w:tcPr>
            <w:tcW w:w="0" w:type="auto"/>
            <w:shd w:val="clear" w:color="auto" w:fill="auto"/>
            <w:tcMar>
              <w:top w:w="15" w:type="dxa"/>
              <w:left w:w="15" w:type="dxa"/>
              <w:right w:w="15" w:type="dxa"/>
            </w:tcMar>
            <w:vAlign w:val="center"/>
          </w:tcPr>
          <w:p w14:paraId="6036E34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15.1 </w:t>
            </w:r>
          </w:p>
        </w:tc>
        <w:tc>
          <w:tcPr>
            <w:tcW w:w="0" w:type="auto"/>
            <w:shd w:val="clear" w:color="auto" w:fill="auto"/>
            <w:tcMar>
              <w:top w:w="15" w:type="dxa"/>
              <w:left w:w="15" w:type="dxa"/>
              <w:right w:w="15" w:type="dxa"/>
            </w:tcMar>
            <w:vAlign w:val="center"/>
          </w:tcPr>
          <w:p w14:paraId="0A8A5D1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16.0 </w:t>
            </w:r>
          </w:p>
        </w:tc>
        <w:tc>
          <w:tcPr>
            <w:tcW w:w="0" w:type="auto"/>
            <w:shd w:val="clear" w:color="auto" w:fill="auto"/>
            <w:tcMar>
              <w:top w:w="15" w:type="dxa"/>
              <w:left w:w="15" w:type="dxa"/>
              <w:right w:w="15" w:type="dxa"/>
            </w:tcMar>
            <w:vAlign w:val="center"/>
          </w:tcPr>
          <w:p w14:paraId="78E2F8C0">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-0.9 </w:t>
            </w:r>
          </w:p>
        </w:tc>
        <w:tc>
          <w:tcPr>
            <w:tcW w:w="0" w:type="auto"/>
            <w:shd w:val="clear" w:color="auto" w:fill="auto"/>
            <w:tcMar>
              <w:top w:w="15" w:type="dxa"/>
              <w:left w:w="15" w:type="dxa"/>
              <w:right w:w="15" w:type="dxa"/>
            </w:tcMar>
            <w:vAlign w:val="top"/>
          </w:tcPr>
          <w:p w14:paraId="463343FD">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0.39</w:t>
            </w:r>
          </w:p>
        </w:tc>
        <w:tc>
          <w:tcPr>
            <w:tcW w:w="0" w:type="auto"/>
            <w:shd w:val="clear" w:color="auto" w:fill="auto"/>
            <w:tcMar>
              <w:top w:w="15" w:type="dxa"/>
              <w:left w:w="15" w:type="dxa"/>
              <w:right w:w="15" w:type="dxa"/>
            </w:tcMar>
            <w:vAlign w:val="top"/>
          </w:tcPr>
          <w:p w14:paraId="1B11BC52">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w:t>
            </w:r>
          </w:p>
        </w:tc>
        <w:tc>
          <w:tcPr>
            <w:tcW w:w="0" w:type="auto"/>
            <w:shd w:val="clear" w:color="auto" w:fill="auto"/>
            <w:tcMar>
              <w:top w:w="15" w:type="dxa"/>
              <w:left w:w="15" w:type="dxa"/>
              <w:right w:w="15" w:type="dxa"/>
            </w:tcMar>
            <w:vAlign w:val="top"/>
          </w:tcPr>
          <w:p w14:paraId="02471134">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0.01</w:t>
            </w:r>
          </w:p>
        </w:tc>
        <w:tc>
          <w:tcPr>
            <w:tcW w:w="0" w:type="auto"/>
            <w:shd w:val="clear" w:color="auto" w:fill="auto"/>
            <w:tcMar>
              <w:top w:w="15" w:type="dxa"/>
              <w:left w:w="15" w:type="dxa"/>
              <w:right w:w="15" w:type="dxa"/>
            </w:tcMar>
            <w:vAlign w:val="top"/>
          </w:tcPr>
          <w:p w14:paraId="3596B043">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1.38</w:t>
            </w:r>
          </w:p>
        </w:tc>
        <w:tc>
          <w:tcPr>
            <w:tcW w:w="0" w:type="auto"/>
            <w:shd w:val="clear" w:color="auto" w:fill="auto"/>
            <w:tcMar>
              <w:top w:w="15" w:type="dxa"/>
              <w:left w:w="15" w:type="dxa"/>
              <w:right w:w="15" w:type="dxa"/>
            </w:tcMar>
            <w:vAlign w:val="center"/>
          </w:tcPr>
          <w:p w14:paraId="41093E7E">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0" w:type="auto"/>
            <w:shd w:val="clear" w:color="auto" w:fill="auto"/>
            <w:tcMar>
              <w:top w:w="15" w:type="dxa"/>
              <w:left w:w="15" w:type="dxa"/>
              <w:right w:w="15" w:type="dxa"/>
            </w:tcMar>
            <w:vAlign w:val="top"/>
          </w:tcPr>
          <w:p w14:paraId="18C4E49C">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0.02</w:t>
            </w:r>
          </w:p>
        </w:tc>
      </w:tr>
      <w:tr w14:paraId="6968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43600EB8">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0" w:type="auto"/>
            <w:shd w:val="clear" w:color="auto" w:fill="auto"/>
            <w:tcMar>
              <w:top w:w="15" w:type="dxa"/>
              <w:left w:w="15" w:type="dxa"/>
              <w:right w:w="15" w:type="dxa"/>
            </w:tcMar>
            <w:vAlign w:val="top"/>
          </w:tcPr>
          <w:p w14:paraId="46C184E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0" w:type="auto"/>
            <w:shd w:val="clear" w:color="auto" w:fill="auto"/>
            <w:tcMar>
              <w:top w:w="15" w:type="dxa"/>
              <w:left w:w="15" w:type="dxa"/>
              <w:right w:w="15" w:type="dxa"/>
            </w:tcMar>
            <w:vAlign w:val="center"/>
          </w:tcPr>
          <w:p w14:paraId="5FD7A873">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96.2 </w:t>
            </w:r>
          </w:p>
        </w:tc>
        <w:tc>
          <w:tcPr>
            <w:tcW w:w="0" w:type="auto"/>
            <w:shd w:val="clear" w:color="auto" w:fill="auto"/>
            <w:tcMar>
              <w:top w:w="15" w:type="dxa"/>
              <w:left w:w="15" w:type="dxa"/>
              <w:right w:w="15" w:type="dxa"/>
            </w:tcMar>
            <w:vAlign w:val="center"/>
          </w:tcPr>
          <w:p w14:paraId="0023C28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95.9 </w:t>
            </w:r>
          </w:p>
        </w:tc>
        <w:tc>
          <w:tcPr>
            <w:tcW w:w="0" w:type="auto"/>
            <w:shd w:val="clear" w:color="auto" w:fill="auto"/>
            <w:tcMar>
              <w:top w:w="15" w:type="dxa"/>
              <w:left w:w="15" w:type="dxa"/>
              <w:right w:w="15" w:type="dxa"/>
            </w:tcMar>
            <w:vAlign w:val="center"/>
          </w:tcPr>
          <w:p w14:paraId="5D1F0D13">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 </w:t>
            </w:r>
          </w:p>
        </w:tc>
        <w:tc>
          <w:tcPr>
            <w:tcW w:w="0" w:type="auto"/>
            <w:shd w:val="clear" w:color="auto" w:fill="auto"/>
            <w:tcMar>
              <w:top w:w="15" w:type="dxa"/>
              <w:left w:w="15" w:type="dxa"/>
              <w:right w:w="15" w:type="dxa"/>
            </w:tcMar>
            <w:vAlign w:val="top"/>
          </w:tcPr>
          <w:p w14:paraId="7DA36739">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90.2 </w:t>
            </w:r>
          </w:p>
        </w:tc>
        <w:tc>
          <w:tcPr>
            <w:tcW w:w="0" w:type="auto"/>
            <w:shd w:val="clear" w:color="auto" w:fill="auto"/>
            <w:tcMar>
              <w:top w:w="15" w:type="dxa"/>
              <w:left w:w="15" w:type="dxa"/>
              <w:right w:w="15" w:type="dxa"/>
            </w:tcMar>
            <w:vAlign w:val="top"/>
          </w:tcPr>
          <w:p w14:paraId="05C5A889">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90.6 </w:t>
            </w:r>
          </w:p>
        </w:tc>
        <w:tc>
          <w:tcPr>
            <w:tcW w:w="0" w:type="auto"/>
            <w:shd w:val="clear" w:color="auto" w:fill="auto"/>
            <w:tcMar>
              <w:top w:w="15" w:type="dxa"/>
              <w:left w:w="15" w:type="dxa"/>
              <w:right w:w="15" w:type="dxa"/>
            </w:tcMar>
            <w:vAlign w:val="top"/>
          </w:tcPr>
          <w:p w14:paraId="4DA75702">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 </w:t>
            </w:r>
          </w:p>
        </w:tc>
        <w:tc>
          <w:tcPr>
            <w:tcW w:w="0" w:type="auto"/>
            <w:shd w:val="clear" w:color="auto" w:fill="auto"/>
            <w:tcMar>
              <w:top w:w="15" w:type="dxa"/>
              <w:left w:w="15" w:type="dxa"/>
              <w:right w:w="15" w:type="dxa"/>
            </w:tcMar>
            <w:vAlign w:val="center"/>
          </w:tcPr>
          <w:p w14:paraId="565C67A5">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31.8 </w:t>
            </w:r>
          </w:p>
        </w:tc>
        <w:tc>
          <w:tcPr>
            <w:tcW w:w="0" w:type="auto"/>
            <w:shd w:val="clear" w:color="auto" w:fill="auto"/>
            <w:tcMar>
              <w:top w:w="15" w:type="dxa"/>
              <w:left w:w="15" w:type="dxa"/>
              <w:right w:w="15" w:type="dxa"/>
            </w:tcMar>
            <w:vAlign w:val="center"/>
          </w:tcPr>
          <w:p w14:paraId="64A362BC">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31.4 </w:t>
            </w:r>
          </w:p>
        </w:tc>
        <w:tc>
          <w:tcPr>
            <w:tcW w:w="0" w:type="auto"/>
            <w:shd w:val="clear" w:color="auto" w:fill="auto"/>
            <w:tcMar>
              <w:top w:w="15" w:type="dxa"/>
              <w:left w:w="15" w:type="dxa"/>
              <w:right w:w="15" w:type="dxa"/>
            </w:tcMar>
            <w:vAlign w:val="center"/>
          </w:tcPr>
          <w:p w14:paraId="62EEA65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0.4 </w:t>
            </w:r>
          </w:p>
        </w:tc>
        <w:tc>
          <w:tcPr>
            <w:tcW w:w="0" w:type="auto"/>
            <w:shd w:val="clear" w:color="auto" w:fill="auto"/>
            <w:tcMar>
              <w:top w:w="15" w:type="dxa"/>
              <w:left w:w="15" w:type="dxa"/>
              <w:right w:w="15" w:type="dxa"/>
            </w:tcMar>
            <w:vAlign w:val="center"/>
          </w:tcPr>
          <w:p w14:paraId="373158D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13.5 </w:t>
            </w:r>
          </w:p>
        </w:tc>
        <w:tc>
          <w:tcPr>
            <w:tcW w:w="0" w:type="auto"/>
            <w:shd w:val="clear" w:color="auto" w:fill="auto"/>
            <w:tcMar>
              <w:top w:w="15" w:type="dxa"/>
              <w:left w:w="15" w:type="dxa"/>
              <w:right w:w="15" w:type="dxa"/>
            </w:tcMar>
            <w:vAlign w:val="center"/>
          </w:tcPr>
          <w:p w14:paraId="7CF10C5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13.2 </w:t>
            </w:r>
          </w:p>
        </w:tc>
        <w:tc>
          <w:tcPr>
            <w:tcW w:w="0" w:type="auto"/>
            <w:shd w:val="clear" w:color="auto" w:fill="auto"/>
            <w:tcMar>
              <w:top w:w="15" w:type="dxa"/>
              <w:left w:w="15" w:type="dxa"/>
              <w:right w:w="15" w:type="dxa"/>
            </w:tcMar>
            <w:vAlign w:val="center"/>
          </w:tcPr>
          <w:p w14:paraId="2364183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 </w:t>
            </w:r>
          </w:p>
        </w:tc>
        <w:tc>
          <w:tcPr>
            <w:tcW w:w="0" w:type="auto"/>
            <w:shd w:val="clear" w:color="auto" w:fill="auto"/>
            <w:tcMar>
              <w:top w:w="15" w:type="dxa"/>
              <w:left w:w="15" w:type="dxa"/>
              <w:right w:w="15" w:type="dxa"/>
            </w:tcMar>
            <w:vAlign w:val="top"/>
          </w:tcPr>
          <w:p w14:paraId="496B092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0.32</w:t>
            </w:r>
          </w:p>
        </w:tc>
        <w:tc>
          <w:tcPr>
            <w:tcW w:w="0" w:type="auto"/>
            <w:shd w:val="clear" w:color="auto" w:fill="auto"/>
            <w:tcMar>
              <w:top w:w="15" w:type="dxa"/>
              <w:left w:w="15" w:type="dxa"/>
              <w:right w:w="15" w:type="dxa"/>
            </w:tcMar>
            <w:vAlign w:val="top"/>
          </w:tcPr>
          <w:p w14:paraId="452E66BC">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0.33</w:t>
            </w:r>
          </w:p>
        </w:tc>
        <w:tc>
          <w:tcPr>
            <w:tcW w:w="0" w:type="auto"/>
            <w:shd w:val="clear" w:color="auto" w:fill="auto"/>
            <w:tcMar>
              <w:top w:w="15" w:type="dxa"/>
              <w:left w:w="15" w:type="dxa"/>
              <w:right w:w="15" w:type="dxa"/>
            </w:tcMar>
            <w:vAlign w:val="top"/>
          </w:tcPr>
          <w:p w14:paraId="195D5E6E">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0.01</w:t>
            </w:r>
          </w:p>
        </w:tc>
        <w:tc>
          <w:tcPr>
            <w:tcW w:w="0" w:type="auto"/>
            <w:shd w:val="clear" w:color="auto" w:fill="auto"/>
            <w:tcMar>
              <w:top w:w="15" w:type="dxa"/>
              <w:left w:w="15" w:type="dxa"/>
              <w:right w:w="15" w:type="dxa"/>
            </w:tcMar>
            <w:vAlign w:val="top"/>
          </w:tcPr>
          <w:p w14:paraId="4B66DD3C">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w:t>
            </w:r>
          </w:p>
        </w:tc>
        <w:tc>
          <w:tcPr>
            <w:tcW w:w="0" w:type="auto"/>
            <w:shd w:val="clear" w:color="auto" w:fill="auto"/>
            <w:tcMar>
              <w:top w:w="15" w:type="dxa"/>
              <w:left w:w="15" w:type="dxa"/>
              <w:right w:w="15" w:type="dxa"/>
            </w:tcMar>
            <w:vAlign w:val="center"/>
          </w:tcPr>
          <w:p w14:paraId="27DDBA49">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2.27</w:t>
            </w:r>
          </w:p>
        </w:tc>
        <w:tc>
          <w:tcPr>
            <w:tcW w:w="0" w:type="auto"/>
            <w:shd w:val="clear" w:color="auto" w:fill="auto"/>
            <w:tcMar>
              <w:top w:w="15" w:type="dxa"/>
              <w:left w:w="15" w:type="dxa"/>
              <w:right w:w="15" w:type="dxa"/>
            </w:tcMar>
            <w:vAlign w:val="top"/>
          </w:tcPr>
          <w:p w14:paraId="0E48ABE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0.03</w:t>
            </w:r>
          </w:p>
        </w:tc>
      </w:tr>
      <w:tr w14:paraId="3BA2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22DAB122">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0" w:type="auto"/>
            <w:shd w:val="clear" w:color="auto" w:fill="auto"/>
            <w:tcMar>
              <w:top w:w="15" w:type="dxa"/>
              <w:left w:w="15" w:type="dxa"/>
              <w:right w:w="15" w:type="dxa"/>
            </w:tcMar>
            <w:vAlign w:val="top"/>
          </w:tcPr>
          <w:p w14:paraId="08EBB83E">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w:t>
            </w:r>
          </w:p>
        </w:tc>
        <w:tc>
          <w:tcPr>
            <w:tcW w:w="0" w:type="auto"/>
            <w:shd w:val="clear" w:color="auto" w:fill="auto"/>
            <w:tcMar>
              <w:top w:w="15" w:type="dxa"/>
              <w:left w:w="15" w:type="dxa"/>
              <w:right w:w="15" w:type="dxa"/>
            </w:tcMar>
            <w:vAlign w:val="center"/>
          </w:tcPr>
          <w:p w14:paraId="231AA19D">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92.4 </w:t>
            </w:r>
          </w:p>
        </w:tc>
        <w:tc>
          <w:tcPr>
            <w:tcW w:w="0" w:type="auto"/>
            <w:shd w:val="clear" w:color="auto" w:fill="auto"/>
            <w:tcMar>
              <w:top w:w="15" w:type="dxa"/>
              <w:left w:w="15" w:type="dxa"/>
              <w:right w:w="15" w:type="dxa"/>
            </w:tcMar>
            <w:vAlign w:val="center"/>
          </w:tcPr>
          <w:p w14:paraId="47B03BCE">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92.4 </w:t>
            </w:r>
          </w:p>
        </w:tc>
        <w:tc>
          <w:tcPr>
            <w:tcW w:w="0" w:type="auto"/>
            <w:shd w:val="clear" w:color="auto" w:fill="auto"/>
            <w:tcMar>
              <w:top w:w="15" w:type="dxa"/>
              <w:left w:w="15" w:type="dxa"/>
              <w:right w:w="15" w:type="dxa"/>
            </w:tcMar>
            <w:vAlign w:val="center"/>
          </w:tcPr>
          <w:p w14:paraId="3D6159E1">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 </w:t>
            </w:r>
          </w:p>
        </w:tc>
        <w:tc>
          <w:tcPr>
            <w:tcW w:w="0" w:type="auto"/>
            <w:shd w:val="clear" w:color="auto" w:fill="auto"/>
            <w:tcMar>
              <w:top w:w="15" w:type="dxa"/>
              <w:left w:w="15" w:type="dxa"/>
              <w:right w:w="15" w:type="dxa"/>
            </w:tcMar>
            <w:vAlign w:val="top"/>
          </w:tcPr>
          <w:p w14:paraId="51B6CAF8">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86.</w:t>
            </w:r>
            <w:r>
              <w:rPr>
                <w:rFonts w:hint="eastAsia" w:cs="Times New Roman"/>
                <w:i w:val="0"/>
                <w:color w:val="000000"/>
                <w:kern w:val="0"/>
                <w:sz w:val="18"/>
                <w:szCs w:val="18"/>
                <w:u w:val="none"/>
                <w:lang w:val="en-US" w:eastAsia="zh-CN" w:bidi="ar"/>
              </w:rPr>
              <w:t>5</w:t>
            </w:r>
            <w:r>
              <w:rPr>
                <w:rFonts w:hint="default" w:ascii="Times New Roman" w:hAnsi="Times New Roman" w:eastAsia="宋体" w:cs="Times New Roman"/>
                <w:i w:val="0"/>
                <w:color w:val="000000"/>
                <w:kern w:val="0"/>
                <w:sz w:val="18"/>
                <w:szCs w:val="18"/>
                <w:u w:val="none"/>
                <w:lang w:val="en-US" w:eastAsia="zh-CN" w:bidi="ar"/>
              </w:rPr>
              <w:t xml:space="preserve"> </w:t>
            </w:r>
          </w:p>
        </w:tc>
        <w:tc>
          <w:tcPr>
            <w:tcW w:w="0" w:type="auto"/>
            <w:shd w:val="clear" w:color="auto" w:fill="auto"/>
            <w:tcMar>
              <w:top w:w="15" w:type="dxa"/>
              <w:left w:w="15" w:type="dxa"/>
              <w:right w:w="15" w:type="dxa"/>
            </w:tcMar>
            <w:vAlign w:val="top"/>
          </w:tcPr>
          <w:p w14:paraId="4AB2CDFD">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86.6 </w:t>
            </w:r>
          </w:p>
        </w:tc>
        <w:tc>
          <w:tcPr>
            <w:tcW w:w="0" w:type="auto"/>
            <w:shd w:val="clear" w:color="auto" w:fill="auto"/>
            <w:tcMar>
              <w:top w:w="15" w:type="dxa"/>
              <w:left w:w="15" w:type="dxa"/>
              <w:right w:w="15" w:type="dxa"/>
            </w:tcMar>
            <w:vAlign w:val="top"/>
          </w:tcPr>
          <w:p w14:paraId="1EF06C89">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r>
              <w:rPr>
                <w:rFonts w:hint="eastAsia"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 xml:space="preserve"> </w:t>
            </w:r>
          </w:p>
        </w:tc>
        <w:tc>
          <w:tcPr>
            <w:tcW w:w="0" w:type="auto"/>
            <w:shd w:val="clear" w:color="auto" w:fill="auto"/>
            <w:tcMar>
              <w:top w:w="15" w:type="dxa"/>
              <w:left w:w="15" w:type="dxa"/>
              <w:right w:w="15" w:type="dxa"/>
            </w:tcMar>
            <w:vAlign w:val="center"/>
          </w:tcPr>
          <w:p w14:paraId="629F90CB">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32.9 </w:t>
            </w:r>
          </w:p>
        </w:tc>
        <w:tc>
          <w:tcPr>
            <w:tcW w:w="0" w:type="auto"/>
            <w:shd w:val="clear" w:color="auto" w:fill="auto"/>
            <w:tcMar>
              <w:top w:w="15" w:type="dxa"/>
              <w:left w:w="15" w:type="dxa"/>
              <w:right w:w="15" w:type="dxa"/>
            </w:tcMar>
            <w:vAlign w:val="center"/>
          </w:tcPr>
          <w:p w14:paraId="3ED82AA8">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32.1 </w:t>
            </w:r>
          </w:p>
        </w:tc>
        <w:tc>
          <w:tcPr>
            <w:tcW w:w="0" w:type="auto"/>
            <w:shd w:val="clear" w:color="auto" w:fill="auto"/>
            <w:tcMar>
              <w:top w:w="15" w:type="dxa"/>
              <w:left w:w="15" w:type="dxa"/>
              <w:right w:w="15" w:type="dxa"/>
            </w:tcMar>
            <w:vAlign w:val="center"/>
          </w:tcPr>
          <w:p w14:paraId="17F27E8F">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0.8 </w:t>
            </w:r>
          </w:p>
        </w:tc>
        <w:tc>
          <w:tcPr>
            <w:tcW w:w="0" w:type="auto"/>
            <w:shd w:val="clear" w:color="auto" w:fill="auto"/>
            <w:tcMar>
              <w:top w:w="15" w:type="dxa"/>
              <w:left w:w="15" w:type="dxa"/>
              <w:right w:w="15" w:type="dxa"/>
            </w:tcMar>
            <w:vAlign w:val="center"/>
          </w:tcPr>
          <w:p w14:paraId="466DBD9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14.2 </w:t>
            </w:r>
          </w:p>
        </w:tc>
        <w:tc>
          <w:tcPr>
            <w:tcW w:w="0" w:type="auto"/>
            <w:shd w:val="clear" w:color="auto" w:fill="auto"/>
            <w:tcMar>
              <w:top w:w="15" w:type="dxa"/>
              <w:left w:w="15" w:type="dxa"/>
              <w:right w:w="15" w:type="dxa"/>
            </w:tcMar>
            <w:vAlign w:val="center"/>
          </w:tcPr>
          <w:p w14:paraId="68E37CB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14.8 </w:t>
            </w:r>
          </w:p>
        </w:tc>
        <w:tc>
          <w:tcPr>
            <w:tcW w:w="0" w:type="auto"/>
            <w:shd w:val="clear" w:color="auto" w:fill="auto"/>
            <w:tcMar>
              <w:top w:w="15" w:type="dxa"/>
              <w:left w:w="15" w:type="dxa"/>
              <w:right w:w="15" w:type="dxa"/>
            </w:tcMar>
            <w:vAlign w:val="center"/>
          </w:tcPr>
          <w:p w14:paraId="075AC7B1">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-0.6 </w:t>
            </w:r>
          </w:p>
        </w:tc>
        <w:tc>
          <w:tcPr>
            <w:tcW w:w="0" w:type="auto"/>
            <w:shd w:val="clear" w:color="auto" w:fill="auto"/>
            <w:tcMar>
              <w:top w:w="15" w:type="dxa"/>
              <w:left w:w="15" w:type="dxa"/>
              <w:right w:w="15" w:type="dxa"/>
            </w:tcMar>
            <w:vAlign w:val="top"/>
          </w:tcPr>
          <w:p w14:paraId="4378A4C1">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0.31</w:t>
            </w:r>
          </w:p>
        </w:tc>
        <w:tc>
          <w:tcPr>
            <w:tcW w:w="0" w:type="auto"/>
            <w:shd w:val="clear" w:color="auto" w:fill="auto"/>
            <w:tcMar>
              <w:top w:w="15" w:type="dxa"/>
              <w:left w:w="15" w:type="dxa"/>
              <w:right w:w="15" w:type="dxa"/>
            </w:tcMar>
            <w:vAlign w:val="top"/>
          </w:tcPr>
          <w:p w14:paraId="77E3986F">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0.33</w:t>
            </w:r>
          </w:p>
        </w:tc>
        <w:tc>
          <w:tcPr>
            <w:tcW w:w="0" w:type="auto"/>
            <w:shd w:val="clear" w:color="auto" w:fill="auto"/>
            <w:tcMar>
              <w:top w:w="15" w:type="dxa"/>
              <w:left w:w="15" w:type="dxa"/>
              <w:right w:w="15" w:type="dxa"/>
            </w:tcMar>
            <w:vAlign w:val="top"/>
          </w:tcPr>
          <w:p w14:paraId="51C5999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0.02</w:t>
            </w:r>
          </w:p>
        </w:tc>
        <w:tc>
          <w:tcPr>
            <w:tcW w:w="0" w:type="auto"/>
            <w:shd w:val="clear" w:color="auto" w:fill="auto"/>
            <w:tcMar>
              <w:top w:w="15" w:type="dxa"/>
              <w:left w:w="15" w:type="dxa"/>
              <w:right w:w="15" w:type="dxa"/>
            </w:tcMar>
            <w:vAlign w:val="top"/>
          </w:tcPr>
          <w:p w14:paraId="61E2A0B8">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1.75</w:t>
            </w:r>
          </w:p>
        </w:tc>
        <w:tc>
          <w:tcPr>
            <w:tcW w:w="0" w:type="auto"/>
            <w:shd w:val="clear" w:color="auto" w:fill="auto"/>
            <w:tcMar>
              <w:top w:w="15" w:type="dxa"/>
              <w:left w:w="15" w:type="dxa"/>
              <w:right w:w="15" w:type="dxa"/>
            </w:tcMar>
            <w:vAlign w:val="center"/>
          </w:tcPr>
          <w:p w14:paraId="69B368E8">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1.73</w:t>
            </w:r>
          </w:p>
        </w:tc>
        <w:tc>
          <w:tcPr>
            <w:tcW w:w="0" w:type="auto"/>
            <w:shd w:val="clear" w:color="auto" w:fill="auto"/>
            <w:tcMar>
              <w:top w:w="15" w:type="dxa"/>
              <w:left w:w="15" w:type="dxa"/>
              <w:right w:w="15" w:type="dxa"/>
            </w:tcMar>
            <w:vAlign w:val="top"/>
          </w:tcPr>
          <w:p w14:paraId="6B9B9B0C">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-0.02</w:t>
            </w:r>
          </w:p>
        </w:tc>
      </w:tr>
      <w:tr w14:paraId="7DC8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7CF73D68">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0" w:type="auto"/>
            <w:shd w:val="clear" w:color="auto" w:fill="auto"/>
            <w:tcMar>
              <w:top w:w="15" w:type="dxa"/>
              <w:left w:w="15" w:type="dxa"/>
              <w:right w:w="15" w:type="dxa"/>
            </w:tcMar>
            <w:vAlign w:val="top"/>
          </w:tcPr>
          <w:p w14:paraId="4D62B3DE">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0" w:type="auto"/>
            <w:shd w:val="clear" w:color="auto" w:fill="auto"/>
            <w:tcMar>
              <w:top w:w="15" w:type="dxa"/>
              <w:left w:w="15" w:type="dxa"/>
              <w:right w:w="15" w:type="dxa"/>
            </w:tcMar>
            <w:vAlign w:val="center"/>
          </w:tcPr>
          <w:p w14:paraId="24DC4610">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96.0 </w:t>
            </w:r>
          </w:p>
        </w:tc>
        <w:tc>
          <w:tcPr>
            <w:tcW w:w="0" w:type="auto"/>
            <w:shd w:val="clear" w:color="auto" w:fill="auto"/>
            <w:tcMar>
              <w:top w:w="15" w:type="dxa"/>
              <w:left w:w="15" w:type="dxa"/>
              <w:right w:w="15" w:type="dxa"/>
            </w:tcMar>
            <w:vAlign w:val="center"/>
          </w:tcPr>
          <w:p w14:paraId="3E67165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95.8 </w:t>
            </w:r>
          </w:p>
        </w:tc>
        <w:tc>
          <w:tcPr>
            <w:tcW w:w="0" w:type="auto"/>
            <w:shd w:val="clear" w:color="auto" w:fill="auto"/>
            <w:tcMar>
              <w:top w:w="15" w:type="dxa"/>
              <w:left w:w="15" w:type="dxa"/>
              <w:right w:w="15" w:type="dxa"/>
            </w:tcMar>
            <w:vAlign w:val="center"/>
          </w:tcPr>
          <w:p w14:paraId="5ABD9D4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0.2 </w:t>
            </w:r>
          </w:p>
        </w:tc>
        <w:tc>
          <w:tcPr>
            <w:tcW w:w="0" w:type="auto"/>
            <w:shd w:val="clear" w:color="auto" w:fill="auto"/>
            <w:tcMar>
              <w:top w:w="15" w:type="dxa"/>
              <w:left w:w="15" w:type="dxa"/>
              <w:right w:w="15" w:type="dxa"/>
            </w:tcMar>
            <w:vAlign w:val="top"/>
          </w:tcPr>
          <w:p w14:paraId="60AFAB63">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90.0 </w:t>
            </w:r>
          </w:p>
        </w:tc>
        <w:tc>
          <w:tcPr>
            <w:tcW w:w="0" w:type="auto"/>
            <w:shd w:val="clear" w:color="auto" w:fill="auto"/>
            <w:tcMar>
              <w:top w:w="15" w:type="dxa"/>
              <w:left w:w="15" w:type="dxa"/>
              <w:right w:w="15" w:type="dxa"/>
            </w:tcMar>
            <w:vAlign w:val="top"/>
          </w:tcPr>
          <w:p w14:paraId="46EB2DDB">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90.2 </w:t>
            </w:r>
          </w:p>
        </w:tc>
        <w:tc>
          <w:tcPr>
            <w:tcW w:w="0" w:type="auto"/>
            <w:shd w:val="clear" w:color="auto" w:fill="auto"/>
            <w:tcMar>
              <w:top w:w="15" w:type="dxa"/>
              <w:left w:w="15" w:type="dxa"/>
              <w:right w:w="15" w:type="dxa"/>
            </w:tcMar>
            <w:vAlign w:val="top"/>
          </w:tcPr>
          <w:p w14:paraId="51E2E2F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0.2 </w:t>
            </w:r>
          </w:p>
        </w:tc>
        <w:tc>
          <w:tcPr>
            <w:tcW w:w="0" w:type="auto"/>
            <w:shd w:val="clear" w:color="auto" w:fill="auto"/>
            <w:tcMar>
              <w:top w:w="15" w:type="dxa"/>
              <w:left w:w="15" w:type="dxa"/>
              <w:right w:w="15" w:type="dxa"/>
            </w:tcMar>
            <w:vAlign w:val="center"/>
          </w:tcPr>
          <w:p w14:paraId="7B82BEDB">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28.2 </w:t>
            </w:r>
          </w:p>
        </w:tc>
        <w:tc>
          <w:tcPr>
            <w:tcW w:w="0" w:type="auto"/>
            <w:shd w:val="clear" w:color="auto" w:fill="auto"/>
            <w:tcMar>
              <w:top w:w="15" w:type="dxa"/>
              <w:left w:w="15" w:type="dxa"/>
              <w:right w:w="15" w:type="dxa"/>
            </w:tcMar>
            <w:vAlign w:val="center"/>
          </w:tcPr>
          <w:p w14:paraId="00DD07DC">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28.0 </w:t>
            </w:r>
          </w:p>
        </w:tc>
        <w:tc>
          <w:tcPr>
            <w:tcW w:w="0" w:type="auto"/>
            <w:shd w:val="clear" w:color="auto" w:fill="auto"/>
            <w:tcMar>
              <w:top w:w="15" w:type="dxa"/>
              <w:left w:w="15" w:type="dxa"/>
              <w:right w:w="15" w:type="dxa"/>
            </w:tcMar>
            <w:vAlign w:val="center"/>
          </w:tcPr>
          <w:p w14:paraId="6FB803FD">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0.2 </w:t>
            </w:r>
          </w:p>
        </w:tc>
        <w:tc>
          <w:tcPr>
            <w:tcW w:w="0" w:type="auto"/>
            <w:shd w:val="clear" w:color="auto" w:fill="auto"/>
            <w:tcMar>
              <w:top w:w="15" w:type="dxa"/>
              <w:left w:w="15" w:type="dxa"/>
              <w:right w:w="15" w:type="dxa"/>
            </w:tcMar>
            <w:vAlign w:val="center"/>
          </w:tcPr>
          <w:p w14:paraId="451AC84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13.5 </w:t>
            </w:r>
          </w:p>
        </w:tc>
        <w:tc>
          <w:tcPr>
            <w:tcW w:w="0" w:type="auto"/>
            <w:shd w:val="clear" w:color="auto" w:fill="auto"/>
            <w:tcMar>
              <w:top w:w="15" w:type="dxa"/>
              <w:left w:w="15" w:type="dxa"/>
              <w:right w:w="15" w:type="dxa"/>
            </w:tcMar>
            <w:vAlign w:val="center"/>
          </w:tcPr>
          <w:p w14:paraId="70BF147E">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12.7 </w:t>
            </w:r>
          </w:p>
        </w:tc>
        <w:tc>
          <w:tcPr>
            <w:tcW w:w="0" w:type="auto"/>
            <w:shd w:val="clear" w:color="auto" w:fill="auto"/>
            <w:tcMar>
              <w:top w:w="15" w:type="dxa"/>
              <w:left w:w="15" w:type="dxa"/>
              <w:right w:w="15" w:type="dxa"/>
            </w:tcMar>
            <w:vAlign w:val="center"/>
          </w:tcPr>
          <w:p w14:paraId="4DA18CF9">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0.8 </w:t>
            </w:r>
          </w:p>
        </w:tc>
        <w:tc>
          <w:tcPr>
            <w:tcW w:w="0" w:type="auto"/>
            <w:shd w:val="clear" w:color="auto" w:fill="auto"/>
            <w:tcMar>
              <w:top w:w="15" w:type="dxa"/>
              <w:left w:w="15" w:type="dxa"/>
              <w:right w:w="15" w:type="dxa"/>
            </w:tcMar>
            <w:vAlign w:val="top"/>
          </w:tcPr>
          <w:p w14:paraId="03BB2C85">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0.38</w:t>
            </w:r>
          </w:p>
        </w:tc>
        <w:tc>
          <w:tcPr>
            <w:tcW w:w="0" w:type="auto"/>
            <w:shd w:val="clear" w:color="auto" w:fill="auto"/>
            <w:tcMar>
              <w:top w:w="15" w:type="dxa"/>
              <w:left w:w="15" w:type="dxa"/>
              <w:right w:w="15" w:type="dxa"/>
            </w:tcMar>
            <w:vAlign w:val="top"/>
          </w:tcPr>
          <w:p w14:paraId="402852AC">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0.41</w:t>
            </w:r>
          </w:p>
        </w:tc>
        <w:tc>
          <w:tcPr>
            <w:tcW w:w="0" w:type="auto"/>
            <w:shd w:val="clear" w:color="auto" w:fill="auto"/>
            <w:tcMar>
              <w:top w:w="15" w:type="dxa"/>
              <w:left w:w="15" w:type="dxa"/>
              <w:right w:w="15" w:type="dxa"/>
            </w:tcMar>
            <w:vAlign w:val="top"/>
          </w:tcPr>
          <w:p w14:paraId="25ACA5E3">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0.03</w:t>
            </w:r>
          </w:p>
        </w:tc>
        <w:tc>
          <w:tcPr>
            <w:tcW w:w="0" w:type="auto"/>
            <w:shd w:val="clear" w:color="auto" w:fill="auto"/>
            <w:tcMar>
              <w:top w:w="15" w:type="dxa"/>
              <w:left w:w="15" w:type="dxa"/>
              <w:right w:w="15" w:type="dxa"/>
            </w:tcMar>
            <w:vAlign w:val="top"/>
          </w:tcPr>
          <w:p w14:paraId="443C228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2.22</w:t>
            </w:r>
          </w:p>
        </w:tc>
        <w:tc>
          <w:tcPr>
            <w:tcW w:w="0" w:type="auto"/>
            <w:shd w:val="clear" w:color="auto" w:fill="auto"/>
            <w:tcMar>
              <w:top w:w="15" w:type="dxa"/>
              <w:left w:w="15" w:type="dxa"/>
              <w:right w:w="15" w:type="dxa"/>
            </w:tcMar>
            <w:vAlign w:val="center"/>
          </w:tcPr>
          <w:p w14:paraId="0E37648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2.23</w:t>
            </w:r>
          </w:p>
        </w:tc>
        <w:tc>
          <w:tcPr>
            <w:tcW w:w="0" w:type="auto"/>
            <w:shd w:val="clear" w:color="auto" w:fill="auto"/>
            <w:tcMar>
              <w:top w:w="15" w:type="dxa"/>
              <w:left w:w="15" w:type="dxa"/>
              <w:right w:w="15" w:type="dxa"/>
            </w:tcMar>
            <w:vAlign w:val="top"/>
          </w:tcPr>
          <w:p w14:paraId="095723E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0.01</w:t>
            </w:r>
          </w:p>
        </w:tc>
      </w:tr>
      <w:tr w14:paraId="0517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5EE7593F">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0" w:type="auto"/>
            <w:shd w:val="clear" w:color="auto" w:fill="auto"/>
            <w:tcMar>
              <w:top w:w="15" w:type="dxa"/>
              <w:left w:w="15" w:type="dxa"/>
              <w:right w:w="15" w:type="dxa"/>
            </w:tcMar>
            <w:vAlign w:val="top"/>
          </w:tcPr>
          <w:p w14:paraId="5BA15BC3">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0" w:type="auto"/>
            <w:shd w:val="clear" w:color="auto" w:fill="auto"/>
            <w:tcMar>
              <w:top w:w="15" w:type="dxa"/>
              <w:left w:w="15" w:type="dxa"/>
              <w:right w:w="15" w:type="dxa"/>
            </w:tcMar>
            <w:vAlign w:val="center"/>
          </w:tcPr>
          <w:p w14:paraId="15488BEC">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96.1 </w:t>
            </w:r>
          </w:p>
        </w:tc>
        <w:tc>
          <w:tcPr>
            <w:tcW w:w="0" w:type="auto"/>
            <w:shd w:val="clear" w:color="auto" w:fill="auto"/>
            <w:tcMar>
              <w:top w:w="15" w:type="dxa"/>
              <w:left w:w="15" w:type="dxa"/>
              <w:right w:w="15" w:type="dxa"/>
            </w:tcMar>
            <w:vAlign w:val="center"/>
          </w:tcPr>
          <w:p w14:paraId="4CE595DB">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95.9 </w:t>
            </w:r>
          </w:p>
        </w:tc>
        <w:tc>
          <w:tcPr>
            <w:tcW w:w="0" w:type="auto"/>
            <w:shd w:val="clear" w:color="auto" w:fill="auto"/>
            <w:tcMar>
              <w:top w:w="15" w:type="dxa"/>
              <w:left w:w="15" w:type="dxa"/>
              <w:right w:w="15" w:type="dxa"/>
            </w:tcMar>
            <w:vAlign w:val="center"/>
          </w:tcPr>
          <w:p w14:paraId="64167FCF">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0.2 </w:t>
            </w:r>
          </w:p>
        </w:tc>
        <w:tc>
          <w:tcPr>
            <w:tcW w:w="0" w:type="auto"/>
            <w:shd w:val="clear" w:color="auto" w:fill="auto"/>
            <w:tcMar>
              <w:top w:w="15" w:type="dxa"/>
              <w:left w:w="15" w:type="dxa"/>
              <w:right w:w="15" w:type="dxa"/>
            </w:tcMar>
            <w:vAlign w:val="top"/>
          </w:tcPr>
          <w:p w14:paraId="3532562F">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90.1 </w:t>
            </w:r>
          </w:p>
        </w:tc>
        <w:tc>
          <w:tcPr>
            <w:tcW w:w="0" w:type="auto"/>
            <w:shd w:val="clear" w:color="auto" w:fill="auto"/>
            <w:tcMar>
              <w:top w:w="15" w:type="dxa"/>
              <w:left w:w="15" w:type="dxa"/>
              <w:right w:w="15" w:type="dxa"/>
            </w:tcMar>
            <w:vAlign w:val="top"/>
          </w:tcPr>
          <w:p w14:paraId="4141AD4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90.4 </w:t>
            </w:r>
          </w:p>
        </w:tc>
        <w:tc>
          <w:tcPr>
            <w:tcW w:w="0" w:type="auto"/>
            <w:shd w:val="clear" w:color="auto" w:fill="auto"/>
            <w:tcMar>
              <w:top w:w="15" w:type="dxa"/>
              <w:left w:w="15" w:type="dxa"/>
              <w:right w:w="15" w:type="dxa"/>
            </w:tcMar>
            <w:vAlign w:val="top"/>
          </w:tcPr>
          <w:p w14:paraId="4A45470F">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 </w:t>
            </w:r>
          </w:p>
        </w:tc>
        <w:tc>
          <w:tcPr>
            <w:tcW w:w="0" w:type="auto"/>
            <w:shd w:val="clear" w:color="auto" w:fill="auto"/>
            <w:tcMar>
              <w:top w:w="15" w:type="dxa"/>
              <w:left w:w="15" w:type="dxa"/>
              <w:right w:w="15" w:type="dxa"/>
            </w:tcMar>
            <w:vAlign w:val="center"/>
          </w:tcPr>
          <w:p w14:paraId="68DF042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28.8 </w:t>
            </w:r>
          </w:p>
        </w:tc>
        <w:tc>
          <w:tcPr>
            <w:tcW w:w="0" w:type="auto"/>
            <w:shd w:val="clear" w:color="auto" w:fill="auto"/>
            <w:tcMar>
              <w:top w:w="15" w:type="dxa"/>
              <w:left w:w="15" w:type="dxa"/>
              <w:right w:w="15" w:type="dxa"/>
            </w:tcMar>
            <w:vAlign w:val="center"/>
          </w:tcPr>
          <w:p w14:paraId="3FC034C3">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28.6 </w:t>
            </w:r>
          </w:p>
        </w:tc>
        <w:tc>
          <w:tcPr>
            <w:tcW w:w="0" w:type="auto"/>
            <w:shd w:val="clear" w:color="auto" w:fill="auto"/>
            <w:tcMar>
              <w:top w:w="15" w:type="dxa"/>
              <w:left w:w="15" w:type="dxa"/>
              <w:right w:w="15" w:type="dxa"/>
            </w:tcMar>
            <w:vAlign w:val="center"/>
          </w:tcPr>
          <w:p w14:paraId="744700A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0.2 </w:t>
            </w:r>
          </w:p>
        </w:tc>
        <w:tc>
          <w:tcPr>
            <w:tcW w:w="0" w:type="auto"/>
            <w:shd w:val="clear" w:color="auto" w:fill="auto"/>
            <w:tcMar>
              <w:top w:w="15" w:type="dxa"/>
              <w:left w:w="15" w:type="dxa"/>
              <w:right w:w="15" w:type="dxa"/>
            </w:tcMar>
            <w:vAlign w:val="center"/>
          </w:tcPr>
          <w:p w14:paraId="66272735">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12.3 </w:t>
            </w:r>
          </w:p>
        </w:tc>
        <w:tc>
          <w:tcPr>
            <w:tcW w:w="0" w:type="auto"/>
            <w:shd w:val="clear" w:color="auto" w:fill="auto"/>
            <w:tcMar>
              <w:top w:w="15" w:type="dxa"/>
              <w:left w:w="15" w:type="dxa"/>
              <w:right w:w="15" w:type="dxa"/>
            </w:tcMar>
            <w:vAlign w:val="center"/>
          </w:tcPr>
          <w:p w14:paraId="672A6AE0">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12.4 </w:t>
            </w:r>
          </w:p>
        </w:tc>
        <w:tc>
          <w:tcPr>
            <w:tcW w:w="0" w:type="auto"/>
            <w:shd w:val="clear" w:color="auto" w:fill="auto"/>
            <w:tcMar>
              <w:top w:w="15" w:type="dxa"/>
              <w:left w:w="15" w:type="dxa"/>
              <w:right w:w="15" w:type="dxa"/>
            </w:tcMar>
            <w:vAlign w:val="center"/>
          </w:tcPr>
          <w:p w14:paraId="6F0A8948">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 </w:t>
            </w:r>
          </w:p>
        </w:tc>
        <w:tc>
          <w:tcPr>
            <w:tcW w:w="0" w:type="auto"/>
            <w:shd w:val="clear" w:color="auto" w:fill="auto"/>
            <w:tcMar>
              <w:top w:w="15" w:type="dxa"/>
              <w:left w:w="15" w:type="dxa"/>
              <w:right w:w="15" w:type="dxa"/>
            </w:tcMar>
            <w:vAlign w:val="top"/>
          </w:tcPr>
          <w:p w14:paraId="70861302">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0.31</w:t>
            </w:r>
          </w:p>
        </w:tc>
        <w:tc>
          <w:tcPr>
            <w:tcW w:w="0" w:type="auto"/>
            <w:shd w:val="clear" w:color="auto" w:fill="auto"/>
            <w:tcMar>
              <w:top w:w="15" w:type="dxa"/>
              <w:left w:w="15" w:type="dxa"/>
              <w:right w:w="15" w:type="dxa"/>
            </w:tcMar>
            <w:vAlign w:val="top"/>
          </w:tcPr>
          <w:p w14:paraId="3A7DE072">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0.33</w:t>
            </w:r>
          </w:p>
        </w:tc>
        <w:tc>
          <w:tcPr>
            <w:tcW w:w="0" w:type="auto"/>
            <w:shd w:val="clear" w:color="auto" w:fill="auto"/>
            <w:tcMar>
              <w:top w:w="15" w:type="dxa"/>
              <w:left w:w="15" w:type="dxa"/>
              <w:right w:w="15" w:type="dxa"/>
            </w:tcMar>
            <w:vAlign w:val="top"/>
          </w:tcPr>
          <w:p w14:paraId="157631AF">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0.02</w:t>
            </w:r>
          </w:p>
        </w:tc>
        <w:tc>
          <w:tcPr>
            <w:tcW w:w="0" w:type="auto"/>
            <w:shd w:val="clear" w:color="auto" w:fill="auto"/>
            <w:tcMar>
              <w:top w:w="15" w:type="dxa"/>
              <w:left w:w="15" w:type="dxa"/>
              <w:right w:w="15" w:type="dxa"/>
            </w:tcMar>
            <w:vAlign w:val="top"/>
          </w:tcPr>
          <w:p w14:paraId="4E0321BD">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0" w:type="auto"/>
            <w:shd w:val="clear" w:color="auto" w:fill="auto"/>
            <w:tcMar>
              <w:top w:w="15" w:type="dxa"/>
              <w:left w:w="15" w:type="dxa"/>
              <w:right w:w="15" w:type="dxa"/>
            </w:tcMar>
            <w:vAlign w:val="center"/>
          </w:tcPr>
          <w:p w14:paraId="3884A803">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0" w:type="auto"/>
            <w:shd w:val="clear" w:color="auto" w:fill="auto"/>
            <w:tcMar>
              <w:top w:w="15" w:type="dxa"/>
              <w:left w:w="15" w:type="dxa"/>
              <w:right w:w="15" w:type="dxa"/>
            </w:tcMar>
            <w:vAlign w:val="top"/>
          </w:tcPr>
          <w:p w14:paraId="76E4590C">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0.03</w:t>
            </w:r>
          </w:p>
        </w:tc>
      </w:tr>
      <w:tr w14:paraId="6EB0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11B9C48E">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0" w:type="auto"/>
            <w:shd w:val="clear" w:color="auto" w:fill="auto"/>
            <w:tcMar>
              <w:top w:w="15" w:type="dxa"/>
              <w:left w:w="15" w:type="dxa"/>
              <w:right w:w="15" w:type="dxa"/>
            </w:tcMar>
            <w:vAlign w:val="top"/>
          </w:tcPr>
          <w:p w14:paraId="018EEE3E">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0" w:type="auto"/>
            <w:shd w:val="clear" w:color="auto" w:fill="auto"/>
            <w:tcMar>
              <w:top w:w="15" w:type="dxa"/>
              <w:left w:w="15" w:type="dxa"/>
              <w:right w:w="15" w:type="dxa"/>
            </w:tcMar>
            <w:vAlign w:val="center"/>
          </w:tcPr>
          <w:p w14:paraId="3EB3E56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96.0 </w:t>
            </w:r>
          </w:p>
        </w:tc>
        <w:tc>
          <w:tcPr>
            <w:tcW w:w="0" w:type="auto"/>
            <w:shd w:val="clear" w:color="auto" w:fill="auto"/>
            <w:tcMar>
              <w:top w:w="15" w:type="dxa"/>
              <w:left w:w="15" w:type="dxa"/>
              <w:right w:w="15" w:type="dxa"/>
            </w:tcMar>
            <w:vAlign w:val="center"/>
          </w:tcPr>
          <w:p w14:paraId="6E7E0B60">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95.9 </w:t>
            </w:r>
          </w:p>
        </w:tc>
        <w:tc>
          <w:tcPr>
            <w:tcW w:w="0" w:type="auto"/>
            <w:shd w:val="clear" w:color="auto" w:fill="auto"/>
            <w:tcMar>
              <w:top w:w="15" w:type="dxa"/>
              <w:left w:w="15" w:type="dxa"/>
              <w:right w:w="15" w:type="dxa"/>
            </w:tcMar>
            <w:vAlign w:val="center"/>
          </w:tcPr>
          <w:p w14:paraId="1240A05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 </w:t>
            </w:r>
          </w:p>
        </w:tc>
        <w:tc>
          <w:tcPr>
            <w:tcW w:w="0" w:type="auto"/>
            <w:shd w:val="clear" w:color="auto" w:fill="auto"/>
            <w:tcMar>
              <w:top w:w="15" w:type="dxa"/>
              <w:left w:w="15" w:type="dxa"/>
              <w:right w:w="15" w:type="dxa"/>
            </w:tcMar>
            <w:vAlign w:val="top"/>
          </w:tcPr>
          <w:p w14:paraId="2623CD90">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90.1 </w:t>
            </w:r>
          </w:p>
        </w:tc>
        <w:tc>
          <w:tcPr>
            <w:tcW w:w="0" w:type="auto"/>
            <w:shd w:val="clear" w:color="auto" w:fill="auto"/>
            <w:tcMar>
              <w:top w:w="15" w:type="dxa"/>
              <w:left w:w="15" w:type="dxa"/>
              <w:right w:w="15" w:type="dxa"/>
            </w:tcMar>
            <w:vAlign w:val="top"/>
          </w:tcPr>
          <w:p w14:paraId="689549C3">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90.3 </w:t>
            </w:r>
          </w:p>
        </w:tc>
        <w:tc>
          <w:tcPr>
            <w:tcW w:w="0" w:type="auto"/>
            <w:shd w:val="clear" w:color="auto" w:fill="auto"/>
            <w:tcMar>
              <w:top w:w="15" w:type="dxa"/>
              <w:left w:w="15" w:type="dxa"/>
              <w:right w:w="15" w:type="dxa"/>
            </w:tcMar>
            <w:vAlign w:val="top"/>
          </w:tcPr>
          <w:p w14:paraId="55066733">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0.2 </w:t>
            </w:r>
          </w:p>
        </w:tc>
        <w:tc>
          <w:tcPr>
            <w:tcW w:w="0" w:type="auto"/>
            <w:shd w:val="clear" w:color="auto" w:fill="auto"/>
            <w:tcMar>
              <w:top w:w="15" w:type="dxa"/>
              <w:left w:w="15" w:type="dxa"/>
              <w:right w:w="15" w:type="dxa"/>
            </w:tcMar>
            <w:vAlign w:val="center"/>
          </w:tcPr>
          <w:p w14:paraId="47EFC80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29.6 </w:t>
            </w:r>
          </w:p>
        </w:tc>
        <w:tc>
          <w:tcPr>
            <w:tcW w:w="0" w:type="auto"/>
            <w:shd w:val="clear" w:color="auto" w:fill="auto"/>
            <w:tcMar>
              <w:top w:w="15" w:type="dxa"/>
              <w:left w:w="15" w:type="dxa"/>
              <w:right w:w="15" w:type="dxa"/>
            </w:tcMar>
            <w:vAlign w:val="center"/>
          </w:tcPr>
          <w:p w14:paraId="216FE0A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29.7 </w:t>
            </w:r>
          </w:p>
        </w:tc>
        <w:tc>
          <w:tcPr>
            <w:tcW w:w="0" w:type="auto"/>
            <w:shd w:val="clear" w:color="auto" w:fill="auto"/>
            <w:tcMar>
              <w:top w:w="15" w:type="dxa"/>
              <w:left w:w="15" w:type="dxa"/>
              <w:right w:w="15" w:type="dxa"/>
            </w:tcMar>
            <w:vAlign w:val="center"/>
          </w:tcPr>
          <w:p w14:paraId="34CA1C53">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 </w:t>
            </w:r>
          </w:p>
        </w:tc>
        <w:tc>
          <w:tcPr>
            <w:tcW w:w="0" w:type="auto"/>
            <w:shd w:val="clear" w:color="auto" w:fill="auto"/>
            <w:tcMar>
              <w:top w:w="15" w:type="dxa"/>
              <w:left w:w="15" w:type="dxa"/>
              <w:right w:w="15" w:type="dxa"/>
            </w:tcMar>
            <w:vAlign w:val="center"/>
          </w:tcPr>
          <w:p w14:paraId="3703E985">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12.2 </w:t>
            </w:r>
          </w:p>
        </w:tc>
        <w:tc>
          <w:tcPr>
            <w:tcW w:w="0" w:type="auto"/>
            <w:shd w:val="clear" w:color="auto" w:fill="auto"/>
            <w:tcMar>
              <w:top w:w="15" w:type="dxa"/>
              <w:left w:w="15" w:type="dxa"/>
              <w:right w:w="15" w:type="dxa"/>
            </w:tcMar>
            <w:vAlign w:val="center"/>
          </w:tcPr>
          <w:p w14:paraId="66A1040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11.9 </w:t>
            </w:r>
          </w:p>
        </w:tc>
        <w:tc>
          <w:tcPr>
            <w:tcW w:w="0" w:type="auto"/>
            <w:shd w:val="clear" w:color="auto" w:fill="auto"/>
            <w:tcMar>
              <w:top w:w="15" w:type="dxa"/>
              <w:left w:w="15" w:type="dxa"/>
              <w:right w:w="15" w:type="dxa"/>
            </w:tcMar>
            <w:vAlign w:val="center"/>
          </w:tcPr>
          <w:p w14:paraId="7BC3D6B2">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 </w:t>
            </w:r>
          </w:p>
        </w:tc>
        <w:tc>
          <w:tcPr>
            <w:tcW w:w="0" w:type="auto"/>
            <w:shd w:val="clear" w:color="auto" w:fill="auto"/>
            <w:tcMar>
              <w:top w:w="15" w:type="dxa"/>
              <w:left w:w="15" w:type="dxa"/>
              <w:right w:w="15" w:type="dxa"/>
            </w:tcMar>
            <w:vAlign w:val="top"/>
          </w:tcPr>
          <w:p w14:paraId="4762D52B">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0.24</w:t>
            </w:r>
          </w:p>
        </w:tc>
        <w:tc>
          <w:tcPr>
            <w:tcW w:w="0" w:type="auto"/>
            <w:shd w:val="clear" w:color="auto" w:fill="auto"/>
            <w:tcMar>
              <w:top w:w="15" w:type="dxa"/>
              <w:left w:w="15" w:type="dxa"/>
              <w:right w:w="15" w:type="dxa"/>
            </w:tcMar>
            <w:vAlign w:val="top"/>
          </w:tcPr>
          <w:p w14:paraId="2B57B1F7">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w:t>
            </w:r>
          </w:p>
        </w:tc>
        <w:tc>
          <w:tcPr>
            <w:tcW w:w="0" w:type="auto"/>
            <w:shd w:val="clear" w:color="auto" w:fill="auto"/>
            <w:tcMar>
              <w:top w:w="15" w:type="dxa"/>
              <w:left w:w="15" w:type="dxa"/>
              <w:right w:w="15" w:type="dxa"/>
            </w:tcMar>
            <w:vAlign w:val="top"/>
          </w:tcPr>
          <w:p w14:paraId="3704618D">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0.06</w:t>
            </w:r>
          </w:p>
        </w:tc>
        <w:tc>
          <w:tcPr>
            <w:tcW w:w="0" w:type="auto"/>
            <w:shd w:val="clear" w:color="auto" w:fill="auto"/>
            <w:tcMar>
              <w:top w:w="15" w:type="dxa"/>
              <w:left w:w="15" w:type="dxa"/>
              <w:right w:w="15" w:type="dxa"/>
            </w:tcMar>
            <w:vAlign w:val="top"/>
          </w:tcPr>
          <w:p w14:paraId="7BFC0C85">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w:t>
            </w:r>
          </w:p>
        </w:tc>
        <w:tc>
          <w:tcPr>
            <w:tcW w:w="0" w:type="auto"/>
            <w:shd w:val="clear" w:color="auto" w:fill="auto"/>
            <w:tcMar>
              <w:top w:w="15" w:type="dxa"/>
              <w:left w:w="15" w:type="dxa"/>
              <w:right w:w="15" w:type="dxa"/>
            </w:tcMar>
            <w:vAlign w:val="center"/>
          </w:tcPr>
          <w:p w14:paraId="6F63DC3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2.18</w:t>
            </w:r>
          </w:p>
        </w:tc>
        <w:tc>
          <w:tcPr>
            <w:tcW w:w="0" w:type="auto"/>
            <w:shd w:val="clear" w:color="auto" w:fill="auto"/>
            <w:tcMar>
              <w:top w:w="15" w:type="dxa"/>
              <w:left w:w="15" w:type="dxa"/>
              <w:right w:w="15" w:type="dxa"/>
            </w:tcMar>
            <w:vAlign w:val="top"/>
          </w:tcPr>
          <w:p w14:paraId="4D793FEB">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0.12</w:t>
            </w:r>
          </w:p>
        </w:tc>
      </w:tr>
      <w:tr w14:paraId="2137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2C211B2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0" w:type="auto"/>
            <w:shd w:val="clear" w:color="auto" w:fill="auto"/>
            <w:tcMar>
              <w:top w:w="15" w:type="dxa"/>
              <w:left w:w="15" w:type="dxa"/>
              <w:right w:w="15" w:type="dxa"/>
            </w:tcMar>
            <w:vAlign w:val="top"/>
          </w:tcPr>
          <w:p w14:paraId="2A103220">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0" w:type="auto"/>
            <w:shd w:val="clear" w:color="auto" w:fill="auto"/>
            <w:tcMar>
              <w:top w:w="15" w:type="dxa"/>
              <w:left w:w="15" w:type="dxa"/>
              <w:right w:w="15" w:type="dxa"/>
            </w:tcMar>
            <w:vAlign w:val="center"/>
          </w:tcPr>
          <w:p w14:paraId="5DCEBEF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96.1 </w:t>
            </w:r>
          </w:p>
        </w:tc>
        <w:tc>
          <w:tcPr>
            <w:tcW w:w="0" w:type="auto"/>
            <w:shd w:val="clear" w:color="auto" w:fill="auto"/>
            <w:tcMar>
              <w:top w:w="15" w:type="dxa"/>
              <w:left w:w="15" w:type="dxa"/>
              <w:right w:w="15" w:type="dxa"/>
            </w:tcMar>
            <w:vAlign w:val="center"/>
          </w:tcPr>
          <w:p w14:paraId="62E490F1">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95.9 </w:t>
            </w:r>
          </w:p>
        </w:tc>
        <w:tc>
          <w:tcPr>
            <w:tcW w:w="0" w:type="auto"/>
            <w:shd w:val="clear" w:color="auto" w:fill="auto"/>
            <w:tcMar>
              <w:top w:w="15" w:type="dxa"/>
              <w:left w:w="15" w:type="dxa"/>
              <w:right w:w="15" w:type="dxa"/>
            </w:tcMar>
            <w:vAlign w:val="center"/>
          </w:tcPr>
          <w:p w14:paraId="799B05A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0.2 </w:t>
            </w:r>
          </w:p>
        </w:tc>
        <w:tc>
          <w:tcPr>
            <w:tcW w:w="0" w:type="auto"/>
            <w:shd w:val="clear" w:color="auto" w:fill="auto"/>
            <w:tcMar>
              <w:top w:w="15" w:type="dxa"/>
              <w:left w:w="15" w:type="dxa"/>
              <w:right w:w="15" w:type="dxa"/>
            </w:tcMar>
            <w:vAlign w:val="top"/>
          </w:tcPr>
          <w:p w14:paraId="039875C0">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89.9 </w:t>
            </w:r>
          </w:p>
        </w:tc>
        <w:tc>
          <w:tcPr>
            <w:tcW w:w="0" w:type="auto"/>
            <w:shd w:val="clear" w:color="auto" w:fill="auto"/>
            <w:tcMar>
              <w:top w:w="15" w:type="dxa"/>
              <w:left w:w="15" w:type="dxa"/>
              <w:right w:w="15" w:type="dxa"/>
            </w:tcMar>
            <w:vAlign w:val="top"/>
          </w:tcPr>
          <w:p w14:paraId="4993498D">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90.1 </w:t>
            </w:r>
          </w:p>
        </w:tc>
        <w:tc>
          <w:tcPr>
            <w:tcW w:w="0" w:type="auto"/>
            <w:shd w:val="clear" w:color="auto" w:fill="auto"/>
            <w:tcMar>
              <w:top w:w="15" w:type="dxa"/>
              <w:left w:w="15" w:type="dxa"/>
              <w:right w:w="15" w:type="dxa"/>
            </w:tcMar>
            <w:vAlign w:val="top"/>
          </w:tcPr>
          <w:p w14:paraId="26CB43CB">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0.2 </w:t>
            </w:r>
          </w:p>
        </w:tc>
        <w:tc>
          <w:tcPr>
            <w:tcW w:w="0" w:type="auto"/>
            <w:shd w:val="clear" w:color="auto" w:fill="auto"/>
            <w:tcMar>
              <w:top w:w="15" w:type="dxa"/>
              <w:left w:w="15" w:type="dxa"/>
              <w:right w:w="15" w:type="dxa"/>
            </w:tcMar>
            <w:vAlign w:val="center"/>
          </w:tcPr>
          <w:p w14:paraId="41FD8EE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28.7 </w:t>
            </w:r>
          </w:p>
        </w:tc>
        <w:tc>
          <w:tcPr>
            <w:tcW w:w="0" w:type="auto"/>
            <w:shd w:val="clear" w:color="auto" w:fill="auto"/>
            <w:tcMar>
              <w:top w:w="15" w:type="dxa"/>
              <w:left w:w="15" w:type="dxa"/>
              <w:right w:w="15" w:type="dxa"/>
            </w:tcMar>
            <w:vAlign w:val="center"/>
          </w:tcPr>
          <w:p w14:paraId="3B99D72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28.4 </w:t>
            </w:r>
          </w:p>
        </w:tc>
        <w:tc>
          <w:tcPr>
            <w:tcW w:w="0" w:type="auto"/>
            <w:shd w:val="clear" w:color="auto" w:fill="auto"/>
            <w:tcMar>
              <w:top w:w="15" w:type="dxa"/>
              <w:left w:w="15" w:type="dxa"/>
              <w:right w:w="15" w:type="dxa"/>
            </w:tcMar>
            <w:vAlign w:val="center"/>
          </w:tcPr>
          <w:p w14:paraId="70EB953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 </w:t>
            </w:r>
          </w:p>
        </w:tc>
        <w:tc>
          <w:tcPr>
            <w:tcW w:w="0" w:type="auto"/>
            <w:shd w:val="clear" w:color="auto" w:fill="auto"/>
            <w:tcMar>
              <w:top w:w="15" w:type="dxa"/>
              <w:left w:w="15" w:type="dxa"/>
              <w:right w:w="15" w:type="dxa"/>
            </w:tcMar>
            <w:vAlign w:val="center"/>
          </w:tcPr>
          <w:p w14:paraId="0F18D260">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11.7 </w:t>
            </w:r>
          </w:p>
        </w:tc>
        <w:tc>
          <w:tcPr>
            <w:tcW w:w="0" w:type="auto"/>
            <w:shd w:val="clear" w:color="auto" w:fill="auto"/>
            <w:tcMar>
              <w:top w:w="15" w:type="dxa"/>
              <w:left w:w="15" w:type="dxa"/>
              <w:right w:w="15" w:type="dxa"/>
            </w:tcMar>
            <w:vAlign w:val="center"/>
          </w:tcPr>
          <w:p w14:paraId="227C411E">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12.4 </w:t>
            </w:r>
          </w:p>
        </w:tc>
        <w:tc>
          <w:tcPr>
            <w:tcW w:w="0" w:type="auto"/>
            <w:shd w:val="clear" w:color="auto" w:fill="auto"/>
            <w:tcMar>
              <w:top w:w="15" w:type="dxa"/>
              <w:left w:w="15" w:type="dxa"/>
              <w:right w:w="15" w:type="dxa"/>
            </w:tcMar>
            <w:vAlign w:val="center"/>
          </w:tcPr>
          <w:p w14:paraId="002DCA7E">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 </w:t>
            </w:r>
          </w:p>
        </w:tc>
        <w:tc>
          <w:tcPr>
            <w:tcW w:w="0" w:type="auto"/>
            <w:shd w:val="clear" w:color="auto" w:fill="auto"/>
            <w:tcMar>
              <w:top w:w="15" w:type="dxa"/>
              <w:left w:w="15" w:type="dxa"/>
              <w:right w:w="15" w:type="dxa"/>
            </w:tcMar>
            <w:vAlign w:val="top"/>
          </w:tcPr>
          <w:p w14:paraId="3A71BF74">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0.39</w:t>
            </w:r>
          </w:p>
        </w:tc>
        <w:tc>
          <w:tcPr>
            <w:tcW w:w="0" w:type="auto"/>
            <w:shd w:val="clear" w:color="auto" w:fill="auto"/>
            <w:tcMar>
              <w:top w:w="15" w:type="dxa"/>
              <w:left w:w="15" w:type="dxa"/>
              <w:right w:w="15" w:type="dxa"/>
            </w:tcMar>
            <w:vAlign w:val="top"/>
          </w:tcPr>
          <w:p w14:paraId="0D22A8F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0.41</w:t>
            </w:r>
          </w:p>
        </w:tc>
        <w:tc>
          <w:tcPr>
            <w:tcW w:w="0" w:type="auto"/>
            <w:shd w:val="clear" w:color="auto" w:fill="auto"/>
            <w:tcMar>
              <w:top w:w="15" w:type="dxa"/>
              <w:left w:w="15" w:type="dxa"/>
              <w:right w:w="15" w:type="dxa"/>
            </w:tcMar>
            <w:vAlign w:val="top"/>
          </w:tcPr>
          <w:p w14:paraId="4BBE04FC">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0.02</w:t>
            </w:r>
          </w:p>
        </w:tc>
        <w:tc>
          <w:tcPr>
            <w:tcW w:w="0" w:type="auto"/>
            <w:shd w:val="clear" w:color="auto" w:fill="auto"/>
            <w:tcMar>
              <w:top w:w="15" w:type="dxa"/>
              <w:left w:w="15" w:type="dxa"/>
              <w:right w:w="15" w:type="dxa"/>
            </w:tcMar>
            <w:vAlign w:val="top"/>
          </w:tcPr>
          <w:p w14:paraId="378082D2">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1.99</w:t>
            </w:r>
          </w:p>
        </w:tc>
        <w:tc>
          <w:tcPr>
            <w:tcW w:w="0" w:type="auto"/>
            <w:shd w:val="clear" w:color="auto" w:fill="auto"/>
            <w:tcMar>
              <w:top w:w="15" w:type="dxa"/>
              <w:left w:w="15" w:type="dxa"/>
              <w:right w:w="15" w:type="dxa"/>
            </w:tcMar>
            <w:vAlign w:val="center"/>
          </w:tcPr>
          <w:p w14:paraId="4A3916BD">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1.88</w:t>
            </w:r>
          </w:p>
        </w:tc>
        <w:tc>
          <w:tcPr>
            <w:tcW w:w="0" w:type="auto"/>
            <w:shd w:val="clear" w:color="auto" w:fill="auto"/>
            <w:tcMar>
              <w:top w:w="15" w:type="dxa"/>
              <w:left w:w="15" w:type="dxa"/>
              <w:right w:w="15" w:type="dxa"/>
            </w:tcMar>
            <w:vAlign w:val="top"/>
          </w:tcPr>
          <w:p w14:paraId="21D5C0D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-0.11</w:t>
            </w:r>
          </w:p>
        </w:tc>
      </w:tr>
      <w:tr w14:paraId="0BB6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0" w:type="auto"/>
            <w:shd w:val="clear" w:color="auto" w:fill="auto"/>
            <w:tcMar>
              <w:top w:w="15" w:type="dxa"/>
              <w:left w:w="15" w:type="dxa"/>
              <w:right w:w="15" w:type="dxa"/>
            </w:tcMar>
            <w:vAlign w:val="top"/>
          </w:tcPr>
          <w:p w14:paraId="397D723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0" w:type="auto"/>
            <w:shd w:val="clear" w:color="auto" w:fill="auto"/>
            <w:tcMar>
              <w:top w:w="15" w:type="dxa"/>
              <w:left w:w="15" w:type="dxa"/>
              <w:right w:w="15" w:type="dxa"/>
            </w:tcMar>
            <w:vAlign w:val="top"/>
          </w:tcPr>
          <w:p w14:paraId="75EDACE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0" w:type="auto"/>
            <w:shd w:val="clear" w:color="auto" w:fill="auto"/>
            <w:tcMar>
              <w:top w:w="15" w:type="dxa"/>
              <w:left w:w="15" w:type="dxa"/>
              <w:right w:w="15" w:type="dxa"/>
            </w:tcMar>
            <w:vAlign w:val="center"/>
          </w:tcPr>
          <w:p w14:paraId="5CDCD513">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96.2 </w:t>
            </w:r>
          </w:p>
        </w:tc>
        <w:tc>
          <w:tcPr>
            <w:tcW w:w="0" w:type="auto"/>
            <w:shd w:val="clear" w:color="auto" w:fill="auto"/>
            <w:tcMar>
              <w:top w:w="15" w:type="dxa"/>
              <w:left w:w="15" w:type="dxa"/>
              <w:right w:w="15" w:type="dxa"/>
            </w:tcMar>
            <w:vAlign w:val="center"/>
          </w:tcPr>
          <w:p w14:paraId="60912E8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95.9 </w:t>
            </w:r>
          </w:p>
        </w:tc>
        <w:tc>
          <w:tcPr>
            <w:tcW w:w="0" w:type="auto"/>
            <w:shd w:val="clear" w:color="auto" w:fill="auto"/>
            <w:tcMar>
              <w:top w:w="15" w:type="dxa"/>
              <w:left w:w="15" w:type="dxa"/>
              <w:right w:w="15" w:type="dxa"/>
            </w:tcMar>
            <w:vAlign w:val="center"/>
          </w:tcPr>
          <w:p w14:paraId="53A1054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 </w:t>
            </w:r>
          </w:p>
        </w:tc>
        <w:tc>
          <w:tcPr>
            <w:tcW w:w="0" w:type="auto"/>
            <w:shd w:val="clear" w:color="auto" w:fill="auto"/>
            <w:tcMar>
              <w:top w:w="15" w:type="dxa"/>
              <w:left w:w="15" w:type="dxa"/>
              <w:right w:w="15" w:type="dxa"/>
            </w:tcMar>
            <w:vAlign w:val="top"/>
          </w:tcPr>
          <w:p w14:paraId="13F49073">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90.1 </w:t>
            </w:r>
          </w:p>
        </w:tc>
        <w:tc>
          <w:tcPr>
            <w:tcW w:w="0" w:type="auto"/>
            <w:shd w:val="clear" w:color="auto" w:fill="auto"/>
            <w:tcMar>
              <w:top w:w="15" w:type="dxa"/>
              <w:left w:w="15" w:type="dxa"/>
              <w:right w:w="15" w:type="dxa"/>
            </w:tcMar>
            <w:vAlign w:val="top"/>
          </w:tcPr>
          <w:p w14:paraId="45CF5191">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90.2 </w:t>
            </w:r>
          </w:p>
        </w:tc>
        <w:tc>
          <w:tcPr>
            <w:tcW w:w="0" w:type="auto"/>
            <w:shd w:val="clear" w:color="auto" w:fill="auto"/>
            <w:tcMar>
              <w:top w:w="15" w:type="dxa"/>
              <w:left w:w="15" w:type="dxa"/>
              <w:right w:w="15" w:type="dxa"/>
            </w:tcMar>
            <w:vAlign w:val="top"/>
          </w:tcPr>
          <w:p w14:paraId="158C07E6">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 </w:t>
            </w:r>
          </w:p>
        </w:tc>
        <w:tc>
          <w:tcPr>
            <w:tcW w:w="0" w:type="auto"/>
            <w:shd w:val="clear" w:color="auto" w:fill="auto"/>
            <w:tcMar>
              <w:top w:w="15" w:type="dxa"/>
              <w:left w:w="15" w:type="dxa"/>
              <w:right w:w="15" w:type="dxa"/>
            </w:tcMar>
            <w:vAlign w:val="center"/>
          </w:tcPr>
          <w:p w14:paraId="692FCC29">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28.2 </w:t>
            </w:r>
          </w:p>
        </w:tc>
        <w:tc>
          <w:tcPr>
            <w:tcW w:w="0" w:type="auto"/>
            <w:shd w:val="clear" w:color="auto" w:fill="auto"/>
            <w:tcMar>
              <w:top w:w="15" w:type="dxa"/>
              <w:left w:w="15" w:type="dxa"/>
              <w:right w:w="15" w:type="dxa"/>
            </w:tcMar>
            <w:vAlign w:val="center"/>
          </w:tcPr>
          <w:p w14:paraId="136BDF75">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27.0 </w:t>
            </w:r>
          </w:p>
        </w:tc>
        <w:tc>
          <w:tcPr>
            <w:tcW w:w="0" w:type="auto"/>
            <w:shd w:val="clear" w:color="auto" w:fill="auto"/>
            <w:tcMar>
              <w:top w:w="15" w:type="dxa"/>
              <w:left w:w="15" w:type="dxa"/>
              <w:right w:w="15" w:type="dxa"/>
            </w:tcMar>
            <w:vAlign w:val="center"/>
          </w:tcPr>
          <w:p w14:paraId="572AA93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 </w:t>
            </w:r>
          </w:p>
        </w:tc>
        <w:tc>
          <w:tcPr>
            <w:tcW w:w="0" w:type="auto"/>
            <w:shd w:val="clear" w:color="auto" w:fill="auto"/>
            <w:tcMar>
              <w:top w:w="15" w:type="dxa"/>
              <w:left w:w="15" w:type="dxa"/>
              <w:right w:w="15" w:type="dxa"/>
            </w:tcMar>
            <w:vAlign w:val="center"/>
          </w:tcPr>
          <w:p w14:paraId="03F3093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11.7 </w:t>
            </w:r>
          </w:p>
        </w:tc>
        <w:tc>
          <w:tcPr>
            <w:tcW w:w="0" w:type="auto"/>
            <w:shd w:val="clear" w:color="auto" w:fill="auto"/>
            <w:tcMar>
              <w:top w:w="15" w:type="dxa"/>
              <w:left w:w="15" w:type="dxa"/>
              <w:right w:w="15" w:type="dxa"/>
            </w:tcMar>
            <w:vAlign w:val="center"/>
          </w:tcPr>
          <w:p w14:paraId="7286C2E1">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11.6 </w:t>
            </w:r>
          </w:p>
        </w:tc>
        <w:tc>
          <w:tcPr>
            <w:tcW w:w="0" w:type="auto"/>
            <w:shd w:val="clear" w:color="auto" w:fill="auto"/>
            <w:tcMar>
              <w:top w:w="15" w:type="dxa"/>
              <w:left w:w="15" w:type="dxa"/>
              <w:right w:w="15" w:type="dxa"/>
            </w:tcMar>
            <w:vAlign w:val="center"/>
          </w:tcPr>
          <w:p w14:paraId="170D1C28">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 </w:t>
            </w:r>
          </w:p>
        </w:tc>
        <w:tc>
          <w:tcPr>
            <w:tcW w:w="0" w:type="auto"/>
            <w:shd w:val="clear" w:color="auto" w:fill="auto"/>
            <w:tcMar>
              <w:top w:w="15" w:type="dxa"/>
              <w:left w:w="15" w:type="dxa"/>
              <w:right w:w="15" w:type="dxa"/>
            </w:tcMar>
            <w:vAlign w:val="top"/>
          </w:tcPr>
          <w:p w14:paraId="401F2C28">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0.38</w:t>
            </w:r>
          </w:p>
        </w:tc>
        <w:tc>
          <w:tcPr>
            <w:tcW w:w="0" w:type="auto"/>
            <w:shd w:val="clear" w:color="auto" w:fill="auto"/>
            <w:tcMar>
              <w:top w:w="15" w:type="dxa"/>
              <w:left w:w="15" w:type="dxa"/>
              <w:right w:w="15" w:type="dxa"/>
            </w:tcMar>
            <w:vAlign w:val="top"/>
          </w:tcPr>
          <w:p w14:paraId="43AB1B3A">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0.41</w:t>
            </w:r>
          </w:p>
        </w:tc>
        <w:tc>
          <w:tcPr>
            <w:tcW w:w="0" w:type="auto"/>
            <w:shd w:val="clear" w:color="auto" w:fill="auto"/>
            <w:tcMar>
              <w:top w:w="15" w:type="dxa"/>
              <w:left w:w="15" w:type="dxa"/>
              <w:right w:w="15" w:type="dxa"/>
            </w:tcMar>
            <w:vAlign w:val="top"/>
          </w:tcPr>
          <w:p w14:paraId="7A8EA531">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0.03</w:t>
            </w:r>
          </w:p>
        </w:tc>
        <w:tc>
          <w:tcPr>
            <w:tcW w:w="0" w:type="auto"/>
            <w:shd w:val="clear" w:color="auto" w:fill="auto"/>
            <w:tcMar>
              <w:top w:w="15" w:type="dxa"/>
              <w:left w:w="15" w:type="dxa"/>
              <w:right w:w="15" w:type="dxa"/>
            </w:tcMar>
            <w:vAlign w:val="top"/>
          </w:tcPr>
          <w:p w14:paraId="544ECCA1">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2.38</w:t>
            </w:r>
          </w:p>
        </w:tc>
        <w:tc>
          <w:tcPr>
            <w:tcW w:w="0" w:type="auto"/>
            <w:shd w:val="clear" w:color="auto" w:fill="auto"/>
            <w:tcMar>
              <w:top w:w="15" w:type="dxa"/>
              <w:left w:w="15" w:type="dxa"/>
              <w:right w:w="15" w:type="dxa"/>
            </w:tcMar>
            <w:vAlign w:val="center"/>
          </w:tcPr>
          <w:p w14:paraId="3F53D900">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2.41</w:t>
            </w:r>
          </w:p>
        </w:tc>
        <w:tc>
          <w:tcPr>
            <w:tcW w:w="0" w:type="auto"/>
            <w:shd w:val="clear" w:color="auto" w:fill="auto"/>
            <w:tcMar>
              <w:top w:w="15" w:type="dxa"/>
              <w:left w:w="15" w:type="dxa"/>
              <w:right w:w="15" w:type="dxa"/>
            </w:tcMar>
            <w:vAlign w:val="top"/>
          </w:tcPr>
          <w:p w14:paraId="35C03057">
            <w:pPr>
              <w:keepNext w:val="0"/>
              <w:keepLines w:val="0"/>
              <w:widowControl/>
              <w:suppressLineNumbers w:val="0"/>
              <w:jc w:val="center"/>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0.03</w:t>
            </w:r>
          </w:p>
        </w:tc>
      </w:tr>
    </w:tbl>
    <w:p w14:paraId="2644AB7A">
      <w:pPr>
        <w:jc w:val="center"/>
        <w:rPr>
          <w:rFonts w:hint="eastAsia"/>
          <w:sz w:val="18"/>
          <w:szCs w:val="18"/>
        </w:rPr>
      </w:pPr>
    </w:p>
    <w:p w14:paraId="2EA068C9">
      <w:pPr>
        <w:jc w:val="center"/>
        <w:rPr>
          <w:rFonts w:hint="eastAsia"/>
          <w:sz w:val="18"/>
          <w:szCs w:val="18"/>
        </w:rPr>
      </w:pPr>
    </w:p>
    <w:p w14:paraId="6917382D">
      <w:pPr>
        <w:jc w:val="center"/>
        <w:rPr>
          <w:rFonts w:hint="eastAsia"/>
          <w:sz w:val="18"/>
          <w:szCs w:val="18"/>
        </w:rPr>
      </w:pPr>
    </w:p>
    <w:p w14:paraId="5D5FB8F8">
      <w:pPr>
        <w:jc w:val="center"/>
        <w:rPr>
          <w:rFonts w:hint="eastAsia"/>
          <w:sz w:val="18"/>
          <w:szCs w:val="18"/>
        </w:rPr>
      </w:pPr>
    </w:p>
    <w:p w14:paraId="50D8B7DC">
      <w:pPr>
        <w:jc w:val="center"/>
        <w:rPr>
          <w:rFonts w:hint="eastAsia"/>
          <w:sz w:val="18"/>
          <w:szCs w:val="18"/>
        </w:rPr>
      </w:pPr>
    </w:p>
    <w:p w14:paraId="792C520C">
      <w:pPr>
        <w:jc w:val="center"/>
        <w:rPr>
          <w:rFonts w:hint="eastAsia"/>
          <w:sz w:val="18"/>
          <w:szCs w:val="18"/>
        </w:rPr>
      </w:pPr>
    </w:p>
    <w:p w14:paraId="31214D63">
      <w:pPr>
        <w:jc w:val="center"/>
        <w:rPr>
          <w:rFonts w:hint="eastAsia"/>
          <w:sz w:val="18"/>
          <w:szCs w:val="18"/>
        </w:rPr>
      </w:pPr>
    </w:p>
    <w:p w14:paraId="50E1969B">
      <w:pPr>
        <w:jc w:val="center"/>
        <w:rPr>
          <w:rFonts w:hint="eastAsia"/>
          <w:sz w:val="18"/>
          <w:szCs w:val="18"/>
        </w:rPr>
      </w:pPr>
    </w:p>
    <w:p w14:paraId="551A7078">
      <w:pPr>
        <w:jc w:val="center"/>
        <w:rPr>
          <w:rFonts w:hint="eastAsia"/>
          <w:sz w:val="18"/>
          <w:szCs w:val="18"/>
        </w:rPr>
      </w:pPr>
    </w:p>
    <w:p w14:paraId="7D4FC2CE">
      <w:pPr>
        <w:jc w:val="center"/>
        <w:rPr>
          <w:rFonts w:hint="eastAsia"/>
          <w:sz w:val="18"/>
          <w:szCs w:val="18"/>
        </w:rPr>
      </w:pPr>
    </w:p>
    <w:p w14:paraId="1CC969B8">
      <w:pPr>
        <w:jc w:val="center"/>
        <w:rPr>
          <w:rFonts w:hint="eastAsia"/>
          <w:sz w:val="18"/>
          <w:szCs w:val="18"/>
        </w:rPr>
      </w:pPr>
    </w:p>
    <w:p w14:paraId="2074D534">
      <w:pPr>
        <w:jc w:val="center"/>
        <w:rPr>
          <w:sz w:val="18"/>
          <w:szCs w:val="18"/>
        </w:rPr>
      </w:pPr>
      <w:r>
        <w:rPr>
          <w:rFonts w:hint="eastAsia"/>
          <w:sz w:val="18"/>
          <w:szCs w:val="18"/>
        </w:rPr>
        <w:t>表</w:t>
      </w:r>
      <w:r>
        <w:rPr>
          <w:rFonts w:hint="eastAsia"/>
          <w:sz w:val="18"/>
          <w:szCs w:val="18"/>
          <w:lang w:val="en-US" w:eastAsia="zh-CN"/>
        </w:rPr>
        <w:t>2</w:t>
      </w:r>
      <w:r>
        <w:rPr>
          <w:sz w:val="18"/>
          <w:szCs w:val="18"/>
        </w:rPr>
        <w:t xml:space="preserve"> </w:t>
      </w:r>
      <w:r>
        <w:rPr>
          <w:rFonts w:hint="eastAsia"/>
          <w:sz w:val="18"/>
          <w:szCs w:val="18"/>
        </w:rPr>
        <w:t>定标模型验证结果</w:t>
      </w:r>
    </w:p>
    <w:tbl>
      <w:tblPr>
        <w:tblStyle w:val="6"/>
        <w:tblpPr w:leftFromText="181" w:rightFromText="181" w:vertAnchor="text" w:horzAnchor="margin" w:tblpXSpec="center" w:tblpY="1"/>
        <w:tblOverlap w:val="never"/>
        <w:tblW w:w="12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6"/>
        <w:gridCol w:w="1288"/>
        <w:gridCol w:w="1553"/>
        <w:gridCol w:w="1094"/>
        <w:gridCol w:w="1280"/>
        <w:gridCol w:w="1553"/>
        <w:gridCol w:w="811"/>
        <w:gridCol w:w="1306"/>
        <w:gridCol w:w="1562"/>
        <w:gridCol w:w="663"/>
      </w:tblGrid>
      <w:tr w14:paraId="153E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restart"/>
          </w:tcPr>
          <w:p w14:paraId="0C4973DD">
            <w:pPr>
              <w:spacing w:line="256" w:lineRule="exact"/>
              <w:ind w:left="120"/>
              <w:rPr>
                <w:rFonts w:asciiTheme="majorEastAsia" w:hAnsiTheme="majorEastAsia" w:eastAsiaTheme="majorEastAsia"/>
                <w:szCs w:val="21"/>
              </w:rPr>
            </w:pPr>
            <w:r>
              <w:rPr>
                <w:rFonts w:hint="eastAsia" w:asciiTheme="majorEastAsia" w:hAnsiTheme="majorEastAsia" w:eastAsiaTheme="majorEastAsia"/>
                <w:szCs w:val="21"/>
              </w:rPr>
              <w:t>编号</w:t>
            </w:r>
          </w:p>
        </w:tc>
        <w:tc>
          <w:tcPr>
            <w:tcW w:w="796" w:type="dxa"/>
            <w:vMerge w:val="restart"/>
          </w:tcPr>
          <w:p w14:paraId="18F9D3B2">
            <w:pPr>
              <w:spacing w:line="256" w:lineRule="exact"/>
              <w:ind w:left="120"/>
              <w:jc w:val="center"/>
              <w:rPr>
                <w:rFonts w:asciiTheme="majorEastAsia" w:hAnsiTheme="majorEastAsia" w:eastAsiaTheme="majorEastAsia"/>
                <w:szCs w:val="21"/>
              </w:rPr>
            </w:pPr>
            <w:r>
              <w:rPr>
                <w:rFonts w:hint="eastAsia" w:asciiTheme="majorEastAsia" w:hAnsiTheme="majorEastAsia" w:eastAsiaTheme="majorEastAsia"/>
                <w:szCs w:val="21"/>
              </w:rPr>
              <w:t>牌号</w:t>
            </w:r>
            <w:r>
              <w:rPr>
                <w:rFonts w:asciiTheme="majorEastAsia" w:hAnsiTheme="majorEastAsia" w:eastAsiaTheme="majorEastAsia"/>
                <w:szCs w:val="21"/>
              </w:rPr>
              <w:t>/</w:t>
            </w:r>
            <w:r>
              <w:rPr>
                <w:rFonts w:hint="eastAsia" w:asciiTheme="majorEastAsia" w:hAnsiTheme="majorEastAsia" w:eastAsiaTheme="majorEastAsia"/>
                <w:szCs w:val="21"/>
              </w:rPr>
              <w:t>号</w:t>
            </w:r>
          </w:p>
        </w:tc>
        <w:tc>
          <w:tcPr>
            <w:tcW w:w="3935" w:type="dxa"/>
            <w:gridSpan w:val="3"/>
            <w:shd w:val="clear" w:color="auto" w:fill="auto"/>
            <w:vAlign w:val="center"/>
          </w:tcPr>
          <w:p w14:paraId="6A6BF9E4">
            <w:pPr>
              <w:jc w:val="center"/>
              <w:rPr>
                <w:szCs w:val="21"/>
              </w:rPr>
            </w:pPr>
            <w:r>
              <w:rPr>
                <w:rFonts w:hint="eastAsia" w:hAnsi="宋体"/>
                <w:szCs w:val="21"/>
              </w:rPr>
              <w:t>氧含量</w:t>
            </w:r>
            <w:r>
              <w:rPr>
                <w:szCs w:val="21"/>
              </w:rPr>
              <w:t>/ %</w:t>
            </w:r>
            <w:r>
              <w:rPr>
                <w:rFonts w:hint="eastAsia" w:hAnsi="宋体"/>
                <w:szCs w:val="21"/>
              </w:rPr>
              <w:t>（质量分数）</w:t>
            </w:r>
          </w:p>
        </w:tc>
        <w:tc>
          <w:tcPr>
            <w:tcW w:w="3644" w:type="dxa"/>
            <w:gridSpan w:val="3"/>
            <w:shd w:val="clear" w:color="auto" w:fill="auto"/>
            <w:vAlign w:val="center"/>
          </w:tcPr>
          <w:p w14:paraId="27053819">
            <w:pPr>
              <w:ind w:firstLine="514" w:firstLineChars="245"/>
              <w:jc w:val="center"/>
              <w:rPr>
                <w:szCs w:val="21"/>
              </w:rPr>
            </w:pPr>
            <w:r>
              <w:rPr>
                <w:rFonts w:hint="eastAsia" w:hAnsi="宋体"/>
                <w:szCs w:val="21"/>
              </w:rPr>
              <w:t>甲醇</w:t>
            </w:r>
            <w:r>
              <w:rPr>
                <w:rFonts w:hAnsi="宋体"/>
                <w:szCs w:val="21"/>
              </w:rPr>
              <w:t>/ %</w:t>
            </w:r>
            <w:r>
              <w:rPr>
                <w:rFonts w:hint="eastAsia" w:hAnsi="宋体"/>
                <w:szCs w:val="21"/>
              </w:rPr>
              <w:t>（质量分数）</w:t>
            </w:r>
          </w:p>
        </w:tc>
        <w:tc>
          <w:tcPr>
            <w:tcW w:w="3531" w:type="dxa"/>
            <w:gridSpan w:val="3"/>
            <w:shd w:val="clear" w:color="auto" w:fill="auto"/>
            <w:vAlign w:val="bottom"/>
          </w:tcPr>
          <w:p w14:paraId="33575EB6">
            <w:pPr>
              <w:spacing w:line="256" w:lineRule="exact"/>
              <w:ind w:left="119"/>
              <w:rPr>
                <w:rFonts w:asciiTheme="majorEastAsia" w:hAnsiTheme="majorEastAsia" w:eastAsiaTheme="majorEastAsia"/>
                <w:szCs w:val="21"/>
              </w:rPr>
            </w:pPr>
            <w:r>
              <w:rPr>
                <w:rFonts w:hint="eastAsia" w:asciiTheme="majorEastAsia" w:hAnsiTheme="majorEastAsia" w:eastAsiaTheme="majorEastAsia"/>
                <w:szCs w:val="21"/>
              </w:rPr>
              <w:t>密度</w:t>
            </w:r>
            <w:r>
              <w:rPr>
                <w:rFonts w:asciiTheme="majorEastAsia" w:hAnsiTheme="majorEastAsia" w:eastAsiaTheme="majorEastAsia"/>
                <w:szCs w:val="21"/>
              </w:rPr>
              <w:t>/(kg/m</w:t>
            </w:r>
            <w:r>
              <w:rPr>
                <w:rFonts w:asciiTheme="majorEastAsia" w:hAnsiTheme="majorEastAsia" w:eastAsiaTheme="majorEastAsia"/>
                <w:szCs w:val="21"/>
                <w:vertAlign w:val="superscript"/>
              </w:rPr>
              <w:t>3</w:t>
            </w:r>
            <w:r>
              <w:rPr>
                <w:rFonts w:asciiTheme="majorEastAsia" w:hAnsiTheme="majorEastAsia" w:eastAsiaTheme="majorEastAsia"/>
                <w:szCs w:val="21"/>
              </w:rPr>
              <w:t>)</w:t>
            </w:r>
          </w:p>
        </w:tc>
      </w:tr>
      <w:tr w14:paraId="222D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5" w:type="dxa"/>
            <w:vMerge w:val="continue"/>
          </w:tcPr>
          <w:p w14:paraId="05A98906">
            <w:pPr>
              <w:jc w:val="left"/>
              <w:rPr>
                <w:rFonts w:asciiTheme="majorEastAsia" w:hAnsiTheme="majorEastAsia" w:eastAsiaTheme="majorEastAsia"/>
                <w:szCs w:val="21"/>
              </w:rPr>
            </w:pPr>
          </w:p>
        </w:tc>
        <w:tc>
          <w:tcPr>
            <w:tcW w:w="796" w:type="dxa"/>
            <w:vMerge w:val="continue"/>
          </w:tcPr>
          <w:p w14:paraId="4B30E4A5">
            <w:pPr>
              <w:jc w:val="left"/>
              <w:rPr>
                <w:rFonts w:asciiTheme="majorEastAsia" w:hAnsiTheme="majorEastAsia" w:eastAsiaTheme="majorEastAsia"/>
                <w:szCs w:val="21"/>
              </w:rPr>
            </w:pPr>
          </w:p>
        </w:tc>
        <w:tc>
          <w:tcPr>
            <w:tcW w:w="1288" w:type="dxa"/>
            <w:shd w:val="clear" w:color="auto" w:fill="auto"/>
          </w:tcPr>
          <w:p w14:paraId="2FAA574D">
            <w:pPr>
              <w:jc w:val="center"/>
              <w:rPr>
                <w:szCs w:val="21"/>
              </w:rPr>
            </w:pPr>
            <w:r>
              <w:rPr>
                <w:rFonts w:hint="eastAsia" w:hAnsi="宋体"/>
                <w:szCs w:val="21"/>
              </w:rPr>
              <w:t>标准测定值</w:t>
            </w:r>
          </w:p>
        </w:tc>
        <w:tc>
          <w:tcPr>
            <w:tcW w:w="1553" w:type="dxa"/>
            <w:shd w:val="clear" w:color="auto" w:fill="auto"/>
          </w:tcPr>
          <w:p w14:paraId="57CB6ACB">
            <w:pPr>
              <w:jc w:val="center"/>
              <w:rPr>
                <w:rFonts w:hint="eastAsia" w:eastAsia="宋体"/>
                <w:szCs w:val="21"/>
                <w:lang w:eastAsia="zh-CN"/>
              </w:rPr>
            </w:pPr>
            <w:r>
              <w:rPr>
                <w:rFonts w:hint="eastAsia" w:hAnsi="宋体"/>
                <w:szCs w:val="21"/>
                <w:lang w:eastAsia="zh-CN"/>
              </w:rPr>
              <w:t>近红外测定值</w:t>
            </w:r>
          </w:p>
        </w:tc>
        <w:tc>
          <w:tcPr>
            <w:tcW w:w="1094" w:type="dxa"/>
            <w:shd w:val="clear" w:color="auto" w:fill="auto"/>
          </w:tcPr>
          <w:p w14:paraId="6EDB5E61">
            <w:pPr>
              <w:jc w:val="center"/>
              <w:rPr>
                <w:szCs w:val="21"/>
              </w:rPr>
            </w:pPr>
            <w:r>
              <w:rPr>
                <w:rFonts w:hint="eastAsia" w:hAnsi="宋体"/>
                <w:szCs w:val="21"/>
              </w:rPr>
              <w:t>偏差</w:t>
            </w:r>
          </w:p>
        </w:tc>
        <w:tc>
          <w:tcPr>
            <w:tcW w:w="1280" w:type="dxa"/>
            <w:shd w:val="clear" w:color="auto" w:fill="auto"/>
          </w:tcPr>
          <w:p w14:paraId="07D2EFB4">
            <w:pPr>
              <w:jc w:val="center"/>
              <w:rPr>
                <w:szCs w:val="21"/>
              </w:rPr>
            </w:pPr>
            <w:r>
              <w:rPr>
                <w:rFonts w:hint="eastAsia" w:hAnsi="宋体"/>
                <w:szCs w:val="21"/>
              </w:rPr>
              <w:t>标准测定值</w:t>
            </w:r>
          </w:p>
        </w:tc>
        <w:tc>
          <w:tcPr>
            <w:tcW w:w="1553" w:type="dxa"/>
            <w:shd w:val="clear" w:color="auto" w:fill="auto"/>
          </w:tcPr>
          <w:p w14:paraId="0E7616B0">
            <w:pPr>
              <w:jc w:val="center"/>
              <w:rPr>
                <w:rFonts w:hint="eastAsia" w:eastAsia="宋体"/>
                <w:szCs w:val="21"/>
                <w:lang w:eastAsia="zh-CN"/>
              </w:rPr>
            </w:pPr>
            <w:r>
              <w:rPr>
                <w:rFonts w:hint="eastAsia" w:hAnsi="宋体"/>
                <w:szCs w:val="21"/>
                <w:lang w:eastAsia="zh-CN"/>
              </w:rPr>
              <w:t>近红外测定值</w:t>
            </w:r>
          </w:p>
        </w:tc>
        <w:tc>
          <w:tcPr>
            <w:tcW w:w="811" w:type="dxa"/>
            <w:shd w:val="clear" w:color="auto" w:fill="auto"/>
          </w:tcPr>
          <w:p w14:paraId="723E1E2B">
            <w:pPr>
              <w:jc w:val="center"/>
              <w:rPr>
                <w:szCs w:val="21"/>
              </w:rPr>
            </w:pPr>
            <w:r>
              <w:rPr>
                <w:rFonts w:hint="eastAsia" w:hAnsi="宋体"/>
                <w:szCs w:val="21"/>
              </w:rPr>
              <w:t>偏差</w:t>
            </w:r>
          </w:p>
        </w:tc>
        <w:tc>
          <w:tcPr>
            <w:tcW w:w="1306" w:type="dxa"/>
            <w:shd w:val="clear" w:color="auto" w:fill="auto"/>
          </w:tcPr>
          <w:p w14:paraId="545B0808">
            <w:pPr>
              <w:jc w:val="center"/>
              <w:rPr>
                <w:szCs w:val="21"/>
              </w:rPr>
            </w:pPr>
            <w:r>
              <w:rPr>
                <w:rFonts w:hint="eastAsia" w:hAnsi="宋体"/>
                <w:szCs w:val="21"/>
              </w:rPr>
              <w:t>标准测定值</w:t>
            </w:r>
          </w:p>
        </w:tc>
        <w:tc>
          <w:tcPr>
            <w:tcW w:w="1562" w:type="dxa"/>
            <w:shd w:val="clear" w:color="auto" w:fill="auto"/>
          </w:tcPr>
          <w:p w14:paraId="775F23F8">
            <w:pPr>
              <w:jc w:val="center"/>
              <w:rPr>
                <w:rFonts w:hint="eastAsia" w:eastAsia="宋体"/>
                <w:szCs w:val="21"/>
                <w:lang w:eastAsia="zh-CN"/>
              </w:rPr>
            </w:pPr>
            <w:r>
              <w:rPr>
                <w:rFonts w:hint="eastAsia" w:hAnsi="宋体"/>
                <w:szCs w:val="21"/>
                <w:lang w:eastAsia="zh-CN"/>
              </w:rPr>
              <w:t>近红外测定值</w:t>
            </w:r>
          </w:p>
        </w:tc>
        <w:tc>
          <w:tcPr>
            <w:tcW w:w="663" w:type="dxa"/>
            <w:shd w:val="clear" w:color="auto" w:fill="auto"/>
          </w:tcPr>
          <w:p w14:paraId="3F6FE142">
            <w:pPr>
              <w:jc w:val="center"/>
              <w:rPr>
                <w:szCs w:val="21"/>
              </w:rPr>
            </w:pPr>
            <w:r>
              <w:rPr>
                <w:rFonts w:hint="eastAsia" w:hAnsi="宋体"/>
                <w:szCs w:val="21"/>
              </w:rPr>
              <w:t>偏差</w:t>
            </w:r>
          </w:p>
        </w:tc>
      </w:tr>
      <w:tr w14:paraId="681A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B5B2572">
            <w:pPr>
              <w:jc w:val="left"/>
              <w:rPr>
                <w:szCs w:val="21"/>
              </w:rPr>
            </w:pPr>
            <w:r>
              <w:rPr>
                <w:szCs w:val="21"/>
              </w:rPr>
              <w:t>1</w:t>
            </w:r>
          </w:p>
        </w:tc>
        <w:tc>
          <w:tcPr>
            <w:tcW w:w="796" w:type="dxa"/>
          </w:tcPr>
          <w:p w14:paraId="3F887595">
            <w:pPr>
              <w:jc w:val="left"/>
              <w:rPr>
                <w:szCs w:val="21"/>
              </w:rPr>
            </w:pPr>
            <w:r>
              <w:rPr>
                <w:szCs w:val="21"/>
              </w:rPr>
              <w:t>92</w:t>
            </w:r>
          </w:p>
        </w:tc>
        <w:tc>
          <w:tcPr>
            <w:tcW w:w="1288" w:type="dxa"/>
            <w:shd w:val="clear" w:color="auto" w:fill="auto"/>
          </w:tcPr>
          <w:p w14:paraId="04274FF5">
            <w:pPr>
              <w:jc w:val="center"/>
              <w:rPr>
                <w:szCs w:val="21"/>
              </w:rPr>
            </w:pPr>
            <w:r>
              <w:rPr>
                <w:szCs w:val="21"/>
              </w:rPr>
              <w:t>1.80</w:t>
            </w:r>
          </w:p>
        </w:tc>
        <w:tc>
          <w:tcPr>
            <w:tcW w:w="1553" w:type="dxa"/>
            <w:shd w:val="clear" w:color="auto" w:fill="auto"/>
            <w:vAlign w:val="center"/>
          </w:tcPr>
          <w:p w14:paraId="7FA5DAE4">
            <w:pPr>
              <w:jc w:val="center"/>
              <w:rPr>
                <w:szCs w:val="21"/>
              </w:rPr>
            </w:pPr>
            <w:r>
              <w:rPr>
                <w:szCs w:val="21"/>
              </w:rPr>
              <w:t>1.79</w:t>
            </w:r>
          </w:p>
        </w:tc>
        <w:tc>
          <w:tcPr>
            <w:tcW w:w="1094" w:type="dxa"/>
            <w:shd w:val="clear" w:color="auto" w:fill="auto"/>
          </w:tcPr>
          <w:p w14:paraId="5CE60036">
            <w:pPr>
              <w:jc w:val="center"/>
              <w:rPr>
                <w:szCs w:val="21"/>
              </w:rPr>
            </w:pPr>
            <w:r>
              <w:rPr>
                <w:szCs w:val="21"/>
              </w:rPr>
              <w:t>-0.01</w:t>
            </w:r>
          </w:p>
        </w:tc>
        <w:tc>
          <w:tcPr>
            <w:tcW w:w="1280" w:type="dxa"/>
            <w:shd w:val="clear" w:color="auto" w:fill="auto"/>
          </w:tcPr>
          <w:p w14:paraId="739B31DB">
            <w:pPr>
              <w:jc w:val="left"/>
              <w:rPr>
                <w:kern w:val="0"/>
                <w:szCs w:val="21"/>
              </w:rPr>
            </w:pPr>
            <w:r>
              <w:rPr>
                <w:kern w:val="0"/>
                <w:szCs w:val="21"/>
              </w:rPr>
              <w:t>0.196</w:t>
            </w:r>
          </w:p>
        </w:tc>
        <w:tc>
          <w:tcPr>
            <w:tcW w:w="1553" w:type="dxa"/>
            <w:shd w:val="clear" w:color="auto" w:fill="auto"/>
          </w:tcPr>
          <w:p w14:paraId="10F8BFC9">
            <w:pPr>
              <w:jc w:val="left"/>
              <w:rPr>
                <w:kern w:val="0"/>
                <w:szCs w:val="21"/>
              </w:rPr>
            </w:pPr>
            <w:r>
              <w:rPr>
                <w:kern w:val="0"/>
                <w:szCs w:val="21"/>
              </w:rPr>
              <w:t>0.200</w:t>
            </w:r>
          </w:p>
        </w:tc>
        <w:tc>
          <w:tcPr>
            <w:tcW w:w="811" w:type="dxa"/>
            <w:shd w:val="clear" w:color="auto" w:fill="auto"/>
          </w:tcPr>
          <w:p w14:paraId="1645C074">
            <w:pPr>
              <w:jc w:val="left"/>
              <w:rPr>
                <w:kern w:val="0"/>
                <w:szCs w:val="21"/>
              </w:rPr>
            </w:pPr>
            <w:r>
              <w:rPr>
                <w:kern w:val="0"/>
                <w:szCs w:val="21"/>
              </w:rPr>
              <w:t>0.005</w:t>
            </w:r>
          </w:p>
        </w:tc>
        <w:tc>
          <w:tcPr>
            <w:tcW w:w="1306" w:type="dxa"/>
            <w:shd w:val="clear" w:color="auto" w:fill="auto"/>
            <w:vAlign w:val="center"/>
          </w:tcPr>
          <w:p w14:paraId="036D983F">
            <w:pPr>
              <w:jc w:val="center"/>
              <w:rPr>
                <w:szCs w:val="21"/>
              </w:rPr>
            </w:pPr>
            <w:r>
              <w:rPr>
                <w:szCs w:val="21"/>
              </w:rPr>
              <w:t>744.72</w:t>
            </w:r>
          </w:p>
        </w:tc>
        <w:tc>
          <w:tcPr>
            <w:tcW w:w="1562" w:type="dxa"/>
            <w:shd w:val="clear" w:color="auto" w:fill="auto"/>
            <w:vAlign w:val="center"/>
          </w:tcPr>
          <w:p w14:paraId="12814829">
            <w:pPr>
              <w:jc w:val="center"/>
              <w:rPr>
                <w:szCs w:val="21"/>
              </w:rPr>
            </w:pPr>
            <w:r>
              <w:rPr>
                <w:szCs w:val="21"/>
              </w:rPr>
              <w:t>743.7</w:t>
            </w:r>
          </w:p>
        </w:tc>
        <w:tc>
          <w:tcPr>
            <w:tcW w:w="663" w:type="dxa"/>
            <w:shd w:val="clear" w:color="auto" w:fill="auto"/>
            <w:vAlign w:val="center"/>
          </w:tcPr>
          <w:p w14:paraId="2E373AF4">
            <w:pPr>
              <w:jc w:val="center"/>
              <w:rPr>
                <w:szCs w:val="21"/>
              </w:rPr>
            </w:pPr>
            <w:r>
              <w:rPr>
                <w:szCs w:val="21"/>
              </w:rPr>
              <w:t>-1.02</w:t>
            </w:r>
          </w:p>
        </w:tc>
      </w:tr>
      <w:tr w14:paraId="557B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14:paraId="5AE3E932">
            <w:pPr>
              <w:jc w:val="left"/>
              <w:rPr>
                <w:szCs w:val="21"/>
              </w:rPr>
            </w:pPr>
            <w:r>
              <w:rPr>
                <w:szCs w:val="21"/>
              </w:rPr>
              <w:t>2</w:t>
            </w:r>
          </w:p>
        </w:tc>
        <w:tc>
          <w:tcPr>
            <w:tcW w:w="796" w:type="dxa"/>
          </w:tcPr>
          <w:p w14:paraId="63D83F51">
            <w:pPr>
              <w:jc w:val="left"/>
              <w:rPr>
                <w:szCs w:val="21"/>
              </w:rPr>
            </w:pPr>
            <w:r>
              <w:rPr>
                <w:szCs w:val="21"/>
              </w:rPr>
              <w:t>92</w:t>
            </w:r>
          </w:p>
        </w:tc>
        <w:tc>
          <w:tcPr>
            <w:tcW w:w="1288" w:type="dxa"/>
            <w:shd w:val="clear" w:color="auto" w:fill="auto"/>
          </w:tcPr>
          <w:p w14:paraId="1C905CFC">
            <w:pPr>
              <w:jc w:val="center"/>
              <w:rPr>
                <w:szCs w:val="21"/>
              </w:rPr>
            </w:pPr>
            <w:r>
              <w:rPr>
                <w:szCs w:val="21"/>
              </w:rPr>
              <w:t>1.46</w:t>
            </w:r>
          </w:p>
        </w:tc>
        <w:tc>
          <w:tcPr>
            <w:tcW w:w="1553" w:type="dxa"/>
            <w:shd w:val="clear" w:color="auto" w:fill="auto"/>
            <w:vAlign w:val="center"/>
          </w:tcPr>
          <w:p w14:paraId="54DE05EE">
            <w:pPr>
              <w:jc w:val="center"/>
              <w:rPr>
                <w:szCs w:val="21"/>
              </w:rPr>
            </w:pPr>
            <w:r>
              <w:rPr>
                <w:szCs w:val="21"/>
              </w:rPr>
              <w:t>1.5</w:t>
            </w:r>
          </w:p>
        </w:tc>
        <w:tc>
          <w:tcPr>
            <w:tcW w:w="1094" w:type="dxa"/>
            <w:shd w:val="clear" w:color="auto" w:fill="auto"/>
          </w:tcPr>
          <w:p w14:paraId="44A7BEF0">
            <w:pPr>
              <w:jc w:val="center"/>
              <w:rPr>
                <w:szCs w:val="21"/>
              </w:rPr>
            </w:pPr>
            <w:r>
              <w:rPr>
                <w:szCs w:val="21"/>
              </w:rPr>
              <w:t>0.04</w:t>
            </w:r>
          </w:p>
        </w:tc>
        <w:tc>
          <w:tcPr>
            <w:tcW w:w="1280" w:type="dxa"/>
            <w:shd w:val="clear" w:color="auto" w:fill="auto"/>
          </w:tcPr>
          <w:p w14:paraId="4414CE95">
            <w:pPr>
              <w:jc w:val="left"/>
              <w:rPr>
                <w:kern w:val="0"/>
                <w:szCs w:val="21"/>
              </w:rPr>
            </w:pPr>
            <w:r>
              <w:rPr>
                <w:kern w:val="0"/>
                <w:szCs w:val="21"/>
              </w:rPr>
              <w:t>0.197</w:t>
            </w:r>
          </w:p>
        </w:tc>
        <w:tc>
          <w:tcPr>
            <w:tcW w:w="1553" w:type="dxa"/>
            <w:shd w:val="clear" w:color="auto" w:fill="auto"/>
          </w:tcPr>
          <w:p w14:paraId="778FADFD">
            <w:pPr>
              <w:jc w:val="left"/>
              <w:rPr>
                <w:kern w:val="0"/>
                <w:szCs w:val="21"/>
              </w:rPr>
            </w:pPr>
            <w:r>
              <w:rPr>
                <w:kern w:val="0"/>
                <w:szCs w:val="21"/>
              </w:rPr>
              <w:t>0.220</w:t>
            </w:r>
          </w:p>
        </w:tc>
        <w:tc>
          <w:tcPr>
            <w:tcW w:w="811" w:type="dxa"/>
            <w:shd w:val="clear" w:color="auto" w:fill="auto"/>
          </w:tcPr>
          <w:p w14:paraId="05C84DF1">
            <w:pPr>
              <w:jc w:val="left"/>
              <w:rPr>
                <w:kern w:val="0"/>
                <w:szCs w:val="21"/>
              </w:rPr>
            </w:pPr>
            <w:r>
              <w:rPr>
                <w:kern w:val="0"/>
                <w:szCs w:val="21"/>
              </w:rPr>
              <w:t>0.024</w:t>
            </w:r>
          </w:p>
        </w:tc>
        <w:tc>
          <w:tcPr>
            <w:tcW w:w="1306" w:type="dxa"/>
            <w:shd w:val="clear" w:color="auto" w:fill="auto"/>
            <w:vAlign w:val="center"/>
          </w:tcPr>
          <w:p w14:paraId="3FE33539">
            <w:pPr>
              <w:jc w:val="center"/>
              <w:rPr>
                <w:szCs w:val="21"/>
              </w:rPr>
            </w:pPr>
            <w:r>
              <w:rPr>
                <w:szCs w:val="21"/>
              </w:rPr>
              <w:t>743.40</w:t>
            </w:r>
          </w:p>
        </w:tc>
        <w:tc>
          <w:tcPr>
            <w:tcW w:w="1562" w:type="dxa"/>
            <w:shd w:val="clear" w:color="auto" w:fill="auto"/>
            <w:vAlign w:val="center"/>
          </w:tcPr>
          <w:p w14:paraId="4DF9735D">
            <w:pPr>
              <w:jc w:val="center"/>
              <w:rPr>
                <w:szCs w:val="21"/>
              </w:rPr>
            </w:pPr>
            <w:r>
              <w:rPr>
                <w:szCs w:val="21"/>
              </w:rPr>
              <w:t>744.0</w:t>
            </w:r>
          </w:p>
        </w:tc>
        <w:tc>
          <w:tcPr>
            <w:tcW w:w="663" w:type="dxa"/>
            <w:shd w:val="clear" w:color="auto" w:fill="auto"/>
            <w:vAlign w:val="center"/>
          </w:tcPr>
          <w:p w14:paraId="5A3DBCAA">
            <w:pPr>
              <w:jc w:val="center"/>
              <w:rPr>
                <w:szCs w:val="21"/>
              </w:rPr>
            </w:pPr>
            <w:r>
              <w:rPr>
                <w:szCs w:val="21"/>
              </w:rPr>
              <w:t>0.60</w:t>
            </w:r>
          </w:p>
        </w:tc>
      </w:tr>
      <w:tr w14:paraId="4972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F546EDE">
            <w:pPr>
              <w:jc w:val="left"/>
              <w:rPr>
                <w:szCs w:val="21"/>
              </w:rPr>
            </w:pPr>
            <w:r>
              <w:rPr>
                <w:szCs w:val="21"/>
              </w:rPr>
              <w:t>3</w:t>
            </w:r>
          </w:p>
        </w:tc>
        <w:tc>
          <w:tcPr>
            <w:tcW w:w="796" w:type="dxa"/>
          </w:tcPr>
          <w:p w14:paraId="636A2375">
            <w:pPr>
              <w:jc w:val="left"/>
              <w:rPr>
                <w:szCs w:val="21"/>
              </w:rPr>
            </w:pPr>
            <w:r>
              <w:rPr>
                <w:szCs w:val="21"/>
              </w:rPr>
              <w:t>92</w:t>
            </w:r>
          </w:p>
        </w:tc>
        <w:tc>
          <w:tcPr>
            <w:tcW w:w="1288" w:type="dxa"/>
            <w:shd w:val="clear" w:color="auto" w:fill="auto"/>
          </w:tcPr>
          <w:p w14:paraId="161E7C4C">
            <w:pPr>
              <w:jc w:val="center"/>
              <w:rPr>
                <w:szCs w:val="21"/>
              </w:rPr>
            </w:pPr>
            <w:r>
              <w:rPr>
                <w:szCs w:val="21"/>
              </w:rPr>
              <w:t>1.48</w:t>
            </w:r>
          </w:p>
        </w:tc>
        <w:tc>
          <w:tcPr>
            <w:tcW w:w="1553" w:type="dxa"/>
            <w:shd w:val="clear" w:color="auto" w:fill="auto"/>
            <w:vAlign w:val="center"/>
          </w:tcPr>
          <w:p w14:paraId="5F2667FC">
            <w:pPr>
              <w:jc w:val="center"/>
              <w:rPr>
                <w:szCs w:val="21"/>
              </w:rPr>
            </w:pPr>
            <w:r>
              <w:rPr>
                <w:szCs w:val="21"/>
              </w:rPr>
              <w:t>1.51</w:t>
            </w:r>
          </w:p>
        </w:tc>
        <w:tc>
          <w:tcPr>
            <w:tcW w:w="1094" w:type="dxa"/>
            <w:shd w:val="clear" w:color="auto" w:fill="auto"/>
          </w:tcPr>
          <w:p w14:paraId="1B2A1C1E">
            <w:pPr>
              <w:jc w:val="center"/>
              <w:rPr>
                <w:szCs w:val="21"/>
              </w:rPr>
            </w:pPr>
            <w:r>
              <w:rPr>
                <w:szCs w:val="21"/>
              </w:rPr>
              <w:t>0.03</w:t>
            </w:r>
          </w:p>
        </w:tc>
        <w:tc>
          <w:tcPr>
            <w:tcW w:w="1280" w:type="dxa"/>
            <w:shd w:val="clear" w:color="auto" w:fill="auto"/>
          </w:tcPr>
          <w:p w14:paraId="576D95B8">
            <w:pPr>
              <w:jc w:val="left"/>
              <w:rPr>
                <w:kern w:val="0"/>
                <w:szCs w:val="21"/>
              </w:rPr>
            </w:pPr>
            <w:r>
              <w:rPr>
                <w:kern w:val="0"/>
                <w:szCs w:val="21"/>
              </w:rPr>
              <w:t>0.202</w:t>
            </w:r>
          </w:p>
        </w:tc>
        <w:tc>
          <w:tcPr>
            <w:tcW w:w="1553" w:type="dxa"/>
            <w:shd w:val="clear" w:color="auto" w:fill="auto"/>
          </w:tcPr>
          <w:p w14:paraId="26B4ABAF">
            <w:pPr>
              <w:jc w:val="left"/>
              <w:rPr>
                <w:kern w:val="0"/>
                <w:szCs w:val="21"/>
              </w:rPr>
            </w:pPr>
            <w:r>
              <w:rPr>
                <w:kern w:val="0"/>
                <w:szCs w:val="21"/>
              </w:rPr>
              <w:t>0.223</w:t>
            </w:r>
          </w:p>
        </w:tc>
        <w:tc>
          <w:tcPr>
            <w:tcW w:w="811" w:type="dxa"/>
            <w:shd w:val="clear" w:color="auto" w:fill="auto"/>
          </w:tcPr>
          <w:p w14:paraId="63DC6B42">
            <w:pPr>
              <w:jc w:val="left"/>
              <w:rPr>
                <w:kern w:val="0"/>
                <w:szCs w:val="21"/>
              </w:rPr>
            </w:pPr>
            <w:r>
              <w:rPr>
                <w:kern w:val="0"/>
                <w:szCs w:val="21"/>
              </w:rPr>
              <w:t>0.021</w:t>
            </w:r>
          </w:p>
        </w:tc>
        <w:tc>
          <w:tcPr>
            <w:tcW w:w="1306" w:type="dxa"/>
            <w:shd w:val="clear" w:color="auto" w:fill="auto"/>
            <w:vAlign w:val="center"/>
          </w:tcPr>
          <w:p w14:paraId="5B8CDB30">
            <w:pPr>
              <w:jc w:val="center"/>
              <w:rPr>
                <w:szCs w:val="21"/>
              </w:rPr>
            </w:pPr>
            <w:r>
              <w:rPr>
                <w:szCs w:val="21"/>
              </w:rPr>
              <w:t>736.48</w:t>
            </w:r>
          </w:p>
        </w:tc>
        <w:tc>
          <w:tcPr>
            <w:tcW w:w="1562" w:type="dxa"/>
            <w:shd w:val="clear" w:color="auto" w:fill="auto"/>
            <w:vAlign w:val="center"/>
          </w:tcPr>
          <w:p w14:paraId="31AA5BE5">
            <w:pPr>
              <w:jc w:val="center"/>
              <w:rPr>
                <w:szCs w:val="21"/>
              </w:rPr>
            </w:pPr>
            <w:r>
              <w:rPr>
                <w:szCs w:val="21"/>
              </w:rPr>
              <w:t>736.5</w:t>
            </w:r>
          </w:p>
        </w:tc>
        <w:tc>
          <w:tcPr>
            <w:tcW w:w="663" w:type="dxa"/>
            <w:shd w:val="clear" w:color="auto" w:fill="auto"/>
            <w:vAlign w:val="center"/>
          </w:tcPr>
          <w:p w14:paraId="3B910BDA">
            <w:pPr>
              <w:jc w:val="center"/>
              <w:rPr>
                <w:szCs w:val="21"/>
              </w:rPr>
            </w:pPr>
            <w:r>
              <w:rPr>
                <w:szCs w:val="21"/>
              </w:rPr>
              <w:t>0.02</w:t>
            </w:r>
          </w:p>
        </w:tc>
      </w:tr>
      <w:tr w14:paraId="47D9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F36B570">
            <w:pPr>
              <w:jc w:val="left"/>
              <w:rPr>
                <w:szCs w:val="21"/>
              </w:rPr>
            </w:pPr>
            <w:r>
              <w:rPr>
                <w:szCs w:val="21"/>
              </w:rPr>
              <w:t>4</w:t>
            </w:r>
          </w:p>
        </w:tc>
        <w:tc>
          <w:tcPr>
            <w:tcW w:w="796" w:type="dxa"/>
          </w:tcPr>
          <w:p w14:paraId="21C5FC6D">
            <w:pPr>
              <w:jc w:val="left"/>
              <w:rPr>
                <w:szCs w:val="21"/>
              </w:rPr>
            </w:pPr>
            <w:r>
              <w:rPr>
                <w:szCs w:val="21"/>
              </w:rPr>
              <w:t>92</w:t>
            </w:r>
          </w:p>
        </w:tc>
        <w:tc>
          <w:tcPr>
            <w:tcW w:w="1288" w:type="dxa"/>
            <w:shd w:val="clear" w:color="auto" w:fill="auto"/>
          </w:tcPr>
          <w:p w14:paraId="031289C8">
            <w:pPr>
              <w:jc w:val="center"/>
              <w:rPr>
                <w:szCs w:val="21"/>
              </w:rPr>
            </w:pPr>
            <w:r>
              <w:rPr>
                <w:szCs w:val="21"/>
              </w:rPr>
              <w:t>1.50</w:t>
            </w:r>
          </w:p>
        </w:tc>
        <w:tc>
          <w:tcPr>
            <w:tcW w:w="1553" w:type="dxa"/>
            <w:shd w:val="clear" w:color="auto" w:fill="auto"/>
            <w:vAlign w:val="center"/>
          </w:tcPr>
          <w:p w14:paraId="462C82AE">
            <w:pPr>
              <w:jc w:val="center"/>
              <w:rPr>
                <w:szCs w:val="21"/>
              </w:rPr>
            </w:pPr>
            <w:r>
              <w:rPr>
                <w:szCs w:val="21"/>
              </w:rPr>
              <w:t>1.47</w:t>
            </w:r>
          </w:p>
        </w:tc>
        <w:tc>
          <w:tcPr>
            <w:tcW w:w="1094" w:type="dxa"/>
            <w:shd w:val="clear" w:color="auto" w:fill="auto"/>
          </w:tcPr>
          <w:p w14:paraId="2D56F774">
            <w:pPr>
              <w:jc w:val="center"/>
              <w:rPr>
                <w:szCs w:val="21"/>
              </w:rPr>
            </w:pPr>
            <w:r>
              <w:rPr>
                <w:szCs w:val="21"/>
              </w:rPr>
              <w:t>-0.03</w:t>
            </w:r>
          </w:p>
        </w:tc>
        <w:tc>
          <w:tcPr>
            <w:tcW w:w="1280" w:type="dxa"/>
            <w:shd w:val="clear" w:color="auto" w:fill="auto"/>
          </w:tcPr>
          <w:p w14:paraId="713E5BC2">
            <w:pPr>
              <w:jc w:val="left"/>
              <w:rPr>
                <w:kern w:val="0"/>
                <w:szCs w:val="21"/>
              </w:rPr>
            </w:pPr>
            <w:r>
              <w:rPr>
                <w:kern w:val="0"/>
                <w:szCs w:val="21"/>
              </w:rPr>
              <w:t>0.209</w:t>
            </w:r>
          </w:p>
        </w:tc>
        <w:tc>
          <w:tcPr>
            <w:tcW w:w="1553" w:type="dxa"/>
            <w:shd w:val="clear" w:color="auto" w:fill="auto"/>
          </w:tcPr>
          <w:p w14:paraId="22F4C492">
            <w:pPr>
              <w:jc w:val="left"/>
              <w:rPr>
                <w:kern w:val="0"/>
                <w:szCs w:val="21"/>
              </w:rPr>
            </w:pPr>
            <w:r>
              <w:rPr>
                <w:kern w:val="0"/>
                <w:szCs w:val="21"/>
              </w:rPr>
              <w:t>0.171</w:t>
            </w:r>
          </w:p>
        </w:tc>
        <w:tc>
          <w:tcPr>
            <w:tcW w:w="811" w:type="dxa"/>
            <w:shd w:val="clear" w:color="auto" w:fill="auto"/>
          </w:tcPr>
          <w:p w14:paraId="37B8AC5D">
            <w:pPr>
              <w:jc w:val="left"/>
              <w:rPr>
                <w:kern w:val="0"/>
                <w:szCs w:val="21"/>
              </w:rPr>
            </w:pPr>
            <w:r>
              <w:rPr>
                <w:kern w:val="0"/>
                <w:szCs w:val="21"/>
              </w:rPr>
              <w:t>-0.038</w:t>
            </w:r>
          </w:p>
        </w:tc>
        <w:tc>
          <w:tcPr>
            <w:tcW w:w="1306" w:type="dxa"/>
            <w:shd w:val="clear" w:color="auto" w:fill="auto"/>
            <w:vAlign w:val="center"/>
          </w:tcPr>
          <w:p w14:paraId="1DD3D81B">
            <w:pPr>
              <w:jc w:val="center"/>
              <w:rPr>
                <w:szCs w:val="21"/>
              </w:rPr>
            </w:pPr>
            <w:r>
              <w:rPr>
                <w:szCs w:val="21"/>
              </w:rPr>
              <w:t>737.89</w:t>
            </w:r>
          </w:p>
        </w:tc>
        <w:tc>
          <w:tcPr>
            <w:tcW w:w="1562" w:type="dxa"/>
            <w:shd w:val="clear" w:color="auto" w:fill="auto"/>
            <w:vAlign w:val="center"/>
          </w:tcPr>
          <w:p w14:paraId="6EC09696">
            <w:pPr>
              <w:jc w:val="center"/>
              <w:rPr>
                <w:szCs w:val="21"/>
              </w:rPr>
            </w:pPr>
            <w:r>
              <w:rPr>
                <w:szCs w:val="21"/>
              </w:rPr>
              <w:t>738.0</w:t>
            </w:r>
          </w:p>
        </w:tc>
        <w:tc>
          <w:tcPr>
            <w:tcW w:w="663" w:type="dxa"/>
            <w:shd w:val="clear" w:color="auto" w:fill="auto"/>
            <w:vAlign w:val="center"/>
          </w:tcPr>
          <w:p w14:paraId="4C1E5145">
            <w:pPr>
              <w:jc w:val="center"/>
              <w:rPr>
                <w:szCs w:val="21"/>
              </w:rPr>
            </w:pPr>
            <w:r>
              <w:rPr>
                <w:szCs w:val="21"/>
              </w:rPr>
              <w:t>0.16</w:t>
            </w:r>
          </w:p>
        </w:tc>
      </w:tr>
      <w:tr w14:paraId="1111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1369F25">
            <w:pPr>
              <w:jc w:val="left"/>
              <w:rPr>
                <w:szCs w:val="21"/>
              </w:rPr>
            </w:pPr>
            <w:r>
              <w:rPr>
                <w:szCs w:val="21"/>
              </w:rPr>
              <w:t>5</w:t>
            </w:r>
          </w:p>
        </w:tc>
        <w:tc>
          <w:tcPr>
            <w:tcW w:w="796" w:type="dxa"/>
          </w:tcPr>
          <w:p w14:paraId="0EB1CA08">
            <w:pPr>
              <w:jc w:val="left"/>
              <w:rPr>
                <w:szCs w:val="21"/>
              </w:rPr>
            </w:pPr>
            <w:r>
              <w:rPr>
                <w:szCs w:val="21"/>
              </w:rPr>
              <w:t>92</w:t>
            </w:r>
          </w:p>
        </w:tc>
        <w:tc>
          <w:tcPr>
            <w:tcW w:w="1288" w:type="dxa"/>
            <w:shd w:val="clear" w:color="auto" w:fill="auto"/>
          </w:tcPr>
          <w:p w14:paraId="1097F609">
            <w:pPr>
              <w:jc w:val="center"/>
              <w:rPr>
                <w:szCs w:val="21"/>
              </w:rPr>
            </w:pPr>
            <w:r>
              <w:rPr>
                <w:szCs w:val="21"/>
              </w:rPr>
              <w:t>1.44</w:t>
            </w:r>
          </w:p>
        </w:tc>
        <w:tc>
          <w:tcPr>
            <w:tcW w:w="1553" w:type="dxa"/>
            <w:shd w:val="clear" w:color="auto" w:fill="auto"/>
            <w:vAlign w:val="center"/>
          </w:tcPr>
          <w:p w14:paraId="08F8EBA9">
            <w:pPr>
              <w:jc w:val="center"/>
              <w:rPr>
                <w:szCs w:val="21"/>
              </w:rPr>
            </w:pPr>
            <w:r>
              <w:rPr>
                <w:szCs w:val="21"/>
              </w:rPr>
              <w:t>1.42</w:t>
            </w:r>
          </w:p>
        </w:tc>
        <w:tc>
          <w:tcPr>
            <w:tcW w:w="1094" w:type="dxa"/>
            <w:shd w:val="clear" w:color="auto" w:fill="auto"/>
          </w:tcPr>
          <w:p w14:paraId="594554E7">
            <w:pPr>
              <w:jc w:val="center"/>
              <w:rPr>
                <w:szCs w:val="21"/>
              </w:rPr>
            </w:pPr>
            <w:r>
              <w:rPr>
                <w:szCs w:val="21"/>
              </w:rPr>
              <w:t>-0.02</w:t>
            </w:r>
          </w:p>
        </w:tc>
        <w:tc>
          <w:tcPr>
            <w:tcW w:w="1280" w:type="dxa"/>
            <w:shd w:val="clear" w:color="auto" w:fill="auto"/>
          </w:tcPr>
          <w:p w14:paraId="53B0C654">
            <w:pPr>
              <w:jc w:val="left"/>
              <w:rPr>
                <w:kern w:val="0"/>
                <w:szCs w:val="21"/>
              </w:rPr>
            </w:pPr>
            <w:r>
              <w:rPr>
                <w:kern w:val="0"/>
                <w:szCs w:val="21"/>
              </w:rPr>
              <w:t>0.217</w:t>
            </w:r>
          </w:p>
        </w:tc>
        <w:tc>
          <w:tcPr>
            <w:tcW w:w="1553" w:type="dxa"/>
            <w:shd w:val="clear" w:color="auto" w:fill="auto"/>
          </w:tcPr>
          <w:p w14:paraId="4561896A">
            <w:pPr>
              <w:jc w:val="left"/>
              <w:rPr>
                <w:kern w:val="0"/>
                <w:szCs w:val="21"/>
              </w:rPr>
            </w:pPr>
            <w:r>
              <w:rPr>
                <w:kern w:val="0"/>
                <w:szCs w:val="21"/>
              </w:rPr>
              <w:t>0.154</w:t>
            </w:r>
          </w:p>
        </w:tc>
        <w:tc>
          <w:tcPr>
            <w:tcW w:w="811" w:type="dxa"/>
            <w:shd w:val="clear" w:color="auto" w:fill="auto"/>
          </w:tcPr>
          <w:p w14:paraId="50A846CB">
            <w:pPr>
              <w:jc w:val="left"/>
              <w:rPr>
                <w:kern w:val="0"/>
                <w:szCs w:val="21"/>
              </w:rPr>
            </w:pPr>
            <w:r>
              <w:rPr>
                <w:kern w:val="0"/>
                <w:szCs w:val="21"/>
              </w:rPr>
              <w:t>-0.062</w:t>
            </w:r>
          </w:p>
        </w:tc>
        <w:tc>
          <w:tcPr>
            <w:tcW w:w="1306" w:type="dxa"/>
            <w:shd w:val="clear" w:color="auto" w:fill="auto"/>
            <w:vAlign w:val="center"/>
          </w:tcPr>
          <w:p w14:paraId="0FE529BD">
            <w:pPr>
              <w:jc w:val="center"/>
              <w:rPr>
                <w:szCs w:val="21"/>
              </w:rPr>
            </w:pPr>
            <w:r>
              <w:rPr>
                <w:szCs w:val="21"/>
              </w:rPr>
              <w:t>738.02</w:t>
            </w:r>
          </w:p>
        </w:tc>
        <w:tc>
          <w:tcPr>
            <w:tcW w:w="1562" w:type="dxa"/>
            <w:shd w:val="clear" w:color="auto" w:fill="auto"/>
            <w:vAlign w:val="center"/>
          </w:tcPr>
          <w:p w14:paraId="6B9F27EF">
            <w:pPr>
              <w:jc w:val="center"/>
              <w:rPr>
                <w:szCs w:val="21"/>
              </w:rPr>
            </w:pPr>
            <w:r>
              <w:rPr>
                <w:szCs w:val="21"/>
              </w:rPr>
              <w:t>739.2</w:t>
            </w:r>
          </w:p>
        </w:tc>
        <w:tc>
          <w:tcPr>
            <w:tcW w:w="663" w:type="dxa"/>
            <w:shd w:val="clear" w:color="auto" w:fill="auto"/>
            <w:vAlign w:val="center"/>
          </w:tcPr>
          <w:p w14:paraId="7B1DE1D4">
            <w:pPr>
              <w:jc w:val="center"/>
              <w:rPr>
                <w:szCs w:val="21"/>
              </w:rPr>
            </w:pPr>
            <w:r>
              <w:rPr>
                <w:szCs w:val="21"/>
              </w:rPr>
              <w:t>1.18</w:t>
            </w:r>
          </w:p>
        </w:tc>
      </w:tr>
      <w:tr w14:paraId="602A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48075C0">
            <w:pPr>
              <w:jc w:val="left"/>
              <w:rPr>
                <w:szCs w:val="21"/>
              </w:rPr>
            </w:pPr>
            <w:r>
              <w:rPr>
                <w:szCs w:val="21"/>
              </w:rPr>
              <w:t>6</w:t>
            </w:r>
          </w:p>
        </w:tc>
        <w:tc>
          <w:tcPr>
            <w:tcW w:w="796" w:type="dxa"/>
          </w:tcPr>
          <w:p w14:paraId="058265AA">
            <w:pPr>
              <w:jc w:val="left"/>
              <w:rPr>
                <w:szCs w:val="21"/>
              </w:rPr>
            </w:pPr>
            <w:r>
              <w:rPr>
                <w:szCs w:val="21"/>
              </w:rPr>
              <w:t>92</w:t>
            </w:r>
          </w:p>
        </w:tc>
        <w:tc>
          <w:tcPr>
            <w:tcW w:w="1288" w:type="dxa"/>
            <w:shd w:val="clear" w:color="auto" w:fill="auto"/>
          </w:tcPr>
          <w:p w14:paraId="147D6512">
            <w:pPr>
              <w:jc w:val="center"/>
              <w:rPr>
                <w:szCs w:val="21"/>
              </w:rPr>
            </w:pPr>
            <w:r>
              <w:rPr>
                <w:szCs w:val="21"/>
              </w:rPr>
              <w:t>1.94</w:t>
            </w:r>
          </w:p>
        </w:tc>
        <w:tc>
          <w:tcPr>
            <w:tcW w:w="1553" w:type="dxa"/>
            <w:shd w:val="clear" w:color="auto" w:fill="auto"/>
            <w:vAlign w:val="center"/>
          </w:tcPr>
          <w:p w14:paraId="6D80C8F6">
            <w:pPr>
              <w:jc w:val="center"/>
              <w:rPr>
                <w:szCs w:val="21"/>
              </w:rPr>
            </w:pPr>
            <w:r>
              <w:rPr>
                <w:szCs w:val="21"/>
              </w:rPr>
              <w:t>1.95</w:t>
            </w:r>
          </w:p>
        </w:tc>
        <w:tc>
          <w:tcPr>
            <w:tcW w:w="1094" w:type="dxa"/>
            <w:shd w:val="clear" w:color="auto" w:fill="auto"/>
          </w:tcPr>
          <w:p w14:paraId="741527D1">
            <w:pPr>
              <w:jc w:val="center"/>
              <w:rPr>
                <w:szCs w:val="21"/>
              </w:rPr>
            </w:pPr>
            <w:r>
              <w:rPr>
                <w:szCs w:val="21"/>
              </w:rPr>
              <w:t>0.01</w:t>
            </w:r>
          </w:p>
        </w:tc>
        <w:tc>
          <w:tcPr>
            <w:tcW w:w="1280" w:type="dxa"/>
            <w:shd w:val="clear" w:color="auto" w:fill="auto"/>
          </w:tcPr>
          <w:p w14:paraId="60388C7F">
            <w:pPr>
              <w:jc w:val="left"/>
              <w:rPr>
                <w:kern w:val="0"/>
                <w:szCs w:val="21"/>
              </w:rPr>
            </w:pPr>
            <w:r>
              <w:rPr>
                <w:kern w:val="0"/>
                <w:szCs w:val="21"/>
              </w:rPr>
              <w:t>0.220</w:t>
            </w:r>
          </w:p>
        </w:tc>
        <w:tc>
          <w:tcPr>
            <w:tcW w:w="1553" w:type="dxa"/>
            <w:shd w:val="clear" w:color="auto" w:fill="auto"/>
          </w:tcPr>
          <w:p w14:paraId="6A91CC21">
            <w:pPr>
              <w:jc w:val="left"/>
              <w:rPr>
                <w:kern w:val="0"/>
                <w:szCs w:val="21"/>
              </w:rPr>
            </w:pPr>
            <w:r>
              <w:rPr>
                <w:kern w:val="0"/>
                <w:szCs w:val="21"/>
              </w:rPr>
              <w:t>0.276</w:t>
            </w:r>
          </w:p>
        </w:tc>
        <w:tc>
          <w:tcPr>
            <w:tcW w:w="811" w:type="dxa"/>
            <w:shd w:val="clear" w:color="auto" w:fill="auto"/>
          </w:tcPr>
          <w:p w14:paraId="66E467FA">
            <w:pPr>
              <w:jc w:val="left"/>
              <w:rPr>
                <w:kern w:val="0"/>
                <w:szCs w:val="21"/>
              </w:rPr>
            </w:pPr>
            <w:r>
              <w:rPr>
                <w:kern w:val="0"/>
                <w:szCs w:val="21"/>
              </w:rPr>
              <w:t>0.057</w:t>
            </w:r>
          </w:p>
        </w:tc>
        <w:tc>
          <w:tcPr>
            <w:tcW w:w="1306" w:type="dxa"/>
            <w:shd w:val="clear" w:color="auto" w:fill="auto"/>
            <w:vAlign w:val="center"/>
          </w:tcPr>
          <w:p w14:paraId="28076E8A">
            <w:pPr>
              <w:jc w:val="center"/>
              <w:rPr>
                <w:szCs w:val="21"/>
              </w:rPr>
            </w:pPr>
            <w:r>
              <w:rPr>
                <w:szCs w:val="21"/>
              </w:rPr>
              <w:t>74</w:t>
            </w:r>
            <w:r>
              <w:rPr>
                <w:rFonts w:hint="eastAsia"/>
                <w:szCs w:val="21"/>
              </w:rPr>
              <w:t>0</w:t>
            </w:r>
            <w:r>
              <w:rPr>
                <w:szCs w:val="21"/>
              </w:rPr>
              <w:t>.78</w:t>
            </w:r>
          </w:p>
        </w:tc>
        <w:tc>
          <w:tcPr>
            <w:tcW w:w="1562" w:type="dxa"/>
            <w:shd w:val="clear" w:color="auto" w:fill="auto"/>
            <w:vAlign w:val="center"/>
          </w:tcPr>
          <w:p w14:paraId="7BD8600B">
            <w:pPr>
              <w:jc w:val="center"/>
              <w:rPr>
                <w:szCs w:val="21"/>
              </w:rPr>
            </w:pPr>
            <w:r>
              <w:rPr>
                <w:szCs w:val="21"/>
              </w:rPr>
              <w:t>739.7</w:t>
            </w:r>
          </w:p>
        </w:tc>
        <w:tc>
          <w:tcPr>
            <w:tcW w:w="663" w:type="dxa"/>
            <w:shd w:val="clear" w:color="auto" w:fill="auto"/>
            <w:vAlign w:val="center"/>
          </w:tcPr>
          <w:p w14:paraId="46E6584C">
            <w:pPr>
              <w:jc w:val="center"/>
              <w:rPr>
                <w:szCs w:val="21"/>
              </w:rPr>
            </w:pPr>
            <w:r>
              <w:rPr>
                <w:szCs w:val="21"/>
              </w:rPr>
              <w:t>-</w:t>
            </w:r>
            <w:r>
              <w:rPr>
                <w:rFonts w:hint="eastAsia"/>
                <w:szCs w:val="21"/>
              </w:rPr>
              <w:t>1</w:t>
            </w:r>
            <w:r>
              <w:rPr>
                <w:szCs w:val="21"/>
              </w:rPr>
              <w:t>.08</w:t>
            </w:r>
          </w:p>
        </w:tc>
      </w:tr>
      <w:tr w14:paraId="2C7C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148E539">
            <w:pPr>
              <w:jc w:val="left"/>
              <w:rPr>
                <w:szCs w:val="21"/>
              </w:rPr>
            </w:pPr>
            <w:r>
              <w:rPr>
                <w:szCs w:val="21"/>
              </w:rPr>
              <w:t>7</w:t>
            </w:r>
          </w:p>
        </w:tc>
        <w:tc>
          <w:tcPr>
            <w:tcW w:w="796" w:type="dxa"/>
          </w:tcPr>
          <w:p w14:paraId="018668EA">
            <w:pPr>
              <w:jc w:val="left"/>
              <w:rPr>
                <w:szCs w:val="21"/>
              </w:rPr>
            </w:pPr>
            <w:r>
              <w:rPr>
                <w:szCs w:val="21"/>
              </w:rPr>
              <w:t>92</w:t>
            </w:r>
          </w:p>
        </w:tc>
        <w:tc>
          <w:tcPr>
            <w:tcW w:w="1288" w:type="dxa"/>
            <w:shd w:val="clear" w:color="auto" w:fill="auto"/>
          </w:tcPr>
          <w:p w14:paraId="328388F0">
            <w:pPr>
              <w:jc w:val="center"/>
              <w:rPr>
                <w:szCs w:val="21"/>
              </w:rPr>
            </w:pPr>
            <w:r>
              <w:rPr>
                <w:szCs w:val="21"/>
              </w:rPr>
              <w:t>1.47</w:t>
            </w:r>
          </w:p>
        </w:tc>
        <w:tc>
          <w:tcPr>
            <w:tcW w:w="1553" w:type="dxa"/>
            <w:shd w:val="clear" w:color="auto" w:fill="auto"/>
            <w:vAlign w:val="center"/>
          </w:tcPr>
          <w:p w14:paraId="00956727">
            <w:pPr>
              <w:jc w:val="center"/>
              <w:rPr>
                <w:szCs w:val="21"/>
              </w:rPr>
            </w:pPr>
            <w:r>
              <w:rPr>
                <w:szCs w:val="21"/>
              </w:rPr>
              <w:t>1.47</w:t>
            </w:r>
          </w:p>
        </w:tc>
        <w:tc>
          <w:tcPr>
            <w:tcW w:w="1094" w:type="dxa"/>
            <w:shd w:val="clear" w:color="auto" w:fill="auto"/>
          </w:tcPr>
          <w:p w14:paraId="14A4FD16">
            <w:pPr>
              <w:jc w:val="center"/>
              <w:rPr>
                <w:szCs w:val="21"/>
              </w:rPr>
            </w:pPr>
            <w:r>
              <w:rPr>
                <w:szCs w:val="21"/>
              </w:rPr>
              <w:t>0.00</w:t>
            </w:r>
          </w:p>
        </w:tc>
        <w:tc>
          <w:tcPr>
            <w:tcW w:w="1280" w:type="dxa"/>
            <w:shd w:val="clear" w:color="auto" w:fill="auto"/>
          </w:tcPr>
          <w:p w14:paraId="5CE8F9D5">
            <w:pPr>
              <w:jc w:val="left"/>
              <w:rPr>
                <w:kern w:val="0"/>
                <w:szCs w:val="21"/>
              </w:rPr>
            </w:pPr>
            <w:r>
              <w:rPr>
                <w:kern w:val="0"/>
                <w:szCs w:val="21"/>
              </w:rPr>
              <w:t>0.223</w:t>
            </w:r>
          </w:p>
        </w:tc>
        <w:tc>
          <w:tcPr>
            <w:tcW w:w="1553" w:type="dxa"/>
            <w:shd w:val="clear" w:color="auto" w:fill="auto"/>
          </w:tcPr>
          <w:p w14:paraId="2497185E">
            <w:pPr>
              <w:jc w:val="left"/>
              <w:rPr>
                <w:kern w:val="0"/>
                <w:szCs w:val="21"/>
              </w:rPr>
            </w:pPr>
            <w:r>
              <w:rPr>
                <w:kern w:val="0"/>
                <w:szCs w:val="21"/>
              </w:rPr>
              <w:t>0.241</w:t>
            </w:r>
          </w:p>
        </w:tc>
        <w:tc>
          <w:tcPr>
            <w:tcW w:w="811" w:type="dxa"/>
            <w:shd w:val="clear" w:color="auto" w:fill="auto"/>
          </w:tcPr>
          <w:p w14:paraId="3A6DC763">
            <w:pPr>
              <w:jc w:val="left"/>
              <w:rPr>
                <w:kern w:val="0"/>
                <w:szCs w:val="21"/>
              </w:rPr>
            </w:pPr>
            <w:r>
              <w:rPr>
                <w:kern w:val="0"/>
                <w:szCs w:val="21"/>
              </w:rPr>
              <w:t>0.018</w:t>
            </w:r>
          </w:p>
        </w:tc>
        <w:tc>
          <w:tcPr>
            <w:tcW w:w="1306" w:type="dxa"/>
            <w:shd w:val="clear" w:color="auto" w:fill="auto"/>
            <w:vAlign w:val="center"/>
          </w:tcPr>
          <w:p w14:paraId="32D75536">
            <w:pPr>
              <w:jc w:val="center"/>
              <w:rPr>
                <w:szCs w:val="21"/>
              </w:rPr>
            </w:pPr>
            <w:r>
              <w:rPr>
                <w:szCs w:val="21"/>
              </w:rPr>
              <w:t>744.72</w:t>
            </w:r>
          </w:p>
        </w:tc>
        <w:tc>
          <w:tcPr>
            <w:tcW w:w="1562" w:type="dxa"/>
            <w:shd w:val="clear" w:color="auto" w:fill="auto"/>
            <w:vAlign w:val="center"/>
          </w:tcPr>
          <w:p w14:paraId="7D95C705">
            <w:pPr>
              <w:jc w:val="center"/>
              <w:rPr>
                <w:szCs w:val="21"/>
              </w:rPr>
            </w:pPr>
            <w:r>
              <w:rPr>
                <w:szCs w:val="21"/>
              </w:rPr>
              <w:t>743.7</w:t>
            </w:r>
          </w:p>
        </w:tc>
        <w:tc>
          <w:tcPr>
            <w:tcW w:w="663" w:type="dxa"/>
            <w:shd w:val="clear" w:color="auto" w:fill="auto"/>
            <w:vAlign w:val="center"/>
          </w:tcPr>
          <w:p w14:paraId="2C9CB25A">
            <w:pPr>
              <w:jc w:val="center"/>
              <w:rPr>
                <w:szCs w:val="21"/>
              </w:rPr>
            </w:pPr>
            <w:r>
              <w:rPr>
                <w:szCs w:val="21"/>
              </w:rPr>
              <w:t>-1.02</w:t>
            </w:r>
          </w:p>
        </w:tc>
      </w:tr>
      <w:tr w14:paraId="6727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0C54F59">
            <w:pPr>
              <w:jc w:val="left"/>
              <w:rPr>
                <w:szCs w:val="21"/>
              </w:rPr>
            </w:pPr>
            <w:r>
              <w:rPr>
                <w:szCs w:val="21"/>
              </w:rPr>
              <w:t>8</w:t>
            </w:r>
          </w:p>
        </w:tc>
        <w:tc>
          <w:tcPr>
            <w:tcW w:w="796" w:type="dxa"/>
          </w:tcPr>
          <w:p w14:paraId="036A8ECE">
            <w:pPr>
              <w:jc w:val="left"/>
              <w:rPr>
                <w:szCs w:val="21"/>
              </w:rPr>
            </w:pPr>
            <w:r>
              <w:rPr>
                <w:szCs w:val="21"/>
              </w:rPr>
              <w:t>92</w:t>
            </w:r>
          </w:p>
        </w:tc>
        <w:tc>
          <w:tcPr>
            <w:tcW w:w="1288" w:type="dxa"/>
            <w:shd w:val="clear" w:color="auto" w:fill="auto"/>
          </w:tcPr>
          <w:p w14:paraId="71568F7F">
            <w:pPr>
              <w:jc w:val="center"/>
              <w:rPr>
                <w:szCs w:val="21"/>
              </w:rPr>
            </w:pPr>
            <w:r>
              <w:rPr>
                <w:szCs w:val="21"/>
              </w:rPr>
              <w:t>1.</w:t>
            </w:r>
            <w:r>
              <w:rPr>
                <w:rFonts w:hint="eastAsia"/>
                <w:szCs w:val="21"/>
                <w:lang w:val="en-US" w:eastAsia="zh-CN"/>
              </w:rPr>
              <w:t>4</w:t>
            </w:r>
            <w:r>
              <w:rPr>
                <w:szCs w:val="21"/>
              </w:rPr>
              <w:t>5</w:t>
            </w:r>
          </w:p>
        </w:tc>
        <w:tc>
          <w:tcPr>
            <w:tcW w:w="1553" w:type="dxa"/>
            <w:shd w:val="clear" w:color="auto" w:fill="auto"/>
            <w:vAlign w:val="center"/>
          </w:tcPr>
          <w:p w14:paraId="72687B60">
            <w:pPr>
              <w:jc w:val="center"/>
              <w:rPr>
                <w:szCs w:val="21"/>
              </w:rPr>
            </w:pPr>
            <w:r>
              <w:rPr>
                <w:szCs w:val="21"/>
              </w:rPr>
              <w:t>1.47</w:t>
            </w:r>
          </w:p>
        </w:tc>
        <w:tc>
          <w:tcPr>
            <w:tcW w:w="1094" w:type="dxa"/>
            <w:shd w:val="clear" w:color="auto" w:fill="auto"/>
          </w:tcPr>
          <w:p w14:paraId="2C1879D6">
            <w:pPr>
              <w:jc w:val="center"/>
              <w:rPr>
                <w:szCs w:val="21"/>
              </w:rPr>
            </w:pPr>
            <w:r>
              <w:rPr>
                <w:szCs w:val="21"/>
              </w:rPr>
              <w:t>0.</w:t>
            </w:r>
            <w:r>
              <w:rPr>
                <w:rFonts w:hint="eastAsia"/>
                <w:szCs w:val="21"/>
                <w:lang w:val="en-US" w:eastAsia="zh-CN"/>
              </w:rPr>
              <w:t>0</w:t>
            </w:r>
            <w:r>
              <w:rPr>
                <w:szCs w:val="21"/>
              </w:rPr>
              <w:t>2</w:t>
            </w:r>
          </w:p>
        </w:tc>
        <w:tc>
          <w:tcPr>
            <w:tcW w:w="1280" w:type="dxa"/>
            <w:shd w:val="clear" w:color="auto" w:fill="auto"/>
          </w:tcPr>
          <w:p w14:paraId="722EC116">
            <w:pPr>
              <w:jc w:val="left"/>
              <w:rPr>
                <w:kern w:val="0"/>
                <w:szCs w:val="21"/>
              </w:rPr>
            </w:pPr>
            <w:r>
              <w:rPr>
                <w:kern w:val="0"/>
                <w:szCs w:val="21"/>
              </w:rPr>
              <w:t>0.232</w:t>
            </w:r>
          </w:p>
        </w:tc>
        <w:tc>
          <w:tcPr>
            <w:tcW w:w="1553" w:type="dxa"/>
            <w:shd w:val="clear" w:color="auto" w:fill="auto"/>
          </w:tcPr>
          <w:p w14:paraId="700E816E">
            <w:pPr>
              <w:jc w:val="left"/>
              <w:rPr>
                <w:kern w:val="0"/>
                <w:szCs w:val="21"/>
              </w:rPr>
            </w:pPr>
            <w:r>
              <w:rPr>
                <w:kern w:val="0"/>
                <w:szCs w:val="21"/>
              </w:rPr>
              <w:t>0.263</w:t>
            </w:r>
          </w:p>
        </w:tc>
        <w:tc>
          <w:tcPr>
            <w:tcW w:w="811" w:type="dxa"/>
            <w:shd w:val="clear" w:color="auto" w:fill="auto"/>
          </w:tcPr>
          <w:p w14:paraId="6CD367FE">
            <w:pPr>
              <w:jc w:val="left"/>
              <w:rPr>
                <w:kern w:val="0"/>
                <w:szCs w:val="21"/>
              </w:rPr>
            </w:pPr>
            <w:r>
              <w:rPr>
                <w:kern w:val="0"/>
                <w:szCs w:val="21"/>
              </w:rPr>
              <w:t>0.031</w:t>
            </w:r>
          </w:p>
        </w:tc>
        <w:tc>
          <w:tcPr>
            <w:tcW w:w="1306" w:type="dxa"/>
            <w:shd w:val="clear" w:color="auto" w:fill="auto"/>
            <w:vAlign w:val="center"/>
          </w:tcPr>
          <w:p w14:paraId="7F76AC80">
            <w:pPr>
              <w:jc w:val="center"/>
              <w:rPr>
                <w:szCs w:val="21"/>
              </w:rPr>
            </w:pPr>
            <w:r>
              <w:rPr>
                <w:szCs w:val="21"/>
              </w:rPr>
              <w:t>738.17</w:t>
            </w:r>
          </w:p>
        </w:tc>
        <w:tc>
          <w:tcPr>
            <w:tcW w:w="1562" w:type="dxa"/>
            <w:shd w:val="clear" w:color="auto" w:fill="auto"/>
            <w:vAlign w:val="center"/>
          </w:tcPr>
          <w:p w14:paraId="08CFE96E">
            <w:pPr>
              <w:jc w:val="center"/>
              <w:rPr>
                <w:szCs w:val="21"/>
              </w:rPr>
            </w:pPr>
            <w:r>
              <w:rPr>
                <w:szCs w:val="21"/>
              </w:rPr>
              <w:t>739.2</w:t>
            </w:r>
          </w:p>
        </w:tc>
        <w:tc>
          <w:tcPr>
            <w:tcW w:w="663" w:type="dxa"/>
            <w:shd w:val="clear" w:color="auto" w:fill="auto"/>
            <w:vAlign w:val="center"/>
          </w:tcPr>
          <w:p w14:paraId="7B2F266E">
            <w:pPr>
              <w:jc w:val="center"/>
              <w:rPr>
                <w:szCs w:val="21"/>
              </w:rPr>
            </w:pPr>
            <w:r>
              <w:rPr>
                <w:szCs w:val="21"/>
              </w:rPr>
              <w:t>1.03</w:t>
            </w:r>
          </w:p>
        </w:tc>
      </w:tr>
      <w:tr w14:paraId="4405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E6850FD">
            <w:pPr>
              <w:jc w:val="left"/>
              <w:rPr>
                <w:szCs w:val="21"/>
              </w:rPr>
            </w:pPr>
            <w:r>
              <w:rPr>
                <w:szCs w:val="21"/>
              </w:rPr>
              <w:t>9</w:t>
            </w:r>
          </w:p>
        </w:tc>
        <w:tc>
          <w:tcPr>
            <w:tcW w:w="796" w:type="dxa"/>
          </w:tcPr>
          <w:p w14:paraId="6586D6DA">
            <w:pPr>
              <w:jc w:val="left"/>
              <w:rPr>
                <w:szCs w:val="21"/>
              </w:rPr>
            </w:pPr>
            <w:r>
              <w:rPr>
                <w:szCs w:val="21"/>
              </w:rPr>
              <w:t>92</w:t>
            </w:r>
          </w:p>
        </w:tc>
        <w:tc>
          <w:tcPr>
            <w:tcW w:w="1288" w:type="dxa"/>
            <w:shd w:val="clear" w:color="auto" w:fill="auto"/>
          </w:tcPr>
          <w:p w14:paraId="685BA936">
            <w:pPr>
              <w:jc w:val="center"/>
              <w:rPr>
                <w:szCs w:val="21"/>
              </w:rPr>
            </w:pPr>
            <w:r>
              <w:rPr>
                <w:szCs w:val="21"/>
              </w:rPr>
              <w:t>1.38</w:t>
            </w:r>
          </w:p>
        </w:tc>
        <w:tc>
          <w:tcPr>
            <w:tcW w:w="1553" w:type="dxa"/>
            <w:shd w:val="clear" w:color="auto" w:fill="auto"/>
            <w:vAlign w:val="center"/>
          </w:tcPr>
          <w:p w14:paraId="4C73E6B7">
            <w:pPr>
              <w:jc w:val="center"/>
              <w:rPr>
                <w:szCs w:val="21"/>
              </w:rPr>
            </w:pPr>
            <w:r>
              <w:rPr>
                <w:szCs w:val="21"/>
              </w:rPr>
              <w:t>1.37</w:t>
            </w:r>
          </w:p>
        </w:tc>
        <w:tc>
          <w:tcPr>
            <w:tcW w:w="1094" w:type="dxa"/>
            <w:shd w:val="clear" w:color="auto" w:fill="auto"/>
          </w:tcPr>
          <w:p w14:paraId="239E7739">
            <w:pPr>
              <w:jc w:val="center"/>
              <w:rPr>
                <w:szCs w:val="21"/>
              </w:rPr>
            </w:pPr>
            <w:r>
              <w:rPr>
                <w:szCs w:val="21"/>
              </w:rPr>
              <w:t>-0.01</w:t>
            </w:r>
          </w:p>
        </w:tc>
        <w:tc>
          <w:tcPr>
            <w:tcW w:w="1280" w:type="dxa"/>
            <w:shd w:val="clear" w:color="auto" w:fill="auto"/>
          </w:tcPr>
          <w:p w14:paraId="2DD532A8">
            <w:pPr>
              <w:jc w:val="left"/>
              <w:rPr>
                <w:kern w:val="0"/>
                <w:szCs w:val="21"/>
              </w:rPr>
            </w:pPr>
            <w:r>
              <w:rPr>
                <w:kern w:val="0"/>
                <w:szCs w:val="21"/>
              </w:rPr>
              <w:t>0.301</w:t>
            </w:r>
          </w:p>
        </w:tc>
        <w:tc>
          <w:tcPr>
            <w:tcW w:w="1553" w:type="dxa"/>
            <w:shd w:val="clear" w:color="auto" w:fill="auto"/>
          </w:tcPr>
          <w:p w14:paraId="7C587EBE">
            <w:pPr>
              <w:jc w:val="left"/>
              <w:rPr>
                <w:kern w:val="0"/>
                <w:szCs w:val="21"/>
              </w:rPr>
            </w:pPr>
            <w:r>
              <w:rPr>
                <w:kern w:val="0"/>
                <w:szCs w:val="21"/>
              </w:rPr>
              <w:t>0.278</w:t>
            </w:r>
          </w:p>
        </w:tc>
        <w:tc>
          <w:tcPr>
            <w:tcW w:w="811" w:type="dxa"/>
            <w:shd w:val="clear" w:color="auto" w:fill="auto"/>
          </w:tcPr>
          <w:p w14:paraId="60DE0E32">
            <w:pPr>
              <w:jc w:val="left"/>
              <w:rPr>
                <w:kern w:val="0"/>
                <w:szCs w:val="21"/>
              </w:rPr>
            </w:pPr>
            <w:r>
              <w:rPr>
                <w:kern w:val="0"/>
                <w:szCs w:val="21"/>
              </w:rPr>
              <w:t>-0.024</w:t>
            </w:r>
          </w:p>
        </w:tc>
        <w:tc>
          <w:tcPr>
            <w:tcW w:w="1306" w:type="dxa"/>
            <w:shd w:val="clear" w:color="auto" w:fill="auto"/>
            <w:vAlign w:val="center"/>
          </w:tcPr>
          <w:p w14:paraId="4E376B01">
            <w:pPr>
              <w:jc w:val="center"/>
              <w:rPr>
                <w:szCs w:val="21"/>
              </w:rPr>
            </w:pPr>
            <w:r>
              <w:rPr>
                <w:szCs w:val="21"/>
              </w:rPr>
              <w:t>741.75</w:t>
            </w:r>
          </w:p>
        </w:tc>
        <w:tc>
          <w:tcPr>
            <w:tcW w:w="1562" w:type="dxa"/>
            <w:shd w:val="clear" w:color="auto" w:fill="auto"/>
            <w:vAlign w:val="center"/>
          </w:tcPr>
          <w:p w14:paraId="54923D13">
            <w:pPr>
              <w:jc w:val="center"/>
              <w:rPr>
                <w:szCs w:val="21"/>
              </w:rPr>
            </w:pPr>
            <w:r>
              <w:rPr>
                <w:szCs w:val="21"/>
              </w:rPr>
              <w:t>7</w:t>
            </w:r>
            <w:r>
              <w:rPr>
                <w:rFonts w:hint="eastAsia"/>
                <w:szCs w:val="21"/>
              </w:rPr>
              <w:t>41</w:t>
            </w:r>
            <w:r>
              <w:rPr>
                <w:szCs w:val="21"/>
              </w:rPr>
              <w:t>.2</w:t>
            </w:r>
          </w:p>
        </w:tc>
        <w:tc>
          <w:tcPr>
            <w:tcW w:w="663" w:type="dxa"/>
            <w:shd w:val="clear" w:color="auto" w:fill="auto"/>
            <w:vAlign w:val="center"/>
          </w:tcPr>
          <w:p w14:paraId="31B062FE">
            <w:pPr>
              <w:jc w:val="center"/>
              <w:rPr>
                <w:szCs w:val="21"/>
              </w:rPr>
            </w:pPr>
            <w:r>
              <w:rPr>
                <w:szCs w:val="21"/>
              </w:rPr>
              <w:t>-</w:t>
            </w:r>
            <w:r>
              <w:rPr>
                <w:rFonts w:hint="eastAsia"/>
                <w:szCs w:val="21"/>
              </w:rPr>
              <w:t>0</w:t>
            </w:r>
            <w:r>
              <w:rPr>
                <w:szCs w:val="21"/>
              </w:rPr>
              <w:t>.56</w:t>
            </w:r>
          </w:p>
        </w:tc>
      </w:tr>
      <w:tr w14:paraId="526E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8CCD42">
            <w:pPr>
              <w:jc w:val="left"/>
              <w:rPr>
                <w:szCs w:val="21"/>
              </w:rPr>
            </w:pPr>
            <w:r>
              <w:rPr>
                <w:szCs w:val="21"/>
              </w:rPr>
              <w:t>10</w:t>
            </w:r>
          </w:p>
        </w:tc>
        <w:tc>
          <w:tcPr>
            <w:tcW w:w="796" w:type="dxa"/>
          </w:tcPr>
          <w:p w14:paraId="47234521">
            <w:pPr>
              <w:jc w:val="left"/>
              <w:rPr>
                <w:szCs w:val="21"/>
              </w:rPr>
            </w:pPr>
            <w:r>
              <w:rPr>
                <w:szCs w:val="21"/>
              </w:rPr>
              <w:t>92</w:t>
            </w:r>
          </w:p>
        </w:tc>
        <w:tc>
          <w:tcPr>
            <w:tcW w:w="1288" w:type="dxa"/>
            <w:shd w:val="clear" w:color="auto" w:fill="auto"/>
          </w:tcPr>
          <w:p w14:paraId="7E2A30AC">
            <w:pPr>
              <w:jc w:val="center"/>
              <w:rPr>
                <w:szCs w:val="21"/>
              </w:rPr>
            </w:pPr>
            <w:r>
              <w:rPr>
                <w:szCs w:val="21"/>
              </w:rPr>
              <w:t>1.97</w:t>
            </w:r>
          </w:p>
        </w:tc>
        <w:tc>
          <w:tcPr>
            <w:tcW w:w="1553" w:type="dxa"/>
            <w:shd w:val="clear" w:color="auto" w:fill="auto"/>
            <w:vAlign w:val="center"/>
          </w:tcPr>
          <w:p w14:paraId="2A37B904">
            <w:pPr>
              <w:jc w:val="center"/>
              <w:rPr>
                <w:szCs w:val="21"/>
              </w:rPr>
            </w:pPr>
            <w:r>
              <w:rPr>
                <w:szCs w:val="21"/>
              </w:rPr>
              <w:t>2.00</w:t>
            </w:r>
          </w:p>
        </w:tc>
        <w:tc>
          <w:tcPr>
            <w:tcW w:w="1094" w:type="dxa"/>
            <w:shd w:val="clear" w:color="auto" w:fill="auto"/>
          </w:tcPr>
          <w:p w14:paraId="00386CD9">
            <w:pPr>
              <w:jc w:val="center"/>
              <w:rPr>
                <w:szCs w:val="21"/>
              </w:rPr>
            </w:pPr>
            <w:r>
              <w:rPr>
                <w:szCs w:val="21"/>
              </w:rPr>
              <w:t>0.03</w:t>
            </w:r>
          </w:p>
        </w:tc>
        <w:tc>
          <w:tcPr>
            <w:tcW w:w="1280" w:type="dxa"/>
            <w:shd w:val="clear" w:color="auto" w:fill="auto"/>
          </w:tcPr>
          <w:p w14:paraId="1A002EB5">
            <w:pPr>
              <w:jc w:val="left"/>
              <w:rPr>
                <w:kern w:val="0"/>
                <w:szCs w:val="21"/>
              </w:rPr>
            </w:pPr>
            <w:r>
              <w:rPr>
                <w:kern w:val="0"/>
                <w:szCs w:val="21"/>
              </w:rPr>
              <w:t>0.307</w:t>
            </w:r>
          </w:p>
        </w:tc>
        <w:tc>
          <w:tcPr>
            <w:tcW w:w="1553" w:type="dxa"/>
            <w:shd w:val="clear" w:color="auto" w:fill="auto"/>
          </w:tcPr>
          <w:p w14:paraId="12982457">
            <w:pPr>
              <w:jc w:val="left"/>
              <w:rPr>
                <w:kern w:val="0"/>
                <w:szCs w:val="21"/>
              </w:rPr>
            </w:pPr>
            <w:r>
              <w:rPr>
                <w:kern w:val="0"/>
                <w:szCs w:val="21"/>
              </w:rPr>
              <w:t>0.337</w:t>
            </w:r>
          </w:p>
        </w:tc>
        <w:tc>
          <w:tcPr>
            <w:tcW w:w="811" w:type="dxa"/>
            <w:shd w:val="clear" w:color="auto" w:fill="auto"/>
          </w:tcPr>
          <w:p w14:paraId="42B956DD">
            <w:pPr>
              <w:jc w:val="left"/>
              <w:rPr>
                <w:kern w:val="0"/>
                <w:szCs w:val="21"/>
              </w:rPr>
            </w:pPr>
            <w:r>
              <w:rPr>
                <w:kern w:val="0"/>
                <w:szCs w:val="21"/>
              </w:rPr>
              <w:t>0.030</w:t>
            </w:r>
          </w:p>
        </w:tc>
        <w:tc>
          <w:tcPr>
            <w:tcW w:w="1306" w:type="dxa"/>
            <w:shd w:val="clear" w:color="auto" w:fill="auto"/>
            <w:vAlign w:val="center"/>
          </w:tcPr>
          <w:p w14:paraId="0A2A2AD4">
            <w:pPr>
              <w:jc w:val="center"/>
              <w:rPr>
                <w:szCs w:val="21"/>
              </w:rPr>
            </w:pPr>
            <w:r>
              <w:rPr>
                <w:szCs w:val="21"/>
              </w:rPr>
              <w:t>740.68</w:t>
            </w:r>
          </w:p>
        </w:tc>
        <w:tc>
          <w:tcPr>
            <w:tcW w:w="1562" w:type="dxa"/>
            <w:shd w:val="clear" w:color="auto" w:fill="auto"/>
            <w:vAlign w:val="center"/>
          </w:tcPr>
          <w:p w14:paraId="64C480FF">
            <w:pPr>
              <w:jc w:val="center"/>
              <w:rPr>
                <w:szCs w:val="21"/>
              </w:rPr>
            </w:pPr>
            <w:r>
              <w:rPr>
                <w:szCs w:val="21"/>
              </w:rPr>
              <w:t>740.4</w:t>
            </w:r>
          </w:p>
        </w:tc>
        <w:tc>
          <w:tcPr>
            <w:tcW w:w="663" w:type="dxa"/>
            <w:shd w:val="clear" w:color="auto" w:fill="auto"/>
            <w:vAlign w:val="center"/>
          </w:tcPr>
          <w:p w14:paraId="22EB4CF1">
            <w:pPr>
              <w:jc w:val="center"/>
              <w:rPr>
                <w:szCs w:val="21"/>
              </w:rPr>
            </w:pPr>
            <w:r>
              <w:rPr>
                <w:szCs w:val="21"/>
              </w:rPr>
              <w:t>-0.28</w:t>
            </w:r>
          </w:p>
        </w:tc>
      </w:tr>
    </w:tbl>
    <w:p w14:paraId="4B4432EE">
      <w:pPr>
        <w:ind w:firstLine="420" w:firstLineChars="150"/>
        <w:jc w:val="left"/>
        <w:rPr>
          <w:sz w:val="28"/>
          <w:szCs w:val="28"/>
        </w:rPr>
        <w:sectPr>
          <w:pgSz w:w="16838" w:h="11906" w:orient="landscape"/>
          <w:pgMar w:top="1797" w:right="1440" w:bottom="1797" w:left="1440" w:header="851" w:footer="992" w:gutter="0"/>
          <w:cols w:space="425" w:num="1"/>
          <w:docGrid w:type="linesAndChars" w:linePitch="312" w:charSpace="0"/>
        </w:sectPr>
      </w:pPr>
    </w:p>
    <w:p w14:paraId="0BE029B7">
      <w:pPr>
        <w:pStyle w:val="11"/>
        <w:numPr>
          <w:ilvl w:val="0"/>
          <w:numId w:val="1"/>
        </w:numPr>
        <w:ind w:firstLineChars="0"/>
        <w:jc w:val="left"/>
        <w:rPr>
          <w:b/>
          <w:sz w:val="28"/>
          <w:szCs w:val="28"/>
        </w:rPr>
      </w:pPr>
      <w:r>
        <w:rPr>
          <w:rFonts w:hint="eastAsia"/>
          <w:b/>
          <w:sz w:val="28"/>
          <w:szCs w:val="28"/>
        </w:rPr>
        <w:t>精密度实验</w:t>
      </w:r>
    </w:p>
    <w:p w14:paraId="290BDDEF">
      <w:pPr>
        <w:spacing w:line="360" w:lineRule="auto"/>
        <w:ind w:firstLine="561"/>
        <w:rPr>
          <w:sz w:val="28"/>
          <w:szCs w:val="28"/>
        </w:rPr>
      </w:pPr>
      <w:r>
        <w:rPr>
          <w:rFonts w:hint="eastAsia"/>
          <w:sz w:val="28"/>
          <w:szCs w:val="28"/>
        </w:rPr>
        <w:t>分别选取</w:t>
      </w:r>
      <w:r>
        <w:rPr>
          <w:sz w:val="28"/>
          <w:szCs w:val="28"/>
        </w:rPr>
        <w:t>92</w:t>
      </w:r>
      <w:r>
        <w:rPr>
          <w:rFonts w:hint="eastAsia"/>
          <w:sz w:val="28"/>
          <w:szCs w:val="28"/>
        </w:rPr>
        <w:t>、</w:t>
      </w:r>
      <w:r>
        <w:rPr>
          <w:sz w:val="28"/>
          <w:szCs w:val="28"/>
        </w:rPr>
        <w:t>95</w:t>
      </w:r>
      <w:r>
        <w:rPr>
          <w:rFonts w:hint="eastAsia"/>
          <w:sz w:val="28"/>
          <w:szCs w:val="28"/>
        </w:rPr>
        <w:t>、</w:t>
      </w:r>
      <w:r>
        <w:rPr>
          <w:sz w:val="28"/>
          <w:szCs w:val="28"/>
        </w:rPr>
        <w:t>98</w:t>
      </w:r>
      <w:r>
        <w:rPr>
          <w:rFonts w:hint="eastAsia"/>
          <w:sz w:val="28"/>
          <w:szCs w:val="28"/>
        </w:rPr>
        <w:t>牌号的车用汽油</w:t>
      </w:r>
      <w:r>
        <w:rPr>
          <w:rFonts w:hint="eastAsia"/>
          <w:sz w:val="28"/>
          <w:szCs w:val="28"/>
          <w:lang w:val="en-US" w:eastAsia="zh-CN"/>
        </w:rPr>
        <w:t>3</w:t>
      </w:r>
      <w:r>
        <w:rPr>
          <w:rFonts w:hint="eastAsia"/>
          <w:sz w:val="28"/>
          <w:szCs w:val="28"/>
        </w:rPr>
        <w:t>批次，平行测定</w:t>
      </w:r>
      <w:r>
        <w:rPr>
          <w:sz w:val="28"/>
          <w:szCs w:val="28"/>
        </w:rPr>
        <w:t>6</w:t>
      </w:r>
      <w:r>
        <w:rPr>
          <w:rFonts w:hint="eastAsia"/>
          <w:sz w:val="28"/>
          <w:szCs w:val="28"/>
        </w:rPr>
        <w:t>次，进行研究法辛烷值、苯含量、芳烃含量、烯烃含量、氧含量、甲醇、密度等指标的重复性试验，测得标准偏差如表</w:t>
      </w:r>
      <w:r>
        <w:rPr>
          <w:sz w:val="28"/>
          <w:szCs w:val="28"/>
        </w:rPr>
        <w:t>4</w:t>
      </w:r>
      <w:r>
        <w:rPr>
          <w:rFonts w:hint="eastAsia"/>
          <w:sz w:val="28"/>
          <w:szCs w:val="28"/>
        </w:rPr>
        <w:t>所示。</w:t>
      </w:r>
    </w:p>
    <w:p w14:paraId="2ACBA361">
      <w:pPr>
        <w:spacing w:line="360" w:lineRule="auto"/>
        <w:ind w:right="-17" w:rightChars="-8"/>
        <w:jc w:val="center"/>
        <w:rPr>
          <w:sz w:val="24"/>
        </w:rPr>
      </w:pPr>
      <w:r>
        <w:rPr>
          <w:rFonts w:hint="eastAsia"/>
          <w:sz w:val="24"/>
        </w:rPr>
        <w:t>表</w:t>
      </w:r>
      <w:r>
        <w:rPr>
          <w:sz w:val="24"/>
        </w:rPr>
        <w:t>4</w:t>
      </w:r>
      <w:r>
        <w:rPr>
          <w:rFonts w:hint="eastAsia"/>
          <w:sz w:val="24"/>
        </w:rPr>
        <w:t>-1</w:t>
      </w:r>
      <w:r>
        <w:rPr>
          <w:sz w:val="24"/>
        </w:rPr>
        <w:t xml:space="preserve"> </w:t>
      </w:r>
      <w:r>
        <w:rPr>
          <w:rFonts w:hint="eastAsia"/>
          <w:sz w:val="24"/>
        </w:rPr>
        <w:t>重复性实验结果</w:t>
      </w:r>
    </w:p>
    <w:tbl>
      <w:tblPr>
        <w:tblStyle w:val="6"/>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136"/>
        <w:gridCol w:w="1275"/>
        <w:gridCol w:w="1418"/>
        <w:gridCol w:w="1417"/>
        <w:gridCol w:w="1398"/>
        <w:gridCol w:w="1293"/>
      </w:tblGrid>
      <w:tr w14:paraId="6A87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2" w:type="dxa"/>
            <w:gridSpan w:val="2"/>
            <w:vAlign w:val="center"/>
          </w:tcPr>
          <w:p w14:paraId="3D9D73E5">
            <w:pPr>
              <w:jc w:val="center"/>
              <w:rPr>
                <w:kern w:val="0"/>
                <w:sz w:val="20"/>
                <w:szCs w:val="20"/>
              </w:rPr>
            </w:pPr>
            <w:r>
              <w:rPr>
                <w:rFonts w:hint="eastAsia" w:hAnsi="宋体"/>
                <w:kern w:val="0"/>
                <w:sz w:val="20"/>
                <w:szCs w:val="20"/>
              </w:rPr>
              <w:t>样品</w:t>
            </w:r>
          </w:p>
        </w:tc>
        <w:tc>
          <w:tcPr>
            <w:tcW w:w="1275" w:type="dxa"/>
            <w:vAlign w:val="center"/>
          </w:tcPr>
          <w:p w14:paraId="5912FFD8">
            <w:pPr>
              <w:jc w:val="center"/>
              <w:rPr>
                <w:kern w:val="0"/>
                <w:sz w:val="20"/>
                <w:szCs w:val="20"/>
              </w:rPr>
            </w:pPr>
            <w:r>
              <w:rPr>
                <w:kern w:val="0"/>
                <w:sz w:val="20"/>
                <w:szCs w:val="20"/>
              </w:rPr>
              <w:t>MTBE/ %</w:t>
            </w:r>
            <w:r>
              <w:rPr>
                <w:rFonts w:hint="eastAsia" w:hAnsi="宋体"/>
                <w:kern w:val="0"/>
                <w:sz w:val="20"/>
                <w:szCs w:val="20"/>
              </w:rPr>
              <w:t>（质量分数</w:t>
            </w:r>
          </w:p>
        </w:tc>
        <w:tc>
          <w:tcPr>
            <w:tcW w:w="1418" w:type="dxa"/>
            <w:vAlign w:val="center"/>
          </w:tcPr>
          <w:p w14:paraId="315CFFBA">
            <w:pPr>
              <w:jc w:val="center"/>
              <w:rPr>
                <w:kern w:val="0"/>
                <w:sz w:val="20"/>
                <w:szCs w:val="20"/>
              </w:rPr>
            </w:pPr>
            <w:r>
              <w:rPr>
                <w:rFonts w:hint="eastAsia" w:hAnsi="宋体"/>
                <w:kern w:val="0"/>
                <w:sz w:val="20"/>
                <w:szCs w:val="20"/>
              </w:rPr>
              <w:t>芳烃含量</w:t>
            </w:r>
            <w:r>
              <w:rPr>
                <w:kern w:val="0"/>
                <w:sz w:val="20"/>
                <w:szCs w:val="20"/>
              </w:rPr>
              <w:t>/%(</w:t>
            </w:r>
            <w:r>
              <w:rPr>
                <w:rFonts w:hint="eastAsia" w:hAnsi="宋体"/>
                <w:kern w:val="0"/>
                <w:sz w:val="20"/>
                <w:szCs w:val="20"/>
              </w:rPr>
              <w:t>体积分数）</w:t>
            </w:r>
          </w:p>
        </w:tc>
        <w:tc>
          <w:tcPr>
            <w:tcW w:w="1417" w:type="dxa"/>
            <w:vAlign w:val="center"/>
          </w:tcPr>
          <w:p w14:paraId="5AC985E3">
            <w:pPr>
              <w:jc w:val="center"/>
              <w:rPr>
                <w:kern w:val="0"/>
                <w:sz w:val="20"/>
                <w:szCs w:val="20"/>
              </w:rPr>
            </w:pPr>
            <w:r>
              <w:rPr>
                <w:rFonts w:hint="eastAsia" w:hAnsi="宋体"/>
                <w:kern w:val="0"/>
                <w:sz w:val="20"/>
                <w:szCs w:val="20"/>
              </w:rPr>
              <w:t>烯烃含量</w:t>
            </w:r>
            <w:r>
              <w:rPr>
                <w:kern w:val="0"/>
                <w:sz w:val="20"/>
                <w:szCs w:val="20"/>
              </w:rPr>
              <w:t>/%</w:t>
            </w:r>
            <w:r>
              <w:rPr>
                <w:rFonts w:hint="eastAsia" w:hAnsi="宋体"/>
                <w:kern w:val="0"/>
                <w:sz w:val="20"/>
                <w:szCs w:val="20"/>
              </w:rPr>
              <w:t>（体积分数）</w:t>
            </w:r>
          </w:p>
        </w:tc>
        <w:tc>
          <w:tcPr>
            <w:tcW w:w="1398" w:type="dxa"/>
            <w:vAlign w:val="center"/>
          </w:tcPr>
          <w:p w14:paraId="6413967D">
            <w:pPr>
              <w:jc w:val="center"/>
              <w:rPr>
                <w:kern w:val="0"/>
                <w:sz w:val="20"/>
                <w:szCs w:val="20"/>
              </w:rPr>
            </w:pPr>
            <w:r>
              <w:rPr>
                <w:rFonts w:hint="eastAsia" w:hAnsi="宋体"/>
                <w:kern w:val="0"/>
                <w:sz w:val="20"/>
                <w:szCs w:val="20"/>
              </w:rPr>
              <w:t>苯含量</w:t>
            </w:r>
            <w:r>
              <w:rPr>
                <w:kern w:val="0"/>
                <w:sz w:val="20"/>
                <w:szCs w:val="20"/>
              </w:rPr>
              <w:t>/ %</w:t>
            </w:r>
            <w:r>
              <w:rPr>
                <w:rFonts w:hint="eastAsia" w:hAnsi="宋体"/>
                <w:kern w:val="0"/>
                <w:sz w:val="20"/>
                <w:szCs w:val="20"/>
              </w:rPr>
              <w:t>（体积分数）</w:t>
            </w:r>
          </w:p>
        </w:tc>
        <w:tc>
          <w:tcPr>
            <w:tcW w:w="1293" w:type="dxa"/>
            <w:vAlign w:val="center"/>
          </w:tcPr>
          <w:p w14:paraId="035F8A4C">
            <w:pPr>
              <w:jc w:val="center"/>
              <w:rPr>
                <w:kern w:val="0"/>
                <w:sz w:val="20"/>
                <w:szCs w:val="20"/>
              </w:rPr>
            </w:pPr>
            <w:r>
              <w:rPr>
                <w:rFonts w:hint="eastAsia" w:hAnsi="宋体"/>
                <w:kern w:val="0"/>
                <w:sz w:val="20"/>
                <w:szCs w:val="20"/>
              </w:rPr>
              <w:t>氧含量</w:t>
            </w:r>
            <w:r>
              <w:rPr>
                <w:kern w:val="0"/>
                <w:sz w:val="20"/>
                <w:szCs w:val="20"/>
              </w:rPr>
              <w:t>/ %</w:t>
            </w:r>
            <w:r>
              <w:rPr>
                <w:rFonts w:hint="eastAsia" w:hAnsi="宋体"/>
                <w:kern w:val="0"/>
                <w:sz w:val="20"/>
                <w:szCs w:val="20"/>
              </w:rPr>
              <w:t>（质量分数）</w:t>
            </w:r>
          </w:p>
        </w:tc>
      </w:tr>
      <w:tr w14:paraId="332E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restart"/>
            <w:vAlign w:val="center"/>
          </w:tcPr>
          <w:p w14:paraId="0011757F">
            <w:pPr>
              <w:jc w:val="center"/>
              <w:rPr>
                <w:kern w:val="0"/>
                <w:sz w:val="20"/>
                <w:szCs w:val="20"/>
              </w:rPr>
            </w:pPr>
            <w:r>
              <w:rPr>
                <w:kern w:val="0"/>
                <w:sz w:val="20"/>
                <w:szCs w:val="20"/>
              </w:rPr>
              <w:t>92</w:t>
            </w:r>
            <w:r>
              <w:rPr>
                <w:rFonts w:hint="eastAsia" w:hAnsi="宋体"/>
                <w:kern w:val="0"/>
                <w:sz w:val="20"/>
                <w:szCs w:val="20"/>
              </w:rPr>
              <w:t>号</w:t>
            </w:r>
          </w:p>
        </w:tc>
        <w:tc>
          <w:tcPr>
            <w:tcW w:w="1136" w:type="dxa"/>
            <w:vAlign w:val="center"/>
          </w:tcPr>
          <w:p w14:paraId="2A341F2E">
            <w:pPr>
              <w:jc w:val="center"/>
              <w:rPr>
                <w:rFonts w:hint="eastAsia" w:eastAsia="宋体"/>
                <w:kern w:val="0"/>
                <w:sz w:val="20"/>
                <w:szCs w:val="20"/>
                <w:lang w:eastAsia="zh-CN"/>
              </w:rPr>
            </w:pPr>
            <w:r>
              <w:rPr>
                <w:rFonts w:hint="eastAsia" w:hAnsi="宋体"/>
                <w:kern w:val="0"/>
                <w:sz w:val="20"/>
                <w:szCs w:val="20"/>
                <w:lang w:eastAsia="zh-CN"/>
              </w:rPr>
              <w:t>近红外测定值</w:t>
            </w:r>
          </w:p>
        </w:tc>
        <w:tc>
          <w:tcPr>
            <w:tcW w:w="1275" w:type="dxa"/>
            <w:vAlign w:val="center"/>
          </w:tcPr>
          <w:p w14:paraId="02D176F6">
            <w:pPr>
              <w:jc w:val="center"/>
              <w:rPr>
                <w:kern w:val="0"/>
                <w:sz w:val="20"/>
                <w:szCs w:val="20"/>
              </w:rPr>
            </w:pPr>
            <w:r>
              <w:rPr>
                <w:kern w:val="0"/>
                <w:sz w:val="20"/>
                <w:szCs w:val="20"/>
              </w:rPr>
              <w:t>5.99</w:t>
            </w:r>
          </w:p>
          <w:p w14:paraId="471A2EF5">
            <w:pPr>
              <w:jc w:val="center"/>
              <w:rPr>
                <w:kern w:val="0"/>
                <w:sz w:val="20"/>
                <w:szCs w:val="20"/>
              </w:rPr>
            </w:pPr>
            <w:r>
              <w:rPr>
                <w:kern w:val="0"/>
                <w:sz w:val="20"/>
                <w:szCs w:val="20"/>
              </w:rPr>
              <w:t>6.07</w:t>
            </w:r>
          </w:p>
          <w:p w14:paraId="3F998F85">
            <w:pPr>
              <w:jc w:val="center"/>
              <w:rPr>
                <w:kern w:val="0"/>
                <w:sz w:val="20"/>
                <w:szCs w:val="20"/>
              </w:rPr>
            </w:pPr>
            <w:r>
              <w:rPr>
                <w:kern w:val="0"/>
                <w:sz w:val="20"/>
                <w:szCs w:val="20"/>
              </w:rPr>
              <w:t>6.00</w:t>
            </w:r>
          </w:p>
          <w:p w14:paraId="30DD9519">
            <w:pPr>
              <w:jc w:val="center"/>
              <w:rPr>
                <w:kern w:val="0"/>
                <w:sz w:val="20"/>
                <w:szCs w:val="20"/>
              </w:rPr>
            </w:pPr>
            <w:r>
              <w:rPr>
                <w:kern w:val="0"/>
                <w:sz w:val="20"/>
                <w:szCs w:val="20"/>
              </w:rPr>
              <w:t>6.16</w:t>
            </w:r>
          </w:p>
          <w:p w14:paraId="2F7478D5">
            <w:pPr>
              <w:jc w:val="center"/>
              <w:rPr>
                <w:kern w:val="0"/>
                <w:sz w:val="20"/>
                <w:szCs w:val="20"/>
              </w:rPr>
            </w:pPr>
            <w:r>
              <w:rPr>
                <w:kern w:val="0"/>
                <w:sz w:val="20"/>
                <w:szCs w:val="20"/>
              </w:rPr>
              <w:t>6.04</w:t>
            </w:r>
          </w:p>
          <w:p w14:paraId="1E2DE3A7">
            <w:pPr>
              <w:jc w:val="center"/>
              <w:rPr>
                <w:kern w:val="0"/>
                <w:sz w:val="20"/>
                <w:szCs w:val="20"/>
              </w:rPr>
            </w:pPr>
            <w:r>
              <w:rPr>
                <w:kern w:val="0"/>
                <w:sz w:val="20"/>
                <w:szCs w:val="20"/>
              </w:rPr>
              <w:t>6.18</w:t>
            </w:r>
          </w:p>
        </w:tc>
        <w:tc>
          <w:tcPr>
            <w:tcW w:w="1418" w:type="dxa"/>
            <w:vAlign w:val="center"/>
          </w:tcPr>
          <w:p w14:paraId="09F18C83">
            <w:pPr>
              <w:jc w:val="center"/>
              <w:rPr>
                <w:kern w:val="0"/>
                <w:sz w:val="20"/>
                <w:szCs w:val="20"/>
              </w:rPr>
            </w:pPr>
            <w:r>
              <w:rPr>
                <w:kern w:val="0"/>
                <w:sz w:val="20"/>
                <w:szCs w:val="20"/>
              </w:rPr>
              <w:t>30.03</w:t>
            </w:r>
          </w:p>
          <w:p w14:paraId="570ADF8B">
            <w:pPr>
              <w:jc w:val="center"/>
              <w:rPr>
                <w:kern w:val="0"/>
                <w:sz w:val="20"/>
                <w:szCs w:val="20"/>
              </w:rPr>
            </w:pPr>
            <w:r>
              <w:rPr>
                <w:kern w:val="0"/>
                <w:sz w:val="20"/>
                <w:szCs w:val="20"/>
              </w:rPr>
              <w:t>30.22</w:t>
            </w:r>
          </w:p>
          <w:p w14:paraId="123551A1">
            <w:pPr>
              <w:jc w:val="center"/>
              <w:rPr>
                <w:kern w:val="0"/>
                <w:sz w:val="20"/>
                <w:szCs w:val="20"/>
              </w:rPr>
            </w:pPr>
            <w:r>
              <w:rPr>
                <w:kern w:val="0"/>
                <w:sz w:val="20"/>
                <w:szCs w:val="20"/>
              </w:rPr>
              <w:t>30.18</w:t>
            </w:r>
          </w:p>
          <w:p w14:paraId="7CEAC3D0">
            <w:pPr>
              <w:jc w:val="center"/>
              <w:rPr>
                <w:kern w:val="0"/>
                <w:sz w:val="20"/>
                <w:szCs w:val="20"/>
              </w:rPr>
            </w:pPr>
            <w:r>
              <w:rPr>
                <w:kern w:val="0"/>
                <w:sz w:val="20"/>
                <w:szCs w:val="20"/>
              </w:rPr>
              <w:t>30.14</w:t>
            </w:r>
          </w:p>
          <w:p w14:paraId="53AEFF28">
            <w:pPr>
              <w:jc w:val="center"/>
              <w:rPr>
                <w:kern w:val="0"/>
                <w:sz w:val="20"/>
                <w:szCs w:val="20"/>
              </w:rPr>
            </w:pPr>
            <w:r>
              <w:rPr>
                <w:kern w:val="0"/>
                <w:sz w:val="20"/>
                <w:szCs w:val="20"/>
              </w:rPr>
              <w:t>30.16</w:t>
            </w:r>
          </w:p>
          <w:p w14:paraId="0ED621F2">
            <w:pPr>
              <w:jc w:val="center"/>
              <w:rPr>
                <w:kern w:val="0"/>
                <w:sz w:val="20"/>
                <w:szCs w:val="20"/>
              </w:rPr>
            </w:pPr>
            <w:r>
              <w:rPr>
                <w:kern w:val="0"/>
                <w:sz w:val="20"/>
                <w:szCs w:val="20"/>
              </w:rPr>
              <w:t>29.55</w:t>
            </w:r>
          </w:p>
        </w:tc>
        <w:tc>
          <w:tcPr>
            <w:tcW w:w="1417" w:type="dxa"/>
            <w:vAlign w:val="center"/>
          </w:tcPr>
          <w:p w14:paraId="5E68D872">
            <w:pPr>
              <w:jc w:val="center"/>
              <w:rPr>
                <w:kern w:val="0"/>
                <w:sz w:val="20"/>
                <w:szCs w:val="20"/>
              </w:rPr>
            </w:pPr>
            <w:r>
              <w:rPr>
                <w:kern w:val="0"/>
                <w:sz w:val="20"/>
                <w:szCs w:val="20"/>
              </w:rPr>
              <w:t>12.75</w:t>
            </w:r>
          </w:p>
          <w:p w14:paraId="3F64B5B9">
            <w:pPr>
              <w:jc w:val="center"/>
              <w:rPr>
                <w:kern w:val="0"/>
                <w:sz w:val="20"/>
                <w:szCs w:val="20"/>
              </w:rPr>
            </w:pPr>
            <w:r>
              <w:rPr>
                <w:kern w:val="0"/>
                <w:sz w:val="20"/>
                <w:szCs w:val="20"/>
              </w:rPr>
              <w:t>13.19</w:t>
            </w:r>
          </w:p>
          <w:p w14:paraId="4FD2D69B">
            <w:pPr>
              <w:jc w:val="center"/>
              <w:rPr>
                <w:kern w:val="0"/>
                <w:sz w:val="20"/>
                <w:szCs w:val="20"/>
              </w:rPr>
            </w:pPr>
            <w:r>
              <w:rPr>
                <w:kern w:val="0"/>
                <w:sz w:val="20"/>
                <w:szCs w:val="20"/>
              </w:rPr>
              <w:t>13.06</w:t>
            </w:r>
          </w:p>
          <w:p w14:paraId="265A381E">
            <w:pPr>
              <w:jc w:val="center"/>
              <w:rPr>
                <w:kern w:val="0"/>
                <w:sz w:val="20"/>
                <w:szCs w:val="20"/>
              </w:rPr>
            </w:pPr>
            <w:r>
              <w:rPr>
                <w:kern w:val="0"/>
                <w:sz w:val="20"/>
                <w:szCs w:val="20"/>
              </w:rPr>
              <w:t>13.04</w:t>
            </w:r>
          </w:p>
          <w:p w14:paraId="2C7DB2BF">
            <w:pPr>
              <w:jc w:val="center"/>
              <w:rPr>
                <w:kern w:val="0"/>
                <w:sz w:val="20"/>
                <w:szCs w:val="20"/>
              </w:rPr>
            </w:pPr>
            <w:r>
              <w:rPr>
                <w:kern w:val="0"/>
                <w:sz w:val="20"/>
                <w:szCs w:val="20"/>
              </w:rPr>
              <w:t>12.85</w:t>
            </w:r>
          </w:p>
          <w:p w14:paraId="268824A9">
            <w:pPr>
              <w:jc w:val="center"/>
              <w:rPr>
                <w:kern w:val="0"/>
                <w:sz w:val="20"/>
                <w:szCs w:val="20"/>
              </w:rPr>
            </w:pPr>
            <w:r>
              <w:rPr>
                <w:kern w:val="0"/>
                <w:sz w:val="20"/>
                <w:szCs w:val="20"/>
              </w:rPr>
              <w:t>13.03</w:t>
            </w:r>
          </w:p>
        </w:tc>
        <w:tc>
          <w:tcPr>
            <w:tcW w:w="1398" w:type="dxa"/>
            <w:vAlign w:val="center"/>
          </w:tcPr>
          <w:p w14:paraId="62543E45">
            <w:pPr>
              <w:jc w:val="center"/>
              <w:rPr>
                <w:kern w:val="0"/>
                <w:sz w:val="20"/>
                <w:szCs w:val="20"/>
              </w:rPr>
            </w:pPr>
            <w:r>
              <w:rPr>
                <w:kern w:val="0"/>
                <w:sz w:val="20"/>
                <w:szCs w:val="20"/>
              </w:rPr>
              <w:t>0.33</w:t>
            </w:r>
          </w:p>
          <w:p w14:paraId="0C11EF12">
            <w:pPr>
              <w:jc w:val="center"/>
              <w:rPr>
                <w:kern w:val="0"/>
                <w:sz w:val="20"/>
                <w:szCs w:val="20"/>
              </w:rPr>
            </w:pPr>
            <w:r>
              <w:rPr>
                <w:kern w:val="0"/>
                <w:sz w:val="20"/>
                <w:szCs w:val="20"/>
              </w:rPr>
              <w:t>0.33</w:t>
            </w:r>
          </w:p>
          <w:p w14:paraId="36203C23">
            <w:pPr>
              <w:jc w:val="center"/>
              <w:rPr>
                <w:kern w:val="0"/>
                <w:sz w:val="20"/>
                <w:szCs w:val="20"/>
              </w:rPr>
            </w:pPr>
            <w:r>
              <w:rPr>
                <w:kern w:val="0"/>
                <w:sz w:val="20"/>
                <w:szCs w:val="20"/>
              </w:rPr>
              <w:t>0.33</w:t>
            </w:r>
          </w:p>
          <w:p w14:paraId="12D8315C">
            <w:pPr>
              <w:jc w:val="center"/>
              <w:rPr>
                <w:kern w:val="0"/>
                <w:sz w:val="20"/>
                <w:szCs w:val="20"/>
              </w:rPr>
            </w:pPr>
            <w:r>
              <w:rPr>
                <w:kern w:val="0"/>
                <w:sz w:val="20"/>
                <w:szCs w:val="20"/>
              </w:rPr>
              <w:t>0.31</w:t>
            </w:r>
          </w:p>
          <w:p w14:paraId="328B7AB3">
            <w:pPr>
              <w:jc w:val="center"/>
              <w:rPr>
                <w:kern w:val="0"/>
                <w:sz w:val="20"/>
                <w:szCs w:val="20"/>
              </w:rPr>
            </w:pPr>
            <w:r>
              <w:rPr>
                <w:kern w:val="0"/>
                <w:sz w:val="20"/>
                <w:szCs w:val="20"/>
              </w:rPr>
              <w:t>0.32</w:t>
            </w:r>
          </w:p>
          <w:p w14:paraId="49ED6581">
            <w:pPr>
              <w:jc w:val="center"/>
              <w:rPr>
                <w:kern w:val="0"/>
                <w:sz w:val="20"/>
                <w:szCs w:val="20"/>
              </w:rPr>
            </w:pPr>
            <w:r>
              <w:rPr>
                <w:kern w:val="0"/>
                <w:sz w:val="20"/>
                <w:szCs w:val="20"/>
              </w:rPr>
              <w:t>0.31</w:t>
            </w:r>
          </w:p>
        </w:tc>
        <w:tc>
          <w:tcPr>
            <w:tcW w:w="1293" w:type="dxa"/>
            <w:vAlign w:val="center"/>
          </w:tcPr>
          <w:p w14:paraId="23D27C02">
            <w:pPr>
              <w:jc w:val="center"/>
              <w:rPr>
                <w:kern w:val="0"/>
                <w:sz w:val="20"/>
                <w:szCs w:val="20"/>
              </w:rPr>
            </w:pPr>
            <w:r>
              <w:rPr>
                <w:kern w:val="0"/>
                <w:sz w:val="20"/>
                <w:szCs w:val="20"/>
              </w:rPr>
              <w:t xml:space="preserve">1.43 </w:t>
            </w:r>
          </w:p>
          <w:p w14:paraId="2BD95458">
            <w:pPr>
              <w:jc w:val="center"/>
              <w:rPr>
                <w:kern w:val="0"/>
                <w:sz w:val="20"/>
                <w:szCs w:val="20"/>
              </w:rPr>
            </w:pPr>
            <w:r>
              <w:rPr>
                <w:kern w:val="0"/>
                <w:sz w:val="20"/>
                <w:szCs w:val="20"/>
              </w:rPr>
              <w:t xml:space="preserve">1.41 </w:t>
            </w:r>
          </w:p>
          <w:p w14:paraId="0C25AB7E">
            <w:pPr>
              <w:jc w:val="center"/>
              <w:rPr>
                <w:kern w:val="0"/>
                <w:sz w:val="20"/>
                <w:szCs w:val="20"/>
              </w:rPr>
            </w:pPr>
            <w:r>
              <w:rPr>
                <w:kern w:val="0"/>
                <w:sz w:val="20"/>
                <w:szCs w:val="20"/>
              </w:rPr>
              <w:t xml:space="preserve">1.42 </w:t>
            </w:r>
          </w:p>
          <w:p w14:paraId="6B6BE78F">
            <w:pPr>
              <w:jc w:val="center"/>
              <w:rPr>
                <w:kern w:val="0"/>
                <w:sz w:val="20"/>
                <w:szCs w:val="20"/>
              </w:rPr>
            </w:pPr>
            <w:r>
              <w:rPr>
                <w:kern w:val="0"/>
                <w:sz w:val="20"/>
                <w:szCs w:val="20"/>
              </w:rPr>
              <w:t xml:space="preserve">1.41 </w:t>
            </w:r>
          </w:p>
          <w:p w14:paraId="42730486">
            <w:pPr>
              <w:jc w:val="center"/>
              <w:rPr>
                <w:kern w:val="0"/>
                <w:sz w:val="20"/>
                <w:szCs w:val="20"/>
              </w:rPr>
            </w:pPr>
            <w:r>
              <w:rPr>
                <w:kern w:val="0"/>
                <w:sz w:val="20"/>
                <w:szCs w:val="20"/>
              </w:rPr>
              <w:t xml:space="preserve">1.42 </w:t>
            </w:r>
          </w:p>
          <w:p w14:paraId="3A9BC515">
            <w:pPr>
              <w:jc w:val="center"/>
              <w:rPr>
                <w:kern w:val="0"/>
                <w:sz w:val="20"/>
                <w:szCs w:val="20"/>
              </w:rPr>
            </w:pPr>
            <w:r>
              <w:rPr>
                <w:kern w:val="0"/>
                <w:sz w:val="20"/>
                <w:szCs w:val="20"/>
              </w:rPr>
              <w:t>1.43</w:t>
            </w:r>
          </w:p>
        </w:tc>
      </w:tr>
      <w:tr w14:paraId="0FB1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560A8397">
            <w:pPr>
              <w:jc w:val="center"/>
              <w:rPr>
                <w:kern w:val="0"/>
                <w:sz w:val="20"/>
                <w:szCs w:val="20"/>
              </w:rPr>
            </w:pPr>
          </w:p>
        </w:tc>
        <w:tc>
          <w:tcPr>
            <w:tcW w:w="1136" w:type="dxa"/>
            <w:vAlign w:val="center"/>
          </w:tcPr>
          <w:p w14:paraId="5BB42868">
            <w:pPr>
              <w:jc w:val="left"/>
              <w:rPr>
                <w:kern w:val="0"/>
                <w:sz w:val="20"/>
                <w:szCs w:val="20"/>
              </w:rPr>
            </w:pPr>
            <w:r>
              <w:rPr>
                <w:rFonts w:hint="eastAsia" w:hAnsi="宋体"/>
                <w:kern w:val="0"/>
                <w:sz w:val="20"/>
                <w:szCs w:val="20"/>
              </w:rPr>
              <w:t>标准偏差</w:t>
            </w:r>
          </w:p>
        </w:tc>
        <w:tc>
          <w:tcPr>
            <w:tcW w:w="1275" w:type="dxa"/>
            <w:vAlign w:val="center"/>
          </w:tcPr>
          <w:p w14:paraId="419199A8">
            <w:pPr>
              <w:jc w:val="center"/>
              <w:rPr>
                <w:sz w:val="20"/>
                <w:szCs w:val="20"/>
              </w:rPr>
            </w:pPr>
            <w:r>
              <w:rPr>
                <w:sz w:val="20"/>
                <w:szCs w:val="20"/>
              </w:rPr>
              <w:t>0.08</w:t>
            </w:r>
          </w:p>
        </w:tc>
        <w:tc>
          <w:tcPr>
            <w:tcW w:w="1418" w:type="dxa"/>
            <w:vAlign w:val="center"/>
          </w:tcPr>
          <w:p w14:paraId="393D629B">
            <w:pPr>
              <w:jc w:val="center"/>
              <w:rPr>
                <w:sz w:val="20"/>
                <w:szCs w:val="20"/>
              </w:rPr>
            </w:pPr>
            <w:r>
              <w:rPr>
                <w:sz w:val="20"/>
                <w:szCs w:val="20"/>
              </w:rPr>
              <w:t>0.25</w:t>
            </w:r>
          </w:p>
        </w:tc>
        <w:tc>
          <w:tcPr>
            <w:tcW w:w="1417" w:type="dxa"/>
            <w:vAlign w:val="center"/>
          </w:tcPr>
          <w:p w14:paraId="70B4A7D4">
            <w:pPr>
              <w:jc w:val="center"/>
              <w:rPr>
                <w:sz w:val="20"/>
                <w:szCs w:val="20"/>
              </w:rPr>
            </w:pPr>
            <w:r>
              <w:rPr>
                <w:sz w:val="20"/>
                <w:szCs w:val="20"/>
              </w:rPr>
              <w:t>0.16</w:t>
            </w:r>
          </w:p>
        </w:tc>
        <w:tc>
          <w:tcPr>
            <w:tcW w:w="1398" w:type="dxa"/>
            <w:vAlign w:val="center"/>
          </w:tcPr>
          <w:p w14:paraId="77FB3203">
            <w:pPr>
              <w:jc w:val="center"/>
              <w:rPr>
                <w:sz w:val="20"/>
                <w:szCs w:val="20"/>
              </w:rPr>
            </w:pPr>
            <w:r>
              <w:rPr>
                <w:sz w:val="20"/>
                <w:szCs w:val="20"/>
              </w:rPr>
              <w:t>0.01</w:t>
            </w:r>
          </w:p>
        </w:tc>
        <w:tc>
          <w:tcPr>
            <w:tcW w:w="1293" w:type="dxa"/>
            <w:vAlign w:val="center"/>
          </w:tcPr>
          <w:p w14:paraId="797F9497">
            <w:pPr>
              <w:jc w:val="center"/>
              <w:rPr>
                <w:sz w:val="20"/>
                <w:szCs w:val="20"/>
              </w:rPr>
            </w:pPr>
            <w:r>
              <w:rPr>
                <w:sz w:val="20"/>
                <w:szCs w:val="20"/>
              </w:rPr>
              <w:t>0.0</w:t>
            </w:r>
            <w:r>
              <w:rPr>
                <w:rFonts w:hint="eastAsia"/>
                <w:sz w:val="20"/>
                <w:szCs w:val="20"/>
              </w:rPr>
              <w:t>1</w:t>
            </w:r>
          </w:p>
        </w:tc>
      </w:tr>
      <w:tr w14:paraId="04E3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restart"/>
            <w:vAlign w:val="center"/>
          </w:tcPr>
          <w:p w14:paraId="264DE3AD">
            <w:pPr>
              <w:rPr>
                <w:kern w:val="0"/>
                <w:sz w:val="20"/>
                <w:szCs w:val="20"/>
              </w:rPr>
            </w:pPr>
            <w:r>
              <w:rPr>
                <w:kern w:val="0"/>
                <w:sz w:val="20"/>
                <w:szCs w:val="20"/>
              </w:rPr>
              <w:t>95</w:t>
            </w:r>
            <w:r>
              <w:rPr>
                <w:rFonts w:hint="eastAsia" w:hAnsi="宋体"/>
                <w:kern w:val="0"/>
                <w:sz w:val="20"/>
                <w:szCs w:val="20"/>
              </w:rPr>
              <w:t>号</w:t>
            </w:r>
          </w:p>
        </w:tc>
        <w:tc>
          <w:tcPr>
            <w:tcW w:w="1136" w:type="dxa"/>
            <w:vMerge w:val="restart"/>
            <w:vAlign w:val="center"/>
          </w:tcPr>
          <w:p w14:paraId="08B8A19E">
            <w:pPr>
              <w:jc w:val="center"/>
              <w:rPr>
                <w:rFonts w:hint="eastAsia" w:eastAsia="宋体"/>
                <w:kern w:val="0"/>
                <w:sz w:val="20"/>
                <w:szCs w:val="20"/>
                <w:lang w:eastAsia="zh-CN"/>
              </w:rPr>
            </w:pPr>
            <w:r>
              <w:rPr>
                <w:rFonts w:hint="eastAsia" w:hAnsi="宋体"/>
                <w:kern w:val="0"/>
                <w:sz w:val="20"/>
                <w:szCs w:val="20"/>
                <w:lang w:eastAsia="zh-CN"/>
              </w:rPr>
              <w:t>近红外测定值</w:t>
            </w:r>
          </w:p>
        </w:tc>
        <w:tc>
          <w:tcPr>
            <w:tcW w:w="1275" w:type="dxa"/>
            <w:tcBorders>
              <w:bottom w:val="nil"/>
            </w:tcBorders>
            <w:vAlign w:val="center"/>
          </w:tcPr>
          <w:p w14:paraId="42325B90">
            <w:pPr>
              <w:jc w:val="center"/>
              <w:rPr>
                <w:kern w:val="0"/>
                <w:sz w:val="20"/>
                <w:szCs w:val="20"/>
              </w:rPr>
            </w:pPr>
            <w:r>
              <w:rPr>
                <w:kern w:val="0"/>
                <w:sz w:val="20"/>
                <w:szCs w:val="20"/>
              </w:rPr>
              <w:t>9.02</w:t>
            </w:r>
          </w:p>
        </w:tc>
        <w:tc>
          <w:tcPr>
            <w:tcW w:w="1418" w:type="dxa"/>
            <w:tcBorders>
              <w:bottom w:val="nil"/>
            </w:tcBorders>
            <w:vAlign w:val="center"/>
          </w:tcPr>
          <w:p w14:paraId="10FCFFF8">
            <w:pPr>
              <w:jc w:val="center"/>
              <w:rPr>
                <w:kern w:val="0"/>
                <w:sz w:val="20"/>
                <w:szCs w:val="20"/>
              </w:rPr>
            </w:pPr>
            <w:r>
              <w:rPr>
                <w:kern w:val="0"/>
                <w:sz w:val="20"/>
                <w:szCs w:val="20"/>
              </w:rPr>
              <w:t>26.32</w:t>
            </w:r>
          </w:p>
        </w:tc>
        <w:tc>
          <w:tcPr>
            <w:tcW w:w="1417" w:type="dxa"/>
            <w:tcBorders>
              <w:bottom w:val="nil"/>
            </w:tcBorders>
          </w:tcPr>
          <w:p w14:paraId="0E503224">
            <w:pPr>
              <w:jc w:val="center"/>
            </w:pPr>
            <w:r>
              <w:t>10.28</w:t>
            </w:r>
          </w:p>
        </w:tc>
        <w:tc>
          <w:tcPr>
            <w:tcW w:w="1398" w:type="dxa"/>
            <w:tcBorders>
              <w:bottom w:val="nil"/>
            </w:tcBorders>
            <w:vAlign w:val="center"/>
          </w:tcPr>
          <w:p w14:paraId="77879F9F">
            <w:pPr>
              <w:jc w:val="center"/>
              <w:rPr>
                <w:color w:val="000000"/>
                <w:sz w:val="20"/>
                <w:szCs w:val="20"/>
              </w:rPr>
            </w:pPr>
            <w:r>
              <w:rPr>
                <w:color w:val="000000"/>
                <w:sz w:val="20"/>
                <w:szCs w:val="20"/>
              </w:rPr>
              <w:t>0.62</w:t>
            </w:r>
          </w:p>
        </w:tc>
        <w:tc>
          <w:tcPr>
            <w:tcW w:w="1293" w:type="dxa"/>
            <w:tcBorders>
              <w:bottom w:val="nil"/>
            </w:tcBorders>
            <w:vAlign w:val="center"/>
          </w:tcPr>
          <w:p w14:paraId="0E8340AF">
            <w:pPr>
              <w:jc w:val="center"/>
              <w:rPr>
                <w:rFonts w:ascii="宋体" w:hAnsi="宋体" w:cs="宋体"/>
                <w:color w:val="000000"/>
                <w:sz w:val="20"/>
                <w:szCs w:val="20"/>
              </w:rPr>
            </w:pPr>
            <w:r>
              <w:rPr>
                <w:rFonts w:hint="eastAsia"/>
                <w:color w:val="000000"/>
                <w:sz w:val="20"/>
                <w:szCs w:val="20"/>
              </w:rPr>
              <w:t>2.12</w:t>
            </w:r>
          </w:p>
        </w:tc>
      </w:tr>
      <w:tr w14:paraId="0F9C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22CC5944">
            <w:pPr>
              <w:jc w:val="center"/>
              <w:rPr>
                <w:kern w:val="0"/>
                <w:sz w:val="20"/>
                <w:szCs w:val="20"/>
              </w:rPr>
            </w:pPr>
          </w:p>
        </w:tc>
        <w:tc>
          <w:tcPr>
            <w:tcW w:w="1136" w:type="dxa"/>
            <w:vMerge w:val="continue"/>
            <w:vAlign w:val="center"/>
          </w:tcPr>
          <w:p w14:paraId="4B98619A">
            <w:pPr>
              <w:jc w:val="center"/>
              <w:rPr>
                <w:kern w:val="0"/>
                <w:sz w:val="20"/>
                <w:szCs w:val="20"/>
              </w:rPr>
            </w:pPr>
          </w:p>
        </w:tc>
        <w:tc>
          <w:tcPr>
            <w:tcW w:w="1275" w:type="dxa"/>
            <w:tcBorders>
              <w:top w:val="nil"/>
              <w:bottom w:val="nil"/>
            </w:tcBorders>
            <w:vAlign w:val="center"/>
          </w:tcPr>
          <w:p w14:paraId="146E502C">
            <w:pPr>
              <w:jc w:val="center"/>
              <w:rPr>
                <w:kern w:val="0"/>
                <w:sz w:val="20"/>
                <w:szCs w:val="20"/>
              </w:rPr>
            </w:pPr>
            <w:r>
              <w:rPr>
                <w:kern w:val="0"/>
                <w:sz w:val="20"/>
                <w:szCs w:val="20"/>
              </w:rPr>
              <w:t>8.9</w:t>
            </w:r>
            <w:r>
              <w:rPr>
                <w:rFonts w:hint="eastAsia"/>
                <w:kern w:val="0"/>
                <w:sz w:val="20"/>
                <w:szCs w:val="20"/>
              </w:rPr>
              <w:t>9</w:t>
            </w:r>
          </w:p>
        </w:tc>
        <w:tc>
          <w:tcPr>
            <w:tcW w:w="1418" w:type="dxa"/>
            <w:tcBorders>
              <w:top w:val="nil"/>
              <w:bottom w:val="nil"/>
            </w:tcBorders>
            <w:vAlign w:val="center"/>
          </w:tcPr>
          <w:p w14:paraId="08A6CF8E">
            <w:pPr>
              <w:jc w:val="center"/>
              <w:rPr>
                <w:kern w:val="0"/>
                <w:sz w:val="20"/>
                <w:szCs w:val="20"/>
              </w:rPr>
            </w:pPr>
            <w:r>
              <w:rPr>
                <w:kern w:val="0"/>
                <w:sz w:val="20"/>
                <w:szCs w:val="20"/>
              </w:rPr>
              <w:t>25.88</w:t>
            </w:r>
          </w:p>
        </w:tc>
        <w:tc>
          <w:tcPr>
            <w:tcW w:w="1417" w:type="dxa"/>
            <w:tcBorders>
              <w:top w:val="nil"/>
              <w:bottom w:val="nil"/>
            </w:tcBorders>
          </w:tcPr>
          <w:p w14:paraId="6A80CB63">
            <w:pPr>
              <w:jc w:val="center"/>
            </w:pPr>
            <w:r>
              <w:t>10.17</w:t>
            </w:r>
          </w:p>
        </w:tc>
        <w:tc>
          <w:tcPr>
            <w:tcW w:w="1398" w:type="dxa"/>
            <w:tcBorders>
              <w:top w:val="nil"/>
              <w:bottom w:val="nil"/>
            </w:tcBorders>
            <w:vAlign w:val="center"/>
          </w:tcPr>
          <w:p w14:paraId="21766B3E">
            <w:pPr>
              <w:jc w:val="center"/>
              <w:rPr>
                <w:color w:val="000000"/>
                <w:sz w:val="20"/>
                <w:szCs w:val="20"/>
              </w:rPr>
            </w:pPr>
            <w:r>
              <w:rPr>
                <w:color w:val="000000"/>
                <w:sz w:val="20"/>
                <w:szCs w:val="20"/>
              </w:rPr>
              <w:t>0.62</w:t>
            </w:r>
          </w:p>
        </w:tc>
        <w:tc>
          <w:tcPr>
            <w:tcW w:w="1293" w:type="dxa"/>
            <w:tcBorders>
              <w:top w:val="nil"/>
              <w:bottom w:val="nil"/>
            </w:tcBorders>
            <w:vAlign w:val="center"/>
          </w:tcPr>
          <w:p w14:paraId="039CEFBF">
            <w:pPr>
              <w:jc w:val="center"/>
              <w:rPr>
                <w:rFonts w:ascii="宋体" w:hAnsi="宋体" w:cs="宋体"/>
                <w:color w:val="000000"/>
                <w:sz w:val="20"/>
                <w:szCs w:val="20"/>
              </w:rPr>
            </w:pPr>
            <w:r>
              <w:rPr>
                <w:rFonts w:hint="eastAsia"/>
                <w:color w:val="000000"/>
                <w:sz w:val="20"/>
                <w:szCs w:val="20"/>
              </w:rPr>
              <w:t>2.13</w:t>
            </w:r>
          </w:p>
        </w:tc>
      </w:tr>
      <w:tr w14:paraId="5923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457F3E4E">
            <w:pPr>
              <w:jc w:val="center"/>
              <w:rPr>
                <w:kern w:val="0"/>
                <w:sz w:val="20"/>
                <w:szCs w:val="20"/>
              </w:rPr>
            </w:pPr>
          </w:p>
        </w:tc>
        <w:tc>
          <w:tcPr>
            <w:tcW w:w="1136" w:type="dxa"/>
            <w:vMerge w:val="continue"/>
            <w:vAlign w:val="center"/>
          </w:tcPr>
          <w:p w14:paraId="305764B1">
            <w:pPr>
              <w:jc w:val="center"/>
              <w:rPr>
                <w:kern w:val="0"/>
                <w:sz w:val="20"/>
                <w:szCs w:val="20"/>
              </w:rPr>
            </w:pPr>
          </w:p>
        </w:tc>
        <w:tc>
          <w:tcPr>
            <w:tcW w:w="1275" w:type="dxa"/>
            <w:tcBorders>
              <w:top w:val="nil"/>
              <w:bottom w:val="nil"/>
            </w:tcBorders>
            <w:vAlign w:val="center"/>
          </w:tcPr>
          <w:p w14:paraId="2CA67430">
            <w:pPr>
              <w:jc w:val="center"/>
              <w:rPr>
                <w:kern w:val="0"/>
                <w:sz w:val="20"/>
                <w:szCs w:val="20"/>
              </w:rPr>
            </w:pPr>
            <w:r>
              <w:rPr>
                <w:kern w:val="0"/>
                <w:sz w:val="20"/>
                <w:szCs w:val="20"/>
              </w:rPr>
              <w:t>8.92</w:t>
            </w:r>
          </w:p>
        </w:tc>
        <w:tc>
          <w:tcPr>
            <w:tcW w:w="1418" w:type="dxa"/>
            <w:tcBorders>
              <w:top w:val="nil"/>
              <w:bottom w:val="nil"/>
            </w:tcBorders>
            <w:vAlign w:val="center"/>
          </w:tcPr>
          <w:p w14:paraId="28C6C89E">
            <w:pPr>
              <w:jc w:val="center"/>
              <w:rPr>
                <w:kern w:val="0"/>
                <w:sz w:val="20"/>
                <w:szCs w:val="20"/>
              </w:rPr>
            </w:pPr>
            <w:r>
              <w:rPr>
                <w:kern w:val="0"/>
                <w:sz w:val="20"/>
                <w:szCs w:val="20"/>
              </w:rPr>
              <w:t>26.15</w:t>
            </w:r>
          </w:p>
        </w:tc>
        <w:tc>
          <w:tcPr>
            <w:tcW w:w="1417" w:type="dxa"/>
            <w:tcBorders>
              <w:top w:val="nil"/>
              <w:bottom w:val="nil"/>
            </w:tcBorders>
          </w:tcPr>
          <w:p w14:paraId="5F36A7C9">
            <w:pPr>
              <w:jc w:val="center"/>
            </w:pPr>
            <w:r>
              <w:t>10.29</w:t>
            </w:r>
          </w:p>
        </w:tc>
        <w:tc>
          <w:tcPr>
            <w:tcW w:w="1398" w:type="dxa"/>
            <w:tcBorders>
              <w:top w:val="nil"/>
              <w:bottom w:val="nil"/>
            </w:tcBorders>
            <w:vAlign w:val="center"/>
          </w:tcPr>
          <w:p w14:paraId="5FBB151E">
            <w:pPr>
              <w:jc w:val="center"/>
              <w:rPr>
                <w:color w:val="000000"/>
                <w:sz w:val="20"/>
                <w:szCs w:val="20"/>
              </w:rPr>
            </w:pPr>
            <w:r>
              <w:rPr>
                <w:color w:val="000000"/>
                <w:sz w:val="20"/>
                <w:szCs w:val="20"/>
              </w:rPr>
              <w:t>0.61</w:t>
            </w:r>
          </w:p>
        </w:tc>
        <w:tc>
          <w:tcPr>
            <w:tcW w:w="1293" w:type="dxa"/>
            <w:tcBorders>
              <w:top w:val="nil"/>
              <w:bottom w:val="nil"/>
            </w:tcBorders>
            <w:vAlign w:val="center"/>
          </w:tcPr>
          <w:p w14:paraId="3161F118">
            <w:pPr>
              <w:jc w:val="center"/>
              <w:rPr>
                <w:rFonts w:ascii="宋体" w:hAnsi="宋体" w:cs="宋体"/>
                <w:color w:val="000000"/>
                <w:sz w:val="20"/>
                <w:szCs w:val="20"/>
              </w:rPr>
            </w:pPr>
            <w:r>
              <w:rPr>
                <w:rFonts w:hint="eastAsia"/>
                <w:color w:val="000000"/>
                <w:sz w:val="20"/>
                <w:szCs w:val="20"/>
              </w:rPr>
              <w:t>2.12</w:t>
            </w:r>
          </w:p>
        </w:tc>
      </w:tr>
      <w:tr w14:paraId="1D92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21D37C1E">
            <w:pPr>
              <w:jc w:val="center"/>
              <w:rPr>
                <w:kern w:val="0"/>
                <w:sz w:val="20"/>
                <w:szCs w:val="20"/>
              </w:rPr>
            </w:pPr>
          </w:p>
        </w:tc>
        <w:tc>
          <w:tcPr>
            <w:tcW w:w="1136" w:type="dxa"/>
            <w:vMerge w:val="continue"/>
            <w:vAlign w:val="center"/>
          </w:tcPr>
          <w:p w14:paraId="28A12B28">
            <w:pPr>
              <w:jc w:val="center"/>
              <w:rPr>
                <w:kern w:val="0"/>
                <w:sz w:val="20"/>
                <w:szCs w:val="20"/>
              </w:rPr>
            </w:pPr>
          </w:p>
        </w:tc>
        <w:tc>
          <w:tcPr>
            <w:tcW w:w="1275" w:type="dxa"/>
            <w:tcBorders>
              <w:top w:val="nil"/>
              <w:bottom w:val="nil"/>
            </w:tcBorders>
            <w:vAlign w:val="center"/>
          </w:tcPr>
          <w:p w14:paraId="63D6115A">
            <w:pPr>
              <w:jc w:val="center"/>
              <w:rPr>
                <w:kern w:val="0"/>
                <w:sz w:val="20"/>
                <w:szCs w:val="20"/>
              </w:rPr>
            </w:pPr>
            <w:r>
              <w:rPr>
                <w:kern w:val="0"/>
                <w:sz w:val="20"/>
                <w:szCs w:val="20"/>
              </w:rPr>
              <w:t>10.11</w:t>
            </w:r>
          </w:p>
        </w:tc>
        <w:tc>
          <w:tcPr>
            <w:tcW w:w="1418" w:type="dxa"/>
            <w:tcBorders>
              <w:top w:val="nil"/>
              <w:bottom w:val="nil"/>
            </w:tcBorders>
            <w:vAlign w:val="center"/>
          </w:tcPr>
          <w:p w14:paraId="6817553D">
            <w:pPr>
              <w:jc w:val="center"/>
              <w:rPr>
                <w:kern w:val="0"/>
                <w:sz w:val="20"/>
                <w:szCs w:val="20"/>
              </w:rPr>
            </w:pPr>
            <w:r>
              <w:rPr>
                <w:kern w:val="0"/>
                <w:sz w:val="20"/>
                <w:szCs w:val="20"/>
              </w:rPr>
              <w:t>26.06</w:t>
            </w:r>
          </w:p>
        </w:tc>
        <w:tc>
          <w:tcPr>
            <w:tcW w:w="1417" w:type="dxa"/>
            <w:tcBorders>
              <w:top w:val="nil"/>
              <w:bottom w:val="nil"/>
            </w:tcBorders>
          </w:tcPr>
          <w:p w14:paraId="0867B6B7">
            <w:pPr>
              <w:jc w:val="center"/>
            </w:pPr>
            <w:r>
              <w:t>10.36</w:t>
            </w:r>
          </w:p>
        </w:tc>
        <w:tc>
          <w:tcPr>
            <w:tcW w:w="1398" w:type="dxa"/>
            <w:tcBorders>
              <w:top w:val="nil"/>
              <w:bottom w:val="nil"/>
            </w:tcBorders>
            <w:vAlign w:val="center"/>
          </w:tcPr>
          <w:p w14:paraId="7D183E3A">
            <w:pPr>
              <w:jc w:val="center"/>
              <w:rPr>
                <w:color w:val="000000"/>
                <w:sz w:val="20"/>
                <w:szCs w:val="20"/>
              </w:rPr>
            </w:pPr>
            <w:r>
              <w:rPr>
                <w:color w:val="000000"/>
                <w:sz w:val="20"/>
                <w:szCs w:val="20"/>
              </w:rPr>
              <w:t>0.61</w:t>
            </w:r>
          </w:p>
        </w:tc>
        <w:tc>
          <w:tcPr>
            <w:tcW w:w="1293" w:type="dxa"/>
            <w:tcBorders>
              <w:top w:val="nil"/>
              <w:bottom w:val="nil"/>
            </w:tcBorders>
            <w:vAlign w:val="center"/>
          </w:tcPr>
          <w:p w14:paraId="2B8C1D2D">
            <w:pPr>
              <w:jc w:val="center"/>
              <w:rPr>
                <w:rFonts w:ascii="宋体" w:hAnsi="宋体" w:cs="宋体"/>
                <w:color w:val="000000"/>
                <w:sz w:val="20"/>
                <w:szCs w:val="20"/>
              </w:rPr>
            </w:pPr>
            <w:r>
              <w:rPr>
                <w:rFonts w:hint="eastAsia"/>
                <w:color w:val="000000"/>
                <w:sz w:val="20"/>
                <w:szCs w:val="20"/>
              </w:rPr>
              <w:t>2.13</w:t>
            </w:r>
          </w:p>
        </w:tc>
      </w:tr>
      <w:tr w14:paraId="6695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667FD4C5">
            <w:pPr>
              <w:jc w:val="center"/>
              <w:rPr>
                <w:kern w:val="0"/>
                <w:sz w:val="20"/>
                <w:szCs w:val="20"/>
              </w:rPr>
            </w:pPr>
          </w:p>
        </w:tc>
        <w:tc>
          <w:tcPr>
            <w:tcW w:w="1136" w:type="dxa"/>
            <w:vMerge w:val="continue"/>
            <w:vAlign w:val="center"/>
          </w:tcPr>
          <w:p w14:paraId="24D328D3">
            <w:pPr>
              <w:jc w:val="center"/>
              <w:rPr>
                <w:kern w:val="0"/>
                <w:sz w:val="20"/>
                <w:szCs w:val="20"/>
              </w:rPr>
            </w:pPr>
          </w:p>
        </w:tc>
        <w:tc>
          <w:tcPr>
            <w:tcW w:w="1275" w:type="dxa"/>
            <w:tcBorders>
              <w:top w:val="nil"/>
              <w:bottom w:val="nil"/>
            </w:tcBorders>
            <w:vAlign w:val="center"/>
          </w:tcPr>
          <w:p w14:paraId="494DFB20">
            <w:pPr>
              <w:jc w:val="center"/>
              <w:rPr>
                <w:kern w:val="0"/>
                <w:sz w:val="20"/>
                <w:szCs w:val="20"/>
              </w:rPr>
            </w:pPr>
            <w:r>
              <w:rPr>
                <w:kern w:val="0"/>
                <w:sz w:val="20"/>
                <w:szCs w:val="20"/>
              </w:rPr>
              <w:t>10.</w:t>
            </w:r>
            <w:r>
              <w:rPr>
                <w:rFonts w:hint="eastAsia"/>
                <w:kern w:val="0"/>
                <w:sz w:val="20"/>
                <w:szCs w:val="20"/>
              </w:rPr>
              <w:t>0</w:t>
            </w:r>
            <w:r>
              <w:rPr>
                <w:kern w:val="0"/>
                <w:sz w:val="20"/>
                <w:szCs w:val="20"/>
              </w:rPr>
              <w:t>5</w:t>
            </w:r>
          </w:p>
        </w:tc>
        <w:tc>
          <w:tcPr>
            <w:tcW w:w="1418" w:type="dxa"/>
            <w:tcBorders>
              <w:top w:val="nil"/>
              <w:bottom w:val="nil"/>
            </w:tcBorders>
            <w:vAlign w:val="center"/>
          </w:tcPr>
          <w:p w14:paraId="19869D69">
            <w:pPr>
              <w:jc w:val="center"/>
              <w:rPr>
                <w:kern w:val="0"/>
                <w:sz w:val="20"/>
                <w:szCs w:val="20"/>
              </w:rPr>
            </w:pPr>
            <w:r>
              <w:rPr>
                <w:kern w:val="0"/>
                <w:sz w:val="20"/>
                <w:szCs w:val="20"/>
              </w:rPr>
              <w:t>26.23</w:t>
            </w:r>
          </w:p>
        </w:tc>
        <w:tc>
          <w:tcPr>
            <w:tcW w:w="1417" w:type="dxa"/>
            <w:tcBorders>
              <w:top w:val="nil"/>
              <w:bottom w:val="nil"/>
            </w:tcBorders>
          </w:tcPr>
          <w:p w14:paraId="5C6F0E07">
            <w:pPr>
              <w:jc w:val="center"/>
            </w:pPr>
            <w:r>
              <w:t>10.20</w:t>
            </w:r>
          </w:p>
        </w:tc>
        <w:tc>
          <w:tcPr>
            <w:tcW w:w="1398" w:type="dxa"/>
            <w:tcBorders>
              <w:top w:val="nil"/>
              <w:bottom w:val="nil"/>
            </w:tcBorders>
            <w:vAlign w:val="center"/>
          </w:tcPr>
          <w:p w14:paraId="1DAA9067">
            <w:pPr>
              <w:jc w:val="center"/>
              <w:rPr>
                <w:color w:val="000000"/>
                <w:sz w:val="20"/>
                <w:szCs w:val="20"/>
              </w:rPr>
            </w:pPr>
            <w:r>
              <w:rPr>
                <w:color w:val="000000"/>
                <w:sz w:val="20"/>
                <w:szCs w:val="20"/>
              </w:rPr>
              <w:t>0.63</w:t>
            </w:r>
          </w:p>
        </w:tc>
        <w:tc>
          <w:tcPr>
            <w:tcW w:w="1293" w:type="dxa"/>
            <w:tcBorders>
              <w:top w:val="nil"/>
              <w:bottom w:val="nil"/>
            </w:tcBorders>
            <w:vAlign w:val="center"/>
          </w:tcPr>
          <w:p w14:paraId="5F8086B7">
            <w:pPr>
              <w:jc w:val="center"/>
              <w:rPr>
                <w:rFonts w:ascii="宋体" w:hAnsi="宋体" w:cs="宋体"/>
                <w:color w:val="000000"/>
                <w:sz w:val="20"/>
                <w:szCs w:val="20"/>
              </w:rPr>
            </w:pPr>
            <w:r>
              <w:rPr>
                <w:rFonts w:hint="eastAsia"/>
                <w:color w:val="000000"/>
                <w:sz w:val="20"/>
                <w:szCs w:val="20"/>
              </w:rPr>
              <w:t>2.12</w:t>
            </w:r>
          </w:p>
        </w:tc>
      </w:tr>
      <w:tr w14:paraId="2947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06CB0365">
            <w:pPr>
              <w:jc w:val="center"/>
              <w:rPr>
                <w:kern w:val="0"/>
                <w:sz w:val="20"/>
                <w:szCs w:val="20"/>
              </w:rPr>
            </w:pPr>
          </w:p>
        </w:tc>
        <w:tc>
          <w:tcPr>
            <w:tcW w:w="1136" w:type="dxa"/>
            <w:vMerge w:val="continue"/>
            <w:vAlign w:val="center"/>
          </w:tcPr>
          <w:p w14:paraId="60F710FA">
            <w:pPr>
              <w:jc w:val="center"/>
              <w:rPr>
                <w:kern w:val="0"/>
                <w:sz w:val="20"/>
                <w:szCs w:val="20"/>
              </w:rPr>
            </w:pPr>
          </w:p>
        </w:tc>
        <w:tc>
          <w:tcPr>
            <w:tcW w:w="1275" w:type="dxa"/>
            <w:tcBorders>
              <w:top w:val="nil"/>
            </w:tcBorders>
            <w:vAlign w:val="center"/>
          </w:tcPr>
          <w:p w14:paraId="44A35275">
            <w:pPr>
              <w:jc w:val="center"/>
              <w:rPr>
                <w:kern w:val="0"/>
                <w:sz w:val="20"/>
                <w:szCs w:val="20"/>
              </w:rPr>
            </w:pPr>
            <w:r>
              <w:rPr>
                <w:kern w:val="0"/>
                <w:sz w:val="20"/>
                <w:szCs w:val="20"/>
              </w:rPr>
              <w:t>10.16</w:t>
            </w:r>
          </w:p>
        </w:tc>
        <w:tc>
          <w:tcPr>
            <w:tcW w:w="1418" w:type="dxa"/>
            <w:tcBorders>
              <w:top w:val="nil"/>
            </w:tcBorders>
            <w:vAlign w:val="center"/>
          </w:tcPr>
          <w:p w14:paraId="77EB8A38">
            <w:pPr>
              <w:jc w:val="center"/>
              <w:rPr>
                <w:kern w:val="0"/>
                <w:sz w:val="20"/>
                <w:szCs w:val="20"/>
              </w:rPr>
            </w:pPr>
            <w:r>
              <w:rPr>
                <w:kern w:val="0"/>
                <w:sz w:val="20"/>
                <w:szCs w:val="20"/>
              </w:rPr>
              <w:t>26.20</w:t>
            </w:r>
          </w:p>
        </w:tc>
        <w:tc>
          <w:tcPr>
            <w:tcW w:w="1417" w:type="dxa"/>
            <w:tcBorders>
              <w:top w:val="nil"/>
            </w:tcBorders>
          </w:tcPr>
          <w:p w14:paraId="18F634C0">
            <w:pPr>
              <w:jc w:val="center"/>
            </w:pPr>
            <w:r>
              <w:t>10.10</w:t>
            </w:r>
          </w:p>
        </w:tc>
        <w:tc>
          <w:tcPr>
            <w:tcW w:w="1398" w:type="dxa"/>
            <w:tcBorders>
              <w:top w:val="nil"/>
            </w:tcBorders>
            <w:vAlign w:val="center"/>
          </w:tcPr>
          <w:p w14:paraId="15225D3C">
            <w:pPr>
              <w:jc w:val="center"/>
              <w:rPr>
                <w:color w:val="000000"/>
                <w:sz w:val="20"/>
                <w:szCs w:val="20"/>
              </w:rPr>
            </w:pPr>
            <w:r>
              <w:rPr>
                <w:color w:val="000000"/>
                <w:sz w:val="20"/>
                <w:szCs w:val="20"/>
              </w:rPr>
              <w:t>0.63</w:t>
            </w:r>
          </w:p>
        </w:tc>
        <w:tc>
          <w:tcPr>
            <w:tcW w:w="1293" w:type="dxa"/>
            <w:tcBorders>
              <w:top w:val="nil"/>
            </w:tcBorders>
            <w:vAlign w:val="center"/>
          </w:tcPr>
          <w:p w14:paraId="564008AA">
            <w:pPr>
              <w:jc w:val="center"/>
              <w:rPr>
                <w:rFonts w:ascii="宋体" w:hAnsi="宋体" w:cs="宋体"/>
                <w:color w:val="000000"/>
                <w:sz w:val="20"/>
                <w:szCs w:val="20"/>
              </w:rPr>
            </w:pPr>
            <w:r>
              <w:rPr>
                <w:rFonts w:hint="eastAsia"/>
                <w:color w:val="000000"/>
                <w:sz w:val="20"/>
                <w:szCs w:val="20"/>
              </w:rPr>
              <w:t>2.14</w:t>
            </w:r>
          </w:p>
        </w:tc>
      </w:tr>
      <w:tr w14:paraId="435C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1B0B2FF7">
            <w:pPr>
              <w:jc w:val="center"/>
              <w:rPr>
                <w:kern w:val="0"/>
                <w:sz w:val="20"/>
                <w:szCs w:val="20"/>
              </w:rPr>
            </w:pPr>
          </w:p>
        </w:tc>
        <w:tc>
          <w:tcPr>
            <w:tcW w:w="1136" w:type="dxa"/>
            <w:vAlign w:val="center"/>
          </w:tcPr>
          <w:p w14:paraId="757FC852">
            <w:pPr>
              <w:jc w:val="center"/>
              <w:rPr>
                <w:kern w:val="0"/>
                <w:sz w:val="20"/>
                <w:szCs w:val="20"/>
              </w:rPr>
            </w:pPr>
            <w:r>
              <w:rPr>
                <w:rFonts w:hint="eastAsia" w:hAnsi="宋体"/>
                <w:kern w:val="0"/>
                <w:sz w:val="20"/>
                <w:szCs w:val="20"/>
              </w:rPr>
              <w:t>标准偏差</w:t>
            </w:r>
          </w:p>
        </w:tc>
        <w:tc>
          <w:tcPr>
            <w:tcW w:w="1275" w:type="dxa"/>
            <w:vAlign w:val="center"/>
          </w:tcPr>
          <w:p w14:paraId="531C9B1C">
            <w:pPr>
              <w:jc w:val="center"/>
              <w:rPr>
                <w:kern w:val="0"/>
                <w:sz w:val="20"/>
                <w:szCs w:val="20"/>
              </w:rPr>
            </w:pPr>
            <w:r>
              <w:rPr>
                <w:kern w:val="0"/>
                <w:sz w:val="20"/>
                <w:szCs w:val="20"/>
              </w:rPr>
              <w:t>0.</w:t>
            </w:r>
            <w:r>
              <w:rPr>
                <w:rFonts w:hint="eastAsia"/>
                <w:kern w:val="0"/>
                <w:sz w:val="20"/>
                <w:szCs w:val="20"/>
              </w:rPr>
              <w:t>0</w:t>
            </w:r>
            <w:r>
              <w:rPr>
                <w:kern w:val="0"/>
                <w:sz w:val="20"/>
                <w:szCs w:val="20"/>
              </w:rPr>
              <w:t>7</w:t>
            </w:r>
          </w:p>
        </w:tc>
        <w:tc>
          <w:tcPr>
            <w:tcW w:w="1418" w:type="dxa"/>
            <w:vAlign w:val="center"/>
          </w:tcPr>
          <w:p w14:paraId="0DCB276A">
            <w:pPr>
              <w:jc w:val="center"/>
              <w:rPr>
                <w:kern w:val="0"/>
                <w:sz w:val="20"/>
                <w:szCs w:val="20"/>
              </w:rPr>
            </w:pPr>
            <w:r>
              <w:rPr>
                <w:kern w:val="0"/>
                <w:sz w:val="20"/>
                <w:szCs w:val="20"/>
              </w:rPr>
              <w:t>0.15</w:t>
            </w:r>
          </w:p>
        </w:tc>
        <w:tc>
          <w:tcPr>
            <w:tcW w:w="1417" w:type="dxa"/>
            <w:vAlign w:val="center"/>
          </w:tcPr>
          <w:p w14:paraId="6DFE37B5">
            <w:pPr>
              <w:jc w:val="center"/>
              <w:rPr>
                <w:kern w:val="0"/>
                <w:sz w:val="20"/>
                <w:szCs w:val="20"/>
              </w:rPr>
            </w:pPr>
            <w:r>
              <w:rPr>
                <w:kern w:val="0"/>
                <w:sz w:val="20"/>
                <w:szCs w:val="20"/>
              </w:rPr>
              <w:t>0.</w:t>
            </w:r>
            <w:r>
              <w:rPr>
                <w:rFonts w:hint="eastAsia"/>
                <w:kern w:val="0"/>
                <w:sz w:val="20"/>
                <w:szCs w:val="20"/>
              </w:rPr>
              <w:t>10</w:t>
            </w:r>
          </w:p>
        </w:tc>
        <w:tc>
          <w:tcPr>
            <w:tcW w:w="1398" w:type="dxa"/>
            <w:vAlign w:val="center"/>
          </w:tcPr>
          <w:p w14:paraId="4ED1BC3E">
            <w:pPr>
              <w:jc w:val="center"/>
              <w:rPr>
                <w:kern w:val="0"/>
                <w:sz w:val="20"/>
                <w:szCs w:val="20"/>
              </w:rPr>
            </w:pPr>
            <w:r>
              <w:rPr>
                <w:kern w:val="0"/>
                <w:sz w:val="20"/>
                <w:szCs w:val="20"/>
              </w:rPr>
              <w:t>0.01</w:t>
            </w:r>
          </w:p>
        </w:tc>
        <w:tc>
          <w:tcPr>
            <w:tcW w:w="1293" w:type="dxa"/>
            <w:vAlign w:val="center"/>
          </w:tcPr>
          <w:p w14:paraId="340964BE">
            <w:pPr>
              <w:jc w:val="center"/>
              <w:rPr>
                <w:kern w:val="0"/>
                <w:sz w:val="20"/>
                <w:szCs w:val="20"/>
              </w:rPr>
            </w:pPr>
            <w:r>
              <w:rPr>
                <w:kern w:val="0"/>
                <w:sz w:val="20"/>
                <w:szCs w:val="20"/>
              </w:rPr>
              <w:t>0.</w:t>
            </w:r>
            <w:r>
              <w:rPr>
                <w:rFonts w:hint="eastAsia"/>
                <w:kern w:val="0"/>
                <w:sz w:val="20"/>
                <w:szCs w:val="20"/>
              </w:rPr>
              <w:t>01</w:t>
            </w:r>
          </w:p>
        </w:tc>
      </w:tr>
      <w:tr w14:paraId="21DF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restart"/>
            <w:vAlign w:val="center"/>
          </w:tcPr>
          <w:p w14:paraId="00F39012">
            <w:pPr>
              <w:jc w:val="center"/>
              <w:rPr>
                <w:kern w:val="0"/>
                <w:sz w:val="20"/>
                <w:szCs w:val="20"/>
              </w:rPr>
            </w:pPr>
          </w:p>
          <w:p w14:paraId="06AF1781">
            <w:pPr>
              <w:jc w:val="center"/>
              <w:rPr>
                <w:kern w:val="0"/>
                <w:sz w:val="20"/>
                <w:szCs w:val="20"/>
              </w:rPr>
            </w:pPr>
            <w:r>
              <w:rPr>
                <w:kern w:val="0"/>
                <w:sz w:val="20"/>
                <w:szCs w:val="20"/>
              </w:rPr>
              <w:t>98</w:t>
            </w:r>
            <w:r>
              <w:rPr>
                <w:rFonts w:hint="eastAsia" w:hAnsi="宋体"/>
                <w:kern w:val="0"/>
                <w:sz w:val="20"/>
                <w:szCs w:val="20"/>
              </w:rPr>
              <w:t>号</w:t>
            </w:r>
          </w:p>
        </w:tc>
        <w:tc>
          <w:tcPr>
            <w:tcW w:w="1136" w:type="dxa"/>
            <w:vMerge w:val="restart"/>
            <w:vAlign w:val="center"/>
          </w:tcPr>
          <w:p w14:paraId="08B40B41">
            <w:pPr>
              <w:jc w:val="center"/>
              <w:rPr>
                <w:rFonts w:hint="eastAsia" w:eastAsia="宋体"/>
                <w:kern w:val="0"/>
                <w:sz w:val="20"/>
                <w:szCs w:val="20"/>
                <w:lang w:eastAsia="zh-CN"/>
              </w:rPr>
            </w:pPr>
            <w:r>
              <w:rPr>
                <w:rFonts w:hint="eastAsia" w:hAnsi="宋体"/>
                <w:kern w:val="0"/>
                <w:sz w:val="20"/>
                <w:szCs w:val="20"/>
                <w:lang w:eastAsia="zh-CN"/>
              </w:rPr>
              <w:t>近红外测定值</w:t>
            </w:r>
          </w:p>
        </w:tc>
        <w:tc>
          <w:tcPr>
            <w:tcW w:w="1275" w:type="dxa"/>
            <w:tcBorders>
              <w:bottom w:val="nil"/>
            </w:tcBorders>
            <w:vAlign w:val="center"/>
          </w:tcPr>
          <w:p w14:paraId="4D7F6CDC">
            <w:pPr>
              <w:jc w:val="center"/>
              <w:rPr>
                <w:kern w:val="0"/>
                <w:sz w:val="20"/>
                <w:szCs w:val="20"/>
              </w:rPr>
            </w:pPr>
            <w:r>
              <w:rPr>
                <w:kern w:val="0"/>
                <w:sz w:val="20"/>
                <w:szCs w:val="20"/>
              </w:rPr>
              <w:t>10.22</w:t>
            </w:r>
          </w:p>
        </w:tc>
        <w:tc>
          <w:tcPr>
            <w:tcW w:w="1418" w:type="dxa"/>
            <w:tcBorders>
              <w:bottom w:val="nil"/>
            </w:tcBorders>
            <w:vAlign w:val="center"/>
          </w:tcPr>
          <w:p w14:paraId="3E74BF7C">
            <w:pPr>
              <w:jc w:val="center"/>
              <w:rPr>
                <w:kern w:val="0"/>
                <w:sz w:val="20"/>
                <w:szCs w:val="20"/>
              </w:rPr>
            </w:pPr>
            <w:r>
              <w:rPr>
                <w:kern w:val="0"/>
                <w:sz w:val="20"/>
                <w:szCs w:val="20"/>
              </w:rPr>
              <w:t>26.14</w:t>
            </w:r>
          </w:p>
        </w:tc>
        <w:tc>
          <w:tcPr>
            <w:tcW w:w="1417" w:type="dxa"/>
            <w:tcBorders>
              <w:bottom w:val="nil"/>
            </w:tcBorders>
            <w:vAlign w:val="center"/>
          </w:tcPr>
          <w:p w14:paraId="7EB27A00">
            <w:pPr>
              <w:jc w:val="center"/>
              <w:rPr>
                <w:color w:val="000000"/>
                <w:sz w:val="20"/>
                <w:szCs w:val="20"/>
              </w:rPr>
            </w:pPr>
            <w:r>
              <w:rPr>
                <w:color w:val="000000"/>
                <w:sz w:val="20"/>
                <w:szCs w:val="20"/>
              </w:rPr>
              <w:t>12.18</w:t>
            </w:r>
          </w:p>
        </w:tc>
        <w:tc>
          <w:tcPr>
            <w:tcW w:w="1398" w:type="dxa"/>
            <w:tcBorders>
              <w:bottom w:val="nil"/>
            </w:tcBorders>
            <w:vAlign w:val="center"/>
          </w:tcPr>
          <w:p w14:paraId="0B57CA2B">
            <w:pPr>
              <w:jc w:val="center"/>
              <w:rPr>
                <w:kern w:val="0"/>
                <w:sz w:val="20"/>
                <w:szCs w:val="20"/>
              </w:rPr>
            </w:pPr>
            <w:r>
              <w:rPr>
                <w:kern w:val="0"/>
                <w:sz w:val="20"/>
                <w:szCs w:val="20"/>
              </w:rPr>
              <w:t>0.63</w:t>
            </w:r>
          </w:p>
        </w:tc>
        <w:tc>
          <w:tcPr>
            <w:tcW w:w="1293" w:type="dxa"/>
            <w:tcBorders>
              <w:bottom w:val="nil"/>
            </w:tcBorders>
            <w:vAlign w:val="center"/>
          </w:tcPr>
          <w:p w14:paraId="115B8854">
            <w:pPr>
              <w:jc w:val="center"/>
              <w:rPr>
                <w:rFonts w:ascii="宋体" w:hAnsi="宋体" w:cs="宋体"/>
                <w:color w:val="000000"/>
                <w:sz w:val="20"/>
                <w:szCs w:val="20"/>
              </w:rPr>
            </w:pPr>
            <w:r>
              <w:rPr>
                <w:rFonts w:hint="eastAsia"/>
                <w:color w:val="000000"/>
                <w:sz w:val="20"/>
                <w:szCs w:val="20"/>
              </w:rPr>
              <w:t>1.50</w:t>
            </w:r>
          </w:p>
        </w:tc>
      </w:tr>
      <w:tr w14:paraId="572F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634358B3">
            <w:pPr>
              <w:jc w:val="center"/>
              <w:rPr>
                <w:kern w:val="0"/>
                <w:sz w:val="20"/>
                <w:szCs w:val="20"/>
              </w:rPr>
            </w:pPr>
          </w:p>
        </w:tc>
        <w:tc>
          <w:tcPr>
            <w:tcW w:w="1136" w:type="dxa"/>
            <w:vMerge w:val="continue"/>
            <w:vAlign w:val="center"/>
          </w:tcPr>
          <w:p w14:paraId="1F170B4C">
            <w:pPr>
              <w:jc w:val="center"/>
              <w:rPr>
                <w:kern w:val="0"/>
                <w:sz w:val="20"/>
                <w:szCs w:val="20"/>
              </w:rPr>
            </w:pPr>
          </w:p>
        </w:tc>
        <w:tc>
          <w:tcPr>
            <w:tcW w:w="1275" w:type="dxa"/>
            <w:tcBorders>
              <w:top w:val="nil"/>
              <w:bottom w:val="nil"/>
            </w:tcBorders>
            <w:vAlign w:val="center"/>
          </w:tcPr>
          <w:p w14:paraId="3D940140">
            <w:pPr>
              <w:jc w:val="center"/>
              <w:rPr>
                <w:kern w:val="0"/>
                <w:sz w:val="20"/>
                <w:szCs w:val="20"/>
              </w:rPr>
            </w:pPr>
            <w:r>
              <w:rPr>
                <w:kern w:val="0"/>
                <w:sz w:val="20"/>
                <w:szCs w:val="20"/>
              </w:rPr>
              <w:t>10.17</w:t>
            </w:r>
          </w:p>
        </w:tc>
        <w:tc>
          <w:tcPr>
            <w:tcW w:w="1418" w:type="dxa"/>
            <w:tcBorders>
              <w:top w:val="nil"/>
              <w:bottom w:val="nil"/>
            </w:tcBorders>
            <w:vAlign w:val="center"/>
          </w:tcPr>
          <w:p w14:paraId="288F67FF">
            <w:pPr>
              <w:jc w:val="center"/>
              <w:rPr>
                <w:kern w:val="0"/>
                <w:sz w:val="20"/>
                <w:szCs w:val="20"/>
              </w:rPr>
            </w:pPr>
            <w:r>
              <w:rPr>
                <w:kern w:val="0"/>
                <w:sz w:val="20"/>
                <w:szCs w:val="20"/>
              </w:rPr>
              <w:t>26.14</w:t>
            </w:r>
          </w:p>
        </w:tc>
        <w:tc>
          <w:tcPr>
            <w:tcW w:w="1417" w:type="dxa"/>
            <w:tcBorders>
              <w:top w:val="nil"/>
              <w:bottom w:val="nil"/>
            </w:tcBorders>
            <w:vAlign w:val="center"/>
          </w:tcPr>
          <w:p w14:paraId="52D84307">
            <w:pPr>
              <w:jc w:val="center"/>
              <w:rPr>
                <w:color w:val="000000"/>
                <w:sz w:val="20"/>
                <w:szCs w:val="20"/>
              </w:rPr>
            </w:pPr>
            <w:r>
              <w:rPr>
                <w:color w:val="000000"/>
                <w:sz w:val="20"/>
                <w:szCs w:val="20"/>
              </w:rPr>
              <w:t>12.22</w:t>
            </w:r>
          </w:p>
        </w:tc>
        <w:tc>
          <w:tcPr>
            <w:tcW w:w="1398" w:type="dxa"/>
            <w:tcBorders>
              <w:top w:val="nil"/>
              <w:bottom w:val="nil"/>
            </w:tcBorders>
            <w:vAlign w:val="center"/>
          </w:tcPr>
          <w:p w14:paraId="582B05D6">
            <w:pPr>
              <w:jc w:val="center"/>
              <w:rPr>
                <w:kern w:val="0"/>
                <w:sz w:val="20"/>
                <w:szCs w:val="20"/>
              </w:rPr>
            </w:pPr>
            <w:r>
              <w:rPr>
                <w:kern w:val="0"/>
                <w:sz w:val="20"/>
                <w:szCs w:val="20"/>
              </w:rPr>
              <w:t>0.64</w:t>
            </w:r>
          </w:p>
        </w:tc>
        <w:tc>
          <w:tcPr>
            <w:tcW w:w="1293" w:type="dxa"/>
            <w:tcBorders>
              <w:top w:val="nil"/>
              <w:bottom w:val="nil"/>
            </w:tcBorders>
            <w:vAlign w:val="center"/>
          </w:tcPr>
          <w:p w14:paraId="2987147E">
            <w:pPr>
              <w:jc w:val="center"/>
              <w:rPr>
                <w:rFonts w:ascii="宋体" w:hAnsi="宋体" w:cs="宋体"/>
                <w:color w:val="000000"/>
                <w:sz w:val="20"/>
                <w:szCs w:val="20"/>
              </w:rPr>
            </w:pPr>
            <w:r>
              <w:rPr>
                <w:rFonts w:hint="eastAsia"/>
                <w:color w:val="000000"/>
                <w:sz w:val="20"/>
                <w:szCs w:val="20"/>
              </w:rPr>
              <w:t>1.50</w:t>
            </w:r>
          </w:p>
        </w:tc>
      </w:tr>
      <w:tr w14:paraId="027B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459B6B2B">
            <w:pPr>
              <w:jc w:val="center"/>
              <w:rPr>
                <w:kern w:val="0"/>
                <w:sz w:val="20"/>
                <w:szCs w:val="20"/>
              </w:rPr>
            </w:pPr>
          </w:p>
        </w:tc>
        <w:tc>
          <w:tcPr>
            <w:tcW w:w="1136" w:type="dxa"/>
            <w:vMerge w:val="continue"/>
            <w:vAlign w:val="center"/>
          </w:tcPr>
          <w:p w14:paraId="68DCFB24">
            <w:pPr>
              <w:jc w:val="center"/>
              <w:rPr>
                <w:kern w:val="0"/>
                <w:sz w:val="20"/>
                <w:szCs w:val="20"/>
              </w:rPr>
            </w:pPr>
          </w:p>
        </w:tc>
        <w:tc>
          <w:tcPr>
            <w:tcW w:w="1275" w:type="dxa"/>
            <w:tcBorders>
              <w:top w:val="nil"/>
              <w:bottom w:val="nil"/>
            </w:tcBorders>
            <w:vAlign w:val="center"/>
          </w:tcPr>
          <w:p w14:paraId="2601101B">
            <w:pPr>
              <w:jc w:val="center"/>
              <w:rPr>
                <w:kern w:val="0"/>
                <w:sz w:val="20"/>
                <w:szCs w:val="20"/>
              </w:rPr>
            </w:pPr>
            <w:r>
              <w:rPr>
                <w:kern w:val="0"/>
                <w:sz w:val="20"/>
                <w:szCs w:val="20"/>
              </w:rPr>
              <w:t>10.20</w:t>
            </w:r>
          </w:p>
        </w:tc>
        <w:tc>
          <w:tcPr>
            <w:tcW w:w="1418" w:type="dxa"/>
            <w:tcBorders>
              <w:top w:val="nil"/>
              <w:bottom w:val="nil"/>
            </w:tcBorders>
            <w:vAlign w:val="center"/>
          </w:tcPr>
          <w:p w14:paraId="05FC0FA5">
            <w:pPr>
              <w:jc w:val="center"/>
              <w:rPr>
                <w:kern w:val="0"/>
                <w:sz w:val="20"/>
                <w:szCs w:val="20"/>
              </w:rPr>
            </w:pPr>
            <w:r>
              <w:rPr>
                <w:kern w:val="0"/>
                <w:sz w:val="20"/>
                <w:szCs w:val="20"/>
              </w:rPr>
              <w:t>26.31</w:t>
            </w:r>
          </w:p>
        </w:tc>
        <w:tc>
          <w:tcPr>
            <w:tcW w:w="1417" w:type="dxa"/>
            <w:tcBorders>
              <w:top w:val="nil"/>
              <w:bottom w:val="nil"/>
            </w:tcBorders>
            <w:vAlign w:val="center"/>
          </w:tcPr>
          <w:p w14:paraId="29272656">
            <w:pPr>
              <w:jc w:val="center"/>
              <w:rPr>
                <w:color w:val="000000"/>
                <w:sz w:val="20"/>
                <w:szCs w:val="20"/>
              </w:rPr>
            </w:pPr>
            <w:r>
              <w:rPr>
                <w:color w:val="000000"/>
                <w:sz w:val="20"/>
                <w:szCs w:val="20"/>
              </w:rPr>
              <w:t>11.96</w:t>
            </w:r>
          </w:p>
        </w:tc>
        <w:tc>
          <w:tcPr>
            <w:tcW w:w="1398" w:type="dxa"/>
            <w:tcBorders>
              <w:top w:val="nil"/>
              <w:bottom w:val="nil"/>
            </w:tcBorders>
            <w:vAlign w:val="center"/>
          </w:tcPr>
          <w:p w14:paraId="6150FBFE">
            <w:pPr>
              <w:jc w:val="center"/>
              <w:rPr>
                <w:kern w:val="0"/>
                <w:sz w:val="20"/>
                <w:szCs w:val="20"/>
              </w:rPr>
            </w:pPr>
            <w:r>
              <w:rPr>
                <w:kern w:val="0"/>
                <w:sz w:val="20"/>
                <w:szCs w:val="20"/>
              </w:rPr>
              <w:t>0.62</w:t>
            </w:r>
          </w:p>
        </w:tc>
        <w:tc>
          <w:tcPr>
            <w:tcW w:w="1293" w:type="dxa"/>
            <w:tcBorders>
              <w:top w:val="nil"/>
              <w:bottom w:val="nil"/>
            </w:tcBorders>
            <w:vAlign w:val="center"/>
          </w:tcPr>
          <w:p w14:paraId="3DF396F5">
            <w:pPr>
              <w:jc w:val="center"/>
              <w:rPr>
                <w:rFonts w:ascii="宋体" w:hAnsi="宋体" w:cs="宋体"/>
                <w:color w:val="000000"/>
                <w:sz w:val="20"/>
                <w:szCs w:val="20"/>
              </w:rPr>
            </w:pPr>
            <w:r>
              <w:rPr>
                <w:rFonts w:hint="eastAsia"/>
                <w:color w:val="000000"/>
                <w:sz w:val="20"/>
                <w:szCs w:val="20"/>
              </w:rPr>
              <w:t>1.51</w:t>
            </w:r>
          </w:p>
        </w:tc>
      </w:tr>
      <w:tr w14:paraId="668B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774677F3">
            <w:pPr>
              <w:jc w:val="center"/>
              <w:rPr>
                <w:kern w:val="0"/>
                <w:sz w:val="20"/>
                <w:szCs w:val="20"/>
              </w:rPr>
            </w:pPr>
          </w:p>
        </w:tc>
        <w:tc>
          <w:tcPr>
            <w:tcW w:w="1136" w:type="dxa"/>
            <w:vMerge w:val="continue"/>
            <w:vAlign w:val="center"/>
          </w:tcPr>
          <w:p w14:paraId="548461A9">
            <w:pPr>
              <w:jc w:val="center"/>
              <w:rPr>
                <w:kern w:val="0"/>
                <w:sz w:val="20"/>
                <w:szCs w:val="20"/>
              </w:rPr>
            </w:pPr>
          </w:p>
        </w:tc>
        <w:tc>
          <w:tcPr>
            <w:tcW w:w="1275" w:type="dxa"/>
            <w:tcBorders>
              <w:top w:val="nil"/>
              <w:bottom w:val="nil"/>
            </w:tcBorders>
            <w:vAlign w:val="center"/>
          </w:tcPr>
          <w:p w14:paraId="22F7CF9F">
            <w:pPr>
              <w:jc w:val="center"/>
              <w:rPr>
                <w:kern w:val="0"/>
                <w:sz w:val="20"/>
                <w:szCs w:val="20"/>
              </w:rPr>
            </w:pPr>
            <w:r>
              <w:rPr>
                <w:kern w:val="0"/>
                <w:sz w:val="20"/>
                <w:szCs w:val="20"/>
              </w:rPr>
              <w:t>10.21</w:t>
            </w:r>
          </w:p>
        </w:tc>
        <w:tc>
          <w:tcPr>
            <w:tcW w:w="1418" w:type="dxa"/>
            <w:tcBorders>
              <w:top w:val="nil"/>
              <w:bottom w:val="nil"/>
            </w:tcBorders>
            <w:vAlign w:val="center"/>
          </w:tcPr>
          <w:p w14:paraId="1F2352E3">
            <w:pPr>
              <w:jc w:val="center"/>
              <w:rPr>
                <w:kern w:val="0"/>
                <w:sz w:val="20"/>
                <w:szCs w:val="20"/>
              </w:rPr>
            </w:pPr>
            <w:r>
              <w:rPr>
                <w:kern w:val="0"/>
                <w:sz w:val="20"/>
                <w:szCs w:val="20"/>
              </w:rPr>
              <w:t>26.06</w:t>
            </w:r>
          </w:p>
        </w:tc>
        <w:tc>
          <w:tcPr>
            <w:tcW w:w="1417" w:type="dxa"/>
            <w:tcBorders>
              <w:top w:val="nil"/>
              <w:bottom w:val="nil"/>
            </w:tcBorders>
            <w:vAlign w:val="center"/>
          </w:tcPr>
          <w:p w14:paraId="5BA1931F">
            <w:pPr>
              <w:jc w:val="center"/>
              <w:rPr>
                <w:color w:val="000000"/>
                <w:sz w:val="20"/>
                <w:szCs w:val="20"/>
              </w:rPr>
            </w:pPr>
            <w:r>
              <w:rPr>
                <w:color w:val="000000"/>
                <w:sz w:val="20"/>
                <w:szCs w:val="20"/>
              </w:rPr>
              <w:t>11.82</w:t>
            </w:r>
          </w:p>
        </w:tc>
        <w:tc>
          <w:tcPr>
            <w:tcW w:w="1398" w:type="dxa"/>
            <w:tcBorders>
              <w:top w:val="nil"/>
              <w:bottom w:val="nil"/>
            </w:tcBorders>
            <w:vAlign w:val="center"/>
          </w:tcPr>
          <w:p w14:paraId="39908401">
            <w:pPr>
              <w:jc w:val="center"/>
              <w:rPr>
                <w:kern w:val="0"/>
                <w:sz w:val="20"/>
                <w:szCs w:val="20"/>
              </w:rPr>
            </w:pPr>
            <w:r>
              <w:rPr>
                <w:kern w:val="0"/>
                <w:sz w:val="20"/>
                <w:szCs w:val="20"/>
              </w:rPr>
              <w:t>0.63</w:t>
            </w:r>
          </w:p>
        </w:tc>
        <w:tc>
          <w:tcPr>
            <w:tcW w:w="1293" w:type="dxa"/>
            <w:tcBorders>
              <w:top w:val="nil"/>
              <w:bottom w:val="nil"/>
            </w:tcBorders>
            <w:vAlign w:val="center"/>
          </w:tcPr>
          <w:p w14:paraId="5ED76DE7">
            <w:pPr>
              <w:jc w:val="center"/>
              <w:rPr>
                <w:rFonts w:ascii="宋体" w:hAnsi="宋体" w:cs="宋体"/>
                <w:color w:val="000000"/>
                <w:sz w:val="20"/>
                <w:szCs w:val="20"/>
              </w:rPr>
            </w:pPr>
            <w:r>
              <w:rPr>
                <w:rFonts w:hint="eastAsia"/>
                <w:color w:val="000000"/>
                <w:sz w:val="20"/>
                <w:szCs w:val="20"/>
              </w:rPr>
              <w:t>1.51</w:t>
            </w:r>
          </w:p>
        </w:tc>
      </w:tr>
      <w:tr w14:paraId="100C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78D3BA94">
            <w:pPr>
              <w:jc w:val="center"/>
              <w:rPr>
                <w:kern w:val="0"/>
                <w:sz w:val="20"/>
                <w:szCs w:val="20"/>
              </w:rPr>
            </w:pPr>
          </w:p>
        </w:tc>
        <w:tc>
          <w:tcPr>
            <w:tcW w:w="1136" w:type="dxa"/>
            <w:vMerge w:val="continue"/>
            <w:vAlign w:val="center"/>
          </w:tcPr>
          <w:p w14:paraId="7186CB56">
            <w:pPr>
              <w:jc w:val="center"/>
              <w:rPr>
                <w:kern w:val="0"/>
                <w:sz w:val="20"/>
                <w:szCs w:val="20"/>
              </w:rPr>
            </w:pPr>
          </w:p>
        </w:tc>
        <w:tc>
          <w:tcPr>
            <w:tcW w:w="1275" w:type="dxa"/>
            <w:tcBorders>
              <w:top w:val="nil"/>
              <w:bottom w:val="nil"/>
            </w:tcBorders>
            <w:vAlign w:val="center"/>
          </w:tcPr>
          <w:p w14:paraId="18555311">
            <w:pPr>
              <w:jc w:val="center"/>
              <w:rPr>
                <w:kern w:val="0"/>
                <w:sz w:val="20"/>
                <w:szCs w:val="20"/>
              </w:rPr>
            </w:pPr>
            <w:r>
              <w:rPr>
                <w:kern w:val="0"/>
                <w:sz w:val="20"/>
                <w:szCs w:val="20"/>
              </w:rPr>
              <w:t>10.26</w:t>
            </w:r>
          </w:p>
        </w:tc>
        <w:tc>
          <w:tcPr>
            <w:tcW w:w="1418" w:type="dxa"/>
            <w:tcBorders>
              <w:top w:val="nil"/>
              <w:bottom w:val="nil"/>
            </w:tcBorders>
            <w:vAlign w:val="center"/>
          </w:tcPr>
          <w:p w14:paraId="44AA4AC9">
            <w:pPr>
              <w:jc w:val="center"/>
              <w:rPr>
                <w:kern w:val="0"/>
                <w:sz w:val="20"/>
                <w:szCs w:val="20"/>
              </w:rPr>
            </w:pPr>
            <w:r>
              <w:rPr>
                <w:kern w:val="0"/>
                <w:sz w:val="20"/>
                <w:szCs w:val="20"/>
              </w:rPr>
              <w:t>26.56</w:t>
            </w:r>
          </w:p>
        </w:tc>
        <w:tc>
          <w:tcPr>
            <w:tcW w:w="1417" w:type="dxa"/>
            <w:tcBorders>
              <w:top w:val="nil"/>
              <w:bottom w:val="nil"/>
            </w:tcBorders>
            <w:vAlign w:val="center"/>
          </w:tcPr>
          <w:p w14:paraId="5B58BBAF">
            <w:pPr>
              <w:jc w:val="center"/>
              <w:rPr>
                <w:color w:val="000000"/>
                <w:sz w:val="20"/>
                <w:szCs w:val="20"/>
              </w:rPr>
            </w:pPr>
            <w:r>
              <w:rPr>
                <w:color w:val="000000"/>
                <w:sz w:val="20"/>
                <w:szCs w:val="20"/>
              </w:rPr>
              <w:t>11.91</w:t>
            </w:r>
          </w:p>
        </w:tc>
        <w:tc>
          <w:tcPr>
            <w:tcW w:w="1398" w:type="dxa"/>
            <w:tcBorders>
              <w:top w:val="nil"/>
              <w:bottom w:val="nil"/>
            </w:tcBorders>
            <w:vAlign w:val="center"/>
          </w:tcPr>
          <w:p w14:paraId="6CEABE41">
            <w:pPr>
              <w:jc w:val="center"/>
              <w:rPr>
                <w:kern w:val="0"/>
                <w:sz w:val="20"/>
                <w:szCs w:val="20"/>
              </w:rPr>
            </w:pPr>
            <w:r>
              <w:rPr>
                <w:kern w:val="0"/>
                <w:sz w:val="20"/>
                <w:szCs w:val="20"/>
              </w:rPr>
              <w:t>0.63</w:t>
            </w:r>
          </w:p>
        </w:tc>
        <w:tc>
          <w:tcPr>
            <w:tcW w:w="1293" w:type="dxa"/>
            <w:tcBorders>
              <w:top w:val="nil"/>
              <w:bottom w:val="nil"/>
            </w:tcBorders>
            <w:vAlign w:val="center"/>
          </w:tcPr>
          <w:p w14:paraId="34D6F292">
            <w:pPr>
              <w:jc w:val="center"/>
              <w:rPr>
                <w:rFonts w:ascii="宋体" w:hAnsi="宋体" w:cs="宋体"/>
                <w:color w:val="000000"/>
                <w:sz w:val="20"/>
                <w:szCs w:val="20"/>
              </w:rPr>
            </w:pPr>
            <w:r>
              <w:rPr>
                <w:rFonts w:hint="eastAsia"/>
                <w:color w:val="000000"/>
                <w:sz w:val="20"/>
                <w:szCs w:val="20"/>
              </w:rPr>
              <w:t>1.52</w:t>
            </w:r>
          </w:p>
        </w:tc>
      </w:tr>
      <w:tr w14:paraId="47E2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2525F13A">
            <w:pPr>
              <w:jc w:val="center"/>
              <w:rPr>
                <w:kern w:val="0"/>
                <w:sz w:val="20"/>
                <w:szCs w:val="20"/>
              </w:rPr>
            </w:pPr>
          </w:p>
        </w:tc>
        <w:tc>
          <w:tcPr>
            <w:tcW w:w="1136" w:type="dxa"/>
            <w:vMerge w:val="continue"/>
            <w:vAlign w:val="center"/>
          </w:tcPr>
          <w:p w14:paraId="0D2EA542">
            <w:pPr>
              <w:jc w:val="center"/>
              <w:rPr>
                <w:kern w:val="0"/>
                <w:sz w:val="20"/>
                <w:szCs w:val="20"/>
              </w:rPr>
            </w:pPr>
          </w:p>
        </w:tc>
        <w:tc>
          <w:tcPr>
            <w:tcW w:w="1275" w:type="dxa"/>
            <w:tcBorders>
              <w:top w:val="nil"/>
            </w:tcBorders>
            <w:vAlign w:val="center"/>
          </w:tcPr>
          <w:p w14:paraId="64746708">
            <w:pPr>
              <w:jc w:val="center"/>
              <w:rPr>
                <w:kern w:val="0"/>
                <w:sz w:val="20"/>
                <w:szCs w:val="20"/>
              </w:rPr>
            </w:pPr>
            <w:r>
              <w:rPr>
                <w:kern w:val="0"/>
                <w:sz w:val="20"/>
                <w:szCs w:val="20"/>
              </w:rPr>
              <w:t>10.20</w:t>
            </w:r>
          </w:p>
        </w:tc>
        <w:tc>
          <w:tcPr>
            <w:tcW w:w="1418" w:type="dxa"/>
            <w:tcBorders>
              <w:top w:val="nil"/>
            </w:tcBorders>
            <w:vAlign w:val="center"/>
          </w:tcPr>
          <w:p w14:paraId="7AD618B0">
            <w:pPr>
              <w:jc w:val="center"/>
              <w:rPr>
                <w:kern w:val="0"/>
                <w:sz w:val="20"/>
                <w:szCs w:val="20"/>
              </w:rPr>
            </w:pPr>
            <w:r>
              <w:rPr>
                <w:kern w:val="0"/>
                <w:sz w:val="20"/>
                <w:szCs w:val="20"/>
              </w:rPr>
              <w:t>26.18</w:t>
            </w:r>
          </w:p>
        </w:tc>
        <w:tc>
          <w:tcPr>
            <w:tcW w:w="1417" w:type="dxa"/>
            <w:tcBorders>
              <w:top w:val="nil"/>
            </w:tcBorders>
            <w:vAlign w:val="center"/>
          </w:tcPr>
          <w:p w14:paraId="0ADA4D44">
            <w:pPr>
              <w:jc w:val="center"/>
              <w:rPr>
                <w:color w:val="000000"/>
                <w:sz w:val="20"/>
                <w:szCs w:val="20"/>
              </w:rPr>
            </w:pPr>
            <w:r>
              <w:rPr>
                <w:color w:val="000000"/>
                <w:sz w:val="20"/>
                <w:szCs w:val="20"/>
              </w:rPr>
              <w:t>12.16</w:t>
            </w:r>
          </w:p>
        </w:tc>
        <w:tc>
          <w:tcPr>
            <w:tcW w:w="1398" w:type="dxa"/>
            <w:tcBorders>
              <w:top w:val="nil"/>
            </w:tcBorders>
            <w:vAlign w:val="center"/>
          </w:tcPr>
          <w:p w14:paraId="659CC5F3">
            <w:pPr>
              <w:jc w:val="center"/>
              <w:rPr>
                <w:kern w:val="0"/>
                <w:sz w:val="20"/>
                <w:szCs w:val="20"/>
              </w:rPr>
            </w:pPr>
            <w:r>
              <w:rPr>
                <w:kern w:val="0"/>
                <w:sz w:val="20"/>
                <w:szCs w:val="20"/>
              </w:rPr>
              <w:t>0.64</w:t>
            </w:r>
          </w:p>
        </w:tc>
        <w:tc>
          <w:tcPr>
            <w:tcW w:w="1293" w:type="dxa"/>
            <w:tcBorders>
              <w:top w:val="nil"/>
            </w:tcBorders>
            <w:vAlign w:val="center"/>
          </w:tcPr>
          <w:p w14:paraId="1BF75899">
            <w:pPr>
              <w:jc w:val="center"/>
              <w:rPr>
                <w:rFonts w:ascii="宋体" w:hAnsi="宋体" w:cs="宋体"/>
                <w:color w:val="000000"/>
                <w:sz w:val="20"/>
                <w:szCs w:val="20"/>
              </w:rPr>
            </w:pPr>
            <w:r>
              <w:rPr>
                <w:rFonts w:hint="eastAsia"/>
                <w:color w:val="000000"/>
                <w:sz w:val="20"/>
                <w:szCs w:val="20"/>
              </w:rPr>
              <w:t>1.51</w:t>
            </w:r>
          </w:p>
        </w:tc>
      </w:tr>
      <w:tr w14:paraId="5DAD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14:paraId="3090CAA1">
            <w:pPr>
              <w:jc w:val="center"/>
              <w:rPr>
                <w:kern w:val="0"/>
                <w:sz w:val="20"/>
                <w:szCs w:val="20"/>
              </w:rPr>
            </w:pPr>
          </w:p>
        </w:tc>
        <w:tc>
          <w:tcPr>
            <w:tcW w:w="1136" w:type="dxa"/>
            <w:vAlign w:val="center"/>
          </w:tcPr>
          <w:p w14:paraId="4C949717">
            <w:pPr>
              <w:jc w:val="center"/>
              <w:rPr>
                <w:kern w:val="0"/>
                <w:sz w:val="20"/>
                <w:szCs w:val="20"/>
              </w:rPr>
            </w:pPr>
            <w:r>
              <w:rPr>
                <w:rFonts w:hint="eastAsia" w:hAnsi="宋体"/>
                <w:kern w:val="0"/>
                <w:sz w:val="20"/>
                <w:szCs w:val="20"/>
              </w:rPr>
              <w:t>标准偏差</w:t>
            </w:r>
          </w:p>
        </w:tc>
        <w:tc>
          <w:tcPr>
            <w:tcW w:w="1275" w:type="dxa"/>
            <w:vAlign w:val="center"/>
          </w:tcPr>
          <w:p w14:paraId="276050A3">
            <w:pPr>
              <w:jc w:val="center"/>
              <w:rPr>
                <w:kern w:val="0"/>
                <w:sz w:val="20"/>
                <w:szCs w:val="20"/>
              </w:rPr>
            </w:pPr>
            <w:r>
              <w:rPr>
                <w:kern w:val="0"/>
                <w:sz w:val="20"/>
                <w:szCs w:val="20"/>
              </w:rPr>
              <w:t>0.03</w:t>
            </w:r>
          </w:p>
        </w:tc>
        <w:tc>
          <w:tcPr>
            <w:tcW w:w="1418" w:type="dxa"/>
            <w:tcBorders>
              <w:top w:val="nil"/>
            </w:tcBorders>
            <w:vAlign w:val="center"/>
          </w:tcPr>
          <w:p w14:paraId="6BA30B3E">
            <w:pPr>
              <w:jc w:val="center"/>
              <w:rPr>
                <w:kern w:val="0"/>
                <w:sz w:val="20"/>
                <w:szCs w:val="20"/>
              </w:rPr>
            </w:pPr>
            <w:r>
              <w:rPr>
                <w:kern w:val="0"/>
                <w:sz w:val="20"/>
                <w:szCs w:val="20"/>
              </w:rPr>
              <w:t>0.18</w:t>
            </w:r>
          </w:p>
        </w:tc>
        <w:tc>
          <w:tcPr>
            <w:tcW w:w="1417" w:type="dxa"/>
            <w:tcBorders>
              <w:top w:val="nil"/>
            </w:tcBorders>
            <w:vAlign w:val="center"/>
          </w:tcPr>
          <w:p w14:paraId="4A14B8BD">
            <w:pPr>
              <w:jc w:val="center"/>
              <w:rPr>
                <w:kern w:val="0"/>
                <w:sz w:val="20"/>
                <w:szCs w:val="20"/>
              </w:rPr>
            </w:pPr>
            <w:r>
              <w:rPr>
                <w:kern w:val="0"/>
                <w:sz w:val="20"/>
                <w:szCs w:val="20"/>
              </w:rPr>
              <w:t>0.</w:t>
            </w:r>
            <w:r>
              <w:rPr>
                <w:rFonts w:hint="eastAsia"/>
                <w:kern w:val="0"/>
                <w:sz w:val="20"/>
                <w:szCs w:val="20"/>
              </w:rPr>
              <w:t>17</w:t>
            </w:r>
          </w:p>
        </w:tc>
        <w:tc>
          <w:tcPr>
            <w:tcW w:w="1398" w:type="dxa"/>
            <w:tcBorders>
              <w:top w:val="nil"/>
            </w:tcBorders>
            <w:vAlign w:val="center"/>
          </w:tcPr>
          <w:p w14:paraId="678610B0">
            <w:pPr>
              <w:jc w:val="center"/>
              <w:rPr>
                <w:kern w:val="0"/>
                <w:sz w:val="20"/>
                <w:szCs w:val="20"/>
              </w:rPr>
            </w:pPr>
            <w:r>
              <w:rPr>
                <w:kern w:val="0"/>
                <w:sz w:val="20"/>
                <w:szCs w:val="20"/>
              </w:rPr>
              <w:t>0.01</w:t>
            </w:r>
          </w:p>
        </w:tc>
        <w:tc>
          <w:tcPr>
            <w:tcW w:w="1293" w:type="dxa"/>
            <w:tcBorders>
              <w:top w:val="nil"/>
            </w:tcBorders>
            <w:vAlign w:val="center"/>
          </w:tcPr>
          <w:p w14:paraId="09F0820F">
            <w:pPr>
              <w:jc w:val="center"/>
              <w:rPr>
                <w:kern w:val="0"/>
                <w:sz w:val="20"/>
                <w:szCs w:val="20"/>
              </w:rPr>
            </w:pPr>
            <w:r>
              <w:rPr>
                <w:kern w:val="0"/>
                <w:sz w:val="20"/>
                <w:szCs w:val="20"/>
              </w:rPr>
              <w:t>0.0</w:t>
            </w:r>
            <w:r>
              <w:rPr>
                <w:rFonts w:hint="eastAsia"/>
                <w:kern w:val="0"/>
                <w:sz w:val="20"/>
                <w:szCs w:val="20"/>
              </w:rPr>
              <w:t>1</w:t>
            </w:r>
          </w:p>
        </w:tc>
      </w:tr>
    </w:tbl>
    <w:p w14:paraId="50959038">
      <w:pPr>
        <w:jc w:val="left"/>
        <w:rPr>
          <w:sz w:val="28"/>
          <w:szCs w:val="28"/>
        </w:rPr>
      </w:pPr>
    </w:p>
    <w:p w14:paraId="43937832">
      <w:pPr>
        <w:pStyle w:val="11"/>
        <w:numPr>
          <w:numId w:val="0"/>
        </w:numPr>
        <w:spacing w:before="120" w:beforeLines="50"/>
        <w:ind w:leftChars="0"/>
        <w:jc w:val="both"/>
        <w:rPr>
          <w:b/>
          <w:sz w:val="28"/>
          <w:szCs w:val="28"/>
        </w:rPr>
      </w:pPr>
      <w:r>
        <w:rPr>
          <w:rFonts w:hint="eastAsia"/>
          <w:b/>
          <w:sz w:val="28"/>
          <w:szCs w:val="28"/>
          <w:lang w:val="en-US" w:eastAsia="zh-CN"/>
        </w:rPr>
        <w:t>5.</w:t>
      </w:r>
      <w:r>
        <w:rPr>
          <w:rFonts w:hint="eastAsia"/>
          <w:b/>
          <w:sz w:val="28"/>
          <w:szCs w:val="28"/>
        </w:rPr>
        <w:t>结论</w:t>
      </w:r>
    </w:p>
    <w:p w14:paraId="16FBFE87">
      <w:pPr>
        <w:pStyle w:val="2"/>
        <w:spacing w:after="0" w:line="360" w:lineRule="auto"/>
        <w:ind w:left="0" w:leftChars="0" w:firstLine="560" w:firstLineChars="200"/>
        <w:rPr>
          <w:rFonts w:ascii="宋体" w:cs="MT Extra"/>
          <w:sz w:val="28"/>
          <w:szCs w:val="28"/>
        </w:rPr>
      </w:pPr>
      <w:r>
        <w:rPr>
          <w:rFonts w:hint="eastAsia"/>
          <w:kern w:val="0"/>
          <w:sz w:val="28"/>
          <w:szCs w:val="28"/>
          <w:lang w:val="zh-CN"/>
        </w:rPr>
        <w:t>通过定标模型的相关系数</w:t>
      </w:r>
      <w:r>
        <w:rPr>
          <w:kern w:val="0"/>
          <w:sz w:val="28"/>
          <w:szCs w:val="28"/>
          <w:lang w:val="zh-CN"/>
        </w:rPr>
        <w:t>(R</w:t>
      </w:r>
      <w:r>
        <w:rPr>
          <w:kern w:val="0"/>
          <w:sz w:val="28"/>
          <w:szCs w:val="28"/>
          <w:vertAlign w:val="superscript"/>
          <w:lang w:val="zh-CN"/>
        </w:rPr>
        <w:t>2</w:t>
      </w:r>
      <w:r>
        <w:rPr>
          <w:kern w:val="0"/>
          <w:sz w:val="28"/>
          <w:szCs w:val="28"/>
          <w:lang w:val="zh-CN"/>
        </w:rPr>
        <w:t>)</w:t>
      </w:r>
      <w:r>
        <w:rPr>
          <w:rFonts w:hint="eastAsia"/>
          <w:kern w:val="0"/>
          <w:sz w:val="28"/>
          <w:szCs w:val="28"/>
          <w:lang w:val="zh-CN"/>
        </w:rPr>
        <w:t>和统计偏差分析以及定标模型验证试验，</w:t>
      </w:r>
      <w:r>
        <w:rPr>
          <w:rFonts w:hint="eastAsia"/>
          <w:sz w:val="28"/>
          <w:szCs w:val="28"/>
        </w:rPr>
        <w:t>研究法辛烷值、芳烃含量、烯烃含量、苯含量、氧含量、甲醇、密度等指标</w:t>
      </w:r>
      <w:r>
        <w:rPr>
          <w:rFonts w:hint="eastAsia"/>
          <w:kern w:val="0"/>
          <w:sz w:val="28"/>
          <w:szCs w:val="28"/>
          <w:lang w:val="zh-CN"/>
        </w:rPr>
        <w:t>的定标模型准确性好；验证样品通过定标模型检测的数据满足表</w:t>
      </w:r>
      <w:r>
        <w:rPr>
          <w:kern w:val="0"/>
          <w:sz w:val="28"/>
          <w:szCs w:val="28"/>
          <w:lang w:val="zh-CN"/>
        </w:rPr>
        <w:t>3</w:t>
      </w:r>
      <w:r>
        <w:rPr>
          <w:rFonts w:hint="eastAsia"/>
          <w:kern w:val="0"/>
          <w:sz w:val="28"/>
          <w:szCs w:val="28"/>
          <w:lang w:val="zh-CN"/>
        </w:rPr>
        <w:t>中</w:t>
      </w:r>
      <w:r>
        <w:rPr>
          <w:kern w:val="0"/>
          <w:sz w:val="28"/>
          <w:szCs w:val="28"/>
          <w:lang w:val="zh-CN"/>
        </w:rPr>
        <w:t>GB 17930</w:t>
      </w:r>
      <w:r>
        <w:rPr>
          <w:rFonts w:hint="eastAsia"/>
          <w:kern w:val="0"/>
          <w:sz w:val="28"/>
          <w:szCs w:val="28"/>
          <w:lang w:val="zh-CN"/>
        </w:rPr>
        <w:t>《车用汽油》产品标准中规定的各方法标准的再现性。综合考虑，认为</w:t>
      </w:r>
      <w:r>
        <w:rPr>
          <w:rFonts w:hint="eastAsia" w:ascii="宋体" w:hAnsi="宋体" w:cs="MT Extra"/>
          <w:sz w:val="28"/>
          <w:szCs w:val="28"/>
        </w:rPr>
        <w:t>本标准能够满足车用汽油快速检测的需要，各项技术指标均符合要求，具有较好的准确性和可靠性。</w:t>
      </w:r>
    </w:p>
    <w:p w14:paraId="6E54D1E3">
      <w:pPr>
        <w:pStyle w:val="11"/>
        <w:spacing w:before="120" w:beforeLines="50" w:after="120" w:afterLines="50"/>
        <w:ind w:firstLine="0" w:firstLineChars="0"/>
        <w:rPr>
          <w:rFonts w:ascii="黑体" w:eastAsia="黑体"/>
          <w:b/>
          <w:bCs/>
          <w:sz w:val="28"/>
          <w:szCs w:val="28"/>
        </w:rPr>
      </w:pPr>
      <w:r>
        <w:rPr>
          <w:rFonts w:hint="eastAsia" w:ascii="黑体" w:eastAsia="黑体"/>
          <w:b/>
          <w:bCs/>
          <w:sz w:val="28"/>
          <w:szCs w:val="28"/>
        </w:rPr>
        <w:t>六、预期社会经济效益</w:t>
      </w:r>
    </w:p>
    <w:p w14:paraId="32DE4406">
      <w:pPr>
        <w:spacing w:line="360" w:lineRule="auto"/>
        <w:ind w:firstLine="560" w:firstLineChars="200"/>
        <w:rPr>
          <w:rFonts w:hint="eastAsia" w:eastAsia="宋体"/>
          <w:sz w:val="28"/>
          <w:szCs w:val="28"/>
          <w:lang w:eastAsia="zh-CN"/>
        </w:rPr>
        <w:sectPr>
          <w:pgSz w:w="11906" w:h="16838"/>
          <w:pgMar w:top="1440" w:right="1797" w:bottom="1440" w:left="1797" w:header="851" w:footer="992" w:gutter="0"/>
          <w:cols w:space="425" w:num="1"/>
          <w:docGrid w:linePitch="312" w:charSpace="0"/>
        </w:sectPr>
      </w:pPr>
      <w:r>
        <w:rPr>
          <w:rFonts w:hint="eastAsia" w:ascii="宋体" w:hAnsi="宋体"/>
          <w:sz w:val="28"/>
          <w:szCs w:val="28"/>
        </w:rPr>
        <w:t>本标准的制定，能够快速判定汽油产品质量的合格性，可节约抽检费用，有更多的财力支持汽油监督管理的有效、全面开展，为国家和地方有关职能部门加强成品油质量监督管理提供了技术保障；能够维护汽油销售者、消费者的权益，有效制止不法分子从中获取暴利，有效避免不合格汽油产品流入消费市场，能够强有力地推进成品油质量升级</w:t>
      </w:r>
      <w:r>
        <w:rPr>
          <w:rFonts w:hint="eastAsia" w:ascii="宋体" w:hAnsi="宋体"/>
          <w:sz w:val="28"/>
          <w:szCs w:val="28"/>
          <w:lang w:eastAsia="zh-CN"/>
        </w:rPr>
        <w:t>。</w:t>
      </w:r>
      <w:bookmarkStart w:id="0" w:name="_GoBack"/>
      <w:bookmarkEnd w:id="0"/>
    </w:p>
    <w:p w14:paraId="5260DA3A">
      <w:pPr>
        <w:rPr>
          <w:rFonts w:ascii="宋体"/>
          <w:sz w:val="28"/>
          <w:szCs w:val="28"/>
        </w:rPr>
      </w:pPr>
    </w:p>
    <w:sectPr>
      <w:pgSz w:w="16838" w:h="11906" w:orient="landscape"/>
      <w:pgMar w:top="1797" w:right="1440" w:bottom="1797" w:left="1440" w:header="851" w:footer="992" w:gutter="0"/>
      <w:cols w:space="425"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499993"/>
      <w:docPartObj>
        <w:docPartGallery w:val="autotext"/>
      </w:docPartObj>
    </w:sdtPr>
    <w:sdtContent>
      <w:p w14:paraId="07F3FC1D">
        <w:pPr>
          <w:pStyle w:val="4"/>
          <w:jc w:val="center"/>
        </w:pPr>
        <w:r>
          <w:fldChar w:fldCharType="begin"/>
        </w:r>
        <w:r>
          <w:instrText xml:space="preserve">PAGE   \* MERGEFORMAT</w:instrText>
        </w:r>
        <w:r>
          <w:fldChar w:fldCharType="separate"/>
        </w:r>
        <w:r>
          <w:rPr>
            <w:lang w:val="zh-CN"/>
          </w:rPr>
          <w:t>14</w:t>
        </w:r>
        <w:r>
          <w:fldChar w:fldCharType="end"/>
        </w:r>
      </w:p>
    </w:sdtContent>
  </w:sdt>
  <w:p w14:paraId="54B2C87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D3E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5EE3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55A2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59B9">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6EC8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E0939"/>
    <w:multiLevelType w:val="multilevel"/>
    <w:tmpl w:val="43BE09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Dg2NzNmMzJkODg3Zjc2Zjk0NzdkZDU0NDMxMzEifQ=="/>
  </w:docVars>
  <w:rsids>
    <w:rsidRoot w:val="007E780A"/>
    <w:rsid w:val="000004FE"/>
    <w:rsid w:val="00000688"/>
    <w:rsid w:val="000008D4"/>
    <w:rsid w:val="00000C60"/>
    <w:rsid w:val="00000E2E"/>
    <w:rsid w:val="00001B51"/>
    <w:rsid w:val="00002BF4"/>
    <w:rsid w:val="00002E6A"/>
    <w:rsid w:val="00002FD0"/>
    <w:rsid w:val="000032E1"/>
    <w:rsid w:val="00003F57"/>
    <w:rsid w:val="0000425D"/>
    <w:rsid w:val="00005B36"/>
    <w:rsid w:val="00006D86"/>
    <w:rsid w:val="000073E4"/>
    <w:rsid w:val="00007546"/>
    <w:rsid w:val="00010437"/>
    <w:rsid w:val="00010F1D"/>
    <w:rsid w:val="00011400"/>
    <w:rsid w:val="00011659"/>
    <w:rsid w:val="0001195D"/>
    <w:rsid w:val="000122A6"/>
    <w:rsid w:val="000122F4"/>
    <w:rsid w:val="00013AC6"/>
    <w:rsid w:val="00014288"/>
    <w:rsid w:val="00014884"/>
    <w:rsid w:val="00014956"/>
    <w:rsid w:val="00014966"/>
    <w:rsid w:val="00014DA1"/>
    <w:rsid w:val="00014EC5"/>
    <w:rsid w:val="000151E4"/>
    <w:rsid w:val="00015452"/>
    <w:rsid w:val="00015466"/>
    <w:rsid w:val="000155AC"/>
    <w:rsid w:val="000155B4"/>
    <w:rsid w:val="0001596A"/>
    <w:rsid w:val="00016380"/>
    <w:rsid w:val="00016443"/>
    <w:rsid w:val="0001672A"/>
    <w:rsid w:val="0001673C"/>
    <w:rsid w:val="000173B4"/>
    <w:rsid w:val="00017AE2"/>
    <w:rsid w:val="000209D0"/>
    <w:rsid w:val="00020BD6"/>
    <w:rsid w:val="00021A99"/>
    <w:rsid w:val="00021E4D"/>
    <w:rsid w:val="000220E0"/>
    <w:rsid w:val="0002291A"/>
    <w:rsid w:val="0002356E"/>
    <w:rsid w:val="00024AF2"/>
    <w:rsid w:val="00026B60"/>
    <w:rsid w:val="000273CA"/>
    <w:rsid w:val="00027757"/>
    <w:rsid w:val="00027DC0"/>
    <w:rsid w:val="0003026F"/>
    <w:rsid w:val="00030A37"/>
    <w:rsid w:val="00032041"/>
    <w:rsid w:val="00032BB7"/>
    <w:rsid w:val="0003394C"/>
    <w:rsid w:val="0003402A"/>
    <w:rsid w:val="00034C4E"/>
    <w:rsid w:val="00034D96"/>
    <w:rsid w:val="000360B2"/>
    <w:rsid w:val="00036250"/>
    <w:rsid w:val="0003646D"/>
    <w:rsid w:val="00036AB9"/>
    <w:rsid w:val="00036AD2"/>
    <w:rsid w:val="00037D97"/>
    <w:rsid w:val="00037FD7"/>
    <w:rsid w:val="00040199"/>
    <w:rsid w:val="00040886"/>
    <w:rsid w:val="00041604"/>
    <w:rsid w:val="00042540"/>
    <w:rsid w:val="00042BE6"/>
    <w:rsid w:val="00042F93"/>
    <w:rsid w:val="00043337"/>
    <w:rsid w:val="00043444"/>
    <w:rsid w:val="00043C87"/>
    <w:rsid w:val="00043F4B"/>
    <w:rsid w:val="00044E62"/>
    <w:rsid w:val="0004531C"/>
    <w:rsid w:val="00045AA7"/>
    <w:rsid w:val="000461D7"/>
    <w:rsid w:val="00046A73"/>
    <w:rsid w:val="00046B4A"/>
    <w:rsid w:val="000473A8"/>
    <w:rsid w:val="00047487"/>
    <w:rsid w:val="00047C4F"/>
    <w:rsid w:val="00050652"/>
    <w:rsid w:val="000510D1"/>
    <w:rsid w:val="000512B2"/>
    <w:rsid w:val="000513F3"/>
    <w:rsid w:val="000513F4"/>
    <w:rsid w:val="000516C6"/>
    <w:rsid w:val="00051E25"/>
    <w:rsid w:val="00052908"/>
    <w:rsid w:val="00053603"/>
    <w:rsid w:val="0005410C"/>
    <w:rsid w:val="0005411F"/>
    <w:rsid w:val="0005477C"/>
    <w:rsid w:val="00054C94"/>
    <w:rsid w:val="00054EFF"/>
    <w:rsid w:val="00056701"/>
    <w:rsid w:val="00057173"/>
    <w:rsid w:val="00057380"/>
    <w:rsid w:val="000576E8"/>
    <w:rsid w:val="00057FC7"/>
    <w:rsid w:val="0006005E"/>
    <w:rsid w:val="000602B8"/>
    <w:rsid w:val="00060C8C"/>
    <w:rsid w:val="000625C3"/>
    <w:rsid w:val="00062E54"/>
    <w:rsid w:val="00063747"/>
    <w:rsid w:val="0006467A"/>
    <w:rsid w:val="0006568A"/>
    <w:rsid w:val="000660A9"/>
    <w:rsid w:val="00066473"/>
    <w:rsid w:val="00066602"/>
    <w:rsid w:val="000666CF"/>
    <w:rsid w:val="00066AC5"/>
    <w:rsid w:val="00066D24"/>
    <w:rsid w:val="000672E0"/>
    <w:rsid w:val="0006751E"/>
    <w:rsid w:val="00067A2D"/>
    <w:rsid w:val="00067C38"/>
    <w:rsid w:val="00067DB8"/>
    <w:rsid w:val="0007038A"/>
    <w:rsid w:val="00070630"/>
    <w:rsid w:val="00070EF9"/>
    <w:rsid w:val="00071A75"/>
    <w:rsid w:val="00071C3C"/>
    <w:rsid w:val="00071D8A"/>
    <w:rsid w:val="0007262F"/>
    <w:rsid w:val="000733F5"/>
    <w:rsid w:val="000734C5"/>
    <w:rsid w:val="000743D0"/>
    <w:rsid w:val="00074839"/>
    <w:rsid w:val="00076114"/>
    <w:rsid w:val="000763E3"/>
    <w:rsid w:val="00076573"/>
    <w:rsid w:val="000765C7"/>
    <w:rsid w:val="000801A9"/>
    <w:rsid w:val="00080B7A"/>
    <w:rsid w:val="000810C0"/>
    <w:rsid w:val="0008127B"/>
    <w:rsid w:val="000814D0"/>
    <w:rsid w:val="0008169F"/>
    <w:rsid w:val="0008191B"/>
    <w:rsid w:val="00081D15"/>
    <w:rsid w:val="0008221A"/>
    <w:rsid w:val="0008221E"/>
    <w:rsid w:val="00082958"/>
    <w:rsid w:val="0008302D"/>
    <w:rsid w:val="000838D9"/>
    <w:rsid w:val="00084CD4"/>
    <w:rsid w:val="00085212"/>
    <w:rsid w:val="000859CB"/>
    <w:rsid w:val="00086139"/>
    <w:rsid w:val="000866F7"/>
    <w:rsid w:val="00087099"/>
    <w:rsid w:val="000877F3"/>
    <w:rsid w:val="00087A1F"/>
    <w:rsid w:val="000904B2"/>
    <w:rsid w:val="0009057E"/>
    <w:rsid w:val="0009073A"/>
    <w:rsid w:val="00091177"/>
    <w:rsid w:val="00091312"/>
    <w:rsid w:val="00091738"/>
    <w:rsid w:val="000917A7"/>
    <w:rsid w:val="00091BDC"/>
    <w:rsid w:val="000927D0"/>
    <w:rsid w:val="00093F50"/>
    <w:rsid w:val="000947B5"/>
    <w:rsid w:val="00094B83"/>
    <w:rsid w:val="0009520D"/>
    <w:rsid w:val="00095C8F"/>
    <w:rsid w:val="00095F11"/>
    <w:rsid w:val="000963E6"/>
    <w:rsid w:val="00096B61"/>
    <w:rsid w:val="000973D0"/>
    <w:rsid w:val="00097454"/>
    <w:rsid w:val="000A00EF"/>
    <w:rsid w:val="000A0745"/>
    <w:rsid w:val="000A0AE0"/>
    <w:rsid w:val="000A1255"/>
    <w:rsid w:val="000A16E5"/>
    <w:rsid w:val="000A2F9F"/>
    <w:rsid w:val="000A3A43"/>
    <w:rsid w:val="000A3F5F"/>
    <w:rsid w:val="000A4626"/>
    <w:rsid w:val="000A4FA4"/>
    <w:rsid w:val="000A57C5"/>
    <w:rsid w:val="000A6E53"/>
    <w:rsid w:val="000A75D1"/>
    <w:rsid w:val="000B131B"/>
    <w:rsid w:val="000B1802"/>
    <w:rsid w:val="000B1DB2"/>
    <w:rsid w:val="000B1E4C"/>
    <w:rsid w:val="000B2487"/>
    <w:rsid w:val="000B2E56"/>
    <w:rsid w:val="000B2F35"/>
    <w:rsid w:val="000B3154"/>
    <w:rsid w:val="000B33E5"/>
    <w:rsid w:val="000B3994"/>
    <w:rsid w:val="000B41AF"/>
    <w:rsid w:val="000B4DFD"/>
    <w:rsid w:val="000B605C"/>
    <w:rsid w:val="000B6A45"/>
    <w:rsid w:val="000B6C88"/>
    <w:rsid w:val="000B760C"/>
    <w:rsid w:val="000C0112"/>
    <w:rsid w:val="000C0732"/>
    <w:rsid w:val="000C1653"/>
    <w:rsid w:val="000C18C5"/>
    <w:rsid w:val="000C1C2E"/>
    <w:rsid w:val="000C1C7E"/>
    <w:rsid w:val="000C23FC"/>
    <w:rsid w:val="000C2833"/>
    <w:rsid w:val="000C378C"/>
    <w:rsid w:val="000C3924"/>
    <w:rsid w:val="000C506E"/>
    <w:rsid w:val="000C5195"/>
    <w:rsid w:val="000C52EE"/>
    <w:rsid w:val="000C660E"/>
    <w:rsid w:val="000C6B7A"/>
    <w:rsid w:val="000C6BFE"/>
    <w:rsid w:val="000C71EF"/>
    <w:rsid w:val="000C73D6"/>
    <w:rsid w:val="000D0073"/>
    <w:rsid w:val="000D00A7"/>
    <w:rsid w:val="000D048B"/>
    <w:rsid w:val="000D0AF6"/>
    <w:rsid w:val="000D1D51"/>
    <w:rsid w:val="000D1D76"/>
    <w:rsid w:val="000D22A8"/>
    <w:rsid w:val="000D26A4"/>
    <w:rsid w:val="000D4500"/>
    <w:rsid w:val="000D4B4F"/>
    <w:rsid w:val="000D4DFE"/>
    <w:rsid w:val="000D56F4"/>
    <w:rsid w:val="000D583B"/>
    <w:rsid w:val="000D5E40"/>
    <w:rsid w:val="000D69EA"/>
    <w:rsid w:val="000D6E6A"/>
    <w:rsid w:val="000D749A"/>
    <w:rsid w:val="000D7694"/>
    <w:rsid w:val="000D79A3"/>
    <w:rsid w:val="000E003C"/>
    <w:rsid w:val="000E007D"/>
    <w:rsid w:val="000E00FB"/>
    <w:rsid w:val="000E02AD"/>
    <w:rsid w:val="000E07B8"/>
    <w:rsid w:val="000E0EC4"/>
    <w:rsid w:val="000E134F"/>
    <w:rsid w:val="000E2BCC"/>
    <w:rsid w:val="000E2C75"/>
    <w:rsid w:val="000E324A"/>
    <w:rsid w:val="000E3531"/>
    <w:rsid w:val="000E3676"/>
    <w:rsid w:val="000E492E"/>
    <w:rsid w:val="000E53F2"/>
    <w:rsid w:val="000E57D7"/>
    <w:rsid w:val="000E7B98"/>
    <w:rsid w:val="000E7E98"/>
    <w:rsid w:val="000F0947"/>
    <w:rsid w:val="000F16AF"/>
    <w:rsid w:val="000F26CD"/>
    <w:rsid w:val="000F2856"/>
    <w:rsid w:val="000F2943"/>
    <w:rsid w:val="000F2E19"/>
    <w:rsid w:val="000F3100"/>
    <w:rsid w:val="000F347D"/>
    <w:rsid w:val="000F3B6F"/>
    <w:rsid w:val="000F424C"/>
    <w:rsid w:val="000F4802"/>
    <w:rsid w:val="000F4F1E"/>
    <w:rsid w:val="000F5405"/>
    <w:rsid w:val="000F5897"/>
    <w:rsid w:val="000F5B24"/>
    <w:rsid w:val="000F6332"/>
    <w:rsid w:val="000F69D9"/>
    <w:rsid w:val="000F7614"/>
    <w:rsid w:val="000F76C6"/>
    <w:rsid w:val="000F76CD"/>
    <w:rsid w:val="000F7A14"/>
    <w:rsid w:val="000F7E13"/>
    <w:rsid w:val="00100091"/>
    <w:rsid w:val="00100169"/>
    <w:rsid w:val="00100715"/>
    <w:rsid w:val="00100A28"/>
    <w:rsid w:val="00101318"/>
    <w:rsid w:val="00101436"/>
    <w:rsid w:val="00101AAF"/>
    <w:rsid w:val="00103262"/>
    <w:rsid w:val="00103747"/>
    <w:rsid w:val="00103906"/>
    <w:rsid w:val="00103D53"/>
    <w:rsid w:val="00103FAE"/>
    <w:rsid w:val="00105BE8"/>
    <w:rsid w:val="00106EC4"/>
    <w:rsid w:val="00111580"/>
    <w:rsid w:val="0011283F"/>
    <w:rsid w:val="00113349"/>
    <w:rsid w:val="0011335D"/>
    <w:rsid w:val="00113CF1"/>
    <w:rsid w:val="001144E1"/>
    <w:rsid w:val="00114DFA"/>
    <w:rsid w:val="00115307"/>
    <w:rsid w:val="00115ACD"/>
    <w:rsid w:val="00116ACF"/>
    <w:rsid w:val="00116BD5"/>
    <w:rsid w:val="001170E0"/>
    <w:rsid w:val="00117987"/>
    <w:rsid w:val="001179F3"/>
    <w:rsid w:val="00117DD8"/>
    <w:rsid w:val="00117F59"/>
    <w:rsid w:val="00120214"/>
    <w:rsid w:val="00120479"/>
    <w:rsid w:val="001215A1"/>
    <w:rsid w:val="001219B0"/>
    <w:rsid w:val="00121C41"/>
    <w:rsid w:val="00122549"/>
    <w:rsid w:val="00122B32"/>
    <w:rsid w:val="00124231"/>
    <w:rsid w:val="001243AF"/>
    <w:rsid w:val="00124C6E"/>
    <w:rsid w:val="00124FC0"/>
    <w:rsid w:val="0012512F"/>
    <w:rsid w:val="00125492"/>
    <w:rsid w:val="0012603D"/>
    <w:rsid w:val="0012642D"/>
    <w:rsid w:val="00126716"/>
    <w:rsid w:val="00126962"/>
    <w:rsid w:val="001279DC"/>
    <w:rsid w:val="00127AEC"/>
    <w:rsid w:val="001302B9"/>
    <w:rsid w:val="001304D9"/>
    <w:rsid w:val="00130F69"/>
    <w:rsid w:val="00131352"/>
    <w:rsid w:val="00131B28"/>
    <w:rsid w:val="00131FCE"/>
    <w:rsid w:val="0013450E"/>
    <w:rsid w:val="001345B3"/>
    <w:rsid w:val="001346FD"/>
    <w:rsid w:val="00135742"/>
    <w:rsid w:val="001361B5"/>
    <w:rsid w:val="001361FB"/>
    <w:rsid w:val="00136A6A"/>
    <w:rsid w:val="00136BF5"/>
    <w:rsid w:val="00140640"/>
    <w:rsid w:val="001423A2"/>
    <w:rsid w:val="00142BCA"/>
    <w:rsid w:val="00143825"/>
    <w:rsid w:val="00143BF6"/>
    <w:rsid w:val="0014428D"/>
    <w:rsid w:val="001445DE"/>
    <w:rsid w:val="00145220"/>
    <w:rsid w:val="00147874"/>
    <w:rsid w:val="00150697"/>
    <w:rsid w:val="00150C7F"/>
    <w:rsid w:val="00151C5A"/>
    <w:rsid w:val="00151ECE"/>
    <w:rsid w:val="001520CF"/>
    <w:rsid w:val="00152670"/>
    <w:rsid w:val="00152D1A"/>
    <w:rsid w:val="00152D88"/>
    <w:rsid w:val="00153D22"/>
    <w:rsid w:val="0015483B"/>
    <w:rsid w:val="00154963"/>
    <w:rsid w:val="0015503F"/>
    <w:rsid w:val="00155393"/>
    <w:rsid w:val="00155C5E"/>
    <w:rsid w:val="001565B4"/>
    <w:rsid w:val="001573CB"/>
    <w:rsid w:val="00160840"/>
    <w:rsid w:val="0016137B"/>
    <w:rsid w:val="001621C3"/>
    <w:rsid w:val="001628C2"/>
    <w:rsid w:val="001639E8"/>
    <w:rsid w:val="00163D5B"/>
    <w:rsid w:val="00166024"/>
    <w:rsid w:val="0016641B"/>
    <w:rsid w:val="00166CD6"/>
    <w:rsid w:val="00167086"/>
    <w:rsid w:val="00167140"/>
    <w:rsid w:val="001701B1"/>
    <w:rsid w:val="00170B2F"/>
    <w:rsid w:val="00170DF2"/>
    <w:rsid w:val="00171393"/>
    <w:rsid w:val="001716A3"/>
    <w:rsid w:val="00171A5C"/>
    <w:rsid w:val="00172577"/>
    <w:rsid w:val="001733EA"/>
    <w:rsid w:val="0017345B"/>
    <w:rsid w:val="00173A69"/>
    <w:rsid w:val="00174ADF"/>
    <w:rsid w:val="00174C0D"/>
    <w:rsid w:val="00174C44"/>
    <w:rsid w:val="00174CBA"/>
    <w:rsid w:val="00175625"/>
    <w:rsid w:val="00175AEF"/>
    <w:rsid w:val="00175B2E"/>
    <w:rsid w:val="00176AE3"/>
    <w:rsid w:val="00176F4E"/>
    <w:rsid w:val="00176F72"/>
    <w:rsid w:val="00177489"/>
    <w:rsid w:val="0018043F"/>
    <w:rsid w:val="001804A1"/>
    <w:rsid w:val="001811F3"/>
    <w:rsid w:val="001814D5"/>
    <w:rsid w:val="00181824"/>
    <w:rsid w:val="00181D5A"/>
    <w:rsid w:val="00181F05"/>
    <w:rsid w:val="00183844"/>
    <w:rsid w:val="001839FF"/>
    <w:rsid w:val="00184184"/>
    <w:rsid w:val="0018583C"/>
    <w:rsid w:val="00185F17"/>
    <w:rsid w:val="00185FBE"/>
    <w:rsid w:val="00186B7B"/>
    <w:rsid w:val="00187772"/>
    <w:rsid w:val="001879D7"/>
    <w:rsid w:val="001907A2"/>
    <w:rsid w:val="00190828"/>
    <w:rsid w:val="001910C6"/>
    <w:rsid w:val="00191DDA"/>
    <w:rsid w:val="001925A9"/>
    <w:rsid w:val="00192B4E"/>
    <w:rsid w:val="0019319E"/>
    <w:rsid w:val="001935B0"/>
    <w:rsid w:val="00193C63"/>
    <w:rsid w:val="00193D1F"/>
    <w:rsid w:val="0019426C"/>
    <w:rsid w:val="00194613"/>
    <w:rsid w:val="00194E14"/>
    <w:rsid w:val="00195BD7"/>
    <w:rsid w:val="00195F89"/>
    <w:rsid w:val="00195FF9"/>
    <w:rsid w:val="00196906"/>
    <w:rsid w:val="00197023"/>
    <w:rsid w:val="001978BF"/>
    <w:rsid w:val="00197E4F"/>
    <w:rsid w:val="00197E89"/>
    <w:rsid w:val="001A0386"/>
    <w:rsid w:val="001A0766"/>
    <w:rsid w:val="001A0896"/>
    <w:rsid w:val="001A0F4B"/>
    <w:rsid w:val="001A1240"/>
    <w:rsid w:val="001A1901"/>
    <w:rsid w:val="001A1FB0"/>
    <w:rsid w:val="001A3479"/>
    <w:rsid w:val="001A372D"/>
    <w:rsid w:val="001A40D5"/>
    <w:rsid w:val="001A4635"/>
    <w:rsid w:val="001A611B"/>
    <w:rsid w:val="001A6FB5"/>
    <w:rsid w:val="001B0023"/>
    <w:rsid w:val="001B0739"/>
    <w:rsid w:val="001B143E"/>
    <w:rsid w:val="001B2E85"/>
    <w:rsid w:val="001B3535"/>
    <w:rsid w:val="001B41AE"/>
    <w:rsid w:val="001B47E9"/>
    <w:rsid w:val="001B4A7D"/>
    <w:rsid w:val="001B536E"/>
    <w:rsid w:val="001B557D"/>
    <w:rsid w:val="001B56CD"/>
    <w:rsid w:val="001B5C03"/>
    <w:rsid w:val="001B5D70"/>
    <w:rsid w:val="001B5DE8"/>
    <w:rsid w:val="001B6713"/>
    <w:rsid w:val="001B69B2"/>
    <w:rsid w:val="001B72C2"/>
    <w:rsid w:val="001B7BCB"/>
    <w:rsid w:val="001C074A"/>
    <w:rsid w:val="001C0EFE"/>
    <w:rsid w:val="001C1344"/>
    <w:rsid w:val="001C1A65"/>
    <w:rsid w:val="001C1FFE"/>
    <w:rsid w:val="001C21A6"/>
    <w:rsid w:val="001C32A1"/>
    <w:rsid w:val="001C35B7"/>
    <w:rsid w:val="001C371A"/>
    <w:rsid w:val="001C37EC"/>
    <w:rsid w:val="001C3B39"/>
    <w:rsid w:val="001C3E0B"/>
    <w:rsid w:val="001C45AC"/>
    <w:rsid w:val="001C475A"/>
    <w:rsid w:val="001C4D2D"/>
    <w:rsid w:val="001C50C3"/>
    <w:rsid w:val="001C5212"/>
    <w:rsid w:val="001C536C"/>
    <w:rsid w:val="001C5539"/>
    <w:rsid w:val="001D0AD0"/>
    <w:rsid w:val="001D1488"/>
    <w:rsid w:val="001D1560"/>
    <w:rsid w:val="001D1D81"/>
    <w:rsid w:val="001D2B0A"/>
    <w:rsid w:val="001D31C4"/>
    <w:rsid w:val="001D36BF"/>
    <w:rsid w:val="001D3869"/>
    <w:rsid w:val="001D4876"/>
    <w:rsid w:val="001D4883"/>
    <w:rsid w:val="001D58E1"/>
    <w:rsid w:val="001D59AC"/>
    <w:rsid w:val="001D5E73"/>
    <w:rsid w:val="001D5EBD"/>
    <w:rsid w:val="001D6C91"/>
    <w:rsid w:val="001D7765"/>
    <w:rsid w:val="001D7DE1"/>
    <w:rsid w:val="001E056B"/>
    <w:rsid w:val="001E05E5"/>
    <w:rsid w:val="001E081D"/>
    <w:rsid w:val="001E0F8F"/>
    <w:rsid w:val="001E1CBD"/>
    <w:rsid w:val="001E1E28"/>
    <w:rsid w:val="001E24A7"/>
    <w:rsid w:val="001E255F"/>
    <w:rsid w:val="001E273F"/>
    <w:rsid w:val="001E2ACF"/>
    <w:rsid w:val="001E3ABB"/>
    <w:rsid w:val="001E3C2E"/>
    <w:rsid w:val="001E4BC2"/>
    <w:rsid w:val="001E4C2B"/>
    <w:rsid w:val="001E5677"/>
    <w:rsid w:val="001E5C9A"/>
    <w:rsid w:val="001E5FA1"/>
    <w:rsid w:val="001E7926"/>
    <w:rsid w:val="001E7EE9"/>
    <w:rsid w:val="001F0595"/>
    <w:rsid w:val="001F0734"/>
    <w:rsid w:val="001F092F"/>
    <w:rsid w:val="001F2057"/>
    <w:rsid w:val="001F2D4C"/>
    <w:rsid w:val="001F302A"/>
    <w:rsid w:val="001F3430"/>
    <w:rsid w:val="001F3830"/>
    <w:rsid w:val="001F4402"/>
    <w:rsid w:val="001F5334"/>
    <w:rsid w:val="001F5879"/>
    <w:rsid w:val="001F6DE1"/>
    <w:rsid w:val="001F7795"/>
    <w:rsid w:val="00201107"/>
    <w:rsid w:val="002014E0"/>
    <w:rsid w:val="00201A9F"/>
    <w:rsid w:val="00201F71"/>
    <w:rsid w:val="0020238A"/>
    <w:rsid w:val="002032A1"/>
    <w:rsid w:val="00204728"/>
    <w:rsid w:val="00204938"/>
    <w:rsid w:val="00204C42"/>
    <w:rsid w:val="00205608"/>
    <w:rsid w:val="0020601F"/>
    <w:rsid w:val="00206B80"/>
    <w:rsid w:val="00206CE6"/>
    <w:rsid w:val="00206DC3"/>
    <w:rsid w:val="00206DC8"/>
    <w:rsid w:val="00207A2F"/>
    <w:rsid w:val="00210251"/>
    <w:rsid w:val="002104AE"/>
    <w:rsid w:val="00210A06"/>
    <w:rsid w:val="00210B8B"/>
    <w:rsid w:val="00210E70"/>
    <w:rsid w:val="00211ABB"/>
    <w:rsid w:val="00212204"/>
    <w:rsid w:val="00212A3D"/>
    <w:rsid w:val="0021348C"/>
    <w:rsid w:val="0021467C"/>
    <w:rsid w:val="00215390"/>
    <w:rsid w:val="00215865"/>
    <w:rsid w:val="00215FA8"/>
    <w:rsid w:val="00217B69"/>
    <w:rsid w:val="00217F87"/>
    <w:rsid w:val="00221334"/>
    <w:rsid w:val="00221651"/>
    <w:rsid w:val="00222412"/>
    <w:rsid w:val="00223115"/>
    <w:rsid w:val="00223AEC"/>
    <w:rsid w:val="00223D6D"/>
    <w:rsid w:val="00223F82"/>
    <w:rsid w:val="00225A63"/>
    <w:rsid w:val="00225B16"/>
    <w:rsid w:val="002265DD"/>
    <w:rsid w:val="0022685D"/>
    <w:rsid w:val="0023015B"/>
    <w:rsid w:val="002303DB"/>
    <w:rsid w:val="002304A0"/>
    <w:rsid w:val="00230536"/>
    <w:rsid w:val="002319B8"/>
    <w:rsid w:val="00231BF8"/>
    <w:rsid w:val="0023437E"/>
    <w:rsid w:val="00234A15"/>
    <w:rsid w:val="002352E6"/>
    <w:rsid w:val="00235960"/>
    <w:rsid w:val="00235BA4"/>
    <w:rsid w:val="0023646C"/>
    <w:rsid w:val="00236746"/>
    <w:rsid w:val="0023677A"/>
    <w:rsid w:val="00237886"/>
    <w:rsid w:val="00237B13"/>
    <w:rsid w:val="00237D1A"/>
    <w:rsid w:val="00240020"/>
    <w:rsid w:val="00240661"/>
    <w:rsid w:val="00240E69"/>
    <w:rsid w:val="00241255"/>
    <w:rsid w:val="002434DE"/>
    <w:rsid w:val="00243774"/>
    <w:rsid w:val="00244A86"/>
    <w:rsid w:val="00244B9B"/>
    <w:rsid w:val="00244D8F"/>
    <w:rsid w:val="00244E5F"/>
    <w:rsid w:val="00246D39"/>
    <w:rsid w:val="00246EA2"/>
    <w:rsid w:val="00246FA1"/>
    <w:rsid w:val="00246FAF"/>
    <w:rsid w:val="002476AA"/>
    <w:rsid w:val="002504CA"/>
    <w:rsid w:val="00250BBA"/>
    <w:rsid w:val="00250E1E"/>
    <w:rsid w:val="00251058"/>
    <w:rsid w:val="002519FF"/>
    <w:rsid w:val="002522DE"/>
    <w:rsid w:val="002543FB"/>
    <w:rsid w:val="00254A62"/>
    <w:rsid w:val="00254FAD"/>
    <w:rsid w:val="0025533F"/>
    <w:rsid w:val="002553A0"/>
    <w:rsid w:val="00255896"/>
    <w:rsid w:val="00255995"/>
    <w:rsid w:val="00256AC3"/>
    <w:rsid w:val="0025732A"/>
    <w:rsid w:val="002603B1"/>
    <w:rsid w:val="0026060C"/>
    <w:rsid w:val="00260A59"/>
    <w:rsid w:val="002625E6"/>
    <w:rsid w:val="0026277B"/>
    <w:rsid w:val="00264698"/>
    <w:rsid w:val="00264C6F"/>
    <w:rsid w:val="00265C1A"/>
    <w:rsid w:val="002660B4"/>
    <w:rsid w:val="00266AA0"/>
    <w:rsid w:val="00267746"/>
    <w:rsid w:val="00267B7D"/>
    <w:rsid w:val="00267EEC"/>
    <w:rsid w:val="0027023F"/>
    <w:rsid w:val="002707AA"/>
    <w:rsid w:val="002709EF"/>
    <w:rsid w:val="00271863"/>
    <w:rsid w:val="00271BCB"/>
    <w:rsid w:val="00272245"/>
    <w:rsid w:val="0027241F"/>
    <w:rsid w:val="0027247B"/>
    <w:rsid w:val="00272C69"/>
    <w:rsid w:val="002732BA"/>
    <w:rsid w:val="00273775"/>
    <w:rsid w:val="00275355"/>
    <w:rsid w:val="00275534"/>
    <w:rsid w:val="00275717"/>
    <w:rsid w:val="00276B72"/>
    <w:rsid w:val="0027777C"/>
    <w:rsid w:val="00277B57"/>
    <w:rsid w:val="002801FF"/>
    <w:rsid w:val="00280579"/>
    <w:rsid w:val="0028068D"/>
    <w:rsid w:val="00280947"/>
    <w:rsid w:val="00280D24"/>
    <w:rsid w:val="00280EF7"/>
    <w:rsid w:val="00281792"/>
    <w:rsid w:val="00282098"/>
    <w:rsid w:val="00282381"/>
    <w:rsid w:val="002828CB"/>
    <w:rsid w:val="0028291B"/>
    <w:rsid w:val="00283399"/>
    <w:rsid w:val="00283D4A"/>
    <w:rsid w:val="00284CE4"/>
    <w:rsid w:val="00284EBC"/>
    <w:rsid w:val="002852DB"/>
    <w:rsid w:val="00285363"/>
    <w:rsid w:val="002855E3"/>
    <w:rsid w:val="00286033"/>
    <w:rsid w:val="002864F0"/>
    <w:rsid w:val="00286AFF"/>
    <w:rsid w:val="00287239"/>
    <w:rsid w:val="0028783D"/>
    <w:rsid w:val="00290075"/>
    <w:rsid w:val="00290357"/>
    <w:rsid w:val="002914A9"/>
    <w:rsid w:val="00291533"/>
    <w:rsid w:val="002926F7"/>
    <w:rsid w:val="002928FE"/>
    <w:rsid w:val="002932A6"/>
    <w:rsid w:val="00293994"/>
    <w:rsid w:val="0029438A"/>
    <w:rsid w:val="002944F6"/>
    <w:rsid w:val="00294C14"/>
    <w:rsid w:val="0029595D"/>
    <w:rsid w:val="00295D4D"/>
    <w:rsid w:val="00295DB9"/>
    <w:rsid w:val="002967E2"/>
    <w:rsid w:val="002A0EE2"/>
    <w:rsid w:val="002A320A"/>
    <w:rsid w:val="002A3530"/>
    <w:rsid w:val="002A39BC"/>
    <w:rsid w:val="002A45E1"/>
    <w:rsid w:val="002A4CBC"/>
    <w:rsid w:val="002A4E7B"/>
    <w:rsid w:val="002A5CF0"/>
    <w:rsid w:val="002A6CE4"/>
    <w:rsid w:val="002A729E"/>
    <w:rsid w:val="002A74EF"/>
    <w:rsid w:val="002B0188"/>
    <w:rsid w:val="002B0D1C"/>
    <w:rsid w:val="002B179D"/>
    <w:rsid w:val="002B17E3"/>
    <w:rsid w:val="002B2210"/>
    <w:rsid w:val="002B23C3"/>
    <w:rsid w:val="002B2FCD"/>
    <w:rsid w:val="002B333D"/>
    <w:rsid w:val="002B3C4D"/>
    <w:rsid w:val="002B3E05"/>
    <w:rsid w:val="002B528E"/>
    <w:rsid w:val="002B5AA4"/>
    <w:rsid w:val="002B6384"/>
    <w:rsid w:val="002B6708"/>
    <w:rsid w:val="002B6713"/>
    <w:rsid w:val="002B680B"/>
    <w:rsid w:val="002B6C6E"/>
    <w:rsid w:val="002B6CE1"/>
    <w:rsid w:val="002B6D2E"/>
    <w:rsid w:val="002C1258"/>
    <w:rsid w:val="002C19D6"/>
    <w:rsid w:val="002C2467"/>
    <w:rsid w:val="002C27BC"/>
    <w:rsid w:val="002C2AB4"/>
    <w:rsid w:val="002C3B73"/>
    <w:rsid w:val="002C442D"/>
    <w:rsid w:val="002C5715"/>
    <w:rsid w:val="002C5784"/>
    <w:rsid w:val="002C5D32"/>
    <w:rsid w:val="002C5E92"/>
    <w:rsid w:val="002C64DB"/>
    <w:rsid w:val="002C6667"/>
    <w:rsid w:val="002C7A53"/>
    <w:rsid w:val="002C7C67"/>
    <w:rsid w:val="002C7FD4"/>
    <w:rsid w:val="002D073C"/>
    <w:rsid w:val="002D0B2B"/>
    <w:rsid w:val="002D1E00"/>
    <w:rsid w:val="002D2EE1"/>
    <w:rsid w:val="002D387C"/>
    <w:rsid w:val="002D3EE8"/>
    <w:rsid w:val="002D4117"/>
    <w:rsid w:val="002D49EA"/>
    <w:rsid w:val="002D5724"/>
    <w:rsid w:val="002D588E"/>
    <w:rsid w:val="002D6A62"/>
    <w:rsid w:val="002D7E51"/>
    <w:rsid w:val="002E0757"/>
    <w:rsid w:val="002E0767"/>
    <w:rsid w:val="002E0825"/>
    <w:rsid w:val="002E0FC8"/>
    <w:rsid w:val="002E11B7"/>
    <w:rsid w:val="002E15B3"/>
    <w:rsid w:val="002E1D66"/>
    <w:rsid w:val="002E1FD8"/>
    <w:rsid w:val="002E3241"/>
    <w:rsid w:val="002E67BA"/>
    <w:rsid w:val="002E6F6C"/>
    <w:rsid w:val="002E6F88"/>
    <w:rsid w:val="002E7CB0"/>
    <w:rsid w:val="002E7FAF"/>
    <w:rsid w:val="002E7FCB"/>
    <w:rsid w:val="002F18BE"/>
    <w:rsid w:val="002F24CC"/>
    <w:rsid w:val="002F2B8D"/>
    <w:rsid w:val="002F2BC9"/>
    <w:rsid w:val="002F320D"/>
    <w:rsid w:val="002F4179"/>
    <w:rsid w:val="002F4658"/>
    <w:rsid w:val="002F59B2"/>
    <w:rsid w:val="002F5C7F"/>
    <w:rsid w:val="002F5E46"/>
    <w:rsid w:val="002F64D5"/>
    <w:rsid w:val="002F77C9"/>
    <w:rsid w:val="002F7EC0"/>
    <w:rsid w:val="00300484"/>
    <w:rsid w:val="003010C6"/>
    <w:rsid w:val="00301747"/>
    <w:rsid w:val="003027B7"/>
    <w:rsid w:val="00303BDF"/>
    <w:rsid w:val="00304146"/>
    <w:rsid w:val="00304DAF"/>
    <w:rsid w:val="00305E9E"/>
    <w:rsid w:val="00305F40"/>
    <w:rsid w:val="00306C89"/>
    <w:rsid w:val="00307285"/>
    <w:rsid w:val="0030752A"/>
    <w:rsid w:val="00307892"/>
    <w:rsid w:val="00307EBA"/>
    <w:rsid w:val="003101A8"/>
    <w:rsid w:val="003108A2"/>
    <w:rsid w:val="00310A05"/>
    <w:rsid w:val="00310AC1"/>
    <w:rsid w:val="00310F59"/>
    <w:rsid w:val="00311821"/>
    <w:rsid w:val="0031201C"/>
    <w:rsid w:val="0031227B"/>
    <w:rsid w:val="0031267F"/>
    <w:rsid w:val="00313765"/>
    <w:rsid w:val="00313BAE"/>
    <w:rsid w:val="00314992"/>
    <w:rsid w:val="00314FCE"/>
    <w:rsid w:val="003156BF"/>
    <w:rsid w:val="003161A6"/>
    <w:rsid w:val="0031776C"/>
    <w:rsid w:val="00320CDC"/>
    <w:rsid w:val="00321456"/>
    <w:rsid w:val="003218A8"/>
    <w:rsid w:val="00321CEA"/>
    <w:rsid w:val="00322E4F"/>
    <w:rsid w:val="003233F7"/>
    <w:rsid w:val="00323460"/>
    <w:rsid w:val="00324110"/>
    <w:rsid w:val="00324BC2"/>
    <w:rsid w:val="00324CAD"/>
    <w:rsid w:val="00324CE0"/>
    <w:rsid w:val="0032564A"/>
    <w:rsid w:val="00325781"/>
    <w:rsid w:val="0032609B"/>
    <w:rsid w:val="00330695"/>
    <w:rsid w:val="003310B1"/>
    <w:rsid w:val="0033126A"/>
    <w:rsid w:val="003320F6"/>
    <w:rsid w:val="00332343"/>
    <w:rsid w:val="00332811"/>
    <w:rsid w:val="00332A2E"/>
    <w:rsid w:val="00332FCA"/>
    <w:rsid w:val="00333984"/>
    <w:rsid w:val="00333B4F"/>
    <w:rsid w:val="0033573A"/>
    <w:rsid w:val="0033659E"/>
    <w:rsid w:val="00336892"/>
    <w:rsid w:val="00336E1E"/>
    <w:rsid w:val="00337708"/>
    <w:rsid w:val="00340DDB"/>
    <w:rsid w:val="00341B42"/>
    <w:rsid w:val="0034246C"/>
    <w:rsid w:val="00342D14"/>
    <w:rsid w:val="00343393"/>
    <w:rsid w:val="003436DE"/>
    <w:rsid w:val="00344367"/>
    <w:rsid w:val="00344698"/>
    <w:rsid w:val="003450E4"/>
    <w:rsid w:val="003463D3"/>
    <w:rsid w:val="00346602"/>
    <w:rsid w:val="00346835"/>
    <w:rsid w:val="00347529"/>
    <w:rsid w:val="003476D7"/>
    <w:rsid w:val="00350354"/>
    <w:rsid w:val="00350CFB"/>
    <w:rsid w:val="00351113"/>
    <w:rsid w:val="00351650"/>
    <w:rsid w:val="00351B48"/>
    <w:rsid w:val="00351EE9"/>
    <w:rsid w:val="00352313"/>
    <w:rsid w:val="0035250A"/>
    <w:rsid w:val="00352CBB"/>
    <w:rsid w:val="003531D0"/>
    <w:rsid w:val="0035363D"/>
    <w:rsid w:val="00354313"/>
    <w:rsid w:val="003543C8"/>
    <w:rsid w:val="00354FD8"/>
    <w:rsid w:val="00356172"/>
    <w:rsid w:val="00360526"/>
    <w:rsid w:val="00360B91"/>
    <w:rsid w:val="00360CDA"/>
    <w:rsid w:val="0036165D"/>
    <w:rsid w:val="00361C67"/>
    <w:rsid w:val="003621BE"/>
    <w:rsid w:val="00362DFB"/>
    <w:rsid w:val="003638A9"/>
    <w:rsid w:val="00363D7C"/>
    <w:rsid w:val="0036466D"/>
    <w:rsid w:val="00365542"/>
    <w:rsid w:val="0036587C"/>
    <w:rsid w:val="003659EC"/>
    <w:rsid w:val="0036774B"/>
    <w:rsid w:val="00367C50"/>
    <w:rsid w:val="003718E2"/>
    <w:rsid w:val="003719A7"/>
    <w:rsid w:val="00372CE7"/>
    <w:rsid w:val="0037393D"/>
    <w:rsid w:val="0037436F"/>
    <w:rsid w:val="00374E2A"/>
    <w:rsid w:val="00375058"/>
    <w:rsid w:val="003753E1"/>
    <w:rsid w:val="00375A48"/>
    <w:rsid w:val="00375E70"/>
    <w:rsid w:val="00376370"/>
    <w:rsid w:val="003773B9"/>
    <w:rsid w:val="0037765E"/>
    <w:rsid w:val="00377754"/>
    <w:rsid w:val="00377C7A"/>
    <w:rsid w:val="00377D2C"/>
    <w:rsid w:val="00380114"/>
    <w:rsid w:val="003805DC"/>
    <w:rsid w:val="003806F2"/>
    <w:rsid w:val="0038077D"/>
    <w:rsid w:val="00381984"/>
    <w:rsid w:val="00381B79"/>
    <w:rsid w:val="00381BC3"/>
    <w:rsid w:val="00381CDA"/>
    <w:rsid w:val="00382517"/>
    <w:rsid w:val="00382994"/>
    <w:rsid w:val="00382B09"/>
    <w:rsid w:val="0038453F"/>
    <w:rsid w:val="00384BD5"/>
    <w:rsid w:val="0038661F"/>
    <w:rsid w:val="00386CB1"/>
    <w:rsid w:val="003870D4"/>
    <w:rsid w:val="0038741D"/>
    <w:rsid w:val="003879CA"/>
    <w:rsid w:val="00387DB2"/>
    <w:rsid w:val="00390036"/>
    <w:rsid w:val="0039050B"/>
    <w:rsid w:val="00390867"/>
    <w:rsid w:val="00390ADF"/>
    <w:rsid w:val="00391962"/>
    <w:rsid w:val="00391A84"/>
    <w:rsid w:val="003929B5"/>
    <w:rsid w:val="00392E8F"/>
    <w:rsid w:val="00393BB5"/>
    <w:rsid w:val="00394254"/>
    <w:rsid w:val="00395ABB"/>
    <w:rsid w:val="00395BAC"/>
    <w:rsid w:val="003968F3"/>
    <w:rsid w:val="00396F0C"/>
    <w:rsid w:val="003971DA"/>
    <w:rsid w:val="003976FF"/>
    <w:rsid w:val="00397D7A"/>
    <w:rsid w:val="003A0343"/>
    <w:rsid w:val="003A0762"/>
    <w:rsid w:val="003A0970"/>
    <w:rsid w:val="003A0B52"/>
    <w:rsid w:val="003A0F1C"/>
    <w:rsid w:val="003A15EB"/>
    <w:rsid w:val="003A223E"/>
    <w:rsid w:val="003A2381"/>
    <w:rsid w:val="003A258C"/>
    <w:rsid w:val="003A2892"/>
    <w:rsid w:val="003A323E"/>
    <w:rsid w:val="003A4307"/>
    <w:rsid w:val="003A4672"/>
    <w:rsid w:val="003A50A3"/>
    <w:rsid w:val="003A50BF"/>
    <w:rsid w:val="003A53B3"/>
    <w:rsid w:val="003A6F97"/>
    <w:rsid w:val="003A70A9"/>
    <w:rsid w:val="003A70F2"/>
    <w:rsid w:val="003A7550"/>
    <w:rsid w:val="003A76A6"/>
    <w:rsid w:val="003A7743"/>
    <w:rsid w:val="003A794D"/>
    <w:rsid w:val="003B006F"/>
    <w:rsid w:val="003B0156"/>
    <w:rsid w:val="003B121D"/>
    <w:rsid w:val="003B16A3"/>
    <w:rsid w:val="003B1D15"/>
    <w:rsid w:val="003B30A9"/>
    <w:rsid w:val="003B3257"/>
    <w:rsid w:val="003B328F"/>
    <w:rsid w:val="003B3DC9"/>
    <w:rsid w:val="003B4F20"/>
    <w:rsid w:val="003B5889"/>
    <w:rsid w:val="003B5C2B"/>
    <w:rsid w:val="003B5CA8"/>
    <w:rsid w:val="003B6778"/>
    <w:rsid w:val="003B67E9"/>
    <w:rsid w:val="003B6A41"/>
    <w:rsid w:val="003B6F59"/>
    <w:rsid w:val="003B7B80"/>
    <w:rsid w:val="003B7CC3"/>
    <w:rsid w:val="003B7D12"/>
    <w:rsid w:val="003B7F69"/>
    <w:rsid w:val="003C017E"/>
    <w:rsid w:val="003C01BE"/>
    <w:rsid w:val="003C087D"/>
    <w:rsid w:val="003C1A06"/>
    <w:rsid w:val="003C2F1F"/>
    <w:rsid w:val="003C362F"/>
    <w:rsid w:val="003C37EF"/>
    <w:rsid w:val="003C3DFF"/>
    <w:rsid w:val="003C428C"/>
    <w:rsid w:val="003C59FF"/>
    <w:rsid w:val="003C60E7"/>
    <w:rsid w:val="003C69DE"/>
    <w:rsid w:val="003C6B31"/>
    <w:rsid w:val="003C6B9D"/>
    <w:rsid w:val="003C7590"/>
    <w:rsid w:val="003C7F1E"/>
    <w:rsid w:val="003D0F59"/>
    <w:rsid w:val="003D1298"/>
    <w:rsid w:val="003D1403"/>
    <w:rsid w:val="003D16F8"/>
    <w:rsid w:val="003D1705"/>
    <w:rsid w:val="003D18F7"/>
    <w:rsid w:val="003D1E32"/>
    <w:rsid w:val="003D200E"/>
    <w:rsid w:val="003D224A"/>
    <w:rsid w:val="003D2A4D"/>
    <w:rsid w:val="003D2BB7"/>
    <w:rsid w:val="003D2D2D"/>
    <w:rsid w:val="003D474A"/>
    <w:rsid w:val="003D4E09"/>
    <w:rsid w:val="003D5599"/>
    <w:rsid w:val="003D59A0"/>
    <w:rsid w:val="003D6186"/>
    <w:rsid w:val="003D6311"/>
    <w:rsid w:val="003D686C"/>
    <w:rsid w:val="003D70AC"/>
    <w:rsid w:val="003E024D"/>
    <w:rsid w:val="003E0652"/>
    <w:rsid w:val="003E0C77"/>
    <w:rsid w:val="003E0CE5"/>
    <w:rsid w:val="003E0FD3"/>
    <w:rsid w:val="003E1263"/>
    <w:rsid w:val="003E16F5"/>
    <w:rsid w:val="003E1A8A"/>
    <w:rsid w:val="003E1BBC"/>
    <w:rsid w:val="003E247D"/>
    <w:rsid w:val="003E3684"/>
    <w:rsid w:val="003E3AE0"/>
    <w:rsid w:val="003E3B6B"/>
    <w:rsid w:val="003E4B18"/>
    <w:rsid w:val="003E5554"/>
    <w:rsid w:val="003E58C3"/>
    <w:rsid w:val="003E5C14"/>
    <w:rsid w:val="003E64E5"/>
    <w:rsid w:val="003E6721"/>
    <w:rsid w:val="003E680B"/>
    <w:rsid w:val="003E735F"/>
    <w:rsid w:val="003E751E"/>
    <w:rsid w:val="003F03F4"/>
    <w:rsid w:val="003F05CB"/>
    <w:rsid w:val="003F08D2"/>
    <w:rsid w:val="003F1072"/>
    <w:rsid w:val="003F2766"/>
    <w:rsid w:val="003F2A76"/>
    <w:rsid w:val="003F2EC4"/>
    <w:rsid w:val="003F338A"/>
    <w:rsid w:val="003F3A27"/>
    <w:rsid w:val="003F478C"/>
    <w:rsid w:val="003F4AF1"/>
    <w:rsid w:val="003F59BE"/>
    <w:rsid w:val="003F5CE2"/>
    <w:rsid w:val="003F7206"/>
    <w:rsid w:val="003F791A"/>
    <w:rsid w:val="003F79A3"/>
    <w:rsid w:val="003F7BD2"/>
    <w:rsid w:val="004000F0"/>
    <w:rsid w:val="0040013E"/>
    <w:rsid w:val="0040021F"/>
    <w:rsid w:val="00400CA1"/>
    <w:rsid w:val="00400E91"/>
    <w:rsid w:val="00400F9B"/>
    <w:rsid w:val="00401064"/>
    <w:rsid w:val="00402B89"/>
    <w:rsid w:val="00402FDF"/>
    <w:rsid w:val="00403370"/>
    <w:rsid w:val="00403C96"/>
    <w:rsid w:val="00406063"/>
    <w:rsid w:val="0040673E"/>
    <w:rsid w:val="0040757D"/>
    <w:rsid w:val="00407ACB"/>
    <w:rsid w:val="004107DC"/>
    <w:rsid w:val="004109BF"/>
    <w:rsid w:val="00411B80"/>
    <w:rsid w:val="0041266F"/>
    <w:rsid w:val="00413325"/>
    <w:rsid w:val="004137A3"/>
    <w:rsid w:val="004142DB"/>
    <w:rsid w:val="0041457C"/>
    <w:rsid w:val="00414778"/>
    <w:rsid w:val="0041495E"/>
    <w:rsid w:val="0041538A"/>
    <w:rsid w:val="004158E1"/>
    <w:rsid w:val="00415D40"/>
    <w:rsid w:val="00415EE5"/>
    <w:rsid w:val="004160BE"/>
    <w:rsid w:val="004163AD"/>
    <w:rsid w:val="00417909"/>
    <w:rsid w:val="0042060F"/>
    <w:rsid w:val="00420E8F"/>
    <w:rsid w:val="004217F3"/>
    <w:rsid w:val="00421DCF"/>
    <w:rsid w:val="004233F0"/>
    <w:rsid w:val="004250A4"/>
    <w:rsid w:val="00425CEC"/>
    <w:rsid w:val="00426EB5"/>
    <w:rsid w:val="004275B2"/>
    <w:rsid w:val="004315BB"/>
    <w:rsid w:val="0043185A"/>
    <w:rsid w:val="0043218D"/>
    <w:rsid w:val="0043235A"/>
    <w:rsid w:val="00432516"/>
    <w:rsid w:val="00432758"/>
    <w:rsid w:val="004330FA"/>
    <w:rsid w:val="00433567"/>
    <w:rsid w:val="00433627"/>
    <w:rsid w:val="00433A4B"/>
    <w:rsid w:val="00433CBC"/>
    <w:rsid w:val="00433D83"/>
    <w:rsid w:val="00434CA4"/>
    <w:rsid w:val="00435AA8"/>
    <w:rsid w:val="0043692E"/>
    <w:rsid w:val="0043706A"/>
    <w:rsid w:val="004410CB"/>
    <w:rsid w:val="00441CD1"/>
    <w:rsid w:val="00442C44"/>
    <w:rsid w:val="00442F42"/>
    <w:rsid w:val="004435CA"/>
    <w:rsid w:val="004445C1"/>
    <w:rsid w:val="0044491F"/>
    <w:rsid w:val="00444B03"/>
    <w:rsid w:val="00445B33"/>
    <w:rsid w:val="00445BF8"/>
    <w:rsid w:val="00446071"/>
    <w:rsid w:val="00446CE0"/>
    <w:rsid w:val="00447E3A"/>
    <w:rsid w:val="0045124E"/>
    <w:rsid w:val="004517C2"/>
    <w:rsid w:val="00451898"/>
    <w:rsid w:val="00451968"/>
    <w:rsid w:val="00451E10"/>
    <w:rsid w:val="00452CCD"/>
    <w:rsid w:val="00453B83"/>
    <w:rsid w:val="00454605"/>
    <w:rsid w:val="00455016"/>
    <w:rsid w:val="00455608"/>
    <w:rsid w:val="00456310"/>
    <w:rsid w:val="0045657F"/>
    <w:rsid w:val="00456DA7"/>
    <w:rsid w:val="00456F72"/>
    <w:rsid w:val="004572B3"/>
    <w:rsid w:val="00457640"/>
    <w:rsid w:val="00457F28"/>
    <w:rsid w:val="004607EB"/>
    <w:rsid w:val="00460DF7"/>
    <w:rsid w:val="00461312"/>
    <w:rsid w:val="004614E3"/>
    <w:rsid w:val="00461843"/>
    <w:rsid w:val="004622F2"/>
    <w:rsid w:val="004625DF"/>
    <w:rsid w:val="004627E9"/>
    <w:rsid w:val="0046303F"/>
    <w:rsid w:val="004635A1"/>
    <w:rsid w:val="00463713"/>
    <w:rsid w:val="004637EF"/>
    <w:rsid w:val="0046385E"/>
    <w:rsid w:val="00463AAF"/>
    <w:rsid w:val="004645A3"/>
    <w:rsid w:val="00464662"/>
    <w:rsid w:val="00465056"/>
    <w:rsid w:val="004650E4"/>
    <w:rsid w:val="00466923"/>
    <w:rsid w:val="004669E6"/>
    <w:rsid w:val="00466D26"/>
    <w:rsid w:val="004705A8"/>
    <w:rsid w:val="0047093A"/>
    <w:rsid w:val="0047237F"/>
    <w:rsid w:val="00472B5B"/>
    <w:rsid w:val="00472E8B"/>
    <w:rsid w:val="00472EA4"/>
    <w:rsid w:val="0047353F"/>
    <w:rsid w:val="004748A6"/>
    <w:rsid w:val="00474EDF"/>
    <w:rsid w:val="00475F59"/>
    <w:rsid w:val="0047600E"/>
    <w:rsid w:val="004763C0"/>
    <w:rsid w:val="00476701"/>
    <w:rsid w:val="0047719C"/>
    <w:rsid w:val="004774FE"/>
    <w:rsid w:val="00477743"/>
    <w:rsid w:val="004779CD"/>
    <w:rsid w:val="00477D62"/>
    <w:rsid w:val="00480DA6"/>
    <w:rsid w:val="004819F4"/>
    <w:rsid w:val="00481FFB"/>
    <w:rsid w:val="0048204D"/>
    <w:rsid w:val="00483765"/>
    <w:rsid w:val="00483AF8"/>
    <w:rsid w:val="00484050"/>
    <w:rsid w:val="004842C8"/>
    <w:rsid w:val="0048586A"/>
    <w:rsid w:val="00486847"/>
    <w:rsid w:val="00487365"/>
    <w:rsid w:val="00487AFA"/>
    <w:rsid w:val="00490566"/>
    <w:rsid w:val="004907F3"/>
    <w:rsid w:val="00490C21"/>
    <w:rsid w:val="00491109"/>
    <w:rsid w:val="00491F13"/>
    <w:rsid w:val="00491F96"/>
    <w:rsid w:val="004925E8"/>
    <w:rsid w:val="00492E59"/>
    <w:rsid w:val="00494145"/>
    <w:rsid w:val="00494FEB"/>
    <w:rsid w:val="0049689C"/>
    <w:rsid w:val="00496940"/>
    <w:rsid w:val="0049734F"/>
    <w:rsid w:val="004977B4"/>
    <w:rsid w:val="00497F23"/>
    <w:rsid w:val="004A0487"/>
    <w:rsid w:val="004A1213"/>
    <w:rsid w:val="004A1EA9"/>
    <w:rsid w:val="004A206C"/>
    <w:rsid w:val="004A20F6"/>
    <w:rsid w:val="004A2241"/>
    <w:rsid w:val="004A3106"/>
    <w:rsid w:val="004A32BA"/>
    <w:rsid w:val="004A54EE"/>
    <w:rsid w:val="004A6083"/>
    <w:rsid w:val="004A685E"/>
    <w:rsid w:val="004A6947"/>
    <w:rsid w:val="004A6A12"/>
    <w:rsid w:val="004A6EEF"/>
    <w:rsid w:val="004A6FDC"/>
    <w:rsid w:val="004A713A"/>
    <w:rsid w:val="004A7F58"/>
    <w:rsid w:val="004B1325"/>
    <w:rsid w:val="004B1C36"/>
    <w:rsid w:val="004B2684"/>
    <w:rsid w:val="004B26D2"/>
    <w:rsid w:val="004B2DE1"/>
    <w:rsid w:val="004B44C2"/>
    <w:rsid w:val="004B54F2"/>
    <w:rsid w:val="004B65CD"/>
    <w:rsid w:val="004B732E"/>
    <w:rsid w:val="004B7BB0"/>
    <w:rsid w:val="004C03C0"/>
    <w:rsid w:val="004C0554"/>
    <w:rsid w:val="004C0632"/>
    <w:rsid w:val="004C0DC9"/>
    <w:rsid w:val="004C113E"/>
    <w:rsid w:val="004C26F9"/>
    <w:rsid w:val="004C27EE"/>
    <w:rsid w:val="004C2AF9"/>
    <w:rsid w:val="004C326E"/>
    <w:rsid w:val="004C4A17"/>
    <w:rsid w:val="004C512E"/>
    <w:rsid w:val="004C5D03"/>
    <w:rsid w:val="004C5F2C"/>
    <w:rsid w:val="004C5F7B"/>
    <w:rsid w:val="004C62E5"/>
    <w:rsid w:val="004C7F1E"/>
    <w:rsid w:val="004D06BB"/>
    <w:rsid w:val="004D09E3"/>
    <w:rsid w:val="004D0D8C"/>
    <w:rsid w:val="004D18AD"/>
    <w:rsid w:val="004D1F4A"/>
    <w:rsid w:val="004D25E5"/>
    <w:rsid w:val="004D2D6F"/>
    <w:rsid w:val="004D2D8E"/>
    <w:rsid w:val="004D40BE"/>
    <w:rsid w:val="004D44B1"/>
    <w:rsid w:val="004D44EF"/>
    <w:rsid w:val="004D49BB"/>
    <w:rsid w:val="004D5197"/>
    <w:rsid w:val="004D5FA6"/>
    <w:rsid w:val="004D619D"/>
    <w:rsid w:val="004D677B"/>
    <w:rsid w:val="004D7835"/>
    <w:rsid w:val="004E0526"/>
    <w:rsid w:val="004E0C7D"/>
    <w:rsid w:val="004E2063"/>
    <w:rsid w:val="004E2129"/>
    <w:rsid w:val="004E2356"/>
    <w:rsid w:val="004E28BE"/>
    <w:rsid w:val="004E2DE8"/>
    <w:rsid w:val="004E4421"/>
    <w:rsid w:val="004E4BE0"/>
    <w:rsid w:val="004E5BA5"/>
    <w:rsid w:val="004E5E45"/>
    <w:rsid w:val="004E660B"/>
    <w:rsid w:val="004E6FC4"/>
    <w:rsid w:val="004E7F5A"/>
    <w:rsid w:val="004F0C49"/>
    <w:rsid w:val="004F103C"/>
    <w:rsid w:val="004F1237"/>
    <w:rsid w:val="004F13D5"/>
    <w:rsid w:val="004F14E5"/>
    <w:rsid w:val="004F1B13"/>
    <w:rsid w:val="004F2751"/>
    <w:rsid w:val="004F2E72"/>
    <w:rsid w:val="004F44DF"/>
    <w:rsid w:val="004F457D"/>
    <w:rsid w:val="004F4670"/>
    <w:rsid w:val="004F4DE2"/>
    <w:rsid w:val="004F4F17"/>
    <w:rsid w:val="004F52DA"/>
    <w:rsid w:val="004F720E"/>
    <w:rsid w:val="004F73BA"/>
    <w:rsid w:val="004F74DB"/>
    <w:rsid w:val="004F78CB"/>
    <w:rsid w:val="005007D7"/>
    <w:rsid w:val="00501DD5"/>
    <w:rsid w:val="00501F80"/>
    <w:rsid w:val="00502053"/>
    <w:rsid w:val="0050240A"/>
    <w:rsid w:val="00502BE9"/>
    <w:rsid w:val="00503061"/>
    <w:rsid w:val="0050329D"/>
    <w:rsid w:val="00503938"/>
    <w:rsid w:val="00503D8A"/>
    <w:rsid w:val="00504CF7"/>
    <w:rsid w:val="00504F64"/>
    <w:rsid w:val="0050580D"/>
    <w:rsid w:val="0050598E"/>
    <w:rsid w:val="00505DA7"/>
    <w:rsid w:val="00507D02"/>
    <w:rsid w:val="00507FE1"/>
    <w:rsid w:val="0051084C"/>
    <w:rsid w:val="00510AD1"/>
    <w:rsid w:val="00511D73"/>
    <w:rsid w:val="005120CF"/>
    <w:rsid w:val="005127BB"/>
    <w:rsid w:val="00513084"/>
    <w:rsid w:val="00513379"/>
    <w:rsid w:val="0051352A"/>
    <w:rsid w:val="0051415F"/>
    <w:rsid w:val="00514519"/>
    <w:rsid w:val="00515396"/>
    <w:rsid w:val="00515A65"/>
    <w:rsid w:val="00516341"/>
    <w:rsid w:val="0051637B"/>
    <w:rsid w:val="00517278"/>
    <w:rsid w:val="00517B97"/>
    <w:rsid w:val="00517E1C"/>
    <w:rsid w:val="00520487"/>
    <w:rsid w:val="00520543"/>
    <w:rsid w:val="005208F8"/>
    <w:rsid w:val="0052166B"/>
    <w:rsid w:val="00523059"/>
    <w:rsid w:val="005240A5"/>
    <w:rsid w:val="0052416C"/>
    <w:rsid w:val="005242A3"/>
    <w:rsid w:val="00524456"/>
    <w:rsid w:val="005244AC"/>
    <w:rsid w:val="00524A46"/>
    <w:rsid w:val="00526BE7"/>
    <w:rsid w:val="0052708B"/>
    <w:rsid w:val="005271EA"/>
    <w:rsid w:val="0052723B"/>
    <w:rsid w:val="00527687"/>
    <w:rsid w:val="00527BFA"/>
    <w:rsid w:val="00527C08"/>
    <w:rsid w:val="005303F5"/>
    <w:rsid w:val="00530617"/>
    <w:rsid w:val="00530BB2"/>
    <w:rsid w:val="00530E05"/>
    <w:rsid w:val="00532012"/>
    <w:rsid w:val="00532850"/>
    <w:rsid w:val="005329A5"/>
    <w:rsid w:val="00533436"/>
    <w:rsid w:val="005335CD"/>
    <w:rsid w:val="00533A98"/>
    <w:rsid w:val="00533BFE"/>
    <w:rsid w:val="0053440A"/>
    <w:rsid w:val="0053492F"/>
    <w:rsid w:val="00534D60"/>
    <w:rsid w:val="005356F0"/>
    <w:rsid w:val="00535DF4"/>
    <w:rsid w:val="00536E68"/>
    <w:rsid w:val="00537232"/>
    <w:rsid w:val="0054027B"/>
    <w:rsid w:val="005420E0"/>
    <w:rsid w:val="005431CA"/>
    <w:rsid w:val="00544153"/>
    <w:rsid w:val="0054460B"/>
    <w:rsid w:val="00544DAE"/>
    <w:rsid w:val="005467EB"/>
    <w:rsid w:val="0054739D"/>
    <w:rsid w:val="005475AC"/>
    <w:rsid w:val="00547723"/>
    <w:rsid w:val="005505BD"/>
    <w:rsid w:val="00550AF3"/>
    <w:rsid w:val="00550F09"/>
    <w:rsid w:val="005512F8"/>
    <w:rsid w:val="005515A6"/>
    <w:rsid w:val="00551A7A"/>
    <w:rsid w:val="00551B68"/>
    <w:rsid w:val="005523D3"/>
    <w:rsid w:val="0055254C"/>
    <w:rsid w:val="0055277E"/>
    <w:rsid w:val="005528DA"/>
    <w:rsid w:val="005535E6"/>
    <w:rsid w:val="0055479C"/>
    <w:rsid w:val="005561FC"/>
    <w:rsid w:val="005563D8"/>
    <w:rsid w:val="00556518"/>
    <w:rsid w:val="00556BFB"/>
    <w:rsid w:val="00557D7E"/>
    <w:rsid w:val="00560BDE"/>
    <w:rsid w:val="00560F02"/>
    <w:rsid w:val="00561087"/>
    <w:rsid w:val="00561946"/>
    <w:rsid w:val="00561E45"/>
    <w:rsid w:val="00562822"/>
    <w:rsid w:val="00562DED"/>
    <w:rsid w:val="00563218"/>
    <w:rsid w:val="005646AE"/>
    <w:rsid w:val="005650E0"/>
    <w:rsid w:val="0056528E"/>
    <w:rsid w:val="00565957"/>
    <w:rsid w:val="00565ADE"/>
    <w:rsid w:val="00565AFF"/>
    <w:rsid w:val="005662C7"/>
    <w:rsid w:val="00566760"/>
    <w:rsid w:val="0056706E"/>
    <w:rsid w:val="00567156"/>
    <w:rsid w:val="005712A2"/>
    <w:rsid w:val="0057278E"/>
    <w:rsid w:val="005728A0"/>
    <w:rsid w:val="00572D34"/>
    <w:rsid w:val="00572E5C"/>
    <w:rsid w:val="00574510"/>
    <w:rsid w:val="0057654C"/>
    <w:rsid w:val="00576609"/>
    <w:rsid w:val="0057675C"/>
    <w:rsid w:val="005767F1"/>
    <w:rsid w:val="00576F88"/>
    <w:rsid w:val="00577741"/>
    <w:rsid w:val="00577874"/>
    <w:rsid w:val="005778BE"/>
    <w:rsid w:val="00577FA7"/>
    <w:rsid w:val="00580B6F"/>
    <w:rsid w:val="00581DFF"/>
    <w:rsid w:val="00583216"/>
    <w:rsid w:val="00583278"/>
    <w:rsid w:val="00583B8F"/>
    <w:rsid w:val="00583C6D"/>
    <w:rsid w:val="00583F72"/>
    <w:rsid w:val="005841B5"/>
    <w:rsid w:val="0058423A"/>
    <w:rsid w:val="00585660"/>
    <w:rsid w:val="00585668"/>
    <w:rsid w:val="00585884"/>
    <w:rsid w:val="00585D93"/>
    <w:rsid w:val="0058638B"/>
    <w:rsid w:val="005865B8"/>
    <w:rsid w:val="00586BCC"/>
    <w:rsid w:val="00587E94"/>
    <w:rsid w:val="00590958"/>
    <w:rsid w:val="00590981"/>
    <w:rsid w:val="00590C42"/>
    <w:rsid w:val="005912DC"/>
    <w:rsid w:val="00591EC1"/>
    <w:rsid w:val="00593589"/>
    <w:rsid w:val="0059454E"/>
    <w:rsid w:val="0059481A"/>
    <w:rsid w:val="005957DF"/>
    <w:rsid w:val="00595A14"/>
    <w:rsid w:val="00595B55"/>
    <w:rsid w:val="00595BE2"/>
    <w:rsid w:val="00596305"/>
    <w:rsid w:val="005972B1"/>
    <w:rsid w:val="00597316"/>
    <w:rsid w:val="00597E5A"/>
    <w:rsid w:val="00597F08"/>
    <w:rsid w:val="005A1923"/>
    <w:rsid w:val="005A2027"/>
    <w:rsid w:val="005A2251"/>
    <w:rsid w:val="005A2311"/>
    <w:rsid w:val="005A2F70"/>
    <w:rsid w:val="005A3064"/>
    <w:rsid w:val="005A3EC5"/>
    <w:rsid w:val="005A528A"/>
    <w:rsid w:val="005A579C"/>
    <w:rsid w:val="005A6085"/>
    <w:rsid w:val="005A6387"/>
    <w:rsid w:val="005A7215"/>
    <w:rsid w:val="005B1179"/>
    <w:rsid w:val="005B12E0"/>
    <w:rsid w:val="005B138A"/>
    <w:rsid w:val="005B21D7"/>
    <w:rsid w:val="005B30D5"/>
    <w:rsid w:val="005B314A"/>
    <w:rsid w:val="005B34B2"/>
    <w:rsid w:val="005B410D"/>
    <w:rsid w:val="005B4196"/>
    <w:rsid w:val="005B4E50"/>
    <w:rsid w:val="005B54AF"/>
    <w:rsid w:val="005B6554"/>
    <w:rsid w:val="005B7C5A"/>
    <w:rsid w:val="005C0113"/>
    <w:rsid w:val="005C05FD"/>
    <w:rsid w:val="005C0BEA"/>
    <w:rsid w:val="005C1BA0"/>
    <w:rsid w:val="005C1F5F"/>
    <w:rsid w:val="005C28F6"/>
    <w:rsid w:val="005C31F0"/>
    <w:rsid w:val="005C3902"/>
    <w:rsid w:val="005C3CED"/>
    <w:rsid w:val="005C432F"/>
    <w:rsid w:val="005C44D2"/>
    <w:rsid w:val="005C4BAB"/>
    <w:rsid w:val="005C5044"/>
    <w:rsid w:val="005C5395"/>
    <w:rsid w:val="005C5CBE"/>
    <w:rsid w:val="005C6744"/>
    <w:rsid w:val="005C6C2B"/>
    <w:rsid w:val="005C79F7"/>
    <w:rsid w:val="005D0115"/>
    <w:rsid w:val="005D0C1C"/>
    <w:rsid w:val="005D102B"/>
    <w:rsid w:val="005D10FE"/>
    <w:rsid w:val="005D1A60"/>
    <w:rsid w:val="005D1ED5"/>
    <w:rsid w:val="005D2208"/>
    <w:rsid w:val="005D2516"/>
    <w:rsid w:val="005D265D"/>
    <w:rsid w:val="005D290F"/>
    <w:rsid w:val="005D2E1E"/>
    <w:rsid w:val="005D308A"/>
    <w:rsid w:val="005D31F6"/>
    <w:rsid w:val="005D3C00"/>
    <w:rsid w:val="005D3F71"/>
    <w:rsid w:val="005D5C0D"/>
    <w:rsid w:val="005D5C95"/>
    <w:rsid w:val="005D6283"/>
    <w:rsid w:val="005D6454"/>
    <w:rsid w:val="005D6E28"/>
    <w:rsid w:val="005D6FF1"/>
    <w:rsid w:val="005E055C"/>
    <w:rsid w:val="005E06A6"/>
    <w:rsid w:val="005E082B"/>
    <w:rsid w:val="005E097D"/>
    <w:rsid w:val="005E1124"/>
    <w:rsid w:val="005E171E"/>
    <w:rsid w:val="005E221E"/>
    <w:rsid w:val="005E2C6B"/>
    <w:rsid w:val="005E2EFD"/>
    <w:rsid w:val="005E3E43"/>
    <w:rsid w:val="005E411C"/>
    <w:rsid w:val="005E5527"/>
    <w:rsid w:val="005E5A47"/>
    <w:rsid w:val="005E6CD3"/>
    <w:rsid w:val="005E6FE2"/>
    <w:rsid w:val="005E7DA8"/>
    <w:rsid w:val="005F25F0"/>
    <w:rsid w:val="005F28F1"/>
    <w:rsid w:val="005F2EB5"/>
    <w:rsid w:val="005F3663"/>
    <w:rsid w:val="005F3D8D"/>
    <w:rsid w:val="005F45C7"/>
    <w:rsid w:val="005F466A"/>
    <w:rsid w:val="005F5CB8"/>
    <w:rsid w:val="005F5DAC"/>
    <w:rsid w:val="005F63CE"/>
    <w:rsid w:val="005F78E7"/>
    <w:rsid w:val="006003F6"/>
    <w:rsid w:val="00600ED5"/>
    <w:rsid w:val="00601170"/>
    <w:rsid w:val="00601E40"/>
    <w:rsid w:val="00602F00"/>
    <w:rsid w:val="00603143"/>
    <w:rsid w:val="00603796"/>
    <w:rsid w:val="006039D2"/>
    <w:rsid w:val="00603B1F"/>
    <w:rsid w:val="0060404D"/>
    <w:rsid w:val="0060439F"/>
    <w:rsid w:val="006050AF"/>
    <w:rsid w:val="00605613"/>
    <w:rsid w:val="0060673A"/>
    <w:rsid w:val="00606C4F"/>
    <w:rsid w:val="006072A5"/>
    <w:rsid w:val="006075E7"/>
    <w:rsid w:val="00607962"/>
    <w:rsid w:val="006102B3"/>
    <w:rsid w:val="0061065F"/>
    <w:rsid w:val="00610D7C"/>
    <w:rsid w:val="00610E59"/>
    <w:rsid w:val="00611FDB"/>
    <w:rsid w:val="0061291B"/>
    <w:rsid w:val="00612B80"/>
    <w:rsid w:val="00612ECC"/>
    <w:rsid w:val="00612F99"/>
    <w:rsid w:val="0061322A"/>
    <w:rsid w:val="00613A6A"/>
    <w:rsid w:val="00613A91"/>
    <w:rsid w:val="00613C65"/>
    <w:rsid w:val="00614238"/>
    <w:rsid w:val="00614AE5"/>
    <w:rsid w:val="00614D73"/>
    <w:rsid w:val="00615381"/>
    <w:rsid w:val="00615436"/>
    <w:rsid w:val="006155F0"/>
    <w:rsid w:val="006159C8"/>
    <w:rsid w:val="006207F3"/>
    <w:rsid w:val="0062108C"/>
    <w:rsid w:val="006213F7"/>
    <w:rsid w:val="006219B8"/>
    <w:rsid w:val="006231E8"/>
    <w:rsid w:val="006237E5"/>
    <w:rsid w:val="00624D41"/>
    <w:rsid w:val="00624E77"/>
    <w:rsid w:val="00625297"/>
    <w:rsid w:val="00625560"/>
    <w:rsid w:val="006262DC"/>
    <w:rsid w:val="00626669"/>
    <w:rsid w:val="006268CA"/>
    <w:rsid w:val="006276BD"/>
    <w:rsid w:val="00627900"/>
    <w:rsid w:val="00627D81"/>
    <w:rsid w:val="00630060"/>
    <w:rsid w:val="0063050C"/>
    <w:rsid w:val="00630962"/>
    <w:rsid w:val="00630C39"/>
    <w:rsid w:val="00630D05"/>
    <w:rsid w:val="00631449"/>
    <w:rsid w:val="0063153D"/>
    <w:rsid w:val="00631A48"/>
    <w:rsid w:val="0063200E"/>
    <w:rsid w:val="006326BD"/>
    <w:rsid w:val="0063333C"/>
    <w:rsid w:val="00633393"/>
    <w:rsid w:val="00633415"/>
    <w:rsid w:val="0063376C"/>
    <w:rsid w:val="00633D7D"/>
    <w:rsid w:val="00634191"/>
    <w:rsid w:val="00634D44"/>
    <w:rsid w:val="006352A8"/>
    <w:rsid w:val="006356DE"/>
    <w:rsid w:val="0063574A"/>
    <w:rsid w:val="00635BC9"/>
    <w:rsid w:val="00635CDD"/>
    <w:rsid w:val="00635E2D"/>
    <w:rsid w:val="00637362"/>
    <w:rsid w:val="00637A51"/>
    <w:rsid w:val="00637DFF"/>
    <w:rsid w:val="00637FF4"/>
    <w:rsid w:val="006400FD"/>
    <w:rsid w:val="006414E5"/>
    <w:rsid w:val="006425AD"/>
    <w:rsid w:val="006427C7"/>
    <w:rsid w:val="00643458"/>
    <w:rsid w:val="006445F8"/>
    <w:rsid w:val="00644838"/>
    <w:rsid w:val="00644986"/>
    <w:rsid w:val="00646968"/>
    <w:rsid w:val="00646DE2"/>
    <w:rsid w:val="006470B8"/>
    <w:rsid w:val="00647732"/>
    <w:rsid w:val="00647F0E"/>
    <w:rsid w:val="00651340"/>
    <w:rsid w:val="0065175E"/>
    <w:rsid w:val="0065181C"/>
    <w:rsid w:val="00651B72"/>
    <w:rsid w:val="006520CE"/>
    <w:rsid w:val="00652561"/>
    <w:rsid w:val="00652FDF"/>
    <w:rsid w:val="00654229"/>
    <w:rsid w:val="00654CCC"/>
    <w:rsid w:val="00654FF8"/>
    <w:rsid w:val="006558C6"/>
    <w:rsid w:val="00656D36"/>
    <w:rsid w:val="00657134"/>
    <w:rsid w:val="00657AD2"/>
    <w:rsid w:val="00657B85"/>
    <w:rsid w:val="00660F90"/>
    <w:rsid w:val="00661F76"/>
    <w:rsid w:val="0066209D"/>
    <w:rsid w:val="0066399B"/>
    <w:rsid w:val="006647A8"/>
    <w:rsid w:val="006654B2"/>
    <w:rsid w:val="006656E8"/>
    <w:rsid w:val="00665F51"/>
    <w:rsid w:val="00665F63"/>
    <w:rsid w:val="00667314"/>
    <w:rsid w:val="006674F2"/>
    <w:rsid w:val="00667953"/>
    <w:rsid w:val="006703B7"/>
    <w:rsid w:val="0067136E"/>
    <w:rsid w:val="006724D7"/>
    <w:rsid w:val="00672B6F"/>
    <w:rsid w:val="00673729"/>
    <w:rsid w:val="006747A4"/>
    <w:rsid w:val="0067487F"/>
    <w:rsid w:val="00675226"/>
    <w:rsid w:val="00675696"/>
    <w:rsid w:val="00676444"/>
    <w:rsid w:val="0067656A"/>
    <w:rsid w:val="006765EA"/>
    <w:rsid w:val="006769A9"/>
    <w:rsid w:val="00677502"/>
    <w:rsid w:val="00677CD1"/>
    <w:rsid w:val="00680EAC"/>
    <w:rsid w:val="00681525"/>
    <w:rsid w:val="00681664"/>
    <w:rsid w:val="00681D9F"/>
    <w:rsid w:val="00682834"/>
    <w:rsid w:val="00683293"/>
    <w:rsid w:val="00683433"/>
    <w:rsid w:val="00683B8F"/>
    <w:rsid w:val="00683D30"/>
    <w:rsid w:val="00683EA0"/>
    <w:rsid w:val="0068455B"/>
    <w:rsid w:val="00684861"/>
    <w:rsid w:val="00685630"/>
    <w:rsid w:val="00685821"/>
    <w:rsid w:val="00685DC7"/>
    <w:rsid w:val="006862E3"/>
    <w:rsid w:val="00686768"/>
    <w:rsid w:val="00686DD8"/>
    <w:rsid w:val="00686E8C"/>
    <w:rsid w:val="00687A87"/>
    <w:rsid w:val="00690178"/>
    <w:rsid w:val="006908D5"/>
    <w:rsid w:val="006916BB"/>
    <w:rsid w:val="00691B93"/>
    <w:rsid w:val="006920E8"/>
    <w:rsid w:val="006924FC"/>
    <w:rsid w:val="00692CAD"/>
    <w:rsid w:val="00693D6B"/>
    <w:rsid w:val="0069473C"/>
    <w:rsid w:val="00694BBB"/>
    <w:rsid w:val="00694DD6"/>
    <w:rsid w:val="006952CA"/>
    <w:rsid w:val="00695D31"/>
    <w:rsid w:val="0069625A"/>
    <w:rsid w:val="006972E9"/>
    <w:rsid w:val="00697D25"/>
    <w:rsid w:val="00697FA3"/>
    <w:rsid w:val="006A0DC0"/>
    <w:rsid w:val="006A1906"/>
    <w:rsid w:val="006A1B49"/>
    <w:rsid w:val="006A239B"/>
    <w:rsid w:val="006A23AD"/>
    <w:rsid w:val="006A2465"/>
    <w:rsid w:val="006A35CB"/>
    <w:rsid w:val="006A3776"/>
    <w:rsid w:val="006A3B92"/>
    <w:rsid w:val="006A5219"/>
    <w:rsid w:val="006A6E7C"/>
    <w:rsid w:val="006A6F2E"/>
    <w:rsid w:val="006A6FD4"/>
    <w:rsid w:val="006B0241"/>
    <w:rsid w:val="006B03BD"/>
    <w:rsid w:val="006B0454"/>
    <w:rsid w:val="006B065C"/>
    <w:rsid w:val="006B0C40"/>
    <w:rsid w:val="006B15B7"/>
    <w:rsid w:val="006B1868"/>
    <w:rsid w:val="006B2F6E"/>
    <w:rsid w:val="006B344F"/>
    <w:rsid w:val="006B469B"/>
    <w:rsid w:val="006B4CA7"/>
    <w:rsid w:val="006B5413"/>
    <w:rsid w:val="006B58A9"/>
    <w:rsid w:val="006B663D"/>
    <w:rsid w:val="006B6F4A"/>
    <w:rsid w:val="006B71C6"/>
    <w:rsid w:val="006B729B"/>
    <w:rsid w:val="006B743F"/>
    <w:rsid w:val="006B77A2"/>
    <w:rsid w:val="006B7C8C"/>
    <w:rsid w:val="006C0C9A"/>
    <w:rsid w:val="006C109B"/>
    <w:rsid w:val="006C1C4A"/>
    <w:rsid w:val="006C1D60"/>
    <w:rsid w:val="006C267E"/>
    <w:rsid w:val="006C34B0"/>
    <w:rsid w:val="006C3BC1"/>
    <w:rsid w:val="006C3EE7"/>
    <w:rsid w:val="006C4795"/>
    <w:rsid w:val="006C5BDE"/>
    <w:rsid w:val="006C5DF5"/>
    <w:rsid w:val="006C5E92"/>
    <w:rsid w:val="006C79A5"/>
    <w:rsid w:val="006C7F3F"/>
    <w:rsid w:val="006D0446"/>
    <w:rsid w:val="006D12FF"/>
    <w:rsid w:val="006D14C0"/>
    <w:rsid w:val="006D1787"/>
    <w:rsid w:val="006D1F8E"/>
    <w:rsid w:val="006D278F"/>
    <w:rsid w:val="006D2EE2"/>
    <w:rsid w:val="006D3CA3"/>
    <w:rsid w:val="006D4CFD"/>
    <w:rsid w:val="006D5152"/>
    <w:rsid w:val="006D555C"/>
    <w:rsid w:val="006D5E71"/>
    <w:rsid w:val="006D6CEC"/>
    <w:rsid w:val="006D733D"/>
    <w:rsid w:val="006D7436"/>
    <w:rsid w:val="006E043E"/>
    <w:rsid w:val="006E05C5"/>
    <w:rsid w:val="006E06AF"/>
    <w:rsid w:val="006E0AE9"/>
    <w:rsid w:val="006E0BD8"/>
    <w:rsid w:val="006E0EB1"/>
    <w:rsid w:val="006E2390"/>
    <w:rsid w:val="006E28E1"/>
    <w:rsid w:val="006E2C5A"/>
    <w:rsid w:val="006E31F1"/>
    <w:rsid w:val="006E321F"/>
    <w:rsid w:val="006E3533"/>
    <w:rsid w:val="006E3552"/>
    <w:rsid w:val="006E460A"/>
    <w:rsid w:val="006E46DC"/>
    <w:rsid w:val="006E5886"/>
    <w:rsid w:val="006E58DC"/>
    <w:rsid w:val="006E6211"/>
    <w:rsid w:val="006E6284"/>
    <w:rsid w:val="006E6A6D"/>
    <w:rsid w:val="006E6B26"/>
    <w:rsid w:val="006E70CB"/>
    <w:rsid w:val="006E7785"/>
    <w:rsid w:val="006E79C5"/>
    <w:rsid w:val="006F02EC"/>
    <w:rsid w:val="006F0AF2"/>
    <w:rsid w:val="006F151E"/>
    <w:rsid w:val="006F21D1"/>
    <w:rsid w:val="006F24A3"/>
    <w:rsid w:val="006F2687"/>
    <w:rsid w:val="006F34B4"/>
    <w:rsid w:val="006F3845"/>
    <w:rsid w:val="006F3B08"/>
    <w:rsid w:val="006F3D6B"/>
    <w:rsid w:val="006F3DDE"/>
    <w:rsid w:val="006F4070"/>
    <w:rsid w:val="006F4D30"/>
    <w:rsid w:val="006F4DEA"/>
    <w:rsid w:val="006F55A5"/>
    <w:rsid w:val="006F6000"/>
    <w:rsid w:val="006F6622"/>
    <w:rsid w:val="006F6696"/>
    <w:rsid w:val="006F6E39"/>
    <w:rsid w:val="006F6ECB"/>
    <w:rsid w:val="006F7152"/>
    <w:rsid w:val="00700A94"/>
    <w:rsid w:val="00701043"/>
    <w:rsid w:val="007014CB"/>
    <w:rsid w:val="00701B36"/>
    <w:rsid w:val="00701E57"/>
    <w:rsid w:val="007024A7"/>
    <w:rsid w:val="00702753"/>
    <w:rsid w:val="00702CD2"/>
    <w:rsid w:val="00703794"/>
    <w:rsid w:val="007038DF"/>
    <w:rsid w:val="00704542"/>
    <w:rsid w:val="00704ED7"/>
    <w:rsid w:val="007053CE"/>
    <w:rsid w:val="007056BC"/>
    <w:rsid w:val="007057ED"/>
    <w:rsid w:val="00705C96"/>
    <w:rsid w:val="00706E5E"/>
    <w:rsid w:val="007072C6"/>
    <w:rsid w:val="00707A78"/>
    <w:rsid w:val="00710198"/>
    <w:rsid w:val="00710236"/>
    <w:rsid w:val="007112F9"/>
    <w:rsid w:val="00711540"/>
    <w:rsid w:val="007115D1"/>
    <w:rsid w:val="007119A0"/>
    <w:rsid w:val="00711A46"/>
    <w:rsid w:val="00712B97"/>
    <w:rsid w:val="00712C9F"/>
    <w:rsid w:val="00712FBE"/>
    <w:rsid w:val="00713867"/>
    <w:rsid w:val="007138EF"/>
    <w:rsid w:val="0071409E"/>
    <w:rsid w:val="00714381"/>
    <w:rsid w:val="007146E7"/>
    <w:rsid w:val="00714E9D"/>
    <w:rsid w:val="0071569E"/>
    <w:rsid w:val="00715F01"/>
    <w:rsid w:val="00716090"/>
    <w:rsid w:val="00716311"/>
    <w:rsid w:val="007164CF"/>
    <w:rsid w:val="00716CD5"/>
    <w:rsid w:val="007171D8"/>
    <w:rsid w:val="00717549"/>
    <w:rsid w:val="007179CE"/>
    <w:rsid w:val="00720219"/>
    <w:rsid w:val="007202CF"/>
    <w:rsid w:val="007209B2"/>
    <w:rsid w:val="00720D05"/>
    <w:rsid w:val="00720F9A"/>
    <w:rsid w:val="00721CD7"/>
    <w:rsid w:val="00721E14"/>
    <w:rsid w:val="00722A3C"/>
    <w:rsid w:val="00722D82"/>
    <w:rsid w:val="00722F15"/>
    <w:rsid w:val="00722F2F"/>
    <w:rsid w:val="007237D3"/>
    <w:rsid w:val="00724214"/>
    <w:rsid w:val="007242A2"/>
    <w:rsid w:val="007247D1"/>
    <w:rsid w:val="00724C81"/>
    <w:rsid w:val="00724E87"/>
    <w:rsid w:val="00726BC6"/>
    <w:rsid w:val="00727369"/>
    <w:rsid w:val="00727590"/>
    <w:rsid w:val="00727BFF"/>
    <w:rsid w:val="0073015F"/>
    <w:rsid w:val="00730369"/>
    <w:rsid w:val="007308FA"/>
    <w:rsid w:val="00730B94"/>
    <w:rsid w:val="00730DE0"/>
    <w:rsid w:val="00730FC5"/>
    <w:rsid w:val="00731D1E"/>
    <w:rsid w:val="0073216A"/>
    <w:rsid w:val="007321BF"/>
    <w:rsid w:val="00732583"/>
    <w:rsid w:val="00732C28"/>
    <w:rsid w:val="00732D13"/>
    <w:rsid w:val="007334E8"/>
    <w:rsid w:val="0073479B"/>
    <w:rsid w:val="00735128"/>
    <w:rsid w:val="00735273"/>
    <w:rsid w:val="00735B8B"/>
    <w:rsid w:val="00735CF1"/>
    <w:rsid w:val="007363D2"/>
    <w:rsid w:val="007369D7"/>
    <w:rsid w:val="00736B77"/>
    <w:rsid w:val="00737593"/>
    <w:rsid w:val="0073786A"/>
    <w:rsid w:val="007403F8"/>
    <w:rsid w:val="007412E4"/>
    <w:rsid w:val="00741D93"/>
    <w:rsid w:val="00742233"/>
    <w:rsid w:val="00742C50"/>
    <w:rsid w:val="00743D0F"/>
    <w:rsid w:val="00743DF4"/>
    <w:rsid w:val="00743FE0"/>
    <w:rsid w:val="007441E2"/>
    <w:rsid w:val="00744377"/>
    <w:rsid w:val="00745771"/>
    <w:rsid w:val="00745FBB"/>
    <w:rsid w:val="00746683"/>
    <w:rsid w:val="0074717C"/>
    <w:rsid w:val="007472E4"/>
    <w:rsid w:val="007475E8"/>
    <w:rsid w:val="00750176"/>
    <w:rsid w:val="00750CC0"/>
    <w:rsid w:val="00751A4E"/>
    <w:rsid w:val="00752828"/>
    <w:rsid w:val="007545AD"/>
    <w:rsid w:val="007547D0"/>
    <w:rsid w:val="00754B31"/>
    <w:rsid w:val="00755A9E"/>
    <w:rsid w:val="00756508"/>
    <w:rsid w:val="0075688C"/>
    <w:rsid w:val="00756F28"/>
    <w:rsid w:val="00757036"/>
    <w:rsid w:val="0075748A"/>
    <w:rsid w:val="0075763F"/>
    <w:rsid w:val="00757FAE"/>
    <w:rsid w:val="00757FB8"/>
    <w:rsid w:val="00757FF4"/>
    <w:rsid w:val="00760BDF"/>
    <w:rsid w:val="00761C51"/>
    <w:rsid w:val="007630B7"/>
    <w:rsid w:val="00763488"/>
    <w:rsid w:val="007634FE"/>
    <w:rsid w:val="0076380C"/>
    <w:rsid w:val="007649B3"/>
    <w:rsid w:val="00764E73"/>
    <w:rsid w:val="0076552D"/>
    <w:rsid w:val="00766B39"/>
    <w:rsid w:val="0076715A"/>
    <w:rsid w:val="0076718B"/>
    <w:rsid w:val="0076790B"/>
    <w:rsid w:val="00767D62"/>
    <w:rsid w:val="007709E4"/>
    <w:rsid w:val="00770B12"/>
    <w:rsid w:val="00770E1F"/>
    <w:rsid w:val="0077100A"/>
    <w:rsid w:val="00771501"/>
    <w:rsid w:val="00771623"/>
    <w:rsid w:val="00771AD0"/>
    <w:rsid w:val="00772089"/>
    <w:rsid w:val="00772736"/>
    <w:rsid w:val="00773CCA"/>
    <w:rsid w:val="007740F7"/>
    <w:rsid w:val="0077433B"/>
    <w:rsid w:val="00774AC8"/>
    <w:rsid w:val="00774EC7"/>
    <w:rsid w:val="007754A2"/>
    <w:rsid w:val="007759D1"/>
    <w:rsid w:val="00775D56"/>
    <w:rsid w:val="00775EDF"/>
    <w:rsid w:val="007760B9"/>
    <w:rsid w:val="00776C2A"/>
    <w:rsid w:val="00776C7D"/>
    <w:rsid w:val="007771E9"/>
    <w:rsid w:val="00777B4D"/>
    <w:rsid w:val="007806C9"/>
    <w:rsid w:val="00780FC7"/>
    <w:rsid w:val="007811E1"/>
    <w:rsid w:val="0078161A"/>
    <w:rsid w:val="00781DC7"/>
    <w:rsid w:val="00783AFD"/>
    <w:rsid w:val="00783E19"/>
    <w:rsid w:val="00783F1E"/>
    <w:rsid w:val="007844FF"/>
    <w:rsid w:val="00784A1E"/>
    <w:rsid w:val="00784B3B"/>
    <w:rsid w:val="00784C40"/>
    <w:rsid w:val="007852B3"/>
    <w:rsid w:val="00785EDD"/>
    <w:rsid w:val="00786F26"/>
    <w:rsid w:val="00787850"/>
    <w:rsid w:val="00787F13"/>
    <w:rsid w:val="007911AE"/>
    <w:rsid w:val="00792856"/>
    <w:rsid w:val="00793B82"/>
    <w:rsid w:val="00794716"/>
    <w:rsid w:val="00794844"/>
    <w:rsid w:val="00794B62"/>
    <w:rsid w:val="00794BDD"/>
    <w:rsid w:val="0079507D"/>
    <w:rsid w:val="007953CE"/>
    <w:rsid w:val="0079554E"/>
    <w:rsid w:val="007955DC"/>
    <w:rsid w:val="00795FBC"/>
    <w:rsid w:val="00796591"/>
    <w:rsid w:val="00796973"/>
    <w:rsid w:val="00796E31"/>
    <w:rsid w:val="00796F02"/>
    <w:rsid w:val="00797179"/>
    <w:rsid w:val="007971AA"/>
    <w:rsid w:val="00797AD2"/>
    <w:rsid w:val="00797B92"/>
    <w:rsid w:val="007A0303"/>
    <w:rsid w:val="007A04EF"/>
    <w:rsid w:val="007A0F4D"/>
    <w:rsid w:val="007A1059"/>
    <w:rsid w:val="007A2299"/>
    <w:rsid w:val="007A2603"/>
    <w:rsid w:val="007A2FFC"/>
    <w:rsid w:val="007A3208"/>
    <w:rsid w:val="007A33F2"/>
    <w:rsid w:val="007A3DCD"/>
    <w:rsid w:val="007A3F6F"/>
    <w:rsid w:val="007A50D4"/>
    <w:rsid w:val="007A56EC"/>
    <w:rsid w:val="007A5DDE"/>
    <w:rsid w:val="007A6733"/>
    <w:rsid w:val="007A6A55"/>
    <w:rsid w:val="007A7613"/>
    <w:rsid w:val="007A7B68"/>
    <w:rsid w:val="007B0939"/>
    <w:rsid w:val="007B12CA"/>
    <w:rsid w:val="007B1481"/>
    <w:rsid w:val="007B1685"/>
    <w:rsid w:val="007B1C4B"/>
    <w:rsid w:val="007B1E05"/>
    <w:rsid w:val="007B21B4"/>
    <w:rsid w:val="007B293F"/>
    <w:rsid w:val="007B3130"/>
    <w:rsid w:val="007B3A0C"/>
    <w:rsid w:val="007B3FCC"/>
    <w:rsid w:val="007B416F"/>
    <w:rsid w:val="007B4BEA"/>
    <w:rsid w:val="007B529B"/>
    <w:rsid w:val="007B541B"/>
    <w:rsid w:val="007B5AE4"/>
    <w:rsid w:val="007B5BBF"/>
    <w:rsid w:val="007B673E"/>
    <w:rsid w:val="007B7532"/>
    <w:rsid w:val="007B7BBF"/>
    <w:rsid w:val="007B7C35"/>
    <w:rsid w:val="007C0525"/>
    <w:rsid w:val="007C07F8"/>
    <w:rsid w:val="007C0FAE"/>
    <w:rsid w:val="007C14AA"/>
    <w:rsid w:val="007C172E"/>
    <w:rsid w:val="007C1C60"/>
    <w:rsid w:val="007C2944"/>
    <w:rsid w:val="007C445E"/>
    <w:rsid w:val="007C4807"/>
    <w:rsid w:val="007C4C91"/>
    <w:rsid w:val="007C544C"/>
    <w:rsid w:val="007C5585"/>
    <w:rsid w:val="007C5DED"/>
    <w:rsid w:val="007C6566"/>
    <w:rsid w:val="007C6B18"/>
    <w:rsid w:val="007C6D74"/>
    <w:rsid w:val="007C70BD"/>
    <w:rsid w:val="007D1C12"/>
    <w:rsid w:val="007D2818"/>
    <w:rsid w:val="007D2844"/>
    <w:rsid w:val="007D307C"/>
    <w:rsid w:val="007D3137"/>
    <w:rsid w:val="007D3B8D"/>
    <w:rsid w:val="007D4639"/>
    <w:rsid w:val="007D58EB"/>
    <w:rsid w:val="007D5AEC"/>
    <w:rsid w:val="007D613C"/>
    <w:rsid w:val="007D6909"/>
    <w:rsid w:val="007D7238"/>
    <w:rsid w:val="007D72E9"/>
    <w:rsid w:val="007D7509"/>
    <w:rsid w:val="007E15E1"/>
    <w:rsid w:val="007E1B9F"/>
    <w:rsid w:val="007E1BCE"/>
    <w:rsid w:val="007E1EBE"/>
    <w:rsid w:val="007E23FF"/>
    <w:rsid w:val="007E26EF"/>
    <w:rsid w:val="007E28AE"/>
    <w:rsid w:val="007E2962"/>
    <w:rsid w:val="007E37DF"/>
    <w:rsid w:val="007E4031"/>
    <w:rsid w:val="007E4632"/>
    <w:rsid w:val="007E469F"/>
    <w:rsid w:val="007E572B"/>
    <w:rsid w:val="007E617B"/>
    <w:rsid w:val="007E701A"/>
    <w:rsid w:val="007E77CE"/>
    <w:rsid w:val="007E780A"/>
    <w:rsid w:val="007E7962"/>
    <w:rsid w:val="007F00B6"/>
    <w:rsid w:val="007F046B"/>
    <w:rsid w:val="007F19A7"/>
    <w:rsid w:val="007F2BEA"/>
    <w:rsid w:val="007F2D5A"/>
    <w:rsid w:val="007F2F39"/>
    <w:rsid w:val="007F39AF"/>
    <w:rsid w:val="007F42AD"/>
    <w:rsid w:val="007F54CA"/>
    <w:rsid w:val="007F578B"/>
    <w:rsid w:val="007F62CF"/>
    <w:rsid w:val="007F66DF"/>
    <w:rsid w:val="007F6C0C"/>
    <w:rsid w:val="007F721B"/>
    <w:rsid w:val="007F7E11"/>
    <w:rsid w:val="00800339"/>
    <w:rsid w:val="0080097E"/>
    <w:rsid w:val="00800D2D"/>
    <w:rsid w:val="00801885"/>
    <w:rsid w:val="00801C2D"/>
    <w:rsid w:val="008025F6"/>
    <w:rsid w:val="008031D7"/>
    <w:rsid w:val="00803A43"/>
    <w:rsid w:val="00803CB6"/>
    <w:rsid w:val="00803DA7"/>
    <w:rsid w:val="00803F65"/>
    <w:rsid w:val="00803FB1"/>
    <w:rsid w:val="00805661"/>
    <w:rsid w:val="00805D24"/>
    <w:rsid w:val="00805EF7"/>
    <w:rsid w:val="008060F3"/>
    <w:rsid w:val="008066DA"/>
    <w:rsid w:val="00806D43"/>
    <w:rsid w:val="00806EB1"/>
    <w:rsid w:val="00807251"/>
    <w:rsid w:val="00807658"/>
    <w:rsid w:val="00807C95"/>
    <w:rsid w:val="00810B54"/>
    <w:rsid w:val="00811243"/>
    <w:rsid w:val="008112CA"/>
    <w:rsid w:val="00811A2B"/>
    <w:rsid w:val="00811CF6"/>
    <w:rsid w:val="00812D18"/>
    <w:rsid w:val="00813AD0"/>
    <w:rsid w:val="008144E0"/>
    <w:rsid w:val="0081461F"/>
    <w:rsid w:val="008152A7"/>
    <w:rsid w:val="00815388"/>
    <w:rsid w:val="008165B1"/>
    <w:rsid w:val="00816CB5"/>
    <w:rsid w:val="00816D19"/>
    <w:rsid w:val="00816F4A"/>
    <w:rsid w:val="0081705D"/>
    <w:rsid w:val="008170D2"/>
    <w:rsid w:val="00817225"/>
    <w:rsid w:val="008176A9"/>
    <w:rsid w:val="0081797F"/>
    <w:rsid w:val="00817BF7"/>
    <w:rsid w:val="00817C1C"/>
    <w:rsid w:val="00820910"/>
    <w:rsid w:val="0082196D"/>
    <w:rsid w:val="008219CB"/>
    <w:rsid w:val="0082338A"/>
    <w:rsid w:val="0082373C"/>
    <w:rsid w:val="00825E39"/>
    <w:rsid w:val="00825E5D"/>
    <w:rsid w:val="008267E5"/>
    <w:rsid w:val="00826989"/>
    <w:rsid w:val="00826F44"/>
    <w:rsid w:val="008274C8"/>
    <w:rsid w:val="008317CD"/>
    <w:rsid w:val="00831BA1"/>
    <w:rsid w:val="008322F6"/>
    <w:rsid w:val="0083269A"/>
    <w:rsid w:val="00832F8F"/>
    <w:rsid w:val="00832FCE"/>
    <w:rsid w:val="008330E4"/>
    <w:rsid w:val="0083364A"/>
    <w:rsid w:val="00833721"/>
    <w:rsid w:val="00834C27"/>
    <w:rsid w:val="00835AB6"/>
    <w:rsid w:val="00835CF9"/>
    <w:rsid w:val="00835F47"/>
    <w:rsid w:val="00836510"/>
    <w:rsid w:val="00840810"/>
    <w:rsid w:val="0084193B"/>
    <w:rsid w:val="00841CAE"/>
    <w:rsid w:val="008426DC"/>
    <w:rsid w:val="00842E2C"/>
    <w:rsid w:val="0084313F"/>
    <w:rsid w:val="008434F8"/>
    <w:rsid w:val="00843CF1"/>
    <w:rsid w:val="00843E8F"/>
    <w:rsid w:val="0084448E"/>
    <w:rsid w:val="00845435"/>
    <w:rsid w:val="00845965"/>
    <w:rsid w:val="00845E18"/>
    <w:rsid w:val="008464F9"/>
    <w:rsid w:val="00847CC8"/>
    <w:rsid w:val="00850280"/>
    <w:rsid w:val="008508E6"/>
    <w:rsid w:val="00850FCB"/>
    <w:rsid w:val="008513EF"/>
    <w:rsid w:val="00851747"/>
    <w:rsid w:val="008518F4"/>
    <w:rsid w:val="00852561"/>
    <w:rsid w:val="00852717"/>
    <w:rsid w:val="008535B8"/>
    <w:rsid w:val="00853BDA"/>
    <w:rsid w:val="00854188"/>
    <w:rsid w:val="00854890"/>
    <w:rsid w:val="00854BF1"/>
    <w:rsid w:val="00854CDA"/>
    <w:rsid w:val="00855D73"/>
    <w:rsid w:val="00856167"/>
    <w:rsid w:val="0085652F"/>
    <w:rsid w:val="008568C4"/>
    <w:rsid w:val="0085706B"/>
    <w:rsid w:val="00857365"/>
    <w:rsid w:val="00857A06"/>
    <w:rsid w:val="008601D5"/>
    <w:rsid w:val="00860501"/>
    <w:rsid w:val="00860D51"/>
    <w:rsid w:val="00860EEC"/>
    <w:rsid w:val="00863513"/>
    <w:rsid w:val="00863DEA"/>
    <w:rsid w:val="00863FA8"/>
    <w:rsid w:val="00864259"/>
    <w:rsid w:val="00864D0A"/>
    <w:rsid w:val="00864F2F"/>
    <w:rsid w:val="008655F8"/>
    <w:rsid w:val="008659AE"/>
    <w:rsid w:val="00865C14"/>
    <w:rsid w:val="00865D45"/>
    <w:rsid w:val="008678B8"/>
    <w:rsid w:val="00867CD0"/>
    <w:rsid w:val="00870536"/>
    <w:rsid w:val="00870E0A"/>
    <w:rsid w:val="00871501"/>
    <w:rsid w:val="0087155B"/>
    <w:rsid w:val="00872842"/>
    <w:rsid w:val="00872DDD"/>
    <w:rsid w:val="00872F77"/>
    <w:rsid w:val="00873B8B"/>
    <w:rsid w:val="008753F8"/>
    <w:rsid w:val="008756A7"/>
    <w:rsid w:val="008767C9"/>
    <w:rsid w:val="00877AD6"/>
    <w:rsid w:val="00877BC0"/>
    <w:rsid w:val="00877E46"/>
    <w:rsid w:val="008808C3"/>
    <w:rsid w:val="00881731"/>
    <w:rsid w:val="008829F7"/>
    <w:rsid w:val="00882EF0"/>
    <w:rsid w:val="008836E0"/>
    <w:rsid w:val="008838D1"/>
    <w:rsid w:val="00883ECC"/>
    <w:rsid w:val="00884AFB"/>
    <w:rsid w:val="008850CC"/>
    <w:rsid w:val="00886491"/>
    <w:rsid w:val="00886716"/>
    <w:rsid w:val="0088683F"/>
    <w:rsid w:val="008869D0"/>
    <w:rsid w:val="00886AB1"/>
    <w:rsid w:val="00886BC1"/>
    <w:rsid w:val="008874DE"/>
    <w:rsid w:val="00887749"/>
    <w:rsid w:val="00887872"/>
    <w:rsid w:val="008913F7"/>
    <w:rsid w:val="0089245A"/>
    <w:rsid w:val="00892B0B"/>
    <w:rsid w:val="00892CE4"/>
    <w:rsid w:val="00894400"/>
    <w:rsid w:val="00895B97"/>
    <w:rsid w:val="00896557"/>
    <w:rsid w:val="00896DC9"/>
    <w:rsid w:val="00897755"/>
    <w:rsid w:val="00897B48"/>
    <w:rsid w:val="00897D63"/>
    <w:rsid w:val="00897E7E"/>
    <w:rsid w:val="008A079B"/>
    <w:rsid w:val="008A1E6E"/>
    <w:rsid w:val="008A24CB"/>
    <w:rsid w:val="008A4578"/>
    <w:rsid w:val="008A47BA"/>
    <w:rsid w:val="008A5278"/>
    <w:rsid w:val="008A6330"/>
    <w:rsid w:val="008A7C13"/>
    <w:rsid w:val="008A7D55"/>
    <w:rsid w:val="008B000F"/>
    <w:rsid w:val="008B0028"/>
    <w:rsid w:val="008B0D45"/>
    <w:rsid w:val="008B0D72"/>
    <w:rsid w:val="008B1064"/>
    <w:rsid w:val="008B12FC"/>
    <w:rsid w:val="008B135A"/>
    <w:rsid w:val="008B13A3"/>
    <w:rsid w:val="008B171A"/>
    <w:rsid w:val="008B1B21"/>
    <w:rsid w:val="008B2B18"/>
    <w:rsid w:val="008B2C1B"/>
    <w:rsid w:val="008B350D"/>
    <w:rsid w:val="008B35EB"/>
    <w:rsid w:val="008B3610"/>
    <w:rsid w:val="008B3680"/>
    <w:rsid w:val="008B4777"/>
    <w:rsid w:val="008B47C3"/>
    <w:rsid w:val="008B4BDD"/>
    <w:rsid w:val="008B529F"/>
    <w:rsid w:val="008B5556"/>
    <w:rsid w:val="008B5564"/>
    <w:rsid w:val="008B5695"/>
    <w:rsid w:val="008B5EA1"/>
    <w:rsid w:val="008B60AB"/>
    <w:rsid w:val="008B6403"/>
    <w:rsid w:val="008B660F"/>
    <w:rsid w:val="008B6BCC"/>
    <w:rsid w:val="008B7141"/>
    <w:rsid w:val="008B74A9"/>
    <w:rsid w:val="008B7E74"/>
    <w:rsid w:val="008C0184"/>
    <w:rsid w:val="008C0BDB"/>
    <w:rsid w:val="008C0FA0"/>
    <w:rsid w:val="008C1666"/>
    <w:rsid w:val="008C17B6"/>
    <w:rsid w:val="008C1A73"/>
    <w:rsid w:val="008C234F"/>
    <w:rsid w:val="008C2D5D"/>
    <w:rsid w:val="008C39FD"/>
    <w:rsid w:val="008C42B6"/>
    <w:rsid w:val="008C549F"/>
    <w:rsid w:val="008C57C0"/>
    <w:rsid w:val="008C65CB"/>
    <w:rsid w:val="008C6A48"/>
    <w:rsid w:val="008C7952"/>
    <w:rsid w:val="008C7F70"/>
    <w:rsid w:val="008D0056"/>
    <w:rsid w:val="008D05C8"/>
    <w:rsid w:val="008D0919"/>
    <w:rsid w:val="008D0CDD"/>
    <w:rsid w:val="008D11AA"/>
    <w:rsid w:val="008D1502"/>
    <w:rsid w:val="008D197E"/>
    <w:rsid w:val="008D1BFE"/>
    <w:rsid w:val="008D281D"/>
    <w:rsid w:val="008D2CDE"/>
    <w:rsid w:val="008D2E37"/>
    <w:rsid w:val="008D2F01"/>
    <w:rsid w:val="008D3C11"/>
    <w:rsid w:val="008D3E4F"/>
    <w:rsid w:val="008D407D"/>
    <w:rsid w:val="008D4A4D"/>
    <w:rsid w:val="008D4A93"/>
    <w:rsid w:val="008D4D76"/>
    <w:rsid w:val="008D5C27"/>
    <w:rsid w:val="008D63CA"/>
    <w:rsid w:val="008D7793"/>
    <w:rsid w:val="008E0D1F"/>
    <w:rsid w:val="008E219A"/>
    <w:rsid w:val="008E219F"/>
    <w:rsid w:val="008E2249"/>
    <w:rsid w:val="008E29B7"/>
    <w:rsid w:val="008E2D06"/>
    <w:rsid w:val="008E3338"/>
    <w:rsid w:val="008E376C"/>
    <w:rsid w:val="008E3842"/>
    <w:rsid w:val="008E3908"/>
    <w:rsid w:val="008E41C9"/>
    <w:rsid w:val="008E4611"/>
    <w:rsid w:val="008E565C"/>
    <w:rsid w:val="008E6263"/>
    <w:rsid w:val="008E6494"/>
    <w:rsid w:val="008E6A95"/>
    <w:rsid w:val="008E6ECF"/>
    <w:rsid w:val="008E6F64"/>
    <w:rsid w:val="008E72AF"/>
    <w:rsid w:val="008E7CBD"/>
    <w:rsid w:val="008E7D2E"/>
    <w:rsid w:val="008E7ED7"/>
    <w:rsid w:val="008F06D3"/>
    <w:rsid w:val="008F100B"/>
    <w:rsid w:val="008F1C1B"/>
    <w:rsid w:val="008F266A"/>
    <w:rsid w:val="008F3803"/>
    <w:rsid w:val="008F3BB9"/>
    <w:rsid w:val="008F3BDB"/>
    <w:rsid w:val="008F5EC7"/>
    <w:rsid w:val="008F6617"/>
    <w:rsid w:val="008F6A7D"/>
    <w:rsid w:val="008F7A9E"/>
    <w:rsid w:val="00900E17"/>
    <w:rsid w:val="00900ECD"/>
    <w:rsid w:val="00901FE2"/>
    <w:rsid w:val="00902152"/>
    <w:rsid w:val="00903425"/>
    <w:rsid w:val="009036A7"/>
    <w:rsid w:val="00903CB3"/>
    <w:rsid w:val="0090498B"/>
    <w:rsid w:val="00905854"/>
    <w:rsid w:val="00906E5D"/>
    <w:rsid w:val="009070C1"/>
    <w:rsid w:val="0090780A"/>
    <w:rsid w:val="0091023F"/>
    <w:rsid w:val="009106B7"/>
    <w:rsid w:val="00911211"/>
    <w:rsid w:val="00911299"/>
    <w:rsid w:val="009112DC"/>
    <w:rsid w:val="009115EF"/>
    <w:rsid w:val="00911C2B"/>
    <w:rsid w:val="00911C35"/>
    <w:rsid w:val="00912808"/>
    <w:rsid w:val="00913A11"/>
    <w:rsid w:val="00913B55"/>
    <w:rsid w:val="00913FDA"/>
    <w:rsid w:val="009145CB"/>
    <w:rsid w:val="00914D4D"/>
    <w:rsid w:val="009150F3"/>
    <w:rsid w:val="00915C5D"/>
    <w:rsid w:val="00915F39"/>
    <w:rsid w:val="00916231"/>
    <w:rsid w:val="009162E1"/>
    <w:rsid w:val="009209BB"/>
    <w:rsid w:val="00920AE4"/>
    <w:rsid w:val="00921719"/>
    <w:rsid w:val="00921BFA"/>
    <w:rsid w:val="00921CDA"/>
    <w:rsid w:val="00921D20"/>
    <w:rsid w:val="00922CC4"/>
    <w:rsid w:val="00923BDD"/>
    <w:rsid w:val="00923F12"/>
    <w:rsid w:val="00924248"/>
    <w:rsid w:val="009253D2"/>
    <w:rsid w:val="00925E40"/>
    <w:rsid w:val="00926048"/>
    <w:rsid w:val="00926BB4"/>
    <w:rsid w:val="00930031"/>
    <w:rsid w:val="009301B3"/>
    <w:rsid w:val="00930C42"/>
    <w:rsid w:val="0093166E"/>
    <w:rsid w:val="0093178D"/>
    <w:rsid w:val="00932064"/>
    <w:rsid w:val="00932615"/>
    <w:rsid w:val="00932A44"/>
    <w:rsid w:val="00932E43"/>
    <w:rsid w:val="00933040"/>
    <w:rsid w:val="00933284"/>
    <w:rsid w:val="00933F6D"/>
    <w:rsid w:val="0093410B"/>
    <w:rsid w:val="00934275"/>
    <w:rsid w:val="00934B7E"/>
    <w:rsid w:val="0093569D"/>
    <w:rsid w:val="009362E7"/>
    <w:rsid w:val="00936A52"/>
    <w:rsid w:val="00936AD3"/>
    <w:rsid w:val="00937A56"/>
    <w:rsid w:val="009401E8"/>
    <w:rsid w:val="00940B54"/>
    <w:rsid w:val="00940C04"/>
    <w:rsid w:val="00940EE6"/>
    <w:rsid w:val="00941CDF"/>
    <w:rsid w:val="00941FC3"/>
    <w:rsid w:val="009429AA"/>
    <w:rsid w:val="0094385E"/>
    <w:rsid w:val="00943FB3"/>
    <w:rsid w:val="009441D5"/>
    <w:rsid w:val="009443FD"/>
    <w:rsid w:val="00944EA5"/>
    <w:rsid w:val="00944ED2"/>
    <w:rsid w:val="0094506B"/>
    <w:rsid w:val="009500C8"/>
    <w:rsid w:val="009509DC"/>
    <w:rsid w:val="00951679"/>
    <w:rsid w:val="00951897"/>
    <w:rsid w:val="009518A6"/>
    <w:rsid w:val="00951F8D"/>
    <w:rsid w:val="00952A57"/>
    <w:rsid w:val="00952B1D"/>
    <w:rsid w:val="00952C76"/>
    <w:rsid w:val="00954132"/>
    <w:rsid w:val="00954474"/>
    <w:rsid w:val="009545AB"/>
    <w:rsid w:val="00954D4E"/>
    <w:rsid w:val="009558F1"/>
    <w:rsid w:val="0095616A"/>
    <w:rsid w:val="00956B97"/>
    <w:rsid w:val="00956C9D"/>
    <w:rsid w:val="00956CAA"/>
    <w:rsid w:val="00957D32"/>
    <w:rsid w:val="00960129"/>
    <w:rsid w:val="00960676"/>
    <w:rsid w:val="00960E3C"/>
    <w:rsid w:val="009618AD"/>
    <w:rsid w:val="00961AE5"/>
    <w:rsid w:val="00961C4E"/>
    <w:rsid w:val="00962065"/>
    <w:rsid w:val="00962951"/>
    <w:rsid w:val="00963611"/>
    <w:rsid w:val="00963A4A"/>
    <w:rsid w:val="00965A9A"/>
    <w:rsid w:val="00966204"/>
    <w:rsid w:val="00966C70"/>
    <w:rsid w:val="0097174A"/>
    <w:rsid w:val="00972457"/>
    <w:rsid w:val="00973014"/>
    <w:rsid w:val="00973CF8"/>
    <w:rsid w:val="009740FA"/>
    <w:rsid w:val="009742FC"/>
    <w:rsid w:val="00974F25"/>
    <w:rsid w:val="00975BA2"/>
    <w:rsid w:val="00976A6C"/>
    <w:rsid w:val="00977906"/>
    <w:rsid w:val="00977B7A"/>
    <w:rsid w:val="00980321"/>
    <w:rsid w:val="00981B4B"/>
    <w:rsid w:val="0098213E"/>
    <w:rsid w:val="00982805"/>
    <w:rsid w:val="00982B3C"/>
    <w:rsid w:val="00983670"/>
    <w:rsid w:val="00983959"/>
    <w:rsid w:val="00985412"/>
    <w:rsid w:val="00986045"/>
    <w:rsid w:val="0098631E"/>
    <w:rsid w:val="009874DE"/>
    <w:rsid w:val="009878FD"/>
    <w:rsid w:val="00990E2B"/>
    <w:rsid w:val="00991762"/>
    <w:rsid w:val="00991861"/>
    <w:rsid w:val="0099198D"/>
    <w:rsid w:val="00991A76"/>
    <w:rsid w:val="00991BEA"/>
    <w:rsid w:val="00991E93"/>
    <w:rsid w:val="00992868"/>
    <w:rsid w:val="009934EA"/>
    <w:rsid w:val="00994AD0"/>
    <w:rsid w:val="00996509"/>
    <w:rsid w:val="00996652"/>
    <w:rsid w:val="00997137"/>
    <w:rsid w:val="00997484"/>
    <w:rsid w:val="009A0CD2"/>
    <w:rsid w:val="009A12D0"/>
    <w:rsid w:val="009A1A07"/>
    <w:rsid w:val="009A1DC3"/>
    <w:rsid w:val="009A1EAA"/>
    <w:rsid w:val="009A30BF"/>
    <w:rsid w:val="009A3B1F"/>
    <w:rsid w:val="009A40A6"/>
    <w:rsid w:val="009A4B59"/>
    <w:rsid w:val="009A4E79"/>
    <w:rsid w:val="009A4E99"/>
    <w:rsid w:val="009A5BEC"/>
    <w:rsid w:val="009A5C2F"/>
    <w:rsid w:val="009A6191"/>
    <w:rsid w:val="009A650D"/>
    <w:rsid w:val="009A6E09"/>
    <w:rsid w:val="009A7C16"/>
    <w:rsid w:val="009A7F15"/>
    <w:rsid w:val="009A7F36"/>
    <w:rsid w:val="009B0116"/>
    <w:rsid w:val="009B06E4"/>
    <w:rsid w:val="009B0B13"/>
    <w:rsid w:val="009B0DB4"/>
    <w:rsid w:val="009B0E0B"/>
    <w:rsid w:val="009B1E22"/>
    <w:rsid w:val="009B20AE"/>
    <w:rsid w:val="009B227C"/>
    <w:rsid w:val="009B2697"/>
    <w:rsid w:val="009B3235"/>
    <w:rsid w:val="009B383F"/>
    <w:rsid w:val="009B3B8E"/>
    <w:rsid w:val="009B3BE6"/>
    <w:rsid w:val="009B3E0E"/>
    <w:rsid w:val="009B45EF"/>
    <w:rsid w:val="009B5512"/>
    <w:rsid w:val="009B5C1B"/>
    <w:rsid w:val="009B5D4F"/>
    <w:rsid w:val="009B6DAB"/>
    <w:rsid w:val="009B7B6C"/>
    <w:rsid w:val="009B7E12"/>
    <w:rsid w:val="009C0BF1"/>
    <w:rsid w:val="009C1866"/>
    <w:rsid w:val="009C28B4"/>
    <w:rsid w:val="009C303B"/>
    <w:rsid w:val="009C4099"/>
    <w:rsid w:val="009C4232"/>
    <w:rsid w:val="009C576B"/>
    <w:rsid w:val="009C57B0"/>
    <w:rsid w:val="009C598A"/>
    <w:rsid w:val="009C7D61"/>
    <w:rsid w:val="009D084A"/>
    <w:rsid w:val="009D1F74"/>
    <w:rsid w:val="009D27C5"/>
    <w:rsid w:val="009D308D"/>
    <w:rsid w:val="009D30CD"/>
    <w:rsid w:val="009D4AD9"/>
    <w:rsid w:val="009D677C"/>
    <w:rsid w:val="009D6D73"/>
    <w:rsid w:val="009D75DE"/>
    <w:rsid w:val="009E07C9"/>
    <w:rsid w:val="009E1B75"/>
    <w:rsid w:val="009E1C2F"/>
    <w:rsid w:val="009E1E39"/>
    <w:rsid w:val="009E22FE"/>
    <w:rsid w:val="009E25C5"/>
    <w:rsid w:val="009E2A8C"/>
    <w:rsid w:val="009E2B5C"/>
    <w:rsid w:val="009E2DD7"/>
    <w:rsid w:val="009E406D"/>
    <w:rsid w:val="009E4898"/>
    <w:rsid w:val="009E49BE"/>
    <w:rsid w:val="009E5D30"/>
    <w:rsid w:val="009E645E"/>
    <w:rsid w:val="009E6ACD"/>
    <w:rsid w:val="009E6AE5"/>
    <w:rsid w:val="009E6C40"/>
    <w:rsid w:val="009E7196"/>
    <w:rsid w:val="009F0C77"/>
    <w:rsid w:val="009F1B02"/>
    <w:rsid w:val="009F2069"/>
    <w:rsid w:val="009F303F"/>
    <w:rsid w:val="009F3E19"/>
    <w:rsid w:val="009F4960"/>
    <w:rsid w:val="009F4D17"/>
    <w:rsid w:val="009F58FA"/>
    <w:rsid w:val="009F5B93"/>
    <w:rsid w:val="009F5E1E"/>
    <w:rsid w:val="009F66C6"/>
    <w:rsid w:val="009F66E9"/>
    <w:rsid w:val="009F7410"/>
    <w:rsid w:val="009F7492"/>
    <w:rsid w:val="009F755E"/>
    <w:rsid w:val="009F766D"/>
    <w:rsid w:val="009F7D2A"/>
    <w:rsid w:val="00A0058B"/>
    <w:rsid w:val="00A00885"/>
    <w:rsid w:val="00A020F4"/>
    <w:rsid w:val="00A0291F"/>
    <w:rsid w:val="00A03B66"/>
    <w:rsid w:val="00A0400F"/>
    <w:rsid w:val="00A061B2"/>
    <w:rsid w:val="00A068D0"/>
    <w:rsid w:val="00A06A27"/>
    <w:rsid w:val="00A06F79"/>
    <w:rsid w:val="00A07094"/>
    <w:rsid w:val="00A0766E"/>
    <w:rsid w:val="00A07CA5"/>
    <w:rsid w:val="00A102AD"/>
    <w:rsid w:val="00A106BD"/>
    <w:rsid w:val="00A10784"/>
    <w:rsid w:val="00A10BEC"/>
    <w:rsid w:val="00A10EBD"/>
    <w:rsid w:val="00A11162"/>
    <w:rsid w:val="00A111D4"/>
    <w:rsid w:val="00A12009"/>
    <w:rsid w:val="00A12225"/>
    <w:rsid w:val="00A12897"/>
    <w:rsid w:val="00A13DB1"/>
    <w:rsid w:val="00A15128"/>
    <w:rsid w:val="00A15AC5"/>
    <w:rsid w:val="00A16088"/>
    <w:rsid w:val="00A164F5"/>
    <w:rsid w:val="00A171CF"/>
    <w:rsid w:val="00A17D6D"/>
    <w:rsid w:val="00A20145"/>
    <w:rsid w:val="00A20B8E"/>
    <w:rsid w:val="00A20C01"/>
    <w:rsid w:val="00A218D4"/>
    <w:rsid w:val="00A219E0"/>
    <w:rsid w:val="00A21C5D"/>
    <w:rsid w:val="00A21DE8"/>
    <w:rsid w:val="00A21F16"/>
    <w:rsid w:val="00A2232B"/>
    <w:rsid w:val="00A22666"/>
    <w:rsid w:val="00A22717"/>
    <w:rsid w:val="00A22A78"/>
    <w:rsid w:val="00A22AB4"/>
    <w:rsid w:val="00A2311F"/>
    <w:rsid w:val="00A24530"/>
    <w:rsid w:val="00A24564"/>
    <w:rsid w:val="00A24F65"/>
    <w:rsid w:val="00A253B9"/>
    <w:rsid w:val="00A25D66"/>
    <w:rsid w:val="00A26009"/>
    <w:rsid w:val="00A261DE"/>
    <w:rsid w:val="00A270D7"/>
    <w:rsid w:val="00A278C0"/>
    <w:rsid w:val="00A27A4F"/>
    <w:rsid w:val="00A30838"/>
    <w:rsid w:val="00A30CF4"/>
    <w:rsid w:val="00A316CD"/>
    <w:rsid w:val="00A31E66"/>
    <w:rsid w:val="00A32B1C"/>
    <w:rsid w:val="00A335C5"/>
    <w:rsid w:val="00A33EC9"/>
    <w:rsid w:val="00A33F21"/>
    <w:rsid w:val="00A354D6"/>
    <w:rsid w:val="00A35564"/>
    <w:rsid w:val="00A35CB1"/>
    <w:rsid w:val="00A36493"/>
    <w:rsid w:val="00A36B3F"/>
    <w:rsid w:val="00A40453"/>
    <w:rsid w:val="00A4272F"/>
    <w:rsid w:val="00A42C0B"/>
    <w:rsid w:val="00A4418C"/>
    <w:rsid w:val="00A45BAA"/>
    <w:rsid w:val="00A46370"/>
    <w:rsid w:val="00A4689E"/>
    <w:rsid w:val="00A46CC8"/>
    <w:rsid w:val="00A46D88"/>
    <w:rsid w:val="00A47872"/>
    <w:rsid w:val="00A47A59"/>
    <w:rsid w:val="00A514D5"/>
    <w:rsid w:val="00A533FC"/>
    <w:rsid w:val="00A53793"/>
    <w:rsid w:val="00A5474C"/>
    <w:rsid w:val="00A547C3"/>
    <w:rsid w:val="00A548D1"/>
    <w:rsid w:val="00A54AC3"/>
    <w:rsid w:val="00A55E18"/>
    <w:rsid w:val="00A566E0"/>
    <w:rsid w:val="00A56981"/>
    <w:rsid w:val="00A56A3A"/>
    <w:rsid w:val="00A57C04"/>
    <w:rsid w:val="00A61373"/>
    <w:rsid w:val="00A61CAE"/>
    <w:rsid w:val="00A621B1"/>
    <w:rsid w:val="00A62D7D"/>
    <w:rsid w:val="00A630C0"/>
    <w:rsid w:val="00A63295"/>
    <w:rsid w:val="00A633A3"/>
    <w:rsid w:val="00A6342A"/>
    <w:rsid w:val="00A639ED"/>
    <w:rsid w:val="00A64ED3"/>
    <w:rsid w:val="00A65BCB"/>
    <w:rsid w:val="00A663BA"/>
    <w:rsid w:val="00A66AF8"/>
    <w:rsid w:val="00A66B2B"/>
    <w:rsid w:val="00A67AC8"/>
    <w:rsid w:val="00A701A4"/>
    <w:rsid w:val="00A7020C"/>
    <w:rsid w:val="00A7068D"/>
    <w:rsid w:val="00A70975"/>
    <w:rsid w:val="00A70AF2"/>
    <w:rsid w:val="00A7123D"/>
    <w:rsid w:val="00A71546"/>
    <w:rsid w:val="00A717ED"/>
    <w:rsid w:val="00A71A31"/>
    <w:rsid w:val="00A71CF1"/>
    <w:rsid w:val="00A71D1A"/>
    <w:rsid w:val="00A71F0F"/>
    <w:rsid w:val="00A72824"/>
    <w:rsid w:val="00A74811"/>
    <w:rsid w:val="00A761E6"/>
    <w:rsid w:val="00A76EDA"/>
    <w:rsid w:val="00A772EB"/>
    <w:rsid w:val="00A80583"/>
    <w:rsid w:val="00A807D9"/>
    <w:rsid w:val="00A81551"/>
    <w:rsid w:val="00A815BA"/>
    <w:rsid w:val="00A819E6"/>
    <w:rsid w:val="00A82ADF"/>
    <w:rsid w:val="00A83799"/>
    <w:rsid w:val="00A83C4F"/>
    <w:rsid w:val="00A83D1B"/>
    <w:rsid w:val="00A84541"/>
    <w:rsid w:val="00A8537F"/>
    <w:rsid w:val="00A8596A"/>
    <w:rsid w:val="00A85A7B"/>
    <w:rsid w:val="00A85C17"/>
    <w:rsid w:val="00A85CBA"/>
    <w:rsid w:val="00A8628D"/>
    <w:rsid w:val="00A869B9"/>
    <w:rsid w:val="00A869CA"/>
    <w:rsid w:val="00A87689"/>
    <w:rsid w:val="00A876A9"/>
    <w:rsid w:val="00A879AB"/>
    <w:rsid w:val="00A90200"/>
    <w:rsid w:val="00A91015"/>
    <w:rsid w:val="00A9190C"/>
    <w:rsid w:val="00A91CD2"/>
    <w:rsid w:val="00A92369"/>
    <w:rsid w:val="00A93BF2"/>
    <w:rsid w:val="00A9406A"/>
    <w:rsid w:val="00A941CB"/>
    <w:rsid w:val="00A94691"/>
    <w:rsid w:val="00A94B89"/>
    <w:rsid w:val="00A967D3"/>
    <w:rsid w:val="00A967FC"/>
    <w:rsid w:val="00A96A8D"/>
    <w:rsid w:val="00A96F7C"/>
    <w:rsid w:val="00A97A4E"/>
    <w:rsid w:val="00AA01CA"/>
    <w:rsid w:val="00AA057E"/>
    <w:rsid w:val="00AA06CD"/>
    <w:rsid w:val="00AA07EA"/>
    <w:rsid w:val="00AA0ACC"/>
    <w:rsid w:val="00AA1655"/>
    <w:rsid w:val="00AA1A23"/>
    <w:rsid w:val="00AA239E"/>
    <w:rsid w:val="00AA2630"/>
    <w:rsid w:val="00AA47DC"/>
    <w:rsid w:val="00AA5970"/>
    <w:rsid w:val="00AA5C1D"/>
    <w:rsid w:val="00AA6DF4"/>
    <w:rsid w:val="00AA6EFD"/>
    <w:rsid w:val="00AA6FB0"/>
    <w:rsid w:val="00AA7391"/>
    <w:rsid w:val="00AA75BD"/>
    <w:rsid w:val="00AA784C"/>
    <w:rsid w:val="00AA785D"/>
    <w:rsid w:val="00AB082A"/>
    <w:rsid w:val="00AB0B5D"/>
    <w:rsid w:val="00AB0BC8"/>
    <w:rsid w:val="00AB215F"/>
    <w:rsid w:val="00AB2BFA"/>
    <w:rsid w:val="00AB59D8"/>
    <w:rsid w:val="00AB6506"/>
    <w:rsid w:val="00AB70CC"/>
    <w:rsid w:val="00AB744F"/>
    <w:rsid w:val="00AB756E"/>
    <w:rsid w:val="00AC20C2"/>
    <w:rsid w:val="00AC285F"/>
    <w:rsid w:val="00AC2C68"/>
    <w:rsid w:val="00AC35AB"/>
    <w:rsid w:val="00AC455F"/>
    <w:rsid w:val="00AC4ACB"/>
    <w:rsid w:val="00AC4FBB"/>
    <w:rsid w:val="00AC55BF"/>
    <w:rsid w:val="00AC7A36"/>
    <w:rsid w:val="00AC7D6D"/>
    <w:rsid w:val="00AC7FBB"/>
    <w:rsid w:val="00AD03E8"/>
    <w:rsid w:val="00AD1DF2"/>
    <w:rsid w:val="00AD1E82"/>
    <w:rsid w:val="00AD1F49"/>
    <w:rsid w:val="00AD2D6B"/>
    <w:rsid w:val="00AD480C"/>
    <w:rsid w:val="00AD4FB8"/>
    <w:rsid w:val="00AD693A"/>
    <w:rsid w:val="00AD740F"/>
    <w:rsid w:val="00AD7F02"/>
    <w:rsid w:val="00AE12B4"/>
    <w:rsid w:val="00AE13EF"/>
    <w:rsid w:val="00AE1985"/>
    <w:rsid w:val="00AE304B"/>
    <w:rsid w:val="00AE3539"/>
    <w:rsid w:val="00AE3611"/>
    <w:rsid w:val="00AE4CAE"/>
    <w:rsid w:val="00AE4D86"/>
    <w:rsid w:val="00AE5540"/>
    <w:rsid w:val="00AE58CE"/>
    <w:rsid w:val="00AE6B5A"/>
    <w:rsid w:val="00AE6B7E"/>
    <w:rsid w:val="00AF0623"/>
    <w:rsid w:val="00AF09A9"/>
    <w:rsid w:val="00AF0BF3"/>
    <w:rsid w:val="00AF0DC9"/>
    <w:rsid w:val="00AF165F"/>
    <w:rsid w:val="00AF166A"/>
    <w:rsid w:val="00AF1710"/>
    <w:rsid w:val="00AF1A28"/>
    <w:rsid w:val="00AF2ED9"/>
    <w:rsid w:val="00AF3A5A"/>
    <w:rsid w:val="00AF4282"/>
    <w:rsid w:val="00AF437C"/>
    <w:rsid w:val="00AF4691"/>
    <w:rsid w:val="00AF493B"/>
    <w:rsid w:val="00AF4CD8"/>
    <w:rsid w:val="00AF5312"/>
    <w:rsid w:val="00AF553D"/>
    <w:rsid w:val="00AF5A80"/>
    <w:rsid w:val="00AF6117"/>
    <w:rsid w:val="00AF67E3"/>
    <w:rsid w:val="00AF7128"/>
    <w:rsid w:val="00B0007B"/>
    <w:rsid w:val="00B006E9"/>
    <w:rsid w:val="00B0119F"/>
    <w:rsid w:val="00B015DA"/>
    <w:rsid w:val="00B01DA9"/>
    <w:rsid w:val="00B01FB3"/>
    <w:rsid w:val="00B02034"/>
    <w:rsid w:val="00B02348"/>
    <w:rsid w:val="00B02D45"/>
    <w:rsid w:val="00B031BC"/>
    <w:rsid w:val="00B032CA"/>
    <w:rsid w:val="00B036A4"/>
    <w:rsid w:val="00B03B5F"/>
    <w:rsid w:val="00B04396"/>
    <w:rsid w:val="00B047D2"/>
    <w:rsid w:val="00B0496A"/>
    <w:rsid w:val="00B04A7F"/>
    <w:rsid w:val="00B04BF1"/>
    <w:rsid w:val="00B05523"/>
    <w:rsid w:val="00B05B0D"/>
    <w:rsid w:val="00B05E67"/>
    <w:rsid w:val="00B0780F"/>
    <w:rsid w:val="00B07C61"/>
    <w:rsid w:val="00B10049"/>
    <w:rsid w:val="00B10352"/>
    <w:rsid w:val="00B10442"/>
    <w:rsid w:val="00B11BEE"/>
    <w:rsid w:val="00B11F33"/>
    <w:rsid w:val="00B127E9"/>
    <w:rsid w:val="00B131C4"/>
    <w:rsid w:val="00B133A7"/>
    <w:rsid w:val="00B13475"/>
    <w:rsid w:val="00B13AE8"/>
    <w:rsid w:val="00B140F1"/>
    <w:rsid w:val="00B1431A"/>
    <w:rsid w:val="00B14B9B"/>
    <w:rsid w:val="00B14BC1"/>
    <w:rsid w:val="00B153DD"/>
    <w:rsid w:val="00B15A1F"/>
    <w:rsid w:val="00B15FD7"/>
    <w:rsid w:val="00B1632E"/>
    <w:rsid w:val="00B16706"/>
    <w:rsid w:val="00B16E7A"/>
    <w:rsid w:val="00B170CC"/>
    <w:rsid w:val="00B1737E"/>
    <w:rsid w:val="00B1761E"/>
    <w:rsid w:val="00B17943"/>
    <w:rsid w:val="00B17ABF"/>
    <w:rsid w:val="00B20AE6"/>
    <w:rsid w:val="00B2307B"/>
    <w:rsid w:val="00B239FC"/>
    <w:rsid w:val="00B23E9B"/>
    <w:rsid w:val="00B23F9D"/>
    <w:rsid w:val="00B24587"/>
    <w:rsid w:val="00B24D46"/>
    <w:rsid w:val="00B2547E"/>
    <w:rsid w:val="00B25806"/>
    <w:rsid w:val="00B258E2"/>
    <w:rsid w:val="00B25C8D"/>
    <w:rsid w:val="00B25E36"/>
    <w:rsid w:val="00B2649A"/>
    <w:rsid w:val="00B266A1"/>
    <w:rsid w:val="00B26E46"/>
    <w:rsid w:val="00B3066E"/>
    <w:rsid w:val="00B30850"/>
    <w:rsid w:val="00B30CF6"/>
    <w:rsid w:val="00B30FFC"/>
    <w:rsid w:val="00B3101B"/>
    <w:rsid w:val="00B31787"/>
    <w:rsid w:val="00B31CDA"/>
    <w:rsid w:val="00B339BD"/>
    <w:rsid w:val="00B34AAD"/>
    <w:rsid w:val="00B34BB0"/>
    <w:rsid w:val="00B35AA9"/>
    <w:rsid w:val="00B36263"/>
    <w:rsid w:val="00B362D5"/>
    <w:rsid w:val="00B36CF4"/>
    <w:rsid w:val="00B36FEB"/>
    <w:rsid w:val="00B3722B"/>
    <w:rsid w:val="00B37B48"/>
    <w:rsid w:val="00B37EC9"/>
    <w:rsid w:val="00B40B67"/>
    <w:rsid w:val="00B40F36"/>
    <w:rsid w:val="00B42498"/>
    <w:rsid w:val="00B4267E"/>
    <w:rsid w:val="00B42BF3"/>
    <w:rsid w:val="00B43120"/>
    <w:rsid w:val="00B43DB8"/>
    <w:rsid w:val="00B454FF"/>
    <w:rsid w:val="00B456EE"/>
    <w:rsid w:val="00B45C35"/>
    <w:rsid w:val="00B45EE7"/>
    <w:rsid w:val="00B46317"/>
    <w:rsid w:val="00B4645D"/>
    <w:rsid w:val="00B46618"/>
    <w:rsid w:val="00B5048F"/>
    <w:rsid w:val="00B50617"/>
    <w:rsid w:val="00B50E31"/>
    <w:rsid w:val="00B511F8"/>
    <w:rsid w:val="00B513EA"/>
    <w:rsid w:val="00B5163C"/>
    <w:rsid w:val="00B51AA9"/>
    <w:rsid w:val="00B51F7C"/>
    <w:rsid w:val="00B52705"/>
    <w:rsid w:val="00B537C6"/>
    <w:rsid w:val="00B5438E"/>
    <w:rsid w:val="00B546A7"/>
    <w:rsid w:val="00B54B96"/>
    <w:rsid w:val="00B54E74"/>
    <w:rsid w:val="00B54EE2"/>
    <w:rsid w:val="00B5542F"/>
    <w:rsid w:val="00B55C44"/>
    <w:rsid w:val="00B55C94"/>
    <w:rsid w:val="00B5611A"/>
    <w:rsid w:val="00B569F3"/>
    <w:rsid w:val="00B56D86"/>
    <w:rsid w:val="00B56F18"/>
    <w:rsid w:val="00B570ED"/>
    <w:rsid w:val="00B575C3"/>
    <w:rsid w:val="00B57A20"/>
    <w:rsid w:val="00B57B28"/>
    <w:rsid w:val="00B57E07"/>
    <w:rsid w:val="00B60089"/>
    <w:rsid w:val="00B60B32"/>
    <w:rsid w:val="00B60EED"/>
    <w:rsid w:val="00B61101"/>
    <w:rsid w:val="00B614FB"/>
    <w:rsid w:val="00B61FBA"/>
    <w:rsid w:val="00B63265"/>
    <w:rsid w:val="00B635C1"/>
    <w:rsid w:val="00B63D90"/>
    <w:rsid w:val="00B63E19"/>
    <w:rsid w:val="00B64173"/>
    <w:rsid w:val="00B64333"/>
    <w:rsid w:val="00B649BA"/>
    <w:rsid w:val="00B65009"/>
    <w:rsid w:val="00B65502"/>
    <w:rsid w:val="00B65A8D"/>
    <w:rsid w:val="00B663D4"/>
    <w:rsid w:val="00B6663A"/>
    <w:rsid w:val="00B66D20"/>
    <w:rsid w:val="00B70094"/>
    <w:rsid w:val="00B700A1"/>
    <w:rsid w:val="00B7042E"/>
    <w:rsid w:val="00B70636"/>
    <w:rsid w:val="00B707FE"/>
    <w:rsid w:val="00B710EA"/>
    <w:rsid w:val="00B71623"/>
    <w:rsid w:val="00B71D43"/>
    <w:rsid w:val="00B7266E"/>
    <w:rsid w:val="00B73E63"/>
    <w:rsid w:val="00B73F2D"/>
    <w:rsid w:val="00B73F71"/>
    <w:rsid w:val="00B764ED"/>
    <w:rsid w:val="00B77D3A"/>
    <w:rsid w:val="00B803FB"/>
    <w:rsid w:val="00B805DD"/>
    <w:rsid w:val="00B81346"/>
    <w:rsid w:val="00B8176F"/>
    <w:rsid w:val="00B81E18"/>
    <w:rsid w:val="00B822AB"/>
    <w:rsid w:val="00B82840"/>
    <w:rsid w:val="00B8291F"/>
    <w:rsid w:val="00B83635"/>
    <w:rsid w:val="00B83E4C"/>
    <w:rsid w:val="00B8431E"/>
    <w:rsid w:val="00B84EF6"/>
    <w:rsid w:val="00B8501D"/>
    <w:rsid w:val="00B85460"/>
    <w:rsid w:val="00B85D96"/>
    <w:rsid w:val="00B85F9B"/>
    <w:rsid w:val="00B85FC3"/>
    <w:rsid w:val="00B86272"/>
    <w:rsid w:val="00B877F6"/>
    <w:rsid w:val="00B87A05"/>
    <w:rsid w:val="00B90169"/>
    <w:rsid w:val="00B912FB"/>
    <w:rsid w:val="00B91593"/>
    <w:rsid w:val="00B92FBF"/>
    <w:rsid w:val="00B931DE"/>
    <w:rsid w:val="00B932DF"/>
    <w:rsid w:val="00B938B7"/>
    <w:rsid w:val="00B93FE3"/>
    <w:rsid w:val="00B944E3"/>
    <w:rsid w:val="00B94A12"/>
    <w:rsid w:val="00B95278"/>
    <w:rsid w:val="00B961CB"/>
    <w:rsid w:val="00B9693E"/>
    <w:rsid w:val="00B97AF2"/>
    <w:rsid w:val="00B97D2C"/>
    <w:rsid w:val="00BA01C5"/>
    <w:rsid w:val="00BA0349"/>
    <w:rsid w:val="00BA0A87"/>
    <w:rsid w:val="00BA0B4F"/>
    <w:rsid w:val="00BA2BF5"/>
    <w:rsid w:val="00BA2DA8"/>
    <w:rsid w:val="00BA2DC4"/>
    <w:rsid w:val="00BA2EB8"/>
    <w:rsid w:val="00BA32D3"/>
    <w:rsid w:val="00BA3905"/>
    <w:rsid w:val="00BA39BA"/>
    <w:rsid w:val="00BA3E10"/>
    <w:rsid w:val="00BA4A25"/>
    <w:rsid w:val="00BA4A75"/>
    <w:rsid w:val="00BA5BF2"/>
    <w:rsid w:val="00BA6757"/>
    <w:rsid w:val="00BA7955"/>
    <w:rsid w:val="00BA7CAE"/>
    <w:rsid w:val="00BB0236"/>
    <w:rsid w:val="00BB0A23"/>
    <w:rsid w:val="00BB0B9A"/>
    <w:rsid w:val="00BB1B10"/>
    <w:rsid w:val="00BB1EF4"/>
    <w:rsid w:val="00BB2103"/>
    <w:rsid w:val="00BB2928"/>
    <w:rsid w:val="00BB2D2C"/>
    <w:rsid w:val="00BB369D"/>
    <w:rsid w:val="00BB3A16"/>
    <w:rsid w:val="00BB3BDA"/>
    <w:rsid w:val="00BB4AE6"/>
    <w:rsid w:val="00BB5A61"/>
    <w:rsid w:val="00BB65BD"/>
    <w:rsid w:val="00BB6710"/>
    <w:rsid w:val="00BB6F36"/>
    <w:rsid w:val="00BC0772"/>
    <w:rsid w:val="00BC0C04"/>
    <w:rsid w:val="00BC0CD1"/>
    <w:rsid w:val="00BC1210"/>
    <w:rsid w:val="00BC2AF0"/>
    <w:rsid w:val="00BC2B13"/>
    <w:rsid w:val="00BC2C00"/>
    <w:rsid w:val="00BC3616"/>
    <w:rsid w:val="00BC3693"/>
    <w:rsid w:val="00BC3884"/>
    <w:rsid w:val="00BC3CBF"/>
    <w:rsid w:val="00BC4D24"/>
    <w:rsid w:val="00BC5079"/>
    <w:rsid w:val="00BC5BD0"/>
    <w:rsid w:val="00BC652F"/>
    <w:rsid w:val="00BC6849"/>
    <w:rsid w:val="00BC6937"/>
    <w:rsid w:val="00BC70F4"/>
    <w:rsid w:val="00BC741F"/>
    <w:rsid w:val="00BD09F1"/>
    <w:rsid w:val="00BD1836"/>
    <w:rsid w:val="00BD18BC"/>
    <w:rsid w:val="00BD2DC0"/>
    <w:rsid w:val="00BD2EEF"/>
    <w:rsid w:val="00BD332F"/>
    <w:rsid w:val="00BD423D"/>
    <w:rsid w:val="00BD51C4"/>
    <w:rsid w:val="00BD5466"/>
    <w:rsid w:val="00BD6BFE"/>
    <w:rsid w:val="00BD7183"/>
    <w:rsid w:val="00BD745C"/>
    <w:rsid w:val="00BD748B"/>
    <w:rsid w:val="00BD74B5"/>
    <w:rsid w:val="00BD760C"/>
    <w:rsid w:val="00BE026A"/>
    <w:rsid w:val="00BE08B0"/>
    <w:rsid w:val="00BE0DAA"/>
    <w:rsid w:val="00BE2490"/>
    <w:rsid w:val="00BE2921"/>
    <w:rsid w:val="00BE336B"/>
    <w:rsid w:val="00BE39EB"/>
    <w:rsid w:val="00BE4018"/>
    <w:rsid w:val="00BE437B"/>
    <w:rsid w:val="00BE5607"/>
    <w:rsid w:val="00BE6176"/>
    <w:rsid w:val="00BE78CE"/>
    <w:rsid w:val="00BF03C9"/>
    <w:rsid w:val="00BF0EA3"/>
    <w:rsid w:val="00BF1DCF"/>
    <w:rsid w:val="00BF1E3E"/>
    <w:rsid w:val="00BF1E86"/>
    <w:rsid w:val="00BF21FF"/>
    <w:rsid w:val="00BF229C"/>
    <w:rsid w:val="00BF27E2"/>
    <w:rsid w:val="00BF3482"/>
    <w:rsid w:val="00BF3785"/>
    <w:rsid w:val="00BF3ACC"/>
    <w:rsid w:val="00BF3D90"/>
    <w:rsid w:val="00BF490C"/>
    <w:rsid w:val="00BF4C32"/>
    <w:rsid w:val="00BF4D8C"/>
    <w:rsid w:val="00BF50FF"/>
    <w:rsid w:val="00BF594A"/>
    <w:rsid w:val="00BF5AA2"/>
    <w:rsid w:val="00BF6563"/>
    <w:rsid w:val="00BF667B"/>
    <w:rsid w:val="00BF74D1"/>
    <w:rsid w:val="00BF77D9"/>
    <w:rsid w:val="00BF78FE"/>
    <w:rsid w:val="00BF7C64"/>
    <w:rsid w:val="00C000CE"/>
    <w:rsid w:val="00C0036E"/>
    <w:rsid w:val="00C003BA"/>
    <w:rsid w:val="00C003C4"/>
    <w:rsid w:val="00C006A0"/>
    <w:rsid w:val="00C00B15"/>
    <w:rsid w:val="00C00C75"/>
    <w:rsid w:val="00C02C43"/>
    <w:rsid w:val="00C02DBA"/>
    <w:rsid w:val="00C02EBF"/>
    <w:rsid w:val="00C035E7"/>
    <w:rsid w:val="00C03807"/>
    <w:rsid w:val="00C042C3"/>
    <w:rsid w:val="00C048BE"/>
    <w:rsid w:val="00C06B53"/>
    <w:rsid w:val="00C0742E"/>
    <w:rsid w:val="00C07C7D"/>
    <w:rsid w:val="00C10151"/>
    <w:rsid w:val="00C102E1"/>
    <w:rsid w:val="00C10605"/>
    <w:rsid w:val="00C11CD0"/>
    <w:rsid w:val="00C11F90"/>
    <w:rsid w:val="00C1292A"/>
    <w:rsid w:val="00C1294E"/>
    <w:rsid w:val="00C14552"/>
    <w:rsid w:val="00C148B4"/>
    <w:rsid w:val="00C14D79"/>
    <w:rsid w:val="00C14DD4"/>
    <w:rsid w:val="00C153F8"/>
    <w:rsid w:val="00C15BF2"/>
    <w:rsid w:val="00C15F6E"/>
    <w:rsid w:val="00C16925"/>
    <w:rsid w:val="00C178CA"/>
    <w:rsid w:val="00C17A6D"/>
    <w:rsid w:val="00C17DDD"/>
    <w:rsid w:val="00C207CF"/>
    <w:rsid w:val="00C210C7"/>
    <w:rsid w:val="00C2124B"/>
    <w:rsid w:val="00C214BB"/>
    <w:rsid w:val="00C21700"/>
    <w:rsid w:val="00C219C8"/>
    <w:rsid w:val="00C2216B"/>
    <w:rsid w:val="00C221FB"/>
    <w:rsid w:val="00C22B17"/>
    <w:rsid w:val="00C22BE8"/>
    <w:rsid w:val="00C24097"/>
    <w:rsid w:val="00C2483E"/>
    <w:rsid w:val="00C25118"/>
    <w:rsid w:val="00C25624"/>
    <w:rsid w:val="00C26150"/>
    <w:rsid w:val="00C2693B"/>
    <w:rsid w:val="00C26CC3"/>
    <w:rsid w:val="00C26FBA"/>
    <w:rsid w:val="00C270BB"/>
    <w:rsid w:val="00C27B3E"/>
    <w:rsid w:val="00C27BE4"/>
    <w:rsid w:val="00C30165"/>
    <w:rsid w:val="00C303F4"/>
    <w:rsid w:val="00C30AA9"/>
    <w:rsid w:val="00C30FC5"/>
    <w:rsid w:val="00C31918"/>
    <w:rsid w:val="00C31ED6"/>
    <w:rsid w:val="00C33D97"/>
    <w:rsid w:val="00C33EFC"/>
    <w:rsid w:val="00C33F27"/>
    <w:rsid w:val="00C34686"/>
    <w:rsid w:val="00C34802"/>
    <w:rsid w:val="00C34B03"/>
    <w:rsid w:val="00C3545B"/>
    <w:rsid w:val="00C3628C"/>
    <w:rsid w:val="00C36C91"/>
    <w:rsid w:val="00C36F9E"/>
    <w:rsid w:val="00C3700E"/>
    <w:rsid w:val="00C37C7E"/>
    <w:rsid w:val="00C37CDF"/>
    <w:rsid w:val="00C37DE0"/>
    <w:rsid w:val="00C41D5C"/>
    <w:rsid w:val="00C42BEF"/>
    <w:rsid w:val="00C433EA"/>
    <w:rsid w:val="00C43FE4"/>
    <w:rsid w:val="00C44AC8"/>
    <w:rsid w:val="00C45A1D"/>
    <w:rsid w:val="00C46E5D"/>
    <w:rsid w:val="00C4703E"/>
    <w:rsid w:val="00C47AC2"/>
    <w:rsid w:val="00C47F90"/>
    <w:rsid w:val="00C50FE0"/>
    <w:rsid w:val="00C510DF"/>
    <w:rsid w:val="00C51FF0"/>
    <w:rsid w:val="00C521F9"/>
    <w:rsid w:val="00C5244E"/>
    <w:rsid w:val="00C55063"/>
    <w:rsid w:val="00C55277"/>
    <w:rsid w:val="00C56583"/>
    <w:rsid w:val="00C567D9"/>
    <w:rsid w:val="00C56E92"/>
    <w:rsid w:val="00C57836"/>
    <w:rsid w:val="00C57ED3"/>
    <w:rsid w:val="00C61914"/>
    <w:rsid w:val="00C61B76"/>
    <w:rsid w:val="00C61BB7"/>
    <w:rsid w:val="00C61E3D"/>
    <w:rsid w:val="00C62040"/>
    <w:rsid w:val="00C6277B"/>
    <w:rsid w:val="00C62AE7"/>
    <w:rsid w:val="00C6380A"/>
    <w:rsid w:val="00C63ADA"/>
    <w:rsid w:val="00C63BC8"/>
    <w:rsid w:val="00C63E7B"/>
    <w:rsid w:val="00C63F0C"/>
    <w:rsid w:val="00C64160"/>
    <w:rsid w:val="00C64495"/>
    <w:rsid w:val="00C65253"/>
    <w:rsid w:val="00C653B4"/>
    <w:rsid w:val="00C65738"/>
    <w:rsid w:val="00C65D47"/>
    <w:rsid w:val="00C67DE1"/>
    <w:rsid w:val="00C70E66"/>
    <w:rsid w:val="00C7185B"/>
    <w:rsid w:val="00C71BAE"/>
    <w:rsid w:val="00C71DB0"/>
    <w:rsid w:val="00C72175"/>
    <w:rsid w:val="00C72298"/>
    <w:rsid w:val="00C72579"/>
    <w:rsid w:val="00C72668"/>
    <w:rsid w:val="00C730C9"/>
    <w:rsid w:val="00C7315F"/>
    <w:rsid w:val="00C733A3"/>
    <w:rsid w:val="00C73EC4"/>
    <w:rsid w:val="00C74539"/>
    <w:rsid w:val="00C75635"/>
    <w:rsid w:val="00C75C1E"/>
    <w:rsid w:val="00C76049"/>
    <w:rsid w:val="00C76A7B"/>
    <w:rsid w:val="00C76EC6"/>
    <w:rsid w:val="00C77129"/>
    <w:rsid w:val="00C77358"/>
    <w:rsid w:val="00C77C19"/>
    <w:rsid w:val="00C77DD6"/>
    <w:rsid w:val="00C77E22"/>
    <w:rsid w:val="00C77E4F"/>
    <w:rsid w:val="00C77E94"/>
    <w:rsid w:val="00C801AA"/>
    <w:rsid w:val="00C80422"/>
    <w:rsid w:val="00C80749"/>
    <w:rsid w:val="00C807BF"/>
    <w:rsid w:val="00C80E02"/>
    <w:rsid w:val="00C81B73"/>
    <w:rsid w:val="00C82B2F"/>
    <w:rsid w:val="00C831F1"/>
    <w:rsid w:val="00C835AF"/>
    <w:rsid w:val="00C8542A"/>
    <w:rsid w:val="00C85B58"/>
    <w:rsid w:val="00C86E68"/>
    <w:rsid w:val="00C871F2"/>
    <w:rsid w:val="00C87BA4"/>
    <w:rsid w:val="00C87FD5"/>
    <w:rsid w:val="00C9044B"/>
    <w:rsid w:val="00C9092E"/>
    <w:rsid w:val="00C91E1C"/>
    <w:rsid w:val="00C9409A"/>
    <w:rsid w:val="00C956D3"/>
    <w:rsid w:val="00C95984"/>
    <w:rsid w:val="00C959A0"/>
    <w:rsid w:val="00C95CD2"/>
    <w:rsid w:val="00C960E7"/>
    <w:rsid w:val="00C960F8"/>
    <w:rsid w:val="00C961AD"/>
    <w:rsid w:val="00C962F0"/>
    <w:rsid w:val="00C96541"/>
    <w:rsid w:val="00C97380"/>
    <w:rsid w:val="00C97956"/>
    <w:rsid w:val="00C97CB1"/>
    <w:rsid w:val="00CA058F"/>
    <w:rsid w:val="00CA05D9"/>
    <w:rsid w:val="00CA2809"/>
    <w:rsid w:val="00CA2DBD"/>
    <w:rsid w:val="00CA2ECD"/>
    <w:rsid w:val="00CA2EED"/>
    <w:rsid w:val="00CA32B1"/>
    <w:rsid w:val="00CA3BB8"/>
    <w:rsid w:val="00CA3FE7"/>
    <w:rsid w:val="00CA423E"/>
    <w:rsid w:val="00CA4311"/>
    <w:rsid w:val="00CA47FC"/>
    <w:rsid w:val="00CA4A8B"/>
    <w:rsid w:val="00CA52A1"/>
    <w:rsid w:val="00CA552B"/>
    <w:rsid w:val="00CA5D9F"/>
    <w:rsid w:val="00CA72DD"/>
    <w:rsid w:val="00CA72FC"/>
    <w:rsid w:val="00CA733A"/>
    <w:rsid w:val="00CB07C9"/>
    <w:rsid w:val="00CB0AFF"/>
    <w:rsid w:val="00CB10DF"/>
    <w:rsid w:val="00CB11AD"/>
    <w:rsid w:val="00CB1650"/>
    <w:rsid w:val="00CB1769"/>
    <w:rsid w:val="00CB1A85"/>
    <w:rsid w:val="00CB3FC3"/>
    <w:rsid w:val="00CB448C"/>
    <w:rsid w:val="00CB5997"/>
    <w:rsid w:val="00CB5CC0"/>
    <w:rsid w:val="00CB6061"/>
    <w:rsid w:val="00CB663F"/>
    <w:rsid w:val="00CB6D7D"/>
    <w:rsid w:val="00CB6FF6"/>
    <w:rsid w:val="00CB7403"/>
    <w:rsid w:val="00CB7450"/>
    <w:rsid w:val="00CB7A78"/>
    <w:rsid w:val="00CC042D"/>
    <w:rsid w:val="00CC113B"/>
    <w:rsid w:val="00CC2636"/>
    <w:rsid w:val="00CC2D62"/>
    <w:rsid w:val="00CC2E01"/>
    <w:rsid w:val="00CC34B1"/>
    <w:rsid w:val="00CC552C"/>
    <w:rsid w:val="00CC5BC8"/>
    <w:rsid w:val="00CD0036"/>
    <w:rsid w:val="00CD0613"/>
    <w:rsid w:val="00CD2EA6"/>
    <w:rsid w:val="00CD2F5A"/>
    <w:rsid w:val="00CD3251"/>
    <w:rsid w:val="00CD37C9"/>
    <w:rsid w:val="00CD3A1C"/>
    <w:rsid w:val="00CD45C3"/>
    <w:rsid w:val="00CD461F"/>
    <w:rsid w:val="00CD5000"/>
    <w:rsid w:val="00CD6326"/>
    <w:rsid w:val="00CD65DF"/>
    <w:rsid w:val="00CD676C"/>
    <w:rsid w:val="00CD6B39"/>
    <w:rsid w:val="00CD7140"/>
    <w:rsid w:val="00CD7544"/>
    <w:rsid w:val="00CE1C25"/>
    <w:rsid w:val="00CE1E30"/>
    <w:rsid w:val="00CE1E9F"/>
    <w:rsid w:val="00CE24AE"/>
    <w:rsid w:val="00CE2572"/>
    <w:rsid w:val="00CE2593"/>
    <w:rsid w:val="00CE2BCD"/>
    <w:rsid w:val="00CE33F5"/>
    <w:rsid w:val="00CE3721"/>
    <w:rsid w:val="00CE3D1F"/>
    <w:rsid w:val="00CE4B54"/>
    <w:rsid w:val="00CE52E7"/>
    <w:rsid w:val="00CE5DE8"/>
    <w:rsid w:val="00CE7A62"/>
    <w:rsid w:val="00CE7A90"/>
    <w:rsid w:val="00CF0179"/>
    <w:rsid w:val="00CF0618"/>
    <w:rsid w:val="00CF0AFD"/>
    <w:rsid w:val="00CF15F8"/>
    <w:rsid w:val="00CF1610"/>
    <w:rsid w:val="00CF1E88"/>
    <w:rsid w:val="00CF2392"/>
    <w:rsid w:val="00CF26DA"/>
    <w:rsid w:val="00CF3573"/>
    <w:rsid w:val="00CF482D"/>
    <w:rsid w:val="00CF4885"/>
    <w:rsid w:val="00CF4BCC"/>
    <w:rsid w:val="00CF4CD9"/>
    <w:rsid w:val="00CF50C6"/>
    <w:rsid w:val="00CF5288"/>
    <w:rsid w:val="00CF5676"/>
    <w:rsid w:val="00CF57BE"/>
    <w:rsid w:val="00CF5FA1"/>
    <w:rsid w:val="00CF620A"/>
    <w:rsid w:val="00CF6502"/>
    <w:rsid w:val="00CF6982"/>
    <w:rsid w:val="00CF6D31"/>
    <w:rsid w:val="00D007E5"/>
    <w:rsid w:val="00D00ACF"/>
    <w:rsid w:val="00D017C4"/>
    <w:rsid w:val="00D01B0D"/>
    <w:rsid w:val="00D021AF"/>
    <w:rsid w:val="00D03364"/>
    <w:rsid w:val="00D034D5"/>
    <w:rsid w:val="00D0360D"/>
    <w:rsid w:val="00D03BBF"/>
    <w:rsid w:val="00D03DC5"/>
    <w:rsid w:val="00D03DEF"/>
    <w:rsid w:val="00D054FB"/>
    <w:rsid w:val="00D0772E"/>
    <w:rsid w:val="00D07D94"/>
    <w:rsid w:val="00D07E9D"/>
    <w:rsid w:val="00D10C0F"/>
    <w:rsid w:val="00D10DC3"/>
    <w:rsid w:val="00D112FC"/>
    <w:rsid w:val="00D116AB"/>
    <w:rsid w:val="00D121E6"/>
    <w:rsid w:val="00D1284A"/>
    <w:rsid w:val="00D134C1"/>
    <w:rsid w:val="00D1368D"/>
    <w:rsid w:val="00D13789"/>
    <w:rsid w:val="00D13E13"/>
    <w:rsid w:val="00D14BF3"/>
    <w:rsid w:val="00D15A03"/>
    <w:rsid w:val="00D15B0C"/>
    <w:rsid w:val="00D16220"/>
    <w:rsid w:val="00D17485"/>
    <w:rsid w:val="00D17A33"/>
    <w:rsid w:val="00D17C47"/>
    <w:rsid w:val="00D17CF5"/>
    <w:rsid w:val="00D204D2"/>
    <w:rsid w:val="00D207DC"/>
    <w:rsid w:val="00D21615"/>
    <w:rsid w:val="00D21BBA"/>
    <w:rsid w:val="00D21E5D"/>
    <w:rsid w:val="00D22159"/>
    <w:rsid w:val="00D222CE"/>
    <w:rsid w:val="00D23E80"/>
    <w:rsid w:val="00D244D2"/>
    <w:rsid w:val="00D245D2"/>
    <w:rsid w:val="00D25320"/>
    <w:rsid w:val="00D2561A"/>
    <w:rsid w:val="00D25B8C"/>
    <w:rsid w:val="00D25E5B"/>
    <w:rsid w:val="00D30A29"/>
    <w:rsid w:val="00D31AE0"/>
    <w:rsid w:val="00D326C2"/>
    <w:rsid w:val="00D326E6"/>
    <w:rsid w:val="00D32C61"/>
    <w:rsid w:val="00D32D80"/>
    <w:rsid w:val="00D33BA8"/>
    <w:rsid w:val="00D33BC5"/>
    <w:rsid w:val="00D33D28"/>
    <w:rsid w:val="00D33F86"/>
    <w:rsid w:val="00D34CED"/>
    <w:rsid w:val="00D35421"/>
    <w:rsid w:val="00D355AF"/>
    <w:rsid w:val="00D3594D"/>
    <w:rsid w:val="00D36969"/>
    <w:rsid w:val="00D3757E"/>
    <w:rsid w:val="00D375BC"/>
    <w:rsid w:val="00D3797E"/>
    <w:rsid w:val="00D379F8"/>
    <w:rsid w:val="00D37BCB"/>
    <w:rsid w:val="00D4057F"/>
    <w:rsid w:val="00D40A24"/>
    <w:rsid w:val="00D410F8"/>
    <w:rsid w:val="00D41428"/>
    <w:rsid w:val="00D4178E"/>
    <w:rsid w:val="00D41E93"/>
    <w:rsid w:val="00D428C9"/>
    <w:rsid w:val="00D42E5F"/>
    <w:rsid w:val="00D42E8F"/>
    <w:rsid w:val="00D43620"/>
    <w:rsid w:val="00D43BDA"/>
    <w:rsid w:val="00D43BFB"/>
    <w:rsid w:val="00D43FD5"/>
    <w:rsid w:val="00D444BA"/>
    <w:rsid w:val="00D45038"/>
    <w:rsid w:val="00D458E4"/>
    <w:rsid w:val="00D46B26"/>
    <w:rsid w:val="00D474E0"/>
    <w:rsid w:val="00D47658"/>
    <w:rsid w:val="00D47BA3"/>
    <w:rsid w:val="00D5027E"/>
    <w:rsid w:val="00D502FA"/>
    <w:rsid w:val="00D517CA"/>
    <w:rsid w:val="00D52982"/>
    <w:rsid w:val="00D53361"/>
    <w:rsid w:val="00D53E12"/>
    <w:rsid w:val="00D54592"/>
    <w:rsid w:val="00D55A3D"/>
    <w:rsid w:val="00D55AFE"/>
    <w:rsid w:val="00D55C40"/>
    <w:rsid w:val="00D56574"/>
    <w:rsid w:val="00D56600"/>
    <w:rsid w:val="00D56904"/>
    <w:rsid w:val="00D56C46"/>
    <w:rsid w:val="00D5753A"/>
    <w:rsid w:val="00D57872"/>
    <w:rsid w:val="00D60101"/>
    <w:rsid w:val="00D60676"/>
    <w:rsid w:val="00D6144B"/>
    <w:rsid w:val="00D61694"/>
    <w:rsid w:val="00D617B7"/>
    <w:rsid w:val="00D617CC"/>
    <w:rsid w:val="00D618A2"/>
    <w:rsid w:val="00D61BBD"/>
    <w:rsid w:val="00D62080"/>
    <w:rsid w:val="00D62309"/>
    <w:rsid w:val="00D62E28"/>
    <w:rsid w:val="00D6309C"/>
    <w:rsid w:val="00D63ACA"/>
    <w:rsid w:val="00D64229"/>
    <w:rsid w:val="00D652B6"/>
    <w:rsid w:val="00D65577"/>
    <w:rsid w:val="00D65B9F"/>
    <w:rsid w:val="00D65DF2"/>
    <w:rsid w:val="00D6600C"/>
    <w:rsid w:val="00D663F5"/>
    <w:rsid w:val="00D66563"/>
    <w:rsid w:val="00D66788"/>
    <w:rsid w:val="00D667A2"/>
    <w:rsid w:val="00D674E0"/>
    <w:rsid w:val="00D679E0"/>
    <w:rsid w:val="00D67DE5"/>
    <w:rsid w:val="00D71321"/>
    <w:rsid w:val="00D7177C"/>
    <w:rsid w:val="00D71824"/>
    <w:rsid w:val="00D722FC"/>
    <w:rsid w:val="00D73122"/>
    <w:rsid w:val="00D7323A"/>
    <w:rsid w:val="00D7433A"/>
    <w:rsid w:val="00D74B23"/>
    <w:rsid w:val="00D764C9"/>
    <w:rsid w:val="00D77491"/>
    <w:rsid w:val="00D81458"/>
    <w:rsid w:val="00D81558"/>
    <w:rsid w:val="00D81D0A"/>
    <w:rsid w:val="00D823AB"/>
    <w:rsid w:val="00D83D39"/>
    <w:rsid w:val="00D84004"/>
    <w:rsid w:val="00D85B57"/>
    <w:rsid w:val="00D85BCA"/>
    <w:rsid w:val="00D85FC1"/>
    <w:rsid w:val="00D86334"/>
    <w:rsid w:val="00D8688F"/>
    <w:rsid w:val="00D8697B"/>
    <w:rsid w:val="00D8717C"/>
    <w:rsid w:val="00D90023"/>
    <w:rsid w:val="00D904B9"/>
    <w:rsid w:val="00D90806"/>
    <w:rsid w:val="00D90D45"/>
    <w:rsid w:val="00D913F7"/>
    <w:rsid w:val="00D91941"/>
    <w:rsid w:val="00D934FA"/>
    <w:rsid w:val="00D93548"/>
    <w:rsid w:val="00D93D00"/>
    <w:rsid w:val="00D94BEC"/>
    <w:rsid w:val="00D95705"/>
    <w:rsid w:val="00D959BD"/>
    <w:rsid w:val="00D96848"/>
    <w:rsid w:val="00D96DB8"/>
    <w:rsid w:val="00DA0D55"/>
    <w:rsid w:val="00DA1168"/>
    <w:rsid w:val="00DA165C"/>
    <w:rsid w:val="00DA23A9"/>
    <w:rsid w:val="00DA2E23"/>
    <w:rsid w:val="00DA4AA5"/>
    <w:rsid w:val="00DA4E23"/>
    <w:rsid w:val="00DA4E9B"/>
    <w:rsid w:val="00DA50DF"/>
    <w:rsid w:val="00DA58E9"/>
    <w:rsid w:val="00DA6DC5"/>
    <w:rsid w:val="00DA6E82"/>
    <w:rsid w:val="00DA7AF4"/>
    <w:rsid w:val="00DB2CCF"/>
    <w:rsid w:val="00DB2E38"/>
    <w:rsid w:val="00DB3874"/>
    <w:rsid w:val="00DB3E1B"/>
    <w:rsid w:val="00DB3FD2"/>
    <w:rsid w:val="00DB43C4"/>
    <w:rsid w:val="00DB4B54"/>
    <w:rsid w:val="00DB4F1D"/>
    <w:rsid w:val="00DB54E1"/>
    <w:rsid w:val="00DB5F94"/>
    <w:rsid w:val="00DB6450"/>
    <w:rsid w:val="00DB6761"/>
    <w:rsid w:val="00DB6935"/>
    <w:rsid w:val="00DB6C3B"/>
    <w:rsid w:val="00DC00A6"/>
    <w:rsid w:val="00DC0F6C"/>
    <w:rsid w:val="00DC145F"/>
    <w:rsid w:val="00DC169C"/>
    <w:rsid w:val="00DC1865"/>
    <w:rsid w:val="00DC1AAA"/>
    <w:rsid w:val="00DC1BD2"/>
    <w:rsid w:val="00DC1D2C"/>
    <w:rsid w:val="00DC1F93"/>
    <w:rsid w:val="00DC2433"/>
    <w:rsid w:val="00DC312A"/>
    <w:rsid w:val="00DC3326"/>
    <w:rsid w:val="00DC3934"/>
    <w:rsid w:val="00DC3DAF"/>
    <w:rsid w:val="00DC4703"/>
    <w:rsid w:val="00DC50C8"/>
    <w:rsid w:val="00DC56EE"/>
    <w:rsid w:val="00DC6C9A"/>
    <w:rsid w:val="00DC75AA"/>
    <w:rsid w:val="00DC7632"/>
    <w:rsid w:val="00DC7A6C"/>
    <w:rsid w:val="00DC7CF9"/>
    <w:rsid w:val="00DC7F11"/>
    <w:rsid w:val="00DD1663"/>
    <w:rsid w:val="00DD18BE"/>
    <w:rsid w:val="00DD365A"/>
    <w:rsid w:val="00DD56C9"/>
    <w:rsid w:val="00DD57C7"/>
    <w:rsid w:val="00DD5E60"/>
    <w:rsid w:val="00DD5E6B"/>
    <w:rsid w:val="00DD6699"/>
    <w:rsid w:val="00DD6837"/>
    <w:rsid w:val="00DD6AE9"/>
    <w:rsid w:val="00DD6C31"/>
    <w:rsid w:val="00DD6D8E"/>
    <w:rsid w:val="00DD70C1"/>
    <w:rsid w:val="00DD719E"/>
    <w:rsid w:val="00DE04C9"/>
    <w:rsid w:val="00DE09AB"/>
    <w:rsid w:val="00DE18E5"/>
    <w:rsid w:val="00DE1C5B"/>
    <w:rsid w:val="00DE1D11"/>
    <w:rsid w:val="00DE2A64"/>
    <w:rsid w:val="00DE307C"/>
    <w:rsid w:val="00DE3106"/>
    <w:rsid w:val="00DE35C8"/>
    <w:rsid w:val="00DE35E2"/>
    <w:rsid w:val="00DE4303"/>
    <w:rsid w:val="00DE4698"/>
    <w:rsid w:val="00DE4C73"/>
    <w:rsid w:val="00DE4F15"/>
    <w:rsid w:val="00DE4FB2"/>
    <w:rsid w:val="00DE59D0"/>
    <w:rsid w:val="00DE5AD8"/>
    <w:rsid w:val="00DE6270"/>
    <w:rsid w:val="00DE6B0A"/>
    <w:rsid w:val="00DE6BC9"/>
    <w:rsid w:val="00DE6BE3"/>
    <w:rsid w:val="00DE6E31"/>
    <w:rsid w:val="00DE70C7"/>
    <w:rsid w:val="00DF02E9"/>
    <w:rsid w:val="00DF042D"/>
    <w:rsid w:val="00DF1188"/>
    <w:rsid w:val="00DF140B"/>
    <w:rsid w:val="00DF18CB"/>
    <w:rsid w:val="00DF1AC3"/>
    <w:rsid w:val="00DF3214"/>
    <w:rsid w:val="00DF3736"/>
    <w:rsid w:val="00DF4063"/>
    <w:rsid w:val="00DF62EC"/>
    <w:rsid w:val="00DF76E0"/>
    <w:rsid w:val="00DF7AF7"/>
    <w:rsid w:val="00DF7B0D"/>
    <w:rsid w:val="00E000FC"/>
    <w:rsid w:val="00E0026A"/>
    <w:rsid w:val="00E00923"/>
    <w:rsid w:val="00E00BCF"/>
    <w:rsid w:val="00E00E1A"/>
    <w:rsid w:val="00E021C6"/>
    <w:rsid w:val="00E02547"/>
    <w:rsid w:val="00E02950"/>
    <w:rsid w:val="00E03C09"/>
    <w:rsid w:val="00E03D19"/>
    <w:rsid w:val="00E03E63"/>
    <w:rsid w:val="00E04AF3"/>
    <w:rsid w:val="00E053C2"/>
    <w:rsid w:val="00E06448"/>
    <w:rsid w:val="00E067A8"/>
    <w:rsid w:val="00E07255"/>
    <w:rsid w:val="00E07393"/>
    <w:rsid w:val="00E105CF"/>
    <w:rsid w:val="00E11391"/>
    <w:rsid w:val="00E1158D"/>
    <w:rsid w:val="00E11CDF"/>
    <w:rsid w:val="00E11DE9"/>
    <w:rsid w:val="00E127C4"/>
    <w:rsid w:val="00E1294B"/>
    <w:rsid w:val="00E13401"/>
    <w:rsid w:val="00E13525"/>
    <w:rsid w:val="00E139E9"/>
    <w:rsid w:val="00E13FBD"/>
    <w:rsid w:val="00E15021"/>
    <w:rsid w:val="00E154DB"/>
    <w:rsid w:val="00E1610E"/>
    <w:rsid w:val="00E16850"/>
    <w:rsid w:val="00E178ED"/>
    <w:rsid w:val="00E17DC3"/>
    <w:rsid w:val="00E17E74"/>
    <w:rsid w:val="00E20287"/>
    <w:rsid w:val="00E210ED"/>
    <w:rsid w:val="00E23184"/>
    <w:rsid w:val="00E241DE"/>
    <w:rsid w:val="00E24B4B"/>
    <w:rsid w:val="00E25157"/>
    <w:rsid w:val="00E253C9"/>
    <w:rsid w:val="00E25B15"/>
    <w:rsid w:val="00E25F54"/>
    <w:rsid w:val="00E2671F"/>
    <w:rsid w:val="00E26827"/>
    <w:rsid w:val="00E26CD3"/>
    <w:rsid w:val="00E3036A"/>
    <w:rsid w:val="00E3036E"/>
    <w:rsid w:val="00E30394"/>
    <w:rsid w:val="00E304B8"/>
    <w:rsid w:val="00E30F21"/>
    <w:rsid w:val="00E316D3"/>
    <w:rsid w:val="00E334DD"/>
    <w:rsid w:val="00E34B29"/>
    <w:rsid w:val="00E34D57"/>
    <w:rsid w:val="00E34EC0"/>
    <w:rsid w:val="00E34FF9"/>
    <w:rsid w:val="00E35288"/>
    <w:rsid w:val="00E36432"/>
    <w:rsid w:val="00E364E4"/>
    <w:rsid w:val="00E37034"/>
    <w:rsid w:val="00E37608"/>
    <w:rsid w:val="00E376B0"/>
    <w:rsid w:val="00E37D31"/>
    <w:rsid w:val="00E405C7"/>
    <w:rsid w:val="00E40A75"/>
    <w:rsid w:val="00E41963"/>
    <w:rsid w:val="00E426CE"/>
    <w:rsid w:val="00E43780"/>
    <w:rsid w:val="00E43A0B"/>
    <w:rsid w:val="00E43F86"/>
    <w:rsid w:val="00E44C64"/>
    <w:rsid w:val="00E453C3"/>
    <w:rsid w:val="00E46740"/>
    <w:rsid w:val="00E468BD"/>
    <w:rsid w:val="00E46A95"/>
    <w:rsid w:val="00E46E5A"/>
    <w:rsid w:val="00E47E7F"/>
    <w:rsid w:val="00E50B62"/>
    <w:rsid w:val="00E50F83"/>
    <w:rsid w:val="00E51467"/>
    <w:rsid w:val="00E51CCF"/>
    <w:rsid w:val="00E51E3A"/>
    <w:rsid w:val="00E52443"/>
    <w:rsid w:val="00E535B0"/>
    <w:rsid w:val="00E53913"/>
    <w:rsid w:val="00E54770"/>
    <w:rsid w:val="00E54B25"/>
    <w:rsid w:val="00E54BC8"/>
    <w:rsid w:val="00E54E54"/>
    <w:rsid w:val="00E5525D"/>
    <w:rsid w:val="00E56482"/>
    <w:rsid w:val="00E602F8"/>
    <w:rsid w:val="00E60540"/>
    <w:rsid w:val="00E605BD"/>
    <w:rsid w:val="00E610B5"/>
    <w:rsid w:val="00E61149"/>
    <w:rsid w:val="00E63097"/>
    <w:rsid w:val="00E64CAA"/>
    <w:rsid w:val="00E64D43"/>
    <w:rsid w:val="00E650EE"/>
    <w:rsid w:val="00E66888"/>
    <w:rsid w:val="00E67845"/>
    <w:rsid w:val="00E67A70"/>
    <w:rsid w:val="00E711C1"/>
    <w:rsid w:val="00E7134D"/>
    <w:rsid w:val="00E71B86"/>
    <w:rsid w:val="00E71C2A"/>
    <w:rsid w:val="00E71E28"/>
    <w:rsid w:val="00E726C8"/>
    <w:rsid w:val="00E73062"/>
    <w:rsid w:val="00E747D0"/>
    <w:rsid w:val="00E74E82"/>
    <w:rsid w:val="00E751C5"/>
    <w:rsid w:val="00E753AB"/>
    <w:rsid w:val="00E75F1B"/>
    <w:rsid w:val="00E769AD"/>
    <w:rsid w:val="00E770E4"/>
    <w:rsid w:val="00E77127"/>
    <w:rsid w:val="00E77EE0"/>
    <w:rsid w:val="00E80146"/>
    <w:rsid w:val="00E80272"/>
    <w:rsid w:val="00E803A4"/>
    <w:rsid w:val="00E808CD"/>
    <w:rsid w:val="00E81269"/>
    <w:rsid w:val="00E81718"/>
    <w:rsid w:val="00E81825"/>
    <w:rsid w:val="00E81A45"/>
    <w:rsid w:val="00E81E32"/>
    <w:rsid w:val="00E8283A"/>
    <w:rsid w:val="00E82C6A"/>
    <w:rsid w:val="00E82D3A"/>
    <w:rsid w:val="00E83615"/>
    <w:rsid w:val="00E837BA"/>
    <w:rsid w:val="00E838BE"/>
    <w:rsid w:val="00E83BBF"/>
    <w:rsid w:val="00E84528"/>
    <w:rsid w:val="00E85278"/>
    <w:rsid w:val="00E85DC8"/>
    <w:rsid w:val="00E86636"/>
    <w:rsid w:val="00E87966"/>
    <w:rsid w:val="00E87D87"/>
    <w:rsid w:val="00E90334"/>
    <w:rsid w:val="00E90CBF"/>
    <w:rsid w:val="00E9139D"/>
    <w:rsid w:val="00E91911"/>
    <w:rsid w:val="00E91BAD"/>
    <w:rsid w:val="00E91CB8"/>
    <w:rsid w:val="00E92B6A"/>
    <w:rsid w:val="00E93178"/>
    <w:rsid w:val="00E946E3"/>
    <w:rsid w:val="00E950EF"/>
    <w:rsid w:val="00E95262"/>
    <w:rsid w:val="00E961B3"/>
    <w:rsid w:val="00E965F9"/>
    <w:rsid w:val="00E96A7A"/>
    <w:rsid w:val="00E96AF2"/>
    <w:rsid w:val="00E96E7F"/>
    <w:rsid w:val="00EA02E2"/>
    <w:rsid w:val="00EA0CDD"/>
    <w:rsid w:val="00EA1FC6"/>
    <w:rsid w:val="00EA2263"/>
    <w:rsid w:val="00EA3B57"/>
    <w:rsid w:val="00EA40ED"/>
    <w:rsid w:val="00EA4532"/>
    <w:rsid w:val="00EA507F"/>
    <w:rsid w:val="00EA529D"/>
    <w:rsid w:val="00EA5DB8"/>
    <w:rsid w:val="00EA6674"/>
    <w:rsid w:val="00EA6762"/>
    <w:rsid w:val="00EA7400"/>
    <w:rsid w:val="00EB0B70"/>
    <w:rsid w:val="00EB2418"/>
    <w:rsid w:val="00EB2ACC"/>
    <w:rsid w:val="00EB2D26"/>
    <w:rsid w:val="00EB32E0"/>
    <w:rsid w:val="00EB3DC2"/>
    <w:rsid w:val="00EB3DD8"/>
    <w:rsid w:val="00EB3E29"/>
    <w:rsid w:val="00EB4B91"/>
    <w:rsid w:val="00EB4BD6"/>
    <w:rsid w:val="00EB4EC2"/>
    <w:rsid w:val="00EB5403"/>
    <w:rsid w:val="00EB56EB"/>
    <w:rsid w:val="00EB5C5A"/>
    <w:rsid w:val="00EB61BC"/>
    <w:rsid w:val="00EB644C"/>
    <w:rsid w:val="00EB64AD"/>
    <w:rsid w:val="00EB65BD"/>
    <w:rsid w:val="00EB6ADE"/>
    <w:rsid w:val="00EB6CAA"/>
    <w:rsid w:val="00EB7065"/>
    <w:rsid w:val="00EB7A49"/>
    <w:rsid w:val="00EC0175"/>
    <w:rsid w:val="00EC0AF8"/>
    <w:rsid w:val="00EC1660"/>
    <w:rsid w:val="00EC256D"/>
    <w:rsid w:val="00EC2B80"/>
    <w:rsid w:val="00EC40EE"/>
    <w:rsid w:val="00EC4CDC"/>
    <w:rsid w:val="00EC63D8"/>
    <w:rsid w:val="00EC6ADA"/>
    <w:rsid w:val="00EC757E"/>
    <w:rsid w:val="00ED0755"/>
    <w:rsid w:val="00ED1823"/>
    <w:rsid w:val="00ED1F83"/>
    <w:rsid w:val="00ED246F"/>
    <w:rsid w:val="00ED281A"/>
    <w:rsid w:val="00ED3003"/>
    <w:rsid w:val="00ED3DBF"/>
    <w:rsid w:val="00ED5070"/>
    <w:rsid w:val="00ED5121"/>
    <w:rsid w:val="00ED61E5"/>
    <w:rsid w:val="00ED63AA"/>
    <w:rsid w:val="00ED6691"/>
    <w:rsid w:val="00ED70CB"/>
    <w:rsid w:val="00ED712A"/>
    <w:rsid w:val="00ED77C9"/>
    <w:rsid w:val="00ED7DBB"/>
    <w:rsid w:val="00ED7F4D"/>
    <w:rsid w:val="00EE044C"/>
    <w:rsid w:val="00EE094B"/>
    <w:rsid w:val="00EE0BF4"/>
    <w:rsid w:val="00EE1B76"/>
    <w:rsid w:val="00EE2306"/>
    <w:rsid w:val="00EE3389"/>
    <w:rsid w:val="00EE432A"/>
    <w:rsid w:val="00EE448F"/>
    <w:rsid w:val="00EE4542"/>
    <w:rsid w:val="00EE6261"/>
    <w:rsid w:val="00EE6706"/>
    <w:rsid w:val="00EE6BC9"/>
    <w:rsid w:val="00EE70B0"/>
    <w:rsid w:val="00EE733F"/>
    <w:rsid w:val="00EE7623"/>
    <w:rsid w:val="00EF1337"/>
    <w:rsid w:val="00EF1388"/>
    <w:rsid w:val="00EF162D"/>
    <w:rsid w:val="00EF19A4"/>
    <w:rsid w:val="00EF1B09"/>
    <w:rsid w:val="00EF2075"/>
    <w:rsid w:val="00EF24FA"/>
    <w:rsid w:val="00EF2CB3"/>
    <w:rsid w:val="00EF3273"/>
    <w:rsid w:val="00EF3BB1"/>
    <w:rsid w:val="00EF650D"/>
    <w:rsid w:val="00EF7175"/>
    <w:rsid w:val="00EF7704"/>
    <w:rsid w:val="00EF7A19"/>
    <w:rsid w:val="00F00616"/>
    <w:rsid w:val="00F00663"/>
    <w:rsid w:val="00F00BF8"/>
    <w:rsid w:val="00F00EBE"/>
    <w:rsid w:val="00F01174"/>
    <w:rsid w:val="00F0263E"/>
    <w:rsid w:val="00F02EF7"/>
    <w:rsid w:val="00F02F34"/>
    <w:rsid w:val="00F030EC"/>
    <w:rsid w:val="00F034DF"/>
    <w:rsid w:val="00F03558"/>
    <w:rsid w:val="00F03A92"/>
    <w:rsid w:val="00F03D33"/>
    <w:rsid w:val="00F044FF"/>
    <w:rsid w:val="00F04F93"/>
    <w:rsid w:val="00F058E4"/>
    <w:rsid w:val="00F05C32"/>
    <w:rsid w:val="00F06210"/>
    <w:rsid w:val="00F0647B"/>
    <w:rsid w:val="00F06559"/>
    <w:rsid w:val="00F067EB"/>
    <w:rsid w:val="00F06AA7"/>
    <w:rsid w:val="00F079D9"/>
    <w:rsid w:val="00F07E6A"/>
    <w:rsid w:val="00F105E2"/>
    <w:rsid w:val="00F106C2"/>
    <w:rsid w:val="00F10937"/>
    <w:rsid w:val="00F11770"/>
    <w:rsid w:val="00F1177B"/>
    <w:rsid w:val="00F12819"/>
    <w:rsid w:val="00F14590"/>
    <w:rsid w:val="00F14700"/>
    <w:rsid w:val="00F1512D"/>
    <w:rsid w:val="00F157CE"/>
    <w:rsid w:val="00F15958"/>
    <w:rsid w:val="00F15E9C"/>
    <w:rsid w:val="00F16CFE"/>
    <w:rsid w:val="00F16E11"/>
    <w:rsid w:val="00F21056"/>
    <w:rsid w:val="00F213B9"/>
    <w:rsid w:val="00F21687"/>
    <w:rsid w:val="00F22BC9"/>
    <w:rsid w:val="00F23041"/>
    <w:rsid w:val="00F23567"/>
    <w:rsid w:val="00F23CA8"/>
    <w:rsid w:val="00F23F89"/>
    <w:rsid w:val="00F23FFF"/>
    <w:rsid w:val="00F2405E"/>
    <w:rsid w:val="00F24078"/>
    <w:rsid w:val="00F245BE"/>
    <w:rsid w:val="00F246EF"/>
    <w:rsid w:val="00F2503F"/>
    <w:rsid w:val="00F252E7"/>
    <w:rsid w:val="00F25403"/>
    <w:rsid w:val="00F259BC"/>
    <w:rsid w:val="00F260AF"/>
    <w:rsid w:val="00F26629"/>
    <w:rsid w:val="00F2762C"/>
    <w:rsid w:val="00F300E6"/>
    <w:rsid w:val="00F30A03"/>
    <w:rsid w:val="00F314AF"/>
    <w:rsid w:val="00F318A6"/>
    <w:rsid w:val="00F32B76"/>
    <w:rsid w:val="00F33376"/>
    <w:rsid w:val="00F33635"/>
    <w:rsid w:val="00F339B6"/>
    <w:rsid w:val="00F34813"/>
    <w:rsid w:val="00F3569E"/>
    <w:rsid w:val="00F376A9"/>
    <w:rsid w:val="00F37F10"/>
    <w:rsid w:val="00F4122C"/>
    <w:rsid w:val="00F413BE"/>
    <w:rsid w:val="00F418AD"/>
    <w:rsid w:val="00F41C52"/>
    <w:rsid w:val="00F42C00"/>
    <w:rsid w:val="00F431A6"/>
    <w:rsid w:val="00F43278"/>
    <w:rsid w:val="00F43B4F"/>
    <w:rsid w:val="00F43F06"/>
    <w:rsid w:val="00F44332"/>
    <w:rsid w:val="00F444CF"/>
    <w:rsid w:val="00F4508B"/>
    <w:rsid w:val="00F452F1"/>
    <w:rsid w:val="00F4604E"/>
    <w:rsid w:val="00F46241"/>
    <w:rsid w:val="00F468F0"/>
    <w:rsid w:val="00F46FC0"/>
    <w:rsid w:val="00F502F4"/>
    <w:rsid w:val="00F503C6"/>
    <w:rsid w:val="00F511D1"/>
    <w:rsid w:val="00F52438"/>
    <w:rsid w:val="00F52774"/>
    <w:rsid w:val="00F52BD7"/>
    <w:rsid w:val="00F53A7A"/>
    <w:rsid w:val="00F54058"/>
    <w:rsid w:val="00F54410"/>
    <w:rsid w:val="00F5468D"/>
    <w:rsid w:val="00F54A38"/>
    <w:rsid w:val="00F54CCD"/>
    <w:rsid w:val="00F55C69"/>
    <w:rsid w:val="00F5656C"/>
    <w:rsid w:val="00F57496"/>
    <w:rsid w:val="00F57B9E"/>
    <w:rsid w:val="00F608A3"/>
    <w:rsid w:val="00F610F1"/>
    <w:rsid w:val="00F61E0D"/>
    <w:rsid w:val="00F626FC"/>
    <w:rsid w:val="00F62915"/>
    <w:rsid w:val="00F676B2"/>
    <w:rsid w:val="00F7001E"/>
    <w:rsid w:val="00F703DE"/>
    <w:rsid w:val="00F704C3"/>
    <w:rsid w:val="00F706D5"/>
    <w:rsid w:val="00F731CA"/>
    <w:rsid w:val="00F741FC"/>
    <w:rsid w:val="00F754B4"/>
    <w:rsid w:val="00F75882"/>
    <w:rsid w:val="00F75E50"/>
    <w:rsid w:val="00F76AEF"/>
    <w:rsid w:val="00F76CBD"/>
    <w:rsid w:val="00F7731F"/>
    <w:rsid w:val="00F77662"/>
    <w:rsid w:val="00F77756"/>
    <w:rsid w:val="00F80005"/>
    <w:rsid w:val="00F8006E"/>
    <w:rsid w:val="00F802E1"/>
    <w:rsid w:val="00F80A64"/>
    <w:rsid w:val="00F80A76"/>
    <w:rsid w:val="00F80F87"/>
    <w:rsid w:val="00F81556"/>
    <w:rsid w:val="00F81968"/>
    <w:rsid w:val="00F81CE2"/>
    <w:rsid w:val="00F81F78"/>
    <w:rsid w:val="00F8216A"/>
    <w:rsid w:val="00F82318"/>
    <w:rsid w:val="00F82519"/>
    <w:rsid w:val="00F828DC"/>
    <w:rsid w:val="00F83B4C"/>
    <w:rsid w:val="00F84E15"/>
    <w:rsid w:val="00F860E8"/>
    <w:rsid w:val="00F862A5"/>
    <w:rsid w:val="00F86617"/>
    <w:rsid w:val="00F86DEF"/>
    <w:rsid w:val="00F87220"/>
    <w:rsid w:val="00F87F3B"/>
    <w:rsid w:val="00F90F37"/>
    <w:rsid w:val="00F91091"/>
    <w:rsid w:val="00F91322"/>
    <w:rsid w:val="00F9174A"/>
    <w:rsid w:val="00F92EC5"/>
    <w:rsid w:val="00F92ECD"/>
    <w:rsid w:val="00F940F0"/>
    <w:rsid w:val="00F9612D"/>
    <w:rsid w:val="00F96797"/>
    <w:rsid w:val="00F96E86"/>
    <w:rsid w:val="00FA1130"/>
    <w:rsid w:val="00FA1ACB"/>
    <w:rsid w:val="00FA2E52"/>
    <w:rsid w:val="00FA3249"/>
    <w:rsid w:val="00FA3923"/>
    <w:rsid w:val="00FA3CDF"/>
    <w:rsid w:val="00FA409F"/>
    <w:rsid w:val="00FA45D4"/>
    <w:rsid w:val="00FA5113"/>
    <w:rsid w:val="00FA5A8E"/>
    <w:rsid w:val="00FA68D4"/>
    <w:rsid w:val="00FA77CD"/>
    <w:rsid w:val="00FB0AB4"/>
    <w:rsid w:val="00FB1257"/>
    <w:rsid w:val="00FB2095"/>
    <w:rsid w:val="00FB2666"/>
    <w:rsid w:val="00FB27D8"/>
    <w:rsid w:val="00FB2FF6"/>
    <w:rsid w:val="00FB3826"/>
    <w:rsid w:val="00FB3A06"/>
    <w:rsid w:val="00FB3E2A"/>
    <w:rsid w:val="00FB40C6"/>
    <w:rsid w:val="00FB44D4"/>
    <w:rsid w:val="00FB4E3C"/>
    <w:rsid w:val="00FB59E8"/>
    <w:rsid w:val="00FB5ED3"/>
    <w:rsid w:val="00FB659B"/>
    <w:rsid w:val="00FB660E"/>
    <w:rsid w:val="00FB6772"/>
    <w:rsid w:val="00FB7004"/>
    <w:rsid w:val="00FB728D"/>
    <w:rsid w:val="00FB7863"/>
    <w:rsid w:val="00FC01DF"/>
    <w:rsid w:val="00FC0A15"/>
    <w:rsid w:val="00FC0FD3"/>
    <w:rsid w:val="00FC1001"/>
    <w:rsid w:val="00FC2975"/>
    <w:rsid w:val="00FC3618"/>
    <w:rsid w:val="00FC3B68"/>
    <w:rsid w:val="00FC3F41"/>
    <w:rsid w:val="00FC4E9C"/>
    <w:rsid w:val="00FC54C6"/>
    <w:rsid w:val="00FC63B7"/>
    <w:rsid w:val="00FC6494"/>
    <w:rsid w:val="00FC7269"/>
    <w:rsid w:val="00FC7AFF"/>
    <w:rsid w:val="00FC7BC3"/>
    <w:rsid w:val="00FD0155"/>
    <w:rsid w:val="00FD0321"/>
    <w:rsid w:val="00FD2157"/>
    <w:rsid w:val="00FD2321"/>
    <w:rsid w:val="00FD25CF"/>
    <w:rsid w:val="00FD2711"/>
    <w:rsid w:val="00FD34EF"/>
    <w:rsid w:val="00FD38F3"/>
    <w:rsid w:val="00FD4059"/>
    <w:rsid w:val="00FD4533"/>
    <w:rsid w:val="00FD51BA"/>
    <w:rsid w:val="00FD59AD"/>
    <w:rsid w:val="00FD638D"/>
    <w:rsid w:val="00FD6C7F"/>
    <w:rsid w:val="00FD6EBF"/>
    <w:rsid w:val="00FD6FE7"/>
    <w:rsid w:val="00FD71D8"/>
    <w:rsid w:val="00FD730E"/>
    <w:rsid w:val="00FD7A45"/>
    <w:rsid w:val="00FD7DFA"/>
    <w:rsid w:val="00FE0BEE"/>
    <w:rsid w:val="00FE23D6"/>
    <w:rsid w:val="00FE2AEC"/>
    <w:rsid w:val="00FE3ED5"/>
    <w:rsid w:val="00FE4714"/>
    <w:rsid w:val="00FE47B7"/>
    <w:rsid w:val="00FE4B2F"/>
    <w:rsid w:val="00FE53DB"/>
    <w:rsid w:val="00FE5CA8"/>
    <w:rsid w:val="00FE628F"/>
    <w:rsid w:val="00FE6B53"/>
    <w:rsid w:val="00FE6E2C"/>
    <w:rsid w:val="00FE7289"/>
    <w:rsid w:val="00FF0052"/>
    <w:rsid w:val="00FF09A6"/>
    <w:rsid w:val="00FF164C"/>
    <w:rsid w:val="00FF17B3"/>
    <w:rsid w:val="00FF237B"/>
    <w:rsid w:val="00FF247A"/>
    <w:rsid w:val="00FF2758"/>
    <w:rsid w:val="00FF2840"/>
    <w:rsid w:val="00FF2CDA"/>
    <w:rsid w:val="00FF35DD"/>
    <w:rsid w:val="00FF593E"/>
    <w:rsid w:val="00FF6385"/>
    <w:rsid w:val="00FF6E5B"/>
    <w:rsid w:val="00FF71F1"/>
    <w:rsid w:val="00FF7718"/>
    <w:rsid w:val="00FF7FED"/>
    <w:rsid w:val="059B17A9"/>
    <w:rsid w:val="1A07140F"/>
    <w:rsid w:val="201B145F"/>
    <w:rsid w:val="27FB3A58"/>
    <w:rsid w:val="2D1C3FD0"/>
    <w:rsid w:val="2F051ADF"/>
    <w:rsid w:val="3A5913BB"/>
    <w:rsid w:val="3B223EA3"/>
    <w:rsid w:val="3FB47094"/>
    <w:rsid w:val="4C997D3D"/>
    <w:rsid w:val="5160707C"/>
    <w:rsid w:val="54253B4A"/>
    <w:rsid w:val="5B8F47E5"/>
    <w:rsid w:val="5E41173B"/>
    <w:rsid w:val="604E1F54"/>
    <w:rsid w:val="641E0DFC"/>
    <w:rsid w:val="70F84783"/>
    <w:rsid w:val="732C6966"/>
    <w:rsid w:val="7CA13F2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qFormat/>
    <w:uiPriority w:val="99"/>
    <w:pPr>
      <w:spacing w:after="120" w:line="480" w:lineRule="auto"/>
      <w:ind w:left="420" w:leftChars="200"/>
    </w:pPr>
  </w:style>
  <w:style w:type="paragraph" w:styleId="3">
    <w:name w:val="Balloon Text"/>
    <w:basedOn w:val="1"/>
    <w:link w:val="15"/>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locked/>
    <w:uiPriority w:val="99"/>
    <w:rPr>
      <w:rFonts w:cs="Times New Roman"/>
      <w:kern w:val="2"/>
      <w:sz w:val="18"/>
      <w:szCs w:val="18"/>
    </w:rPr>
  </w:style>
  <w:style w:type="character" w:customStyle="1" w:styleId="10">
    <w:name w:val="页脚 Char"/>
    <w:basedOn w:val="8"/>
    <w:link w:val="4"/>
    <w:qFormat/>
    <w:locked/>
    <w:uiPriority w:val="99"/>
    <w:rPr>
      <w:rFonts w:cs="Times New Roman"/>
      <w:kern w:val="2"/>
      <w:sz w:val="18"/>
      <w:szCs w:val="18"/>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2"/>
      <w:szCs w:val="22"/>
      <w:lang w:val="en-US" w:eastAsia="zh-CN" w:bidi="ar-SA"/>
    </w:rPr>
  </w:style>
  <w:style w:type="character" w:customStyle="1" w:styleId="12">
    <w:name w:val="段 Char"/>
    <w:link w:val="11"/>
    <w:qFormat/>
    <w:locked/>
    <w:uiPriority w:val="0"/>
    <w:rPr>
      <w:rFonts w:ascii="宋体"/>
      <w:sz w:val="22"/>
    </w:rPr>
  </w:style>
  <w:style w:type="paragraph" w:styleId="13">
    <w:name w:val="List Paragraph"/>
    <w:basedOn w:val="1"/>
    <w:qFormat/>
    <w:uiPriority w:val="99"/>
    <w:pPr>
      <w:ind w:firstLine="420" w:firstLineChars="200"/>
    </w:pPr>
  </w:style>
  <w:style w:type="character" w:customStyle="1" w:styleId="14">
    <w:name w:val="正文文本缩进 2 Char"/>
    <w:basedOn w:val="8"/>
    <w:link w:val="2"/>
    <w:qFormat/>
    <w:locked/>
    <w:uiPriority w:val="99"/>
    <w:rPr>
      <w:rFonts w:cs="Times New Roman"/>
      <w:sz w:val="24"/>
      <w:szCs w:val="24"/>
    </w:rPr>
  </w:style>
  <w:style w:type="character" w:customStyle="1" w:styleId="15">
    <w:name w:val="批注框文本 Char"/>
    <w:basedOn w:val="8"/>
    <w:link w:val="3"/>
    <w:semiHidden/>
    <w:qFormat/>
    <w:locked/>
    <w:uiPriority w:val="99"/>
    <w:rPr>
      <w:rFonts w:cs="Times New Roman"/>
      <w:sz w:val="18"/>
      <w:szCs w:val="18"/>
    </w:rPr>
  </w:style>
  <w:style w:type="character" w:customStyle="1" w:styleId="16">
    <w:name w:val="font41"/>
    <w:basedOn w:val="8"/>
    <w:qFormat/>
    <w:uiPriority w:val="0"/>
    <w:rPr>
      <w:rFonts w:hint="default" w:ascii="Times New Roman" w:hAnsi="Times New Roman" w:cs="Times New Roman"/>
      <w:color w:val="000000"/>
      <w:sz w:val="22"/>
      <w:szCs w:val="22"/>
      <w:u w:val="none"/>
    </w:rPr>
  </w:style>
  <w:style w:type="character" w:customStyle="1" w:styleId="17">
    <w:name w:val="font01"/>
    <w:basedOn w:val="8"/>
    <w:qFormat/>
    <w:uiPriority w:val="0"/>
    <w:rPr>
      <w:rFonts w:hint="eastAsia" w:ascii="宋体" w:hAnsi="宋体" w:eastAsia="宋体" w:cs="宋体"/>
      <w:color w:val="000000"/>
      <w:sz w:val="22"/>
      <w:szCs w:val="22"/>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927F-F69E-4234-8DCD-AACB10CC4B9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4136</Words>
  <Characters>5670</Characters>
  <Lines>96</Lines>
  <Paragraphs>27</Paragraphs>
  <TotalTime>8</TotalTime>
  <ScaleCrop>false</ScaleCrop>
  <LinksUpToDate>false</LinksUpToDate>
  <CharactersWithSpaces>5834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2019-06-24T04:52:00Z</dcterms:created>
  <dc:creator>郑金凤</dc:creator>
  <cp:lastModifiedBy>亿知青</cp:lastModifiedBy>
  <cp:lastPrinted>2019-06-27T02:22:00Z</cp:lastPrinted>
  <dcterms:modified xsi:type="dcterms:W3CDTF">2024-07-26T09:52:37Z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CC9913A39C2B4C5890DB9C0D41968C7A_12</vt:lpwstr>
  </property>
</Properties>
</file>