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0D2A9">
      <w:pPr>
        <w:pStyle w:val="131"/>
        <w:spacing w:line="360" w:lineRule="auto"/>
      </w:pP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6E888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1868132C">
            <w:pPr>
              <w:pStyle w:val="131"/>
              <w:spacing w:line="360" w:lineRule="auto"/>
            </w:pPr>
          </w:p>
        </w:tc>
      </w:tr>
    </w:tbl>
    <w:p w14:paraId="66589EF7">
      <w:pPr>
        <w:pStyle w:val="117"/>
        <w:spacing w:line="360" w:lineRule="auto"/>
        <w:rPr>
          <w:rFonts w:hint="default" w:eastAsia="宋体"/>
          <w:color w:val="FF0000"/>
          <w:lang w:val="en-US" w:eastAsia="zh-CN"/>
        </w:rPr>
      </w:pPr>
      <w:r>
        <w:rPr>
          <w:color w:val="auto"/>
        </w:rPr>
        <w:t>DB</w:t>
      </w:r>
      <w:r>
        <w:rPr>
          <w:rFonts w:hint="eastAsia"/>
          <w:color w:val="auto"/>
          <w:lang w:val="en-US" w:eastAsia="zh-CN"/>
        </w:rPr>
        <w:t>XX</w:t>
      </w:r>
    </w:p>
    <w:p w14:paraId="7EA2815A">
      <w:pPr>
        <w:pStyle w:val="118"/>
        <w:spacing w:line="360" w:lineRule="auto"/>
      </w:pPr>
      <w:r>
        <w:rPr>
          <w:rFonts w:hint="eastAsia"/>
          <w:color w:val="auto"/>
          <w:lang w:val="en-US" w:eastAsia="zh-CN"/>
        </w:rPr>
        <w:t>陕西</w:t>
      </w:r>
      <w:r>
        <w:rPr>
          <w:rFonts w:hint="eastAsia"/>
          <w:lang w:val="en-US" w:eastAsia="zh-CN"/>
        </w:rPr>
        <w:t>省</w:t>
      </w:r>
      <w:r>
        <w:rPr>
          <w:rFonts w:hint="eastAsia"/>
        </w:rPr>
        <w:t>地方标准</w:t>
      </w:r>
    </w:p>
    <w:p w14:paraId="05D5A98D">
      <w:pPr>
        <w:pStyle w:val="55"/>
        <w:framePr w:wrap="around" w:x="1666" w:y="2889"/>
        <w:spacing w:line="360" w:lineRule="auto"/>
        <w:rPr>
          <w:rFonts w:hint="eastAsia" w:hAnsi="黑体" w:eastAsia="黑体"/>
          <w:lang w:eastAsia="zh-CN"/>
        </w:rPr>
      </w:pPr>
      <w:r>
        <w:rPr>
          <w:rFonts w:ascii="Times New Roman"/>
        </w:rPr>
        <w:t>DB</w:t>
      </w:r>
      <w:r>
        <w:rPr>
          <w:rFonts w:ascii="Times New Roman"/>
          <w:color w:val="auto"/>
        </w:rPr>
        <w:t xml:space="preserve"> </w:t>
      </w:r>
      <w:r>
        <w:rPr>
          <w:rFonts w:hint="eastAsia" w:hAnsi="黑体"/>
          <w:color w:val="auto"/>
          <w:lang w:val="en-US" w:eastAsia="zh-CN"/>
        </w:rPr>
        <w:t>XX</w:t>
      </w:r>
      <w:r>
        <w:rPr>
          <w:rFonts w:hAnsi="黑体"/>
          <w:color w:val="auto"/>
        </w:rPr>
        <w:t xml:space="preserve">/T </w:t>
      </w:r>
      <w:bookmarkStart w:id="0" w:name="StdNo1"/>
      <w:r>
        <w:rPr>
          <w:rFonts w:hAnsi="黑体"/>
          <w:color w:val="auto"/>
        </w:rPr>
        <w:fldChar w:fldCharType="begin">
          <w:ffData>
            <w:name w:val="StdNo1"/>
            <w:enabled/>
            <w:calcOnExit w:val="0"/>
            <w:textInput>
              <w:default w:val="XXXXX"/>
            </w:textInput>
          </w:ffData>
        </w:fldChar>
      </w:r>
      <w:r>
        <w:rPr>
          <w:rFonts w:hAnsi="黑体"/>
          <w:color w:val="auto"/>
        </w:rPr>
        <w:instrText xml:space="preserve"> FORMTEXT </w:instrText>
      </w:r>
      <w:r>
        <w:rPr>
          <w:rFonts w:hAnsi="黑体"/>
          <w:color w:val="auto"/>
        </w:rPr>
        <w:fldChar w:fldCharType="separate"/>
      </w:r>
      <w:r>
        <w:rPr>
          <w:rFonts w:hAnsi="黑体"/>
          <w:color w:val="auto"/>
        </w:rPr>
        <w:t>XXXXX</w:t>
      </w:r>
      <w:r>
        <w:rPr>
          <w:rFonts w:hAnsi="黑体"/>
          <w:color w:val="auto"/>
        </w:rPr>
        <w:fldChar w:fldCharType="end"/>
      </w:r>
      <w:bookmarkEnd w:id="0"/>
      <w:r>
        <w:rPr>
          <w:rFonts w:hAnsi="黑体"/>
          <w:color w:val="auto"/>
        </w:rPr>
        <w:t>—</w:t>
      </w:r>
      <w:r>
        <w:rPr>
          <w:rFonts w:hint="eastAsia" w:hAnsi="黑体"/>
          <w:color w:val="auto"/>
        </w:rPr>
        <w:t>202</w:t>
      </w:r>
      <w:r>
        <w:rPr>
          <w:rFonts w:hint="eastAsia" w:hAnsi="黑体"/>
          <w:color w:val="auto"/>
          <w:lang w:val="en-US" w:eastAsia="zh-CN"/>
        </w:rPr>
        <w:t>4</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8"/>
        <w:gridCol w:w="4678"/>
      </w:tblGrid>
      <w:tr w14:paraId="21521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4678" w:type="dxa"/>
            <w:tcBorders>
              <w:top w:val="nil"/>
              <w:left w:val="nil"/>
              <w:bottom w:val="nil"/>
              <w:right w:val="nil"/>
            </w:tcBorders>
            <w:shd w:val="clear" w:color="auto" w:fill="auto"/>
          </w:tcPr>
          <w:p w14:paraId="735E9FD1">
            <w:pPr>
              <w:pStyle w:val="84"/>
              <w:framePr w:wrap="around" w:x="1666" w:y="2889"/>
              <w:spacing w:line="360" w:lineRule="auto"/>
              <w:ind w:right="840"/>
            </w:pPr>
          </w:p>
        </w:tc>
        <w:tc>
          <w:tcPr>
            <w:tcW w:w="4678" w:type="dxa"/>
            <w:tcBorders>
              <w:top w:val="nil"/>
              <w:left w:val="nil"/>
              <w:bottom w:val="nil"/>
              <w:right w:val="nil"/>
            </w:tcBorders>
          </w:tcPr>
          <w:p w14:paraId="19952487">
            <w:pPr>
              <w:pStyle w:val="84"/>
              <w:framePr w:wrap="around" w:x="1666" w:y="2889"/>
              <w:spacing w:line="360" w:lineRule="auto"/>
              <w:ind w:right="840"/>
            </w:pPr>
          </w:p>
        </w:tc>
      </w:tr>
    </w:tbl>
    <w:p w14:paraId="1E5BF74F">
      <w:pPr>
        <w:pStyle w:val="55"/>
        <w:framePr w:wrap="around" w:x="1666" w:y="2889"/>
        <w:spacing w:line="360" w:lineRule="auto"/>
        <w:rPr>
          <w:rFonts w:hAnsi="黑体"/>
        </w:rPr>
      </w:pPr>
    </w:p>
    <w:p w14:paraId="2AA13BFE">
      <w:pPr>
        <w:pStyle w:val="55"/>
        <w:framePr w:wrap="around" w:x="1666" w:y="2889"/>
        <w:spacing w:line="360" w:lineRule="auto"/>
        <w:rPr>
          <w:rFonts w:hAnsi="黑体"/>
        </w:rPr>
      </w:pPr>
    </w:p>
    <w:p w14:paraId="31611123">
      <w:pPr>
        <w:pStyle w:val="87"/>
        <w:spacing w:line="360" w:lineRule="auto"/>
        <w:rPr>
          <w:rFonts w:ascii="黑体" w:hAnsi="黑体"/>
          <w:b/>
          <w:sz w:val="52"/>
          <w:szCs w:val="52"/>
        </w:rPr>
      </w:pPr>
      <w:bookmarkStart w:id="1" w:name="StdEnglishName"/>
      <w:r>
        <w:rPr>
          <w:rFonts w:hint="eastAsia" w:ascii="黑体" w:hAnsi="黑体"/>
          <w:b/>
          <w:sz w:val="52"/>
          <w:szCs w:val="52"/>
        </w:rPr>
        <w:t>车用汽油快速筛查技术规范</w:t>
      </w:r>
      <w:bookmarkEnd w:id="1"/>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68ECE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37814FE">
            <w:pPr>
              <w:pStyle w:val="89"/>
              <w:spacing w:line="360" w:lineRule="auto"/>
              <w:rPr>
                <w:b/>
              </w:rPr>
            </w:pPr>
          </w:p>
        </w:tc>
      </w:tr>
      <w:tr w14:paraId="2A69C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BAFF515">
            <w:pPr>
              <w:pStyle w:val="90"/>
              <w:spacing w:line="360" w:lineRule="auto"/>
              <w:rPr>
                <w:b/>
              </w:rPr>
            </w:pPr>
          </w:p>
        </w:tc>
      </w:tr>
    </w:tbl>
    <w:p w14:paraId="7C009685">
      <w:pPr>
        <w:pStyle w:val="138"/>
        <w:framePr w:hAnchor="page" w:x="1413"/>
        <w:spacing w:line="360" w:lineRule="auto"/>
        <w:rPr>
          <w:color w:val="auto"/>
        </w:rPr>
      </w:pPr>
      <w:r>
        <w:rPr>
          <w:rFonts w:hint="eastAsia" w:ascii="黑体"/>
          <w:color w:val="auto"/>
        </w:rPr>
        <w:t>202</w:t>
      </w:r>
      <w:r>
        <w:rPr>
          <w:rFonts w:hint="eastAsia" w:ascii="黑体"/>
          <w:color w:val="auto"/>
          <w:lang w:val="en-US" w:eastAsia="zh-CN"/>
        </w:rPr>
        <w:t>X</w:t>
      </w:r>
      <w:r>
        <w:rPr>
          <w:rFonts w:ascii="黑体"/>
          <w:color w:val="auto"/>
        </w:rPr>
        <w:t>-</w:t>
      </w:r>
      <w:r>
        <w:rPr>
          <w:rFonts w:ascii="黑体"/>
          <w:color w:val="auto"/>
        </w:rPr>
        <w:fldChar w:fldCharType="begin">
          <w:ffData>
            <w:name w:val="FM"/>
            <w:enabled/>
            <w:calcOnExit w:val="0"/>
            <w:entryMacro w:val="ShowHelp8"/>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rFonts w:ascii="黑体"/>
          <w:color w:val="auto"/>
        </w:rPr>
        <w:t>-</w:t>
      </w:r>
      <w:bookmarkStart w:id="2" w:name="FD"/>
      <w:r>
        <w:rPr>
          <w:rFonts w:ascii="黑体"/>
          <w:color w:val="auto"/>
        </w:rPr>
        <w:fldChar w:fldCharType="begin">
          <w:ffData>
            <w:name w:val="FD"/>
            <w:enabled/>
            <w:calcOnExit w:val="0"/>
            <w:entryMacro w:val="ShowHelp8"/>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2"/>
      <w:r>
        <w:rPr>
          <w:rFonts w:hint="eastAsia"/>
          <w:color w:val="auto"/>
        </w:rPr>
        <w:t>发布</w:t>
      </w:r>
    </w:p>
    <w:p w14:paraId="0BDF93FE">
      <w:pPr>
        <w:pStyle w:val="139"/>
        <w:spacing w:line="360" w:lineRule="auto"/>
        <w:ind w:right="560"/>
        <w:jc w:val="both"/>
        <w:rPr>
          <w:color w:val="auto"/>
        </w:rPr>
      </w:pPr>
      <w:r>
        <w:rPr>
          <w:rFonts w:hint="eastAsia" w:ascii="黑体"/>
          <w:color w:val="auto"/>
        </w:rPr>
        <w:t>202</w:t>
      </w:r>
      <w:r>
        <w:rPr>
          <w:rFonts w:hint="eastAsia" w:ascii="黑体"/>
          <w:color w:val="auto"/>
          <w:lang w:val="en-US" w:eastAsia="zh-CN"/>
        </w:rPr>
        <w:t>X</w:t>
      </w:r>
      <w:r>
        <w:rPr>
          <w:rFonts w:ascii="黑体"/>
          <w:color w:val="auto"/>
        </w:rPr>
        <w:t>-</w:t>
      </w:r>
      <w:bookmarkStart w:id="3" w:name="SM"/>
      <w:r>
        <w:rPr>
          <w:rFonts w:ascii="黑体"/>
          <w:color w:val="auto"/>
        </w:rPr>
        <w:fldChar w:fldCharType="begin">
          <w:ffData>
            <w:name w:val="SM"/>
            <w:enabled/>
            <w:calcOnExit w:val="0"/>
            <w:entryMacro w:val="ShowHelp9"/>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3"/>
      <w:r>
        <w:rPr>
          <w:rFonts w:ascii="黑体"/>
          <w:color w:val="auto"/>
        </w:rPr>
        <w:t>-</w:t>
      </w:r>
      <w:bookmarkStart w:id="4" w:name="SD"/>
      <w:r>
        <w:rPr>
          <w:rFonts w:ascii="黑体"/>
          <w:color w:val="auto"/>
        </w:rPr>
        <w:fldChar w:fldCharType="begin">
          <w:ffData>
            <w:name w:val="SD"/>
            <w:enabled/>
            <w:calcOnExit w:val="0"/>
            <w:entryMacro w:val="ShowHelp9"/>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4"/>
      <w:r>
        <w:rPr>
          <w:rFonts w:hint="eastAsia"/>
          <w:color w:val="auto"/>
        </w:rPr>
        <w:t>实施</w:t>
      </w:r>
    </w:p>
    <w:p w14:paraId="3E842355">
      <w:pPr>
        <w:pStyle w:val="119"/>
        <w:framePr w:x="2161" w:y="14982"/>
        <w:spacing w:line="360" w:lineRule="auto"/>
      </w:pPr>
      <w:bookmarkStart w:id="5" w:name="fm"/>
      <w:r>
        <w:rPr>
          <w:rFonts w:hint="default"/>
          <w:color w:val="auto"/>
          <w:szCs w:val="22"/>
          <w:lang w:val="en-US"/>
        </w:rPr>
        <w:pict>
          <v:rect id="LB" o:spid="_x0000_s1030" o:spt="1" style="position:absolute;left:0pt;margin-left:142.55pt;margin-top:-310.45pt;height:24pt;width:10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emPTonUCAADyBAAADgAA&#10;AAAAAAAAAAAAAAAuAgAAZHJzL2Uyb0RvYy54bWxQSwECLQAUAAYACAAAACEA8h+pb+AAAAANAQAA&#10;DwAAAAAAAAAAAAAAAADPBAAAZHJzL2Rvd25yZXYueG1sUEsFBgAAAAAEAAQA8wAAANwFAAAAAA==&#10;">
            <v:path/>
            <v:fill focussize="0,0"/>
            <v:stroke on="f"/>
            <v:imagedata o:title=""/>
            <o:lock v:ext="edit"/>
          </v:rect>
        </w:pict>
      </w:r>
      <w:r>
        <w:rPr>
          <w:rFonts w:hint="default"/>
          <w:color w:val="auto"/>
          <w:szCs w:val="22"/>
          <w:lang w:val="en-US"/>
        </w:rPr>
        <w:pict>
          <v:rect id="DT" o:spid="_x0000_s1029" o:spt="1" style="position:absolute;left:0pt;margin-left:347.55pt;margin-top:-585.45pt;height:18pt;width:90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HvI6BB3AgAA8gQA&#10;AA4AAAAAAAAAAAAAAAAALgIAAGRycy9lMm9Eb2MueG1sUEsBAi0AFAAGAAgAAAAhAKXjfcTiAAAA&#10;DwEAAA8AAAAAAAAAAAAAAAAA0QQAAGRycy9kb3ducmV2LnhtbFBLBQYAAAAABAAEAPMAAADgBQAA&#10;AAA=&#10;">
            <v:path/>
            <v:fill focussize="0,0"/>
            <v:stroke on="f"/>
            <v:imagedata o:title=""/>
            <o:lock v:ext="edit"/>
          </v:rect>
        </w:pict>
      </w:r>
      <w:r>
        <w:rPr>
          <w:rFonts w:hint="default"/>
          <w:color w:val="auto"/>
          <w:szCs w:val="22"/>
          <w:lang w:val="en-US"/>
        </w:rPr>
        <w:pict>
          <v:line id="Line 11" o:spid="_x0000_s1028" o:spt="20" style="position:absolute;left:0pt;margin-left:-36.6pt;margin-top:-552.85pt;height:0pt;width:481.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Zf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">
            <v:path arrowok="t"/>
            <v:fill focussize="0,0"/>
            <v:stroke/>
            <v:imagedata o:title=""/>
            <o:lock v:ext="edit"/>
          </v:line>
        </w:pict>
      </w:r>
      <w:bookmarkEnd w:id="5"/>
      <w:r>
        <w:rPr>
          <w:rFonts w:hint="eastAsia"/>
          <w:color w:val="auto"/>
          <w:szCs w:val="22"/>
          <w:lang w:val="en-US" w:eastAsia="zh-CN"/>
        </w:rPr>
        <w:t>陕西</w:t>
      </w:r>
      <w:r>
        <w:rPr>
          <w:rFonts w:hint="eastAsia"/>
          <w:color w:val="auto"/>
          <w:szCs w:val="22"/>
        </w:rPr>
        <w:t>省市场</w:t>
      </w:r>
      <w:r>
        <w:rPr>
          <w:rFonts w:hint="eastAsia"/>
          <w:color w:val="auto"/>
        </w:rPr>
        <w:t>监督管理局</w:t>
      </w:r>
      <w:r>
        <w:rPr>
          <w:rFonts w:hAnsi="黑体"/>
          <w:color w:val="auto"/>
        </w:rPr>
        <w:t> </w:t>
      </w:r>
      <w:r>
        <w:rPr>
          <w:rFonts w:hAnsi="黑体"/>
        </w:rPr>
        <w:t>  </w:t>
      </w:r>
      <w:r>
        <w:rPr>
          <w:rStyle w:val="81"/>
          <w:rFonts w:hint="eastAsia"/>
        </w:rPr>
        <w:t>发布</w:t>
      </w:r>
    </w:p>
    <w:p w14:paraId="76300821">
      <w:pPr>
        <w:pStyle w:val="31"/>
        <w:spacing w:line="360" w:lineRule="auto"/>
        <w:sectPr>
          <w:pgSz w:w="11906" w:h="16838"/>
          <w:pgMar w:top="567" w:right="850" w:bottom="1134" w:left="1418" w:header="0" w:footer="0" w:gutter="0"/>
          <w:pgBorders>
            <w:top w:val="none" w:sz="0" w:space="0"/>
            <w:left w:val="none" w:sz="0" w:space="0"/>
            <w:bottom w:val="none" w:sz="0" w:space="0"/>
            <w:right w:val="none" w:sz="0" w:space="0"/>
          </w:pgBorders>
          <w:pgNumType w:start="1"/>
          <w:cols w:space="425" w:num="1"/>
          <w:docGrid w:type="lines" w:linePitch="312" w:charSpace="0"/>
        </w:sectPr>
      </w:pPr>
      <w:r>
        <w:pict>
          <v:line id="_x0000_s1027" o:spid="_x0000_s1027" o:spt="20" style="position:absolute;left:0pt;margin-top:701.6pt;height:0pt;width:481.9pt;mso-position-horizontal:right;mso-position-horizontal-relative:margin;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">
            <v:path arrowok="t"/>
            <v:fill focussize="0,0"/>
            <v:stroke/>
            <v:imagedata o:title=""/>
            <o:lock v:ext="edit"/>
          </v:line>
        </w:pict>
      </w:r>
    </w:p>
    <w:p w14:paraId="6E7E84BA">
      <w:pPr>
        <w:pStyle w:val="120"/>
        <w:spacing w:line="360" w:lineRule="auto"/>
      </w:pPr>
      <w:r>
        <w:rPr>
          <w:rFonts w:hint="eastAsia"/>
        </w:rPr>
        <w:t>前</w:t>
      </w:r>
      <w:bookmarkStart w:id="6" w:name="BKQY"/>
      <w:r>
        <w:rPr>
          <w:rFonts w:hAnsi="黑体"/>
        </w:rPr>
        <w:t>  </w:t>
      </w:r>
      <w:r>
        <w:rPr>
          <w:rFonts w:hint="eastAsia"/>
        </w:rPr>
        <w:t>言</w:t>
      </w:r>
      <w:bookmarkEnd w:id="6"/>
    </w:p>
    <w:p w14:paraId="07D5FFC4">
      <w:pPr>
        <w:pStyle w:val="31"/>
        <w:spacing w:line="360" w:lineRule="auto"/>
        <w:rPr>
          <w:color w:val="auto"/>
        </w:rPr>
      </w:pPr>
      <w:r>
        <w:rPr>
          <w:rFonts w:hint="eastAsia"/>
          <w:color w:val="auto"/>
        </w:rPr>
        <w:t>本标准按照</w:t>
      </w:r>
      <w:r>
        <w:rPr>
          <w:rFonts w:ascii="Times New Roman"/>
          <w:color w:val="auto"/>
        </w:rPr>
        <w:t>GB/T 1.1-2009</w:t>
      </w:r>
      <w:r>
        <w:rPr>
          <w:rFonts w:hint="eastAsia"/>
          <w:color w:val="auto"/>
        </w:rPr>
        <w:t>给出的规则起草。</w:t>
      </w:r>
    </w:p>
    <w:p w14:paraId="323F6672">
      <w:pPr>
        <w:pStyle w:val="31"/>
        <w:spacing w:line="360" w:lineRule="auto"/>
        <w:rPr>
          <w:color w:val="auto"/>
        </w:rPr>
      </w:pPr>
      <w:r>
        <w:rPr>
          <w:rFonts w:hint="eastAsia"/>
        </w:rPr>
        <w:t>本标准由</w:t>
      </w:r>
      <w:r>
        <w:rPr>
          <w:rFonts w:hint="eastAsia"/>
          <w:color w:val="auto"/>
          <w:lang w:val="en-US" w:eastAsia="zh-CN"/>
        </w:rPr>
        <w:t>陕西</w:t>
      </w:r>
      <w:r>
        <w:rPr>
          <w:rFonts w:hint="eastAsia"/>
          <w:color w:val="auto"/>
        </w:rPr>
        <w:t>省市场监督管理局提出。</w:t>
      </w:r>
    </w:p>
    <w:p w14:paraId="4810E1FC">
      <w:pPr>
        <w:pStyle w:val="31"/>
        <w:spacing w:line="360" w:lineRule="auto"/>
        <w:rPr>
          <w:color w:val="auto"/>
        </w:rPr>
      </w:pPr>
      <w:r>
        <w:rPr>
          <w:rFonts w:hint="eastAsia"/>
          <w:color w:val="auto"/>
        </w:rPr>
        <w:t>本标准起草单位：</w:t>
      </w:r>
      <w:r>
        <w:rPr>
          <w:rFonts w:hint="eastAsia"/>
          <w:color w:val="auto"/>
          <w:lang w:val="en-US" w:eastAsia="zh-CN"/>
        </w:rPr>
        <w:t>延安油气产品质量检验检测有限责任公司/国家石油天然气产品质量检验检测中</w:t>
      </w:r>
      <w:r>
        <w:rPr>
          <w:rFonts w:hint="eastAsia" w:ascii="宋体" w:eastAsia="宋体"/>
          <w:color w:val="auto"/>
          <w:lang w:val="en-US" w:eastAsia="zh-CN"/>
        </w:rPr>
        <w:t>心、</w:t>
      </w:r>
      <w:r>
        <w:rPr>
          <w:rFonts w:hint="eastAsia"/>
          <w:color w:val="auto"/>
          <w:lang w:val="en-US" w:eastAsia="zh-CN"/>
        </w:rPr>
        <w:t>国家煤及盐化工产品质量监督检验中心（榆林）、</w:t>
      </w:r>
      <w:r>
        <w:rPr>
          <w:rFonts w:hint="eastAsia" w:ascii="宋体" w:eastAsia="宋体"/>
          <w:color w:val="auto"/>
          <w:lang w:val="en-US" w:eastAsia="zh-CN"/>
        </w:rPr>
        <w:t>延安大学。</w:t>
      </w:r>
    </w:p>
    <w:p w14:paraId="4AD1D039">
      <w:pPr>
        <w:pStyle w:val="31"/>
        <w:spacing w:line="360" w:lineRule="auto"/>
      </w:pPr>
      <w:r>
        <w:rPr>
          <w:rFonts w:hint="eastAsia"/>
        </w:rPr>
        <w:t>本标准主要起草人：</w:t>
      </w:r>
      <w:r>
        <w:rPr>
          <w:rFonts w:hint="eastAsia"/>
          <w:lang w:val="en-US" w:eastAsia="zh-CN"/>
        </w:rPr>
        <w:t>艾刚刚、沙夜龙、马宝权、高榆榆、王娟、闫海军、张玉琦、李然、边海龙、呼延晓娜、常晶、王子明、拓博</w:t>
      </w:r>
      <w:r>
        <w:rPr>
          <w:rFonts w:hint="eastAsia"/>
        </w:rPr>
        <w:t>。</w:t>
      </w:r>
    </w:p>
    <w:p w14:paraId="3058AF16">
      <w:pPr>
        <w:pStyle w:val="31"/>
        <w:spacing w:line="360" w:lineRule="auto"/>
      </w:pPr>
      <w:r>
        <w:rPr>
          <w:rFonts w:hint="eastAsia"/>
        </w:rPr>
        <w:t>本标准为首次发布。</w:t>
      </w:r>
    </w:p>
    <w:p w14:paraId="65ED84CC">
      <w:pPr>
        <w:pStyle w:val="31"/>
        <w:spacing w:line="360" w:lineRule="auto"/>
      </w:pPr>
    </w:p>
    <w:p w14:paraId="01301503">
      <w:pPr>
        <w:pStyle w:val="31"/>
        <w:spacing w:line="360" w:lineRule="auto"/>
        <w:sectPr>
          <w:headerReference r:id="rId3" w:type="default"/>
          <w:footerReference r:id="rId4"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14:paraId="4131041B">
      <w:pPr>
        <w:pStyle w:val="58"/>
        <w:spacing w:line="360" w:lineRule="auto"/>
      </w:pPr>
      <w:r>
        <w:rPr>
          <w:rFonts w:hint="eastAsia" w:ascii="Times New Roman" w:eastAsia="宋体"/>
          <w:b/>
          <w:kern w:val="2"/>
          <w:sz w:val="36"/>
          <w:szCs w:val="36"/>
        </w:rPr>
        <w:t>车用汽油快速筛查技术规范</w:t>
      </w:r>
    </w:p>
    <w:p w14:paraId="3A449567">
      <w:pPr>
        <w:pStyle w:val="53"/>
        <w:numPr>
          <w:ilvl w:val="0"/>
          <w:numId w:val="17"/>
        </w:numPr>
        <w:spacing w:before="240" w:after="240" w:line="360" w:lineRule="auto"/>
        <w:ind w:left="0" w:firstLine="0"/>
        <w:jc w:val="left"/>
      </w:pPr>
      <w:r>
        <w:rPr>
          <w:rFonts w:hint="eastAsia"/>
        </w:rPr>
        <w:t>范围</w:t>
      </w:r>
    </w:p>
    <w:p w14:paraId="361E7D5D">
      <w:pPr>
        <w:pStyle w:val="53"/>
        <w:spacing w:beforeLines="0" w:afterLines="0"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本技术规范规定了车用汽油快速筛查阈值、取样和快速筛查方法等内容。</w:t>
      </w:r>
    </w:p>
    <w:p w14:paraId="7AB63B3F">
      <w:pPr>
        <w:pStyle w:val="53"/>
        <w:spacing w:beforeLines="0" w:afterLines="0"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本技术规范仅适用于车用汽油产品的快速筛查。</w:t>
      </w:r>
    </w:p>
    <w:p w14:paraId="3F86B9A0">
      <w:pPr>
        <w:pStyle w:val="53"/>
        <w:numPr>
          <w:ilvl w:val="0"/>
          <w:numId w:val="17"/>
        </w:numPr>
        <w:spacing w:before="240" w:after="240" w:line="360" w:lineRule="auto"/>
        <w:ind w:left="0" w:firstLine="0"/>
        <w:jc w:val="left"/>
      </w:pPr>
      <w:r>
        <w:rPr>
          <w:rFonts w:hint="eastAsia"/>
        </w:rPr>
        <w:t>规范性引用文件</w:t>
      </w:r>
    </w:p>
    <w:p w14:paraId="2AA275C2">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下列文件对于本文件的应用是必不可少的。凡是注日期的引用文件，仅所注日期的版本适用于本文件。凡是不注日期的引用文件，其最新版本（包括所有的修改单）适用于本文件。</w:t>
      </w:r>
    </w:p>
    <w:p w14:paraId="6FE1B80D">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 1884</w:t>
      </w:r>
      <w:r>
        <w:rPr>
          <w:rFonts w:ascii="宋体" w:hAnsi="宋体" w:eastAsia="宋体" w:cs="宋体"/>
          <w:kern w:val="2"/>
          <w:szCs w:val="24"/>
        </w:rPr>
        <w:t xml:space="preserve">  </w:t>
      </w:r>
      <w:r>
        <w:rPr>
          <w:rFonts w:hint="eastAsia" w:ascii="宋体" w:hAnsi="宋体" w:eastAsia="宋体" w:cs="宋体"/>
          <w:kern w:val="2"/>
          <w:szCs w:val="24"/>
        </w:rPr>
        <w:t>原油和液体石油产品密度实验室测定法（密度计法）</w:t>
      </w:r>
    </w:p>
    <w:p w14:paraId="38CD0A37">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 1885</w:t>
      </w:r>
      <w:r>
        <w:rPr>
          <w:rFonts w:ascii="宋体" w:hAnsi="宋体" w:eastAsia="宋体" w:cs="宋体"/>
          <w:kern w:val="2"/>
          <w:szCs w:val="24"/>
        </w:rPr>
        <w:t xml:space="preserve">  </w:t>
      </w:r>
      <w:r>
        <w:rPr>
          <w:rFonts w:hint="eastAsia" w:ascii="宋体" w:hAnsi="宋体" w:eastAsia="宋体" w:cs="宋体"/>
          <w:kern w:val="2"/>
          <w:szCs w:val="24"/>
        </w:rPr>
        <w:t>石油计量表</w:t>
      </w:r>
    </w:p>
    <w:p w14:paraId="73E4C7CD">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kern w:val="2"/>
          <w:szCs w:val="24"/>
        </w:rPr>
        <w:t>GB/T 4756  石油液体手工取样法</w:t>
      </w:r>
    </w:p>
    <w:p w14:paraId="3C7E1A82">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 5487</w:t>
      </w:r>
      <w:r>
        <w:rPr>
          <w:rFonts w:ascii="宋体" w:hAnsi="宋体" w:eastAsia="宋体" w:cs="宋体"/>
          <w:kern w:val="2"/>
          <w:szCs w:val="24"/>
        </w:rPr>
        <w:t xml:space="preserve">  </w:t>
      </w:r>
      <w:r>
        <w:rPr>
          <w:rFonts w:hint="eastAsia" w:ascii="宋体" w:hAnsi="宋体" w:eastAsia="宋体" w:cs="宋体"/>
          <w:kern w:val="2"/>
          <w:szCs w:val="24"/>
        </w:rPr>
        <w:t>汽油辛烷值的测定 研究法</w:t>
      </w:r>
    </w:p>
    <w:p w14:paraId="185916DC">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 1</w:t>
      </w:r>
      <w:r>
        <w:rPr>
          <w:rFonts w:hint="eastAsia" w:ascii="宋体" w:hAnsi="宋体" w:eastAsia="宋体" w:cs="宋体"/>
          <w:kern w:val="2"/>
          <w:szCs w:val="24"/>
          <w:lang w:val="en-US" w:eastAsia="zh-CN"/>
        </w:rPr>
        <w:t>7930</w:t>
      </w:r>
      <w:r>
        <w:rPr>
          <w:rFonts w:hint="eastAsia" w:ascii="宋体" w:hAnsi="宋体" w:eastAsia="宋体" w:cs="宋体"/>
          <w:kern w:val="2"/>
          <w:szCs w:val="24"/>
        </w:rPr>
        <w:t xml:space="preserve">  </w:t>
      </w:r>
      <w:r>
        <w:rPr>
          <w:rFonts w:hint="eastAsia" w:ascii="宋体" w:hAnsi="宋体" w:eastAsia="宋体" w:cs="宋体"/>
          <w:kern w:val="2"/>
          <w:szCs w:val="24"/>
          <w:lang w:val="en-US" w:eastAsia="zh-CN"/>
        </w:rPr>
        <w:t xml:space="preserve"> </w:t>
      </w:r>
      <w:r>
        <w:rPr>
          <w:rFonts w:hint="eastAsia" w:ascii="宋体" w:hAnsi="宋体" w:eastAsia="宋体" w:cs="宋体"/>
          <w:kern w:val="2"/>
          <w:szCs w:val="24"/>
        </w:rPr>
        <w:t>车用汽油</w:t>
      </w:r>
    </w:p>
    <w:p w14:paraId="7C6DF787">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w:t>
      </w:r>
      <w:r>
        <w:rPr>
          <w:rFonts w:ascii="宋体" w:hAnsi="宋体" w:eastAsia="宋体" w:cs="宋体"/>
          <w:kern w:val="2"/>
          <w:szCs w:val="24"/>
        </w:rPr>
        <w:t xml:space="preserve">B/T 11132  </w:t>
      </w:r>
      <w:r>
        <w:rPr>
          <w:rFonts w:hint="eastAsia" w:ascii="宋体" w:hAnsi="宋体" w:eastAsia="宋体" w:cs="宋体"/>
          <w:kern w:val="2"/>
          <w:szCs w:val="24"/>
        </w:rPr>
        <w:t>液体石油产品烃类的测定 荧光指示剂吸附法</w:t>
      </w:r>
    </w:p>
    <w:p w14:paraId="46DC2164">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w:t>
      </w:r>
      <w:r>
        <w:rPr>
          <w:rFonts w:ascii="宋体" w:hAnsi="宋体" w:eastAsia="宋体" w:cs="宋体"/>
          <w:kern w:val="2"/>
          <w:szCs w:val="24"/>
        </w:rPr>
        <w:t xml:space="preserve">B/T 28768  </w:t>
      </w:r>
      <w:r>
        <w:rPr>
          <w:rFonts w:hint="eastAsia" w:ascii="宋体" w:hAnsi="宋体" w:eastAsia="宋体" w:cs="宋体"/>
          <w:kern w:val="2"/>
          <w:szCs w:val="24"/>
        </w:rPr>
        <w:t>车用汽油烃类组成和含氧化合物的测定 多维气相色谱法</w:t>
      </w:r>
    </w:p>
    <w:p w14:paraId="62EED8F9">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 29858</w:t>
      </w:r>
      <w:r>
        <w:rPr>
          <w:rFonts w:ascii="宋体" w:hAnsi="宋体" w:eastAsia="宋体" w:cs="宋体"/>
          <w:kern w:val="2"/>
          <w:szCs w:val="24"/>
        </w:rPr>
        <w:t xml:space="preserve">  </w:t>
      </w:r>
      <w:r>
        <w:rPr>
          <w:rFonts w:hint="eastAsia" w:ascii="宋体" w:hAnsi="宋体" w:eastAsia="宋体" w:cs="宋体"/>
          <w:kern w:val="2"/>
          <w:szCs w:val="24"/>
        </w:rPr>
        <w:t>分子光谱多元校正定量分析通则</w:t>
      </w:r>
    </w:p>
    <w:p w14:paraId="02C3329F">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 30519</w:t>
      </w:r>
      <w:r>
        <w:rPr>
          <w:rFonts w:ascii="宋体" w:hAnsi="宋体" w:eastAsia="宋体" w:cs="宋体"/>
          <w:kern w:val="2"/>
          <w:szCs w:val="24"/>
        </w:rPr>
        <w:t xml:space="preserve">  </w:t>
      </w:r>
      <w:r>
        <w:rPr>
          <w:rFonts w:hint="eastAsia" w:ascii="宋体" w:hAnsi="宋体" w:eastAsia="宋体" w:cs="宋体"/>
          <w:kern w:val="2"/>
          <w:szCs w:val="24"/>
        </w:rPr>
        <w:t>轻质石油馏分和产品中烃族组成和苯的测定 多维气相色谱法</w:t>
      </w:r>
    </w:p>
    <w:p w14:paraId="51034667">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w:t>
      </w:r>
      <w:r>
        <w:rPr>
          <w:rFonts w:hint="eastAsia" w:ascii="宋体" w:hAnsi="宋体" w:eastAsia="宋体" w:cs="宋体"/>
          <w:kern w:val="2"/>
          <w:szCs w:val="24"/>
          <w:lang w:val="en-US" w:eastAsia="zh-CN"/>
        </w:rPr>
        <w:t xml:space="preserve"> </w:t>
      </w:r>
      <w:r>
        <w:rPr>
          <w:rFonts w:hint="eastAsia" w:ascii="宋体" w:hAnsi="宋体" w:eastAsia="宋体" w:cs="宋体"/>
          <w:kern w:val="2"/>
          <w:szCs w:val="24"/>
        </w:rPr>
        <w:t xml:space="preserve">33648  </w:t>
      </w:r>
      <w:r>
        <w:rPr>
          <w:rFonts w:hint="eastAsia" w:ascii="宋体" w:hAnsi="宋体" w:eastAsia="宋体" w:cs="宋体"/>
          <w:kern w:val="2"/>
          <w:szCs w:val="24"/>
          <w:lang w:val="en-US" w:eastAsia="zh-CN"/>
        </w:rPr>
        <w:t xml:space="preserve"> </w:t>
      </w:r>
      <w:r>
        <w:rPr>
          <w:rFonts w:hint="eastAsia" w:ascii="宋体" w:hAnsi="宋体" w:eastAsia="宋体" w:cs="宋体"/>
          <w:kern w:val="2"/>
          <w:szCs w:val="24"/>
        </w:rPr>
        <w:t>车用汽油中典型非常规添加物的识别与测定 红外光谱法</w:t>
      </w:r>
    </w:p>
    <w:p w14:paraId="719F9C68">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S</w:t>
      </w:r>
      <w:r>
        <w:rPr>
          <w:rFonts w:ascii="宋体" w:hAnsi="宋体" w:eastAsia="宋体" w:cs="宋体"/>
          <w:kern w:val="2"/>
          <w:szCs w:val="24"/>
        </w:rPr>
        <w:t xml:space="preserve">H/T 0604  </w:t>
      </w:r>
      <w:r>
        <w:rPr>
          <w:rFonts w:hint="eastAsia" w:ascii="宋体" w:hAnsi="宋体" w:eastAsia="宋体" w:cs="宋体"/>
          <w:kern w:val="2"/>
          <w:szCs w:val="24"/>
          <w:lang w:val="en-US" w:eastAsia="zh-CN"/>
        </w:rPr>
        <w:t xml:space="preserve"> </w:t>
      </w:r>
      <w:r>
        <w:rPr>
          <w:rFonts w:ascii="宋体" w:hAnsi="宋体" w:eastAsia="宋体" w:cs="宋体"/>
          <w:kern w:val="2"/>
          <w:szCs w:val="24"/>
        </w:rPr>
        <w:t>原油和石油产品密度测定法</w:t>
      </w:r>
      <w:r>
        <w:rPr>
          <w:rFonts w:hint="eastAsia" w:ascii="宋体" w:hAnsi="宋体" w:eastAsia="宋体" w:cs="宋体"/>
          <w:kern w:val="2"/>
          <w:szCs w:val="24"/>
        </w:rPr>
        <w:t>（</w:t>
      </w:r>
      <w:r>
        <w:rPr>
          <w:rFonts w:ascii="宋体" w:hAnsi="宋体" w:eastAsia="宋体" w:cs="宋体"/>
          <w:kern w:val="2"/>
          <w:szCs w:val="24"/>
        </w:rPr>
        <w:t>U形振动管法</w:t>
      </w:r>
      <w:r>
        <w:rPr>
          <w:rFonts w:hint="eastAsia" w:ascii="宋体" w:hAnsi="宋体" w:eastAsia="宋体" w:cs="宋体"/>
          <w:kern w:val="2"/>
          <w:szCs w:val="24"/>
        </w:rPr>
        <w:t>）</w:t>
      </w:r>
    </w:p>
    <w:p w14:paraId="31275603">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kern w:val="2"/>
          <w:szCs w:val="24"/>
        </w:rPr>
        <w:t>NB/</w:t>
      </w:r>
      <w:r>
        <w:rPr>
          <w:rFonts w:hint="eastAsia" w:ascii="宋体" w:hAnsi="宋体" w:eastAsia="宋体" w:cs="宋体"/>
          <w:kern w:val="2"/>
          <w:szCs w:val="24"/>
        </w:rPr>
        <w:t>SH/T 0663</w:t>
      </w:r>
      <w:r>
        <w:rPr>
          <w:rFonts w:ascii="宋体" w:hAnsi="宋体" w:eastAsia="宋体" w:cs="宋体"/>
          <w:kern w:val="2"/>
          <w:szCs w:val="24"/>
        </w:rPr>
        <w:t xml:space="preserve">  </w:t>
      </w:r>
      <w:r>
        <w:rPr>
          <w:rFonts w:hint="eastAsia" w:ascii="宋体" w:hAnsi="宋体" w:eastAsia="宋体" w:cs="宋体"/>
          <w:kern w:val="2"/>
          <w:szCs w:val="24"/>
        </w:rPr>
        <w:t>汽油中醇类和醚类含量的测定 气相色谱法</w:t>
      </w:r>
    </w:p>
    <w:p w14:paraId="59B2FD00">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kern w:val="2"/>
          <w:szCs w:val="24"/>
        </w:rPr>
        <w:t xml:space="preserve">SH/T 0689  </w:t>
      </w:r>
      <w:r>
        <w:rPr>
          <w:rFonts w:hint="eastAsia" w:ascii="宋体" w:hAnsi="宋体" w:eastAsia="宋体" w:cs="宋体"/>
          <w:kern w:val="2"/>
          <w:szCs w:val="24"/>
        </w:rPr>
        <w:t>轻质烃及发动机燃料和其他油品的总硫含量测定法(紫外荧光法)</w:t>
      </w:r>
    </w:p>
    <w:p w14:paraId="66057A7B">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SH/T 0693</w:t>
      </w:r>
      <w:r>
        <w:rPr>
          <w:rFonts w:ascii="宋体" w:hAnsi="宋体" w:eastAsia="宋体" w:cs="宋体"/>
          <w:kern w:val="2"/>
          <w:szCs w:val="24"/>
        </w:rPr>
        <w:t xml:space="preserve">  </w:t>
      </w:r>
      <w:r>
        <w:rPr>
          <w:rFonts w:hint="eastAsia" w:ascii="宋体" w:hAnsi="宋体" w:eastAsia="宋体" w:cs="宋体"/>
          <w:kern w:val="2"/>
          <w:szCs w:val="24"/>
        </w:rPr>
        <w:t>汽油中芳烃含量测定法(气相色谱法)</w:t>
      </w:r>
    </w:p>
    <w:p w14:paraId="1C45D8C1">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SH/T 0713</w:t>
      </w:r>
      <w:r>
        <w:rPr>
          <w:rFonts w:ascii="宋体" w:hAnsi="宋体" w:eastAsia="宋体" w:cs="宋体"/>
          <w:kern w:val="2"/>
          <w:szCs w:val="24"/>
        </w:rPr>
        <w:t xml:space="preserve">  </w:t>
      </w:r>
      <w:r>
        <w:rPr>
          <w:rFonts w:hint="eastAsia" w:ascii="宋体" w:hAnsi="宋体" w:eastAsia="宋体" w:cs="宋体"/>
          <w:kern w:val="2"/>
          <w:szCs w:val="24"/>
        </w:rPr>
        <w:t>车用汽油和航空汽油中苯和甲苯含量测定法（气相色谱法）</w:t>
      </w:r>
    </w:p>
    <w:p w14:paraId="58E4EE41">
      <w:pPr>
        <w:pStyle w:val="53"/>
        <w:spacing w:beforeLines="0" w:afterLines="0" w:line="360" w:lineRule="auto"/>
        <w:ind w:firstLine="420" w:firstLineChars="200"/>
        <w:rPr>
          <w:rFonts w:hint="eastAsia" w:ascii="宋体" w:hAnsi="宋体" w:eastAsia="宋体" w:cs="宋体"/>
          <w:kern w:val="2"/>
          <w:szCs w:val="24"/>
        </w:rPr>
      </w:pPr>
      <w:r>
        <w:rPr>
          <w:rFonts w:hint="eastAsia" w:ascii="宋体" w:hAnsi="宋体" w:eastAsia="宋体" w:cs="宋体"/>
          <w:kern w:val="2"/>
          <w:szCs w:val="24"/>
        </w:rPr>
        <w:t>SH/T</w:t>
      </w:r>
      <w:r>
        <w:rPr>
          <w:rFonts w:ascii="宋体" w:hAnsi="宋体" w:eastAsia="宋体" w:cs="宋体"/>
          <w:kern w:val="2"/>
          <w:szCs w:val="24"/>
        </w:rPr>
        <w:t xml:space="preserve"> 0720  </w:t>
      </w:r>
      <w:r>
        <w:rPr>
          <w:rFonts w:hint="eastAsia" w:ascii="宋体" w:hAnsi="宋体" w:eastAsia="宋体" w:cs="宋体"/>
          <w:kern w:val="2"/>
          <w:szCs w:val="24"/>
        </w:rPr>
        <w:t>汽油中含氧化合物测定法（气相色谱及氧选择性火焰离子化检测器法）</w:t>
      </w:r>
    </w:p>
    <w:p w14:paraId="2990FA20">
      <w:pPr>
        <w:pStyle w:val="53"/>
        <w:spacing w:beforeLines="0" w:afterLines="0" w:line="360" w:lineRule="auto"/>
        <w:ind w:firstLine="420" w:firstLineChars="200"/>
        <w:rPr>
          <w:rFonts w:hint="eastAsia" w:ascii="宋体" w:hAnsi="宋体" w:eastAsia="宋体" w:cs="宋体"/>
          <w:kern w:val="2"/>
          <w:szCs w:val="24"/>
        </w:rPr>
      </w:pPr>
      <w:r>
        <w:rPr>
          <w:rFonts w:hint="eastAsia" w:ascii="宋体" w:hAnsi="宋体" w:eastAsia="宋体" w:cs="宋体"/>
          <w:kern w:val="2"/>
          <w:szCs w:val="24"/>
        </w:rPr>
        <w:t xml:space="preserve">GB/T </w:t>
      </w:r>
      <w:r>
        <w:rPr>
          <w:rFonts w:hint="eastAsia" w:ascii="宋体" w:hAnsi="宋体" w:eastAsia="宋体" w:cs="宋体"/>
          <w:kern w:val="2"/>
          <w:szCs w:val="24"/>
          <w:lang w:val="en-US" w:eastAsia="zh-CN"/>
        </w:rPr>
        <w:t>6536  石油产品常压蒸馏特性测定法</w:t>
      </w:r>
    </w:p>
    <w:p w14:paraId="68C508CE">
      <w:pPr>
        <w:pStyle w:val="53"/>
        <w:numPr>
          <w:ilvl w:val="0"/>
          <w:numId w:val="17"/>
        </w:numPr>
        <w:spacing w:before="240" w:after="240" w:line="360" w:lineRule="auto"/>
        <w:ind w:left="0" w:firstLine="0"/>
        <w:jc w:val="left"/>
      </w:pPr>
      <w:r>
        <w:rPr>
          <w:rFonts w:hint="eastAsia"/>
        </w:rPr>
        <w:t>术语和定义</w:t>
      </w:r>
    </w:p>
    <w:p w14:paraId="37BA79FE">
      <w:pPr>
        <w:pStyle w:val="31"/>
        <w:spacing w:line="360" w:lineRule="auto"/>
        <w:rPr>
          <w:rFonts w:hAnsi="宋体"/>
          <w:szCs w:val="21"/>
        </w:rPr>
      </w:pPr>
      <w:r>
        <w:rPr>
          <w:rFonts w:hAnsi="宋体"/>
          <w:szCs w:val="21"/>
        </w:rPr>
        <w:t>下列术语和定义适用于本</w:t>
      </w:r>
      <w:r>
        <w:rPr>
          <w:rFonts w:hint="eastAsia" w:hAnsi="宋体"/>
          <w:szCs w:val="21"/>
        </w:rPr>
        <w:t>文件。</w:t>
      </w:r>
    </w:p>
    <w:p w14:paraId="7B820956">
      <w:pPr>
        <w:pStyle w:val="50"/>
        <w:spacing w:beforeLines="100" w:afterLines="100" w:line="360" w:lineRule="auto"/>
        <w:rPr>
          <w:rFonts w:hAnsi="宋体"/>
        </w:rPr>
      </w:pPr>
      <w:r>
        <w:rPr>
          <w:rFonts w:hint="eastAsia" w:hAnsi="宋体"/>
        </w:rPr>
        <w:t>3.1阈值</w:t>
      </w:r>
      <w:r>
        <w:rPr>
          <w:rFonts w:hAnsi="宋体"/>
        </w:rPr>
        <w:t>threshold</w:t>
      </w:r>
    </w:p>
    <w:p w14:paraId="3FD6CDBE">
      <w:pPr>
        <w:pStyle w:val="53"/>
        <w:spacing w:before="240" w:after="240" w:line="360" w:lineRule="auto"/>
        <w:ind w:firstLine="420" w:firstLineChars="200"/>
        <w:rPr>
          <w:rFonts w:ascii="宋体" w:hAnsi="宋体" w:eastAsia="宋体" w:cs="宋体"/>
          <w:szCs w:val="21"/>
        </w:rPr>
      </w:pPr>
      <w:r>
        <w:rPr>
          <w:rFonts w:hint="eastAsia" w:ascii="宋体" w:hAnsi="宋体" w:eastAsia="宋体" w:cs="宋体"/>
          <w:szCs w:val="21"/>
        </w:rPr>
        <w:t>又叫临界值，是指一个效应能够产生的最低值或最高值。</w:t>
      </w:r>
    </w:p>
    <w:p w14:paraId="4580959A">
      <w:pPr>
        <w:pStyle w:val="50"/>
        <w:spacing w:beforeLines="100" w:afterLines="100" w:line="360" w:lineRule="auto"/>
        <w:rPr>
          <w:rFonts w:hAnsi="宋体"/>
        </w:rPr>
      </w:pPr>
      <w:r>
        <w:rPr>
          <w:rFonts w:hint="eastAsia" w:hAnsi="黑体"/>
        </w:rPr>
        <w:t xml:space="preserve">3.2 </w:t>
      </w:r>
      <w:r>
        <w:rPr>
          <w:rFonts w:hint="eastAsia" w:hAnsi="宋体"/>
        </w:rPr>
        <w:t>定标</w:t>
      </w:r>
    </w:p>
    <w:p w14:paraId="79265D98">
      <w:pPr>
        <w:pStyle w:val="31"/>
        <w:spacing w:line="360" w:lineRule="auto"/>
        <w:rPr>
          <w:rFonts w:ascii="Times New Roman"/>
          <w:szCs w:val="21"/>
        </w:rPr>
      </w:pPr>
      <w:r>
        <w:rPr>
          <w:rFonts w:hint="eastAsia" w:ascii="Times New Roman"/>
          <w:szCs w:val="21"/>
        </w:rPr>
        <w:t>建立一组样品的质量指标与样品吸收光谱之间关系（模型）的过程。</w:t>
      </w:r>
    </w:p>
    <w:p w14:paraId="05FA1B9B">
      <w:pPr>
        <w:pStyle w:val="50"/>
        <w:spacing w:beforeLines="100" w:afterLines="100" w:line="360" w:lineRule="auto"/>
        <w:rPr>
          <w:rFonts w:hAnsi="黑体"/>
        </w:rPr>
      </w:pPr>
      <w:r>
        <w:rPr>
          <w:rFonts w:hint="eastAsia" w:hAnsi="黑体"/>
        </w:rPr>
        <w:t>3.3标准</w:t>
      </w:r>
      <w:r>
        <w:rPr>
          <w:rFonts w:hAnsi="黑体"/>
        </w:rPr>
        <w:t>方法</w:t>
      </w:r>
      <w:r>
        <w:rPr>
          <w:rFonts w:ascii="Times New Roman"/>
          <w:b/>
        </w:rPr>
        <w:t>stand</w:t>
      </w:r>
      <w:r>
        <w:rPr>
          <w:rFonts w:hint="eastAsia" w:ascii="Times New Roman"/>
          <w:b/>
        </w:rPr>
        <w:t xml:space="preserve">ard </w:t>
      </w:r>
      <w:r>
        <w:rPr>
          <w:rFonts w:ascii="Times New Roman"/>
          <w:b/>
        </w:rPr>
        <w:t>method</w:t>
      </w:r>
    </w:p>
    <w:p w14:paraId="1A6F771D">
      <w:pPr>
        <w:autoSpaceDE w:val="0"/>
        <w:autoSpaceDN w:val="0"/>
        <w:adjustRightInd w:val="0"/>
        <w:spacing w:line="360" w:lineRule="auto"/>
        <w:ind w:firstLine="420" w:firstLineChars="200"/>
        <w:rPr>
          <w:kern w:val="0"/>
          <w:szCs w:val="21"/>
        </w:rPr>
      </w:pPr>
      <w:r>
        <w:rPr>
          <w:kern w:val="0"/>
          <w:szCs w:val="21"/>
        </w:rPr>
        <w:t>用来测定样品质量指标的国家标准或行业标准试验方法，其测定结果参与校正模型建立和验证</w:t>
      </w:r>
      <w:r>
        <w:rPr>
          <w:rFonts w:hint="eastAsia"/>
          <w:kern w:val="0"/>
          <w:szCs w:val="21"/>
        </w:rPr>
        <w:t>。</w:t>
      </w:r>
    </w:p>
    <w:p w14:paraId="7DF960BB">
      <w:pPr>
        <w:pStyle w:val="50"/>
        <w:spacing w:beforeLines="100" w:afterLines="100" w:line="360" w:lineRule="auto"/>
        <w:rPr>
          <w:rFonts w:hAnsi="黑体"/>
        </w:rPr>
      </w:pPr>
      <w:r>
        <w:rPr>
          <w:rFonts w:hint="eastAsia" w:hAnsi="黑体"/>
        </w:rPr>
        <w:t>3.4定标模型</w:t>
      </w:r>
      <w:r>
        <w:rPr>
          <w:rFonts w:ascii="Times New Roman"/>
          <w:b/>
        </w:rPr>
        <w:t>calibration model</w:t>
      </w:r>
    </w:p>
    <w:p w14:paraId="45177EB3">
      <w:pPr>
        <w:autoSpaceDE w:val="0"/>
        <w:autoSpaceDN w:val="0"/>
        <w:adjustRightInd w:val="0"/>
        <w:spacing w:line="360" w:lineRule="auto"/>
        <w:ind w:firstLine="420" w:firstLineChars="200"/>
        <w:rPr>
          <w:kern w:val="0"/>
          <w:szCs w:val="21"/>
        </w:rPr>
      </w:pPr>
      <w:r>
        <w:rPr>
          <w:rFonts w:hint="eastAsia"/>
          <w:kern w:val="0"/>
          <w:szCs w:val="21"/>
        </w:rPr>
        <w:t>利用化学计量学方法建立的样品近红外光谱与对应质量指标之间关系的数学模型。</w:t>
      </w:r>
    </w:p>
    <w:p w14:paraId="047B87C3">
      <w:pPr>
        <w:pStyle w:val="50"/>
        <w:spacing w:beforeLines="100" w:afterLines="100" w:line="360" w:lineRule="auto"/>
        <w:rPr>
          <w:rFonts w:hAnsi="黑体"/>
        </w:rPr>
      </w:pPr>
      <w:r>
        <w:rPr>
          <w:rFonts w:hint="eastAsia" w:hAnsi="黑体"/>
        </w:rPr>
        <w:t xml:space="preserve">3.5 定标集样品 </w:t>
      </w:r>
      <w:r>
        <w:rPr>
          <w:rFonts w:ascii="Times New Roman"/>
          <w:b/>
        </w:rPr>
        <w:t xml:space="preserve">calibration </w:t>
      </w:r>
      <w:r>
        <w:rPr>
          <w:rFonts w:hint="eastAsia" w:ascii="Times New Roman"/>
          <w:b/>
        </w:rPr>
        <w:t>samples</w:t>
      </w:r>
    </w:p>
    <w:p w14:paraId="0A9578C1">
      <w:pPr>
        <w:pStyle w:val="50"/>
        <w:spacing w:before="120" w:after="120" w:line="360" w:lineRule="auto"/>
        <w:ind w:firstLine="420" w:firstLineChars="200"/>
        <w:rPr>
          <w:rFonts w:ascii="Times New Roman" w:eastAsia="宋体"/>
        </w:rPr>
      </w:pPr>
      <w:r>
        <w:rPr>
          <w:rFonts w:hint="eastAsia" w:ascii="Times New Roman" w:eastAsia="宋体"/>
        </w:rPr>
        <w:t>用来建立定标模型的一组样品。</w:t>
      </w:r>
    </w:p>
    <w:p w14:paraId="7A01F8E8">
      <w:pPr>
        <w:pStyle w:val="50"/>
        <w:spacing w:beforeLines="100" w:afterLines="100" w:line="360" w:lineRule="auto"/>
        <w:rPr>
          <w:rFonts w:hAnsi="黑体"/>
        </w:rPr>
      </w:pPr>
      <w:r>
        <w:rPr>
          <w:rFonts w:hint="eastAsia" w:hAnsi="黑体"/>
        </w:rPr>
        <w:t xml:space="preserve">3.6 验证集样品 </w:t>
      </w:r>
      <w:r>
        <w:rPr>
          <w:rFonts w:hint="eastAsia" w:ascii="Times New Roman"/>
          <w:b/>
        </w:rPr>
        <w:t>valid</w:t>
      </w:r>
      <w:r>
        <w:rPr>
          <w:rFonts w:ascii="Times New Roman"/>
          <w:b/>
        </w:rPr>
        <w:t xml:space="preserve">ation </w:t>
      </w:r>
      <w:r>
        <w:rPr>
          <w:rFonts w:hint="eastAsia" w:ascii="Times New Roman"/>
          <w:b/>
        </w:rPr>
        <w:t>samples</w:t>
      </w:r>
    </w:p>
    <w:p w14:paraId="3E44D303">
      <w:pPr>
        <w:pStyle w:val="50"/>
        <w:spacing w:before="120" w:after="120" w:line="360" w:lineRule="auto"/>
        <w:ind w:firstLine="420" w:firstLineChars="200"/>
        <w:rPr>
          <w:rFonts w:ascii="Times New Roman" w:eastAsia="宋体"/>
        </w:rPr>
      </w:pPr>
      <w:r>
        <w:rPr>
          <w:rFonts w:hint="eastAsia" w:ascii="Times New Roman" w:eastAsia="宋体"/>
        </w:rPr>
        <w:t>用来验证定标模型分析精度的一组样品。</w:t>
      </w:r>
    </w:p>
    <w:p w14:paraId="67DB2AF8">
      <w:pPr>
        <w:pStyle w:val="50"/>
        <w:spacing w:beforeLines="100" w:afterLines="100" w:line="360" w:lineRule="auto"/>
        <w:rPr>
          <w:rFonts w:hAnsi="黑体"/>
        </w:rPr>
      </w:pPr>
      <w:r>
        <w:rPr>
          <w:rFonts w:hint="eastAsia" w:hAnsi="黑体"/>
        </w:rPr>
        <w:t xml:space="preserve">3.7 预测值 </w:t>
      </w:r>
      <w:r>
        <w:rPr>
          <w:rFonts w:hint="eastAsia" w:ascii="Times New Roman"/>
          <w:b/>
        </w:rPr>
        <w:t>estimate</w:t>
      </w:r>
    </w:p>
    <w:p w14:paraId="75FC0993">
      <w:pPr>
        <w:pStyle w:val="50"/>
        <w:spacing w:before="120" w:after="120" w:line="360" w:lineRule="auto"/>
        <w:ind w:firstLine="420" w:firstLineChars="200"/>
        <w:rPr>
          <w:rFonts w:ascii="Times New Roman" w:eastAsia="宋体"/>
        </w:rPr>
      </w:pPr>
      <w:r>
        <w:rPr>
          <w:rFonts w:hint="eastAsia" w:ascii="Times New Roman" w:eastAsia="宋体"/>
        </w:rPr>
        <w:t>用定标模型和吸收光谱来测定试样质量值的结果。</w:t>
      </w:r>
    </w:p>
    <w:p w14:paraId="20F41764">
      <w:pPr>
        <w:pStyle w:val="50"/>
        <w:spacing w:beforeLines="100" w:afterLines="100" w:line="360" w:lineRule="auto"/>
        <w:rPr>
          <w:rFonts w:hAnsi="黑体"/>
        </w:rPr>
      </w:pPr>
      <w:r>
        <w:rPr>
          <w:rFonts w:hint="eastAsia" w:hAnsi="黑体"/>
        </w:rPr>
        <w:t>3.8定标模型验证</w:t>
      </w:r>
      <w:r>
        <w:rPr>
          <w:rFonts w:ascii="Times New Roman"/>
          <w:b/>
        </w:rPr>
        <w:t>calibration model</w:t>
      </w:r>
      <w:r>
        <w:rPr>
          <w:rFonts w:hint="eastAsia" w:ascii="Times New Roman"/>
          <w:b/>
        </w:rPr>
        <w:t xml:space="preserve"> validation</w:t>
      </w:r>
    </w:p>
    <w:p w14:paraId="54CCA867">
      <w:pPr>
        <w:autoSpaceDE w:val="0"/>
        <w:autoSpaceDN w:val="0"/>
        <w:adjustRightInd w:val="0"/>
        <w:spacing w:line="360" w:lineRule="auto"/>
        <w:ind w:firstLine="420" w:firstLineChars="200"/>
        <w:rPr>
          <w:kern w:val="0"/>
          <w:szCs w:val="21"/>
        </w:rPr>
      </w:pPr>
      <w:r>
        <w:rPr>
          <w:rFonts w:hint="eastAsia"/>
          <w:kern w:val="0"/>
          <w:szCs w:val="21"/>
        </w:rPr>
        <w:t>通过验证集样品来检验定标模型预测结果与参考方法测定结果之间一致性的过程。</w:t>
      </w:r>
    </w:p>
    <w:p w14:paraId="61062425">
      <w:pPr>
        <w:pStyle w:val="50"/>
        <w:spacing w:beforeLines="100" w:afterLines="100" w:line="360" w:lineRule="auto"/>
        <w:rPr>
          <w:rFonts w:ascii="Times New Roman"/>
          <w:b/>
        </w:rPr>
      </w:pPr>
      <w:r>
        <w:rPr>
          <w:rFonts w:hint="eastAsia" w:hAnsi="黑体"/>
        </w:rPr>
        <w:t>3.9参考方法</w:t>
      </w:r>
      <w:r>
        <w:rPr>
          <w:rFonts w:hAnsi="黑体"/>
        </w:rPr>
        <w:t xml:space="preserve"> </w:t>
      </w:r>
      <w:r>
        <w:rPr>
          <w:rFonts w:hint="eastAsia" w:ascii="Times New Roman"/>
          <w:b/>
        </w:rPr>
        <w:t>reference method</w:t>
      </w:r>
    </w:p>
    <w:p w14:paraId="1155BEF0">
      <w:pPr>
        <w:pStyle w:val="31"/>
        <w:rPr>
          <w:szCs w:val="21"/>
        </w:rPr>
      </w:pPr>
      <w:r>
        <w:rPr>
          <w:rFonts w:hint="eastAsia"/>
          <w:szCs w:val="21"/>
        </w:rPr>
        <w:t>用来测定样品质量指标的国家标准或行业标准试验方法，其测定结果参与定标模型建立与验证。</w:t>
      </w:r>
    </w:p>
    <w:p w14:paraId="0BE1BE00">
      <w:pPr>
        <w:pStyle w:val="31"/>
        <w:spacing w:beforeLines="100" w:afterLines="100"/>
        <w:ind w:firstLine="0" w:firstLineChars="0"/>
        <w:rPr>
          <w:rFonts w:ascii="Times New Roman" w:eastAsia="黑体"/>
          <w:b/>
          <w:szCs w:val="21"/>
        </w:rPr>
      </w:pPr>
      <w:r>
        <w:rPr>
          <w:rFonts w:hint="eastAsia" w:ascii="黑体" w:hAnsi="黑体" w:eastAsia="黑体"/>
          <w:szCs w:val="21"/>
        </w:rPr>
        <w:t>3.10</w:t>
      </w:r>
      <w:r>
        <w:rPr>
          <w:rFonts w:ascii="黑体" w:hAnsi="黑体" w:eastAsia="黑体"/>
          <w:szCs w:val="21"/>
        </w:rPr>
        <w:t>多元校正</w:t>
      </w:r>
      <w:r>
        <w:rPr>
          <w:rFonts w:ascii="黑体" w:hAnsi="黑体" w:eastAsia="黑体"/>
          <w:b/>
          <w:szCs w:val="21"/>
        </w:rPr>
        <w:t xml:space="preserve"> </w:t>
      </w:r>
      <w:r>
        <w:rPr>
          <w:rFonts w:ascii="Times New Roman" w:eastAsia="黑体"/>
          <w:b/>
          <w:szCs w:val="21"/>
        </w:rPr>
        <w:t>multivariate calibration</w:t>
      </w:r>
    </w:p>
    <w:p w14:paraId="1B135B99">
      <w:pPr>
        <w:pStyle w:val="31"/>
        <w:keepNext w:val="0"/>
        <w:keepLines w:val="0"/>
        <w:pageBreakBefore w:val="0"/>
        <w:widowControl/>
        <w:kinsoku/>
        <w:wordWrap/>
        <w:overflowPunct/>
        <w:topLinePunct w:val="0"/>
        <w:autoSpaceDE w:val="0"/>
        <w:autoSpaceDN w:val="0"/>
        <w:bidi w:val="0"/>
        <w:adjustRightInd/>
        <w:snapToGrid/>
        <w:spacing w:line="360" w:lineRule="auto"/>
        <w:textAlignment w:val="auto"/>
        <w:rPr>
          <w:szCs w:val="21"/>
        </w:rPr>
      </w:pPr>
      <w:r>
        <w:rPr>
          <w:szCs w:val="21"/>
        </w:rPr>
        <w:t>用一个以上波长或频率，建立一组样品的质量指标与吸收光谱之间的关系（</w:t>
      </w:r>
      <w:r>
        <w:rPr>
          <w:rFonts w:hint="eastAsia"/>
          <w:szCs w:val="21"/>
        </w:rPr>
        <w:t>定标</w:t>
      </w:r>
      <w:r>
        <w:rPr>
          <w:szCs w:val="21"/>
        </w:rPr>
        <w:t>模型）的过程。在本标准中，多元校正是通过化学计量学软件来实现</w:t>
      </w:r>
      <w:r>
        <w:rPr>
          <w:rFonts w:hint="eastAsia"/>
          <w:szCs w:val="21"/>
        </w:rPr>
        <w:t>。</w:t>
      </w:r>
    </w:p>
    <w:p w14:paraId="447814EA">
      <w:pPr>
        <w:pStyle w:val="53"/>
        <w:numPr>
          <w:ilvl w:val="0"/>
          <w:numId w:val="17"/>
        </w:numPr>
        <w:spacing w:before="240" w:after="240" w:line="360" w:lineRule="auto"/>
        <w:ind w:left="0" w:firstLine="0"/>
        <w:jc w:val="left"/>
        <w:rPr>
          <w:rFonts w:hAnsi="宋体"/>
        </w:rPr>
      </w:pPr>
      <w:r>
        <w:rPr>
          <w:rFonts w:hint="eastAsia" w:hAnsi="宋体"/>
          <w:szCs w:val="21"/>
        </w:rPr>
        <w:t>快速筛查阈值和快速检测方法</w:t>
      </w:r>
    </w:p>
    <w:p w14:paraId="21D448F1">
      <w:pPr>
        <w:pStyle w:val="53"/>
        <w:spacing w:beforeLines="50" w:afterLines="0" w:line="360" w:lineRule="auto"/>
        <w:ind w:left="431"/>
        <w:rPr>
          <w:rFonts w:ascii="宋体" w:hAnsi="宋体" w:eastAsia="宋体" w:cs="宋体"/>
          <w:color w:val="000000"/>
          <w:szCs w:val="21"/>
        </w:rPr>
      </w:pPr>
      <w:r>
        <w:rPr>
          <w:rFonts w:hint="eastAsia" w:ascii="宋体" w:hAnsi="宋体" w:eastAsia="宋体" w:cs="宋体"/>
          <w:color w:val="000000"/>
          <w:szCs w:val="21"/>
        </w:rPr>
        <w:t>车用汽油快速筛查阈值见表1。</w:t>
      </w:r>
    </w:p>
    <w:p w14:paraId="17FA96A8">
      <w:pPr>
        <w:pStyle w:val="53"/>
        <w:spacing w:before="240" w:after="240" w:line="360" w:lineRule="auto"/>
        <w:jc w:val="center"/>
        <w:rPr>
          <w:szCs w:val="21"/>
        </w:rPr>
      </w:pPr>
      <w:r>
        <w:rPr>
          <w:rFonts w:hint="eastAsia"/>
          <w:szCs w:val="21"/>
        </w:rPr>
        <w:t>表1  车用汽油快速筛查阈值和快速检测方法</w:t>
      </w:r>
    </w:p>
    <w:tbl>
      <w:tblPr>
        <w:tblStyle w:val="41"/>
        <w:tblW w:w="93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7"/>
        <w:gridCol w:w="3438"/>
        <w:gridCol w:w="1180"/>
        <w:gridCol w:w="1128"/>
        <w:gridCol w:w="1050"/>
        <w:gridCol w:w="1651"/>
      </w:tblGrid>
      <w:tr w14:paraId="59D4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4325" w:type="dxa"/>
            <w:gridSpan w:val="2"/>
            <w:vMerge w:val="restart"/>
            <w:vAlign w:val="center"/>
          </w:tcPr>
          <w:p w14:paraId="7BA6E166">
            <w:pPr>
              <w:spacing w:line="360" w:lineRule="auto"/>
              <w:jc w:val="center"/>
              <w:rPr>
                <w:rFonts w:ascii="宋体"/>
                <w:szCs w:val="21"/>
              </w:rPr>
            </w:pPr>
            <w:r>
              <w:rPr>
                <w:rFonts w:hint="eastAsia" w:ascii="宋体"/>
                <w:szCs w:val="21"/>
              </w:rPr>
              <w:t>项目</w:t>
            </w:r>
          </w:p>
        </w:tc>
        <w:tc>
          <w:tcPr>
            <w:tcW w:w="3358" w:type="dxa"/>
            <w:gridSpan w:val="3"/>
            <w:vAlign w:val="center"/>
          </w:tcPr>
          <w:p w14:paraId="1A81AAF8">
            <w:pPr>
              <w:spacing w:line="360" w:lineRule="auto"/>
              <w:jc w:val="center"/>
              <w:rPr>
                <w:rFonts w:ascii="宋体"/>
                <w:szCs w:val="21"/>
              </w:rPr>
            </w:pPr>
            <w:r>
              <w:rPr>
                <w:rFonts w:hint="eastAsia" w:ascii="宋体"/>
                <w:szCs w:val="21"/>
              </w:rPr>
              <w:t>阈值</w:t>
            </w:r>
          </w:p>
        </w:tc>
        <w:tc>
          <w:tcPr>
            <w:tcW w:w="1651" w:type="dxa"/>
            <w:vMerge w:val="restart"/>
            <w:vAlign w:val="center"/>
          </w:tcPr>
          <w:p w14:paraId="7561B0EA">
            <w:pPr>
              <w:spacing w:line="360" w:lineRule="auto"/>
              <w:jc w:val="center"/>
              <w:rPr>
                <w:rFonts w:ascii="宋体"/>
                <w:szCs w:val="21"/>
              </w:rPr>
            </w:pPr>
            <w:r>
              <w:rPr>
                <w:rFonts w:hint="eastAsia" w:ascii="宋体"/>
                <w:szCs w:val="21"/>
              </w:rPr>
              <w:t>试验方法</w:t>
            </w:r>
          </w:p>
        </w:tc>
      </w:tr>
      <w:tr w14:paraId="4ACE9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4325" w:type="dxa"/>
            <w:gridSpan w:val="2"/>
            <w:vMerge w:val="continue"/>
            <w:vAlign w:val="center"/>
          </w:tcPr>
          <w:p w14:paraId="5ADCF12B">
            <w:pPr>
              <w:spacing w:line="360" w:lineRule="auto"/>
              <w:jc w:val="center"/>
              <w:rPr>
                <w:rFonts w:ascii="宋体"/>
                <w:szCs w:val="21"/>
              </w:rPr>
            </w:pPr>
          </w:p>
        </w:tc>
        <w:tc>
          <w:tcPr>
            <w:tcW w:w="1180" w:type="dxa"/>
            <w:vAlign w:val="bottom"/>
          </w:tcPr>
          <w:p w14:paraId="65F8B87A">
            <w:pPr>
              <w:spacing w:line="360" w:lineRule="auto"/>
              <w:jc w:val="center"/>
              <w:rPr>
                <w:rFonts w:ascii="宋体"/>
                <w:szCs w:val="21"/>
              </w:rPr>
            </w:pPr>
            <w:r>
              <w:rPr>
                <w:rFonts w:hint="eastAsia" w:ascii="宋体"/>
                <w:szCs w:val="21"/>
              </w:rPr>
              <w:t>89号</w:t>
            </w:r>
          </w:p>
        </w:tc>
        <w:tc>
          <w:tcPr>
            <w:tcW w:w="1128" w:type="dxa"/>
            <w:vAlign w:val="bottom"/>
          </w:tcPr>
          <w:p w14:paraId="3B6F7FB8">
            <w:pPr>
              <w:spacing w:line="360" w:lineRule="auto"/>
              <w:jc w:val="center"/>
              <w:rPr>
                <w:rFonts w:ascii="宋体"/>
                <w:szCs w:val="21"/>
              </w:rPr>
            </w:pPr>
            <w:r>
              <w:rPr>
                <w:rFonts w:hint="eastAsia" w:ascii="宋体"/>
                <w:szCs w:val="21"/>
              </w:rPr>
              <w:t>92号</w:t>
            </w:r>
          </w:p>
        </w:tc>
        <w:tc>
          <w:tcPr>
            <w:tcW w:w="1050" w:type="dxa"/>
            <w:vAlign w:val="bottom"/>
          </w:tcPr>
          <w:p w14:paraId="1C99658B">
            <w:pPr>
              <w:spacing w:line="360" w:lineRule="auto"/>
              <w:jc w:val="center"/>
              <w:rPr>
                <w:rFonts w:ascii="宋体"/>
                <w:szCs w:val="21"/>
              </w:rPr>
            </w:pPr>
            <w:r>
              <w:rPr>
                <w:rFonts w:hint="eastAsia" w:ascii="宋体"/>
                <w:szCs w:val="21"/>
              </w:rPr>
              <w:t>95号</w:t>
            </w:r>
          </w:p>
        </w:tc>
        <w:tc>
          <w:tcPr>
            <w:tcW w:w="1651" w:type="dxa"/>
            <w:vMerge w:val="continue"/>
            <w:vAlign w:val="bottom"/>
          </w:tcPr>
          <w:p w14:paraId="2D38B726">
            <w:pPr>
              <w:spacing w:line="360" w:lineRule="auto"/>
              <w:jc w:val="center"/>
              <w:rPr>
                <w:rFonts w:ascii="宋体"/>
                <w:szCs w:val="21"/>
              </w:rPr>
            </w:pPr>
          </w:p>
        </w:tc>
      </w:tr>
      <w:tr w14:paraId="1082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325" w:type="dxa"/>
            <w:gridSpan w:val="2"/>
            <w:vAlign w:val="center"/>
          </w:tcPr>
          <w:p w14:paraId="131B171C">
            <w:pPr>
              <w:spacing w:line="360" w:lineRule="auto"/>
              <w:jc w:val="center"/>
              <w:rPr>
                <w:rFonts w:ascii="宋体"/>
                <w:szCs w:val="21"/>
              </w:rPr>
            </w:pPr>
            <w:r>
              <w:rPr>
                <w:rFonts w:hint="eastAsia" w:ascii="宋体"/>
                <w:szCs w:val="21"/>
              </w:rPr>
              <w:t xml:space="preserve">研究法辛烷值（RON）            </w:t>
            </w:r>
            <w:r>
              <w:rPr>
                <w:rFonts w:hint="eastAsia" w:ascii="宋体"/>
                <w:szCs w:val="21"/>
                <w:lang w:val="en-US" w:eastAsia="zh-CN"/>
              </w:rPr>
              <w:t xml:space="preserve"> </w:t>
            </w:r>
            <w:r>
              <w:rPr>
                <w:rFonts w:hint="eastAsia" w:ascii="宋体"/>
                <w:szCs w:val="21"/>
              </w:rPr>
              <w:t xml:space="preserve"> </w:t>
            </w:r>
            <w:r>
              <w:rPr>
                <w:rFonts w:hint="eastAsia" w:ascii="宋体"/>
                <w:szCs w:val="21"/>
                <w:lang w:val="en-US" w:eastAsia="zh-CN"/>
              </w:rPr>
              <w:t xml:space="preserve">  </w:t>
            </w:r>
            <w:r>
              <w:rPr>
                <w:rFonts w:hint="eastAsia" w:ascii="宋体"/>
                <w:szCs w:val="21"/>
              </w:rPr>
              <w:t>小于</w:t>
            </w:r>
          </w:p>
        </w:tc>
        <w:tc>
          <w:tcPr>
            <w:tcW w:w="1180" w:type="dxa"/>
            <w:vAlign w:val="bottom"/>
          </w:tcPr>
          <w:p w14:paraId="77C1E02A">
            <w:pPr>
              <w:spacing w:line="360" w:lineRule="auto"/>
              <w:jc w:val="center"/>
              <w:rPr>
                <w:rFonts w:ascii="宋体"/>
                <w:szCs w:val="21"/>
              </w:rPr>
            </w:pPr>
            <w:r>
              <w:rPr>
                <w:rFonts w:hint="eastAsia" w:ascii="宋体"/>
                <w:szCs w:val="21"/>
              </w:rPr>
              <w:t>89</w:t>
            </w:r>
          </w:p>
        </w:tc>
        <w:tc>
          <w:tcPr>
            <w:tcW w:w="1128" w:type="dxa"/>
            <w:vAlign w:val="bottom"/>
          </w:tcPr>
          <w:p w14:paraId="4A6E2CA2">
            <w:pPr>
              <w:spacing w:line="360" w:lineRule="auto"/>
              <w:jc w:val="center"/>
              <w:rPr>
                <w:rFonts w:ascii="宋体"/>
                <w:szCs w:val="21"/>
              </w:rPr>
            </w:pPr>
            <w:r>
              <w:rPr>
                <w:rFonts w:hint="eastAsia" w:ascii="宋体"/>
                <w:szCs w:val="21"/>
              </w:rPr>
              <w:t>92</w:t>
            </w:r>
          </w:p>
        </w:tc>
        <w:tc>
          <w:tcPr>
            <w:tcW w:w="1050" w:type="dxa"/>
            <w:vAlign w:val="bottom"/>
          </w:tcPr>
          <w:p w14:paraId="0EA1A2B4">
            <w:pPr>
              <w:spacing w:line="360" w:lineRule="auto"/>
              <w:jc w:val="center"/>
              <w:rPr>
                <w:rFonts w:ascii="宋体"/>
                <w:szCs w:val="21"/>
              </w:rPr>
            </w:pPr>
            <w:r>
              <w:rPr>
                <w:rFonts w:hint="eastAsia" w:ascii="宋体"/>
                <w:szCs w:val="21"/>
              </w:rPr>
              <w:t>95</w:t>
            </w:r>
          </w:p>
        </w:tc>
        <w:tc>
          <w:tcPr>
            <w:tcW w:w="1651" w:type="dxa"/>
            <w:vAlign w:val="bottom"/>
          </w:tcPr>
          <w:p w14:paraId="54A29A4D">
            <w:pPr>
              <w:spacing w:line="360" w:lineRule="auto"/>
              <w:jc w:val="center"/>
              <w:rPr>
                <w:rFonts w:ascii="宋体"/>
                <w:szCs w:val="21"/>
              </w:rPr>
            </w:pPr>
            <w:r>
              <w:rPr>
                <w:rFonts w:hint="eastAsia" w:ascii="宋体"/>
                <w:szCs w:val="21"/>
              </w:rPr>
              <w:t>附录A</w:t>
            </w:r>
          </w:p>
        </w:tc>
      </w:tr>
      <w:tr w14:paraId="6CE97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4325" w:type="dxa"/>
            <w:gridSpan w:val="2"/>
            <w:vAlign w:val="center"/>
          </w:tcPr>
          <w:p w14:paraId="1F84FFFD">
            <w:pPr>
              <w:spacing w:line="360" w:lineRule="auto"/>
              <w:jc w:val="center"/>
              <w:rPr>
                <w:rFonts w:ascii="宋体"/>
                <w:szCs w:val="21"/>
              </w:rPr>
            </w:pPr>
            <w:r>
              <w:rPr>
                <w:rFonts w:hint="eastAsia" w:ascii="宋体"/>
                <w:szCs w:val="21"/>
              </w:rPr>
              <w:t xml:space="preserve">硫含量/(mg/kg)                  </w:t>
            </w:r>
            <w:r>
              <w:rPr>
                <w:rFonts w:hint="eastAsia" w:ascii="宋体"/>
                <w:szCs w:val="21"/>
                <w:lang w:val="en-US" w:eastAsia="zh-CN"/>
              </w:rPr>
              <w:t xml:space="preserve">   </w:t>
            </w:r>
            <w:r>
              <w:rPr>
                <w:rFonts w:hint="eastAsia" w:ascii="宋体"/>
                <w:szCs w:val="21"/>
              </w:rPr>
              <w:t>大于</w:t>
            </w:r>
          </w:p>
        </w:tc>
        <w:tc>
          <w:tcPr>
            <w:tcW w:w="3358" w:type="dxa"/>
            <w:gridSpan w:val="3"/>
            <w:vAlign w:val="center"/>
          </w:tcPr>
          <w:p w14:paraId="63A56DC0">
            <w:pPr>
              <w:spacing w:line="360" w:lineRule="auto"/>
              <w:jc w:val="center"/>
              <w:rPr>
                <w:rFonts w:ascii="宋体"/>
                <w:szCs w:val="21"/>
              </w:rPr>
            </w:pPr>
            <w:r>
              <w:rPr>
                <w:rFonts w:hint="eastAsia" w:ascii="宋体"/>
                <w:szCs w:val="21"/>
              </w:rPr>
              <w:t>10</w:t>
            </w:r>
          </w:p>
        </w:tc>
        <w:tc>
          <w:tcPr>
            <w:tcW w:w="1651" w:type="dxa"/>
            <w:vAlign w:val="center"/>
          </w:tcPr>
          <w:p w14:paraId="19186670">
            <w:pPr>
              <w:spacing w:line="360" w:lineRule="auto"/>
              <w:jc w:val="center"/>
              <w:rPr>
                <w:rFonts w:ascii="宋体"/>
                <w:color w:val="000000" w:themeColor="text1"/>
                <w:szCs w:val="21"/>
              </w:rPr>
            </w:pPr>
            <w:r>
              <w:rPr>
                <w:rFonts w:hint="eastAsia" w:ascii="宋体"/>
                <w:color w:val="000000" w:themeColor="text1"/>
                <w:szCs w:val="21"/>
              </w:rPr>
              <w:t>SH/T0689</w:t>
            </w:r>
          </w:p>
        </w:tc>
      </w:tr>
      <w:tr w14:paraId="3F0F1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4325" w:type="dxa"/>
            <w:gridSpan w:val="2"/>
            <w:vAlign w:val="bottom"/>
          </w:tcPr>
          <w:p w14:paraId="0A7B8892">
            <w:pPr>
              <w:spacing w:line="360" w:lineRule="auto"/>
              <w:rPr>
                <w:rFonts w:hint="default" w:ascii="宋体" w:eastAsia="宋体"/>
                <w:color w:val="auto"/>
                <w:szCs w:val="21"/>
                <w:lang w:val="en-US" w:eastAsia="zh-CN"/>
              </w:rPr>
            </w:pPr>
            <w:r>
              <w:rPr>
                <w:rFonts w:hint="eastAsia" w:ascii="宋体"/>
                <w:color w:val="auto"/>
                <w:szCs w:val="21"/>
                <w:lang w:val="en-US" w:eastAsia="zh-CN"/>
              </w:rPr>
              <w:t>氧</w:t>
            </w:r>
            <w:r>
              <w:rPr>
                <w:rFonts w:ascii="宋体"/>
                <w:color w:val="auto"/>
                <w:szCs w:val="21"/>
              </w:rPr>
              <w:t>含量</w:t>
            </w:r>
            <w:r>
              <w:rPr>
                <w:rFonts w:hint="eastAsia" w:ascii="宋体"/>
                <w:color w:val="auto"/>
                <w:szCs w:val="21"/>
              </w:rPr>
              <w:t xml:space="preserve">（质量分数）/% </w:t>
            </w:r>
            <w:r>
              <w:rPr>
                <w:rFonts w:hint="eastAsia" w:ascii="宋体"/>
                <w:color w:val="auto"/>
                <w:szCs w:val="21"/>
                <w:lang w:val="en-US" w:eastAsia="zh-CN"/>
              </w:rPr>
              <w:t xml:space="preserve">               </w:t>
            </w:r>
            <w:r>
              <w:rPr>
                <w:rFonts w:hint="eastAsia" w:ascii="宋体"/>
                <w:color w:val="auto"/>
                <w:szCs w:val="21"/>
              </w:rPr>
              <w:t>大于</w:t>
            </w:r>
            <w:r>
              <w:rPr>
                <w:rFonts w:hint="eastAsia" w:ascii="宋体"/>
                <w:color w:val="auto"/>
                <w:szCs w:val="21"/>
                <w:lang w:val="en-US" w:eastAsia="zh-CN"/>
              </w:rPr>
              <w:t xml:space="preserve">      </w:t>
            </w:r>
          </w:p>
        </w:tc>
        <w:tc>
          <w:tcPr>
            <w:tcW w:w="3358" w:type="dxa"/>
            <w:gridSpan w:val="3"/>
            <w:vAlign w:val="center"/>
          </w:tcPr>
          <w:p w14:paraId="6354C7E8">
            <w:pPr>
              <w:spacing w:line="360" w:lineRule="auto"/>
              <w:jc w:val="center"/>
              <w:rPr>
                <w:rFonts w:hint="default" w:ascii="宋体" w:eastAsia="宋体"/>
                <w:szCs w:val="21"/>
                <w:vertAlign w:val="baseline"/>
                <w:lang w:val="en-US" w:eastAsia="zh-CN"/>
              </w:rPr>
            </w:pPr>
            <w:r>
              <w:rPr>
                <w:rFonts w:hint="eastAsia" w:ascii="宋体" w:cs="宋体"/>
                <w:kern w:val="0"/>
                <w:sz w:val="21"/>
                <w:szCs w:val="21"/>
                <w:vertAlign w:val="baseline"/>
                <w:lang w:val="en-US" w:eastAsia="zh-CN" w:bidi="ar-SA"/>
              </w:rPr>
              <w:t>2.7</w:t>
            </w:r>
          </w:p>
        </w:tc>
        <w:tc>
          <w:tcPr>
            <w:tcW w:w="1651" w:type="dxa"/>
            <w:vAlign w:val="center"/>
          </w:tcPr>
          <w:p w14:paraId="1F778BAB">
            <w:pPr>
              <w:spacing w:line="360" w:lineRule="auto"/>
              <w:jc w:val="center"/>
              <w:rPr>
                <w:rFonts w:ascii="宋体"/>
                <w:color w:val="000000" w:themeColor="text1"/>
                <w:szCs w:val="21"/>
              </w:rPr>
            </w:pPr>
            <w:r>
              <w:rPr>
                <w:rFonts w:hint="eastAsia" w:ascii="宋体"/>
                <w:color w:val="000000" w:themeColor="text1"/>
                <w:szCs w:val="21"/>
              </w:rPr>
              <w:t>附录A或附录B</w:t>
            </w:r>
          </w:p>
        </w:tc>
      </w:tr>
      <w:tr w14:paraId="017B8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jc w:val="center"/>
        </w:trPr>
        <w:tc>
          <w:tcPr>
            <w:tcW w:w="4325" w:type="dxa"/>
            <w:gridSpan w:val="2"/>
            <w:vAlign w:val="bottom"/>
          </w:tcPr>
          <w:p w14:paraId="659C19CA">
            <w:pPr>
              <w:spacing w:line="360" w:lineRule="auto"/>
              <w:rPr>
                <w:rFonts w:hint="eastAsia" w:ascii="宋体"/>
                <w:color w:val="auto"/>
                <w:szCs w:val="21"/>
              </w:rPr>
            </w:pPr>
            <w:r>
              <w:rPr>
                <w:rFonts w:hint="eastAsia" w:ascii="宋体"/>
                <w:color w:val="auto"/>
                <w:szCs w:val="21"/>
                <w:lang w:val="en-US" w:eastAsia="zh-CN"/>
              </w:rPr>
              <w:t>甲醇</w:t>
            </w:r>
            <w:r>
              <w:rPr>
                <w:rFonts w:ascii="宋体"/>
                <w:color w:val="auto"/>
                <w:szCs w:val="21"/>
              </w:rPr>
              <w:t>含量</w:t>
            </w:r>
            <w:r>
              <w:rPr>
                <w:rFonts w:hint="eastAsia" w:ascii="宋体"/>
                <w:color w:val="auto"/>
                <w:szCs w:val="21"/>
              </w:rPr>
              <w:t xml:space="preserve">（质量分数）/% </w:t>
            </w:r>
            <w:r>
              <w:rPr>
                <w:rFonts w:hint="eastAsia" w:ascii="宋体"/>
                <w:color w:val="auto"/>
                <w:szCs w:val="21"/>
                <w:lang w:val="en-US" w:eastAsia="zh-CN"/>
              </w:rPr>
              <w:t xml:space="preserve">            </w:t>
            </w:r>
            <w:r>
              <w:rPr>
                <w:rFonts w:hint="eastAsia" w:ascii="宋体"/>
                <w:color w:val="auto"/>
                <w:szCs w:val="21"/>
              </w:rPr>
              <w:t>大于</w:t>
            </w:r>
          </w:p>
        </w:tc>
        <w:tc>
          <w:tcPr>
            <w:tcW w:w="3358" w:type="dxa"/>
            <w:gridSpan w:val="3"/>
            <w:vAlign w:val="center"/>
          </w:tcPr>
          <w:p w14:paraId="42A2777C">
            <w:pPr>
              <w:spacing w:line="360" w:lineRule="auto"/>
              <w:jc w:val="center"/>
              <w:rPr>
                <w:rFonts w:hint="default" w:ascii="宋体" w:eastAsia="宋体"/>
                <w:szCs w:val="21"/>
                <w:lang w:val="en-US" w:eastAsia="zh-CN"/>
              </w:rPr>
            </w:pPr>
            <w:r>
              <w:rPr>
                <w:rFonts w:hint="eastAsia" w:ascii="宋体"/>
                <w:szCs w:val="21"/>
                <w:lang w:val="en-US" w:eastAsia="zh-CN"/>
              </w:rPr>
              <w:t>0.3</w:t>
            </w:r>
          </w:p>
        </w:tc>
        <w:tc>
          <w:tcPr>
            <w:tcW w:w="1651" w:type="dxa"/>
            <w:vAlign w:val="center"/>
          </w:tcPr>
          <w:p w14:paraId="537BCCFC">
            <w:pPr>
              <w:spacing w:line="360" w:lineRule="auto"/>
              <w:jc w:val="center"/>
              <w:rPr>
                <w:rFonts w:hint="eastAsia" w:ascii="宋体"/>
                <w:color w:val="000000" w:themeColor="text1"/>
                <w:szCs w:val="21"/>
              </w:rPr>
            </w:pPr>
            <w:r>
              <w:rPr>
                <w:rFonts w:hint="eastAsia" w:ascii="宋体"/>
                <w:color w:val="000000" w:themeColor="text1"/>
                <w:szCs w:val="21"/>
              </w:rPr>
              <w:t>附录A或附录B</w:t>
            </w:r>
          </w:p>
        </w:tc>
      </w:tr>
      <w:tr w14:paraId="75F7F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trPr>
        <w:tc>
          <w:tcPr>
            <w:tcW w:w="4325" w:type="dxa"/>
            <w:gridSpan w:val="2"/>
            <w:vAlign w:val="center"/>
          </w:tcPr>
          <w:p w14:paraId="596FF807">
            <w:pPr>
              <w:spacing w:line="360" w:lineRule="auto"/>
              <w:jc w:val="center"/>
              <w:rPr>
                <w:rFonts w:ascii="宋体" w:hAnsi="宋体" w:cs="宋体"/>
                <w:szCs w:val="21"/>
              </w:rPr>
            </w:pPr>
            <w:r>
              <w:rPr>
                <w:rFonts w:hint="eastAsia" w:ascii="宋体"/>
                <w:szCs w:val="21"/>
              </w:rPr>
              <w:t>苯含量</w:t>
            </w:r>
            <w:r>
              <w:rPr>
                <w:rFonts w:hint="eastAsia" w:ascii="宋体"/>
                <w:szCs w:val="21"/>
                <w:vertAlign w:val="baseline"/>
              </w:rPr>
              <w:t>(</w:t>
            </w:r>
            <w:r>
              <w:rPr>
                <w:rFonts w:hint="eastAsia" w:ascii="宋体"/>
                <w:szCs w:val="21"/>
              </w:rPr>
              <w:t xml:space="preserve">体积分数)/%              </w:t>
            </w:r>
            <w:r>
              <w:rPr>
                <w:rFonts w:hint="eastAsia" w:ascii="宋体"/>
                <w:szCs w:val="21"/>
                <w:lang w:val="en-US" w:eastAsia="zh-CN"/>
              </w:rPr>
              <w:t xml:space="preserve">   </w:t>
            </w:r>
            <w:r>
              <w:rPr>
                <w:rFonts w:hint="eastAsia" w:ascii="宋体"/>
                <w:szCs w:val="21"/>
              </w:rPr>
              <w:t>大于</w:t>
            </w:r>
          </w:p>
        </w:tc>
        <w:tc>
          <w:tcPr>
            <w:tcW w:w="3358" w:type="dxa"/>
            <w:gridSpan w:val="3"/>
            <w:vAlign w:val="center"/>
          </w:tcPr>
          <w:p w14:paraId="2F375792">
            <w:pPr>
              <w:spacing w:line="360" w:lineRule="auto"/>
              <w:jc w:val="center"/>
              <w:rPr>
                <w:rFonts w:ascii="宋体"/>
                <w:szCs w:val="21"/>
              </w:rPr>
            </w:pPr>
            <w:r>
              <w:rPr>
                <w:rFonts w:hint="eastAsia" w:ascii="宋体"/>
                <w:szCs w:val="21"/>
              </w:rPr>
              <w:t>0.8</w:t>
            </w:r>
          </w:p>
        </w:tc>
        <w:tc>
          <w:tcPr>
            <w:tcW w:w="1651" w:type="dxa"/>
            <w:vAlign w:val="center"/>
          </w:tcPr>
          <w:p w14:paraId="17C1222F">
            <w:pPr>
              <w:spacing w:line="360" w:lineRule="auto"/>
              <w:jc w:val="center"/>
              <w:rPr>
                <w:rFonts w:ascii="宋体"/>
                <w:color w:val="000000" w:themeColor="text1"/>
                <w:szCs w:val="21"/>
              </w:rPr>
            </w:pPr>
            <w:r>
              <w:rPr>
                <w:rFonts w:hint="eastAsia" w:ascii="宋体"/>
                <w:color w:val="000000" w:themeColor="text1"/>
                <w:szCs w:val="21"/>
              </w:rPr>
              <w:t>附录A或附录B</w:t>
            </w:r>
          </w:p>
        </w:tc>
      </w:tr>
      <w:tr w14:paraId="31431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4325" w:type="dxa"/>
            <w:gridSpan w:val="2"/>
            <w:vAlign w:val="center"/>
          </w:tcPr>
          <w:p w14:paraId="1F7A5CB9">
            <w:pPr>
              <w:spacing w:line="360" w:lineRule="auto"/>
              <w:jc w:val="center"/>
              <w:rPr>
                <w:rFonts w:ascii="宋体" w:hAnsi="宋体" w:cs="宋体"/>
                <w:szCs w:val="21"/>
              </w:rPr>
            </w:pPr>
            <w:r>
              <w:rPr>
                <w:rFonts w:hint="eastAsia" w:ascii="宋体"/>
                <w:szCs w:val="21"/>
              </w:rPr>
              <w:t xml:space="preserve">芳烃含量(体积分数)/%            </w:t>
            </w:r>
            <w:r>
              <w:rPr>
                <w:rFonts w:hint="eastAsia" w:ascii="宋体"/>
                <w:szCs w:val="21"/>
                <w:lang w:val="en-US" w:eastAsia="zh-CN"/>
              </w:rPr>
              <w:t xml:space="preserve">   </w:t>
            </w:r>
            <w:r>
              <w:rPr>
                <w:rFonts w:hint="eastAsia" w:ascii="宋体"/>
                <w:szCs w:val="21"/>
              </w:rPr>
              <w:t>大于</w:t>
            </w:r>
          </w:p>
        </w:tc>
        <w:tc>
          <w:tcPr>
            <w:tcW w:w="3358" w:type="dxa"/>
            <w:gridSpan w:val="3"/>
            <w:vAlign w:val="center"/>
          </w:tcPr>
          <w:p w14:paraId="22E9BD0C">
            <w:pPr>
              <w:spacing w:line="360" w:lineRule="auto"/>
              <w:jc w:val="center"/>
              <w:rPr>
                <w:rFonts w:ascii="宋体"/>
                <w:szCs w:val="21"/>
              </w:rPr>
            </w:pPr>
            <w:r>
              <w:rPr>
                <w:rFonts w:hint="eastAsia" w:ascii="宋体"/>
                <w:szCs w:val="21"/>
              </w:rPr>
              <w:t>35</w:t>
            </w:r>
          </w:p>
        </w:tc>
        <w:tc>
          <w:tcPr>
            <w:tcW w:w="1651" w:type="dxa"/>
            <w:vAlign w:val="center"/>
          </w:tcPr>
          <w:p w14:paraId="526E4A6C">
            <w:pPr>
              <w:spacing w:line="360" w:lineRule="auto"/>
              <w:jc w:val="center"/>
              <w:rPr>
                <w:rFonts w:ascii="宋体"/>
                <w:color w:val="000000" w:themeColor="text1"/>
                <w:szCs w:val="21"/>
              </w:rPr>
            </w:pPr>
            <w:r>
              <w:rPr>
                <w:rFonts w:hint="eastAsia" w:ascii="宋体"/>
                <w:color w:val="000000" w:themeColor="text1"/>
                <w:szCs w:val="21"/>
              </w:rPr>
              <w:t>附录A</w:t>
            </w:r>
          </w:p>
        </w:tc>
      </w:tr>
      <w:tr w14:paraId="2FE5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4325" w:type="dxa"/>
            <w:gridSpan w:val="2"/>
            <w:vAlign w:val="center"/>
          </w:tcPr>
          <w:p w14:paraId="608DE289">
            <w:pPr>
              <w:spacing w:line="360" w:lineRule="auto"/>
              <w:jc w:val="center"/>
              <w:rPr>
                <w:rFonts w:ascii="宋体" w:hAnsi="宋体" w:cs="宋体"/>
                <w:szCs w:val="21"/>
              </w:rPr>
            </w:pPr>
            <w:r>
              <w:rPr>
                <w:rFonts w:hint="eastAsia" w:ascii="宋体" w:hAnsi="宋体" w:cs="宋体"/>
                <w:szCs w:val="21"/>
              </w:rPr>
              <w:t>烯烃含量</w:t>
            </w:r>
            <w:r>
              <w:rPr>
                <w:rFonts w:hint="eastAsia" w:ascii="宋体"/>
                <w:szCs w:val="21"/>
              </w:rPr>
              <w:t xml:space="preserve">(体积分数)/%            </w:t>
            </w:r>
            <w:r>
              <w:rPr>
                <w:rFonts w:hint="eastAsia" w:ascii="宋体"/>
                <w:szCs w:val="21"/>
                <w:lang w:val="en-US" w:eastAsia="zh-CN"/>
              </w:rPr>
              <w:t xml:space="preserve">   </w:t>
            </w:r>
            <w:r>
              <w:rPr>
                <w:rFonts w:hint="eastAsia" w:ascii="宋体"/>
                <w:szCs w:val="21"/>
              </w:rPr>
              <w:t>大于</w:t>
            </w:r>
          </w:p>
        </w:tc>
        <w:tc>
          <w:tcPr>
            <w:tcW w:w="3358" w:type="dxa"/>
            <w:gridSpan w:val="3"/>
            <w:vAlign w:val="center"/>
          </w:tcPr>
          <w:p w14:paraId="5D5B1C08">
            <w:pPr>
              <w:spacing w:line="360" w:lineRule="auto"/>
              <w:jc w:val="center"/>
              <w:rPr>
                <w:rFonts w:ascii="宋体"/>
                <w:szCs w:val="21"/>
              </w:rPr>
            </w:pPr>
            <w:r>
              <w:rPr>
                <w:rFonts w:hint="eastAsia" w:ascii="宋体"/>
                <w:szCs w:val="21"/>
              </w:rPr>
              <w:t>(ⅥA) 18、(ⅥB)15</w:t>
            </w:r>
          </w:p>
        </w:tc>
        <w:tc>
          <w:tcPr>
            <w:tcW w:w="1651" w:type="dxa"/>
            <w:vAlign w:val="center"/>
          </w:tcPr>
          <w:p w14:paraId="65BDE60C">
            <w:pPr>
              <w:spacing w:line="360" w:lineRule="auto"/>
              <w:jc w:val="center"/>
              <w:rPr>
                <w:rFonts w:ascii="宋体"/>
                <w:color w:val="000000" w:themeColor="text1"/>
                <w:szCs w:val="21"/>
              </w:rPr>
            </w:pPr>
            <w:r>
              <w:rPr>
                <w:rFonts w:hint="eastAsia" w:ascii="宋体"/>
                <w:color w:val="000000" w:themeColor="text1"/>
                <w:szCs w:val="21"/>
              </w:rPr>
              <w:t>附录A</w:t>
            </w:r>
          </w:p>
        </w:tc>
      </w:tr>
      <w:tr w14:paraId="505E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4325" w:type="dxa"/>
            <w:gridSpan w:val="2"/>
            <w:vAlign w:val="center"/>
          </w:tcPr>
          <w:p w14:paraId="21201BC1">
            <w:pPr>
              <w:spacing w:line="360" w:lineRule="auto"/>
              <w:jc w:val="center"/>
              <w:rPr>
                <w:rFonts w:ascii="宋体" w:hAnsi="宋体" w:cs="宋体"/>
                <w:szCs w:val="21"/>
              </w:rPr>
            </w:pPr>
            <w:r>
              <w:rPr>
                <w:rFonts w:hint="eastAsia" w:ascii="宋体"/>
                <w:szCs w:val="21"/>
              </w:rPr>
              <w:t>密度(20℃)/(</w:t>
            </w:r>
            <w:r>
              <w:rPr>
                <w:rFonts w:hint="default" w:ascii="Times New Roman" w:hAnsi="Times New Roman" w:cs="Times New Roman"/>
                <w:szCs w:val="21"/>
              </w:rPr>
              <w:t>kg/m</w:t>
            </w:r>
            <w:r>
              <w:rPr>
                <w:rFonts w:hint="default" w:ascii="Times New Roman" w:hAnsi="Times New Roman" w:cs="Times New Roman"/>
                <w:szCs w:val="21"/>
                <w:vertAlign w:val="superscript"/>
              </w:rPr>
              <w:t>3</w:t>
            </w:r>
            <w:r>
              <w:rPr>
                <w:rFonts w:hint="eastAsia" w:ascii="宋体"/>
                <w:szCs w:val="21"/>
              </w:rPr>
              <w:t>)</w:t>
            </w:r>
          </w:p>
        </w:tc>
        <w:tc>
          <w:tcPr>
            <w:tcW w:w="3358" w:type="dxa"/>
            <w:gridSpan w:val="3"/>
            <w:vAlign w:val="center"/>
          </w:tcPr>
          <w:p w14:paraId="5BD09C49">
            <w:pPr>
              <w:spacing w:line="360" w:lineRule="auto"/>
              <w:jc w:val="center"/>
              <w:rPr>
                <w:rFonts w:ascii="宋体"/>
                <w:szCs w:val="21"/>
              </w:rPr>
            </w:pPr>
            <w:r>
              <w:rPr>
                <w:rFonts w:hint="eastAsia" w:ascii="宋体"/>
                <w:szCs w:val="21"/>
              </w:rPr>
              <w:t>小于720；大于775</w:t>
            </w:r>
          </w:p>
        </w:tc>
        <w:tc>
          <w:tcPr>
            <w:tcW w:w="1651" w:type="dxa"/>
            <w:vAlign w:val="center"/>
          </w:tcPr>
          <w:p w14:paraId="4EB0B400">
            <w:pPr>
              <w:spacing w:line="360" w:lineRule="auto"/>
              <w:jc w:val="center"/>
              <w:rPr>
                <w:rFonts w:ascii="宋体"/>
                <w:color w:val="000000" w:themeColor="text1"/>
                <w:szCs w:val="21"/>
              </w:rPr>
            </w:pPr>
            <w:r>
              <w:rPr>
                <w:rFonts w:hint="eastAsia" w:ascii="宋体"/>
                <w:color w:val="000000" w:themeColor="text1"/>
                <w:szCs w:val="21"/>
              </w:rPr>
              <w:t>SH/T0604或附录A或附录B</w:t>
            </w:r>
          </w:p>
        </w:tc>
      </w:tr>
      <w:tr w14:paraId="0B6BF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87" w:type="dxa"/>
            <w:vMerge w:val="restart"/>
            <w:vAlign w:val="center"/>
          </w:tcPr>
          <w:p w14:paraId="200F5325">
            <w:pPr>
              <w:spacing w:line="360" w:lineRule="auto"/>
              <w:jc w:val="center"/>
              <w:rPr>
                <w:rFonts w:hint="eastAsia" w:ascii="宋体" w:hAnsi="Times New Roman" w:cs="Times New Roman"/>
                <w:color w:val="auto"/>
                <w:szCs w:val="21"/>
                <w:lang w:val="en-US" w:eastAsia="zh-CN"/>
              </w:rPr>
            </w:pPr>
            <w:r>
              <w:rPr>
                <w:rFonts w:hint="eastAsia" w:ascii="宋体" w:hAnsi="Times New Roman" w:cs="Times New Roman"/>
                <w:color w:val="auto"/>
                <w:szCs w:val="21"/>
                <w:lang w:val="en-US" w:eastAsia="zh-CN"/>
              </w:rPr>
              <w:t>馏程</w:t>
            </w:r>
          </w:p>
        </w:tc>
        <w:tc>
          <w:tcPr>
            <w:tcW w:w="3438" w:type="dxa"/>
            <w:vAlign w:val="bottom"/>
          </w:tcPr>
          <w:p w14:paraId="4FDE2D66">
            <w:pPr>
              <w:spacing w:line="360" w:lineRule="auto"/>
              <w:jc w:val="center"/>
              <w:rPr>
                <w:rFonts w:hint="default" w:ascii="宋体" w:hAnsi="Times New Roman" w:cs="Times New Roman"/>
                <w:color w:val="auto"/>
                <w:szCs w:val="21"/>
                <w:lang w:val="en-US" w:eastAsia="zh-CN"/>
              </w:rPr>
            </w:pPr>
            <w:r>
              <w:rPr>
                <w:rFonts w:hint="eastAsia" w:ascii="宋体" w:hAnsi="Times New Roman" w:cs="Times New Roman"/>
                <w:color w:val="auto"/>
                <w:szCs w:val="21"/>
                <w:lang w:val="en-US" w:eastAsia="zh-CN"/>
              </w:rPr>
              <w:t xml:space="preserve">10%蒸发温度/℃            </w:t>
            </w:r>
            <w:r>
              <w:rPr>
                <w:rFonts w:hint="eastAsia" w:ascii="宋体" w:cs="Times New Roman"/>
                <w:color w:val="auto"/>
                <w:szCs w:val="21"/>
                <w:lang w:val="en-US" w:eastAsia="zh-CN"/>
              </w:rPr>
              <w:t>高</w:t>
            </w:r>
            <w:r>
              <w:rPr>
                <w:rFonts w:hint="eastAsia" w:ascii="宋体" w:hAnsi="Times New Roman" w:cs="Times New Roman"/>
                <w:color w:val="auto"/>
                <w:szCs w:val="21"/>
                <w:lang w:val="en-US" w:eastAsia="zh-CN"/>
              </w:rPr>
              <w:t>于</w:t>
            </w:r>
          </w:p>
        </w:tc>
        <w:tc>
          <w:tcPr>
            <w:tcW w:w="3358" w:type="dxa"/>
            <w:gridSpan w:val="3"/>
            <w:vAlign w:val="bottom"/>
          </w:tcPr>
          <w:p w14:paraId="5DC5AB47">
            <w:pPr>
              <w:spacing w:line="360" w:lineRule="auto"/>
              <w:jc w:val="center"/>
              <w:rPr>
                <w:rFonts w:hint="eastAsia" w:ascii="宋体" w:hAnsi="Times New Roman" w:cs="Times New Roman"/>
                <w:color w:val="auto"/>
                <w:szCs w:val="21"/>
              </w:rPr>
            </w:pPr>
            <w:r>
              <w:rPr>
                <w:rFonts w:hint="eastAsia" w:ascii="宋体" w:hAnsi="Times New Roman" w:cs="Times New Roman"/>
                <w:color w:val="auto"/>
                <w:szCs w:val="21"/>
                <w:lang w:val="en-US" w:eastAsia="zh-CN"/>
              </w:rPr>
              <w:t>70</w:t>
            </w:r>
          </w:p>
        </w:tc>
        <w:tc>
          <w:tcPr>
            <w:tcW w:w="1651" w:type="dxa"/>
            <w:vMerge w:val="restart"/>
            <w:vAlign w:val="center"/>
          </w:tcPr>
          <w:p w14:paraId="2CA5F7A3">
            <w:pPr>
              <w:spacing w:line="360" w:lineRule="auto"/>
              <w:jc w:val="center"/>
              <w:rPr>
                <w:rFonts w:hint="eastAsia" w:ascii="宋体"/>
                <w:color w:val="auto"/>
                <w:szCs w:val="21"/>
              </w:rPr>
            </w:pPr>
            <w:r>
              <w:rPr>
                <w:rFonts w:hint="eastAsia" w:ascii="宋体" w:hAnsi="Times New Roman" w:cs="Times New Roman"/>
                <w:color w:val="auto"/>
                <w:szCs w:val="21"/>
              </w:rPr>
              <w:t>附录 A</w:t>
            </w:r>
          </w:p>
        </w:tc>
      </w:tr>
      <w:tr w14:paraId="1F74F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87" w:type="dxa"/>
            <w:vMerge w:val="continue"/>
            <w:vAlign w:val="center"/>
          </w:tcPr>
          <w:p w14:paraId="304E697A">
            <w:pPr>
              <w:spacing w:line="360" w:lineRule="auto"/>
              <w:jc w:val="center"/>
              <w:rPr>
                <w:rFonts w:hint="eastAsia" w:ascii="宋体" w:hAnsi="Times New Roman" w:cs="Times New Roman"/>
                <w:color w:val="00B050"/>
                <w:szCs w:val="21"/>
                <w:lang w:val="en-US" w:eastAsia="zh-CN"/>
              </w:rPr>
            </w:pPr>
          </w:p>
        </w:tc>
        <w:tc>
          <w:tcPr>
            <w:tcW w:w="3438" w:type="dxa"/>
            <w:vAlign w:val="bottom"/>
          </w:tcPr>
          <w:p w14:paraId="5AFDA680">
            <w:pPr>
              <w:spacing w:line="360" w:lineRule="auto"/>
              <w:jc w:val="center"/>
              <w:rPr>
                <w:rFonts w:hint="default" w:ascii="宋体" w:hAnsi="Times New Roman" w:cs="Times New Roman"/>
                <w:color w:val="auto"/>
                <w:szCs w:val="21"/>
                <w:lang w:val="en-US" w:eastAsia="zh-CN"/>
              </w:rPr>
            </w:pPr>
            <w:r>
              <w:rPr>
                <w:rFonts w:hint="eastAsia" w:ascii="宋体" w:hAnsi="Times New Roman" w:cs="Times New Roman"/>
                <w:color w:val="auto"/>
                <w:szCs w:val="21"/>
                <w:lang w:val="en-US" w:eastAsia="zh-CN"/>
              </w:rPr>
              <w:t xml:space="preserve">50%蒸发温度/℃            </w:t>
            </w:r>
            <w:r>
              <w:rPr>
                <w:rFonts w:hint="eastAsia" w:ascii="宋体" w:cs="Times New Roman"/>
                <w:color w:val="auto"/>
                <w:szCs w:val="21"/>
                <w:lang w:val="en-US" w:eastAsia="zh-CN"/>
              </w:rPr>
              <w:t>高</w:t>
            </w:r>
            <w:r>
              <w:rPr>
                <w:rFonts w:hint="eastAsia" w:ascii="宋体" w:hAnsi="Times New Roman" w:cs="Times New Roman"/>
                <w:color w:val="auto"/>
                <w:szCs w:val="21"/>
                <w:lang w:val="en-US" w:eastAsia="zh-CN"/>
              </w:rPr>
              <w:t>于</w:t>
            </w:r>
          </w:p>
        </w:tc>
        <w:tc>
          <w:tcPr>
            <w:tcW w:w="3358" w:type="dxa"/>
            <w:gridSpan w:val="3"/>
            <w:vAlign w:val="bottom"/>
          </w:tcPr>
          <w:p w14:paraId="71B6B4C5">
            <w:pPr>
              <w:spacing w:line="360" w:lineRule="auto"/>
              <w:jc w:val="center"/>
              <w:rPr>
                <w:rFonts w:hint="eastAsia" w:ascii="宋体" w:hAnsi="Times New Roman" w:cs="Times New Roman"/>
                <w:color w:val="auto"/>
                <w:szCs w:val="21"/>
              </w:rPr>
            </w:pPr>
            <w:r>
              <w:rPr>
                <w:rFonts w:hint="eastAsia" w:ascii="宋体" w:hAnsi="Times New Roman" w:cs="Times New Roman"/>
                <w:color w:val="auto"/>
                <w:szCs w:val="21"/>
                <w:lang w:val="en-US" w:eastAsia="zh-CN"/>
              </w:rPr>
              <w:t>110</w:t>
            </w:r>
          </w:p>
        </w:tc>
        <w:tc>
          <w:tcPr>
            <w:tcW w:w="1651" w:type="dxa"/>
            <w:vMerge w:val="continue"/>
            <w:vAlign w:val="center"/>
          </w:tcPr>
          <w:p w14:paraId="1BCE2804">
            <w:pPr>
              <w:spacing w:line="360" w:lineRule="auto"/>
              <w:jc w:val="center"/>
              <w:rPr>
                <w:rFonts w:hint="eastAsia" w:ascii="宋体"/>
                <w:szCs w:val="21"/>
              </w:rPr>
            </w:pPr>
          </w:p>
        </w:tc>
      </w:tr>
      <w:tr w14:paraId="4840D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87" w:type="dxa"/>
            <w:vMerge w:val="continue"/>
            <w:vAlign w:val="center"/>
          </w:tcPr>
          <w:p w14:paraId="738C4B21">
            <w:pPr>
              <w:spacing w:line="360" w:lineRule="auto"/>
              <w:jc w:val="center"/>
              <w:rPr>
                <w:rFonts w:hint="eastAsia" w:ascii="宋体" w:hAnsi="Times New Roman" w:cs="Times New Roman"/>
                <w:color w:val="00B050"/>
                <w:szCs w:val="21"/>
              </w:rPr>
            </w:pPr>
          </w:p>
        </w:tc>
        <w:tc>
          <w:tcPr>
            <w:tcW w:w="3438" w:type="dxa"/>
            <w:vAlign w:val="bottom"/>
          </w:tcPr>
          <w:p w14:paraId="41D50016">
            <w:pPr>
              <w:spacing w:line="360" w:lineRule="auto"/>
              <w:jc w:val="center"/>
              <w:rPr>
                <w:rFonts w:hint="default" w:ascii="宋体" w:hAnsi="Times New Roman" w:cs="Times New Roman"/>
                <w:color w:val="auto"/>
                <w:szCs w:val="21"/>
                <w:lang w:val="en-US"/>
              </w:rPr>
            </w:pPr>
            <w:r>
              <w:rPr>
                <w:rFonts w:hint="eastAsia" w:ascii="宋体" w:hAnsi="Times New Roman" w:cs="Times New Roman"/>
                <w:color w:val="auto"/>
                <w:szCs w:val="21"/>
                <w:lang w:val="en-US" w:eastAsia="zh-CN"/>
              </w:rPr>
              <w:t xml:space="preserve">90%蒸发温度/℃            </w:t>
            </w:r>
            <w:r>
              <w:rPr>
                <w:rFonts w:hint="eastAsia" w:ascii="宋体" w:cs="Times New Roman"/>
                <w:color w:val="auto"/>
                <w:szCs w:val="21"/>
                <w:lang w:val="en-US" w:eastAsia="zh-CN"/>
              </w:rPr>
              <w:t>高</w:t>
            </w:r>
            <w:r>
              <w:rPr>
                <w:rFonts w:hint="eastAsia" w:ascii="宋体" w:hAnsi="Times New Roman" w:cs="Times New Roman"/>
                <w:color w:val="auto"/>
                <w:szCs w:val="21"/>
                <w:lang w:val="en-US" w:eastAsia="zh-CN"/>
              </w:rPr>
              <w:t>于</w:t>
            </w:r>
          </w:p>
        </w:tc>
        <w:tc>
          <w:tcPr>
            <w:tcW w:w="3358" w:type="dxa"/>
            <w:gridSpan w:val="3"/>
            <w:vAlign w:val="bottom"/>
          </w:tcPr>
          <w:p w14:paraId="3F97CEBF">
            <w:pPr>
              <w:spacing w:line="360" w:lineRule="auto"/>
              <w:jc w:val="center"/>
              <w:rPr>
                <w:rFonts w:hint="eastAsia" w:ascii="宋体" w:hAnsi="Times New Roman" w:cs="Times New Roman"/>
                <w:color w:val="auto"/>
                <w:szCs w:val="21"/>
              </w:rPr>
            </w:pPr>
            <w:r>
              <w:rPr>
                <w:rFonts w:hint="eastAsia" w:ascii="宋体" w:hAnsi="Times New Roman" w:cs="Times New Roman"/>
                <w:color w:val="auto"/>
                <w:szCs w:val="21"/>
                <w:lang w:val="en-US" w:eastAsia="zh-CN"/>
              </w:rPr>
              <w:t>190</w:t>
            </w:r>
          </w:p>
        </w:tc>
        <w:tc>
          <w:tcPr>
            <w:tcW w:w="1651" w:type="dxa"/>
            <w:vMerge w:val="continue"/>
            <w:vAlign w:val="center"/>
          </w:tcPr>
          <w:p w14:paraId="2A40AF4A">
            <w:pPr>
              <w:spacing w:line="360" w:lineRule="auto"/>
              <w:jc w:val="center"/>
              <w:rPr>
                <w:rFonts w:hint="eastAsia" w:ascii="宋体"/>
                <w:szCs w:val="21"/>
              </w:rPr>
            </w:pPr>
          </w:p>
        </w:tc>
      </w:tr>
      <w:tr w14:paraId="70D39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87" w:type="dxa"/>
            <w:vMerge w:val="continue"/>
            <w:vAlign w:val="center"/>
          </w:tcPr>
          <w:p w14:paraId="03A9614B">
            <w:pPr>
              <w:spacing w:line="360" w:lineRule="auto"/>
              <w:jc w:val="center"/>
              <w:rPr>
                <w:rFonts w:hint="eastAsia" w:ascii="宋体" w:hAnsi="Times New Roman" w:cs="Times New Roman"/>
                <w:color w:val="00B050"/>
                <w:szCs w:val="21"/>
              </w:rPr>
            </w:pPr>
          </w:p>
        </w:tc>
        <w:tc>
          <w:tcPr>
            <w:tcW w:w="3438" w:type="dxa"/>
            <w:vAlign w:val="bottom"/>
          </w:tcPr>
          <w:p w14:paraId="21719E4E">
            <w:pPr>
              <w:spacing w:line="360" w:lineRule="auto"/>
              <w:jc w:val="center"/>
              <w:rPr>
                <w:rFonts w:hint="default" w:ascii="宋体" w:hAnsi="Times New Roman" w:cs="Times New Roman"/>
                <w:color w:val="auto"/>
                <w:szCs w:val="21"/>
                <w:lang w:val="en-US"/>
              </w:rPr>
            </w:pPr>
            <w:r>
              <w:rPr>
                <w:rFonts w:hint="eastAsia" w:ascii="宋体" w:hAnsi="Times New Roman" w:cs="Times New Roman"/>
                <w:color w:val="auto"/>
                <w:szCs w:val="21"/>
                <w:lang w:val="en-US" w:eastAsia="zh-CN"/>
              </w:rPr>
              <w:t xml:space="preserve">终馏点/℃                </w:t>
            </w:r>
            <w:r>
              <w:rPr>
                <w:rFonts w:hint="eastAsia" w:ascii="宋体" w:cs="Times New Roman"/>
                <w:color w:val="auto"/>
                <w:szCs w:val="21"/>
                <w:lang w:val="en-US" w:eastAsia="zh-CN"/>
              </w:rPr>
              <w:t xml:space="preserve"> 高</w:t>
            </w:r>
            <w:r>
              <w:rPr>
                <w:rFonts w:hint="eastAsia" w:ascii="宋体" w:hAnsi="Times New Roman" w:cs="Times New Roman"/>
                <w:color w:val="auto"/>
                <w:szCs w:val="21"/>
                <w:lang w:val="en-US" w:eastAsia="zh-CN"/>
              </w:rPr>
              <w:t>于</w:t>
            </w:r>
          </w:p>
        </w:tc>
        <w:tc>
          <w:tcPr>
            <w:tcW w:w="3358" w:type="dxa"/>
            <w:gridSpan w:val="3"/>
            <w:vAlign w:val="bottom"/>
          </w:tcPr>
          <w:p w14:paraId="2E612C64">
            <w:pPr>
              <w:spacing w:line="360" w:lineRule="auto"/>
              <w:jc w:val="center"/>
              <w:rPr>
                <w:rFonts w:hint="eastAsia" w:ascii="宋体" w:hAnsi="Times New Roman" w:cs="Times New Roman"/>
                <w:color w:val="auto"/>
                <w:szCs w:val="21"/>
              </w:rPr>
            </w:pPr>
            <w:r>
              <w:rPr>
                <w:rFonts w:hint="eastAsia" w:ascii="宋体" w:hAnsi="Times New Roman" w:cs="Times New Roman"/>
                <w:color w:val="auto"/>
                <w:szCs w:val="21"/>
                <w:lang w:val="en-US" w:eastAsia="zh-CN"/>
              </w:rPr>
              <w:t>205</w:t>
            </w:r>
          </w:p>
        </w:tc>
        <w:tc>
          <w:tcPr>
            <w:tcW w:w="1651" w:type="dxa"/>
            <w:vMerge w:val="continue"/>
            <w:vAlign w:val="center"/>
          </w:tcPr>
          <w:p w14:paraId="1DFFCE27">
            <w:pPr>
              <w:spacing w:line="360" w:lineRule="auto"/>
              <w:jc w:val="center"/>
              <w:rPr>
                <w:rFonts w:hint="eastAsia" w:ascii="宋体"/>
                <w:szCs w:val="21"/>
              </w:rPr>
            </w:pPr>
          </w:p>
        </w:tc>
      </w:tr>
    </w:tbl>
    <w:p w14:paraId="7FBAF8F3">
      <w:pPr>
        <w:pStyle w:val="53"/>
        <w:numPr>
          <w:ilvl w:val="0"/>
          <w:numId w:val="17"/>
        </w:numPr>
        <w:adjustRightInd w:val="0"/>
        <w:snapToGrid w:val="0"/>
        <w:spacing w:before="240" w:after="240" w:line="360" w:lineRule="auto"/>
        <w:ind w:left="-141" w:leftChars="-67" w:firstLine="0"/>
        <w:jc w:val="left"/>
      </w:pPr>
      <w:bookmarkStart w:id="7" w:name="_Hlk11579463"/>
      <w:r>
        <w:t xml:space="preserve">  </w:t>
      </w:r>
      <w:r>
        <w:rPr>
          <w:rFonts w:hint="eastAsia"/>
        </w:rPr>
        <w:t>取样</w:t>
      </w:r>
    </w:p>
    <w:bookmarkEnd w:id="7"/>
    <w:p w14:paraId="2A281864">
      <w:pPr>
        <w:pStyle w:val="53"/>
        <w:numPr>
          <w:ilvl w:val="1"/>
          <w:numId w:val="17"/>
        </w:numPr>
        <w:adjustRightInd w:val="0"/>
        <w:snapToGrid w:val="0"/>
        <w:spacing w:beforeLines="0" w:afterLines="0" w:line="360" w:lineRule="auto"/>
        <w:ind w:left="-142" w:hanging="11"/>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加油机油枪取样：从待测样品的加油枪放出4L后，再</w:t>
      </w:r>
      <w:r>
        <w:rPr>
          <w:rFonts w:ascii="Times New Roman" w:eastAsiaTheme="majorEastAsia"/>
          <w:color w:val="000000" w:themeColor="text1"/>
        </w:rPr>
        <w:t>抽取300 mL～400 mL，用于快速</w:t>
      </w:r>
      <w:r>
        <w:rPr>
          <w:rFonts w:hint="eastAsia" w:ascii="Times New Roman" w:eastAsiaTheme="majorEastAsia"/>
          <w:color w:val="000000" w:themeColor="text1"/>
        </w:rPr>
        <w:t>筛查</w:t>
      </w:r>
      <w:r>
        <w:rPr>
          <w:rFonts w:ascii="Times New Roman" w:eastAsiaTheme="majorEastAsia"/>
          <w:color w:val="000000" w:themeColor="text1"/>
        </w:rPr>
        <w:t>。</w:t>
      </w:r>
    </w:p>
    <w:p w14:paraId="11521EF6">
      <w:pPr>
        <w:pStyle w:val="53"/>
        <w:numPr>
          <w:ilvl w:val="1"/>
          <w:numId w:val="17"/>
        </w:numPr>
        <w:adjustRightInd w:val="0"/>
        <w:snapToGrid w:val="0"/>
        <w:spacing w:beforeLines="0" w:afterLines="0" w:line="360" w:lineRule="auto"/>
        <w:ind w:left="-142" w:hanging="11"/>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油罐取样：上、中、下三点等量取样并混合均匀。</w:t>
      </w:r>
    </w:p>
    <w:p w14:paraId="481C446A">
      <w:pPr>
        <w:pStyle w:val="53"/>
        <w:numPr>
          <w:ilvl w:val="1"/>
          <w:numId w:val="17"/>
        </w:numPr>
        <w:adjustRightInd w:val="0"/>
        <w:snapToGrid w:val="0"/>
        <w:spacing w:beforeLines="0" w:afterLines="0" w:line="360" w:lineRule="auto"/>
        <w:ind w:left="-142" w:hanging="11"/>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其他取样地点或有争议时，按照GB/T 4756进行。</w:t>
      </w:r>
    </w:p>
    <w:p w14:paraId="3E0997AD">
      <w:pPr>
        <w:pStyle w:val="53"/>
        <w:numPr>
          <w:ilvl w:val="0"/>
          <w:numId w:val="17"/>
        </w:numPr>
        <w:adjustRightInd w:val="0"/>
        <w:snapToGrid w:val="0"/>
        <w:spacing w:before="240" w:after="240" w:line="360" w:lineRule="auto"/>
        <w:ind w:left="-141" w:leftChars="-67" w:firstLine="0"/>
        <w:jc w:val="left"/>
      </w:pPr>
      <w:bookmarkStart w:id="8" w:name="_Hlk11579493"/>
      <w:r>
        <w:rPr>
          <w:rFonts w:hint="eastAsia"/>
        </w:rPr>
        <w:t xml:space="preserve"> </w:t>
      </w:r>
      <w:r>
        <w:t xml:space="preserve"> </w:t>
      </w:r>
      <w:r>
        <w:rPr>
          <w:rFonts w:hint="eastAsia"/>
        </w:rPr>
        <w:t>快速筛查方法验证</w:t>
      </w:r>
    </w:p>
    <w:p w14:paraId="4A9D0174">
      <w:pPr>
        <w:pStyle w:val="53"/>
        <w:numPr>
          <w:ilvl w:val="1"/>
          <w:numId w:val="17"/>
        </w:numPr>
        <w:adjustRightInd w:val="0"/>
        <w:snapToGrid w:val="0"/>
        <w:spacing w:beforeLines="0" w:afterLines="0" w:line="360" w:lineRule="auto"/>
        <w:ind w:left="-284" w:firstLine="142"/>
        <w:jc w:val="left"/>
        <w:rPr>
          <w:rFonts w:asciiTheme="majorEastAsia" w:hAnsiTheme="majorEastAsia" w:eastAsiaTheme="majorEastAsia"/>
        </w:rPr>
      </w:pPr>
      <w:r>
        <w:rPr>
          <w:rFonts w:hint="eastAsia" w:asciiTheme="majorEastAsia" w:hAnsiTheme="majorEastAsia" w:eastAsiaTheme="majorEastAsia"/>
        </w:rPr>
        <w:t>为保障快速筛查方法的准确性，需由省级以上质检中心进行快速筛查方法定期评估。</w:t>
      </w:r>
    </w:p>
    <w:p w14:paraId="2A40AF22">
      <w:pPr>
        <w:pStyle w:val="53"/>
        <w:numPr>
          <w:ilvl w:val="1"/>
          <w:numId w:val="17"/>
        </w:numPr>
        <w:adjustRightInd w:val="0"/>
        <w:snapToGrid w:val="0"/>
        <w:spacing w:beforeLines="0" w:afterLines="0" w:line="360" w:lineRule="auto"/>
        <w:ind w:left="-284" w:firstLine="142"/>
        <w:jc w:val="left"/>
        <w:rPr>
          <w:rFonts w:asciiTheme="majorEastAsia" w:hAnsiTheme="majorEastAsia" w:eastAsiaTheme="majorEastAsia"/>
        </w:rPr>
      </w:pPr>
      <w:r>
        <w:rPr>
          <w:rFonts w:hint="eastAsia" w:asciiTheme="majorEastAsia" w:hAnsiTheme="majorEastAsia" w:eastAsiaTheme="majorEastAsia"/>
        </w:rPr>
        <w:t>快速筛查方法定期评估时间为每半年一次。</w:t>
      </w:r>
    </w:p>
    <w:p w14:paraId="2A8C7273">
      <w:pPr>
        <w:pStyle w:val="53"/>
        <w:numPr>
          <w:ilvl w:val="1"/>
          <w:numId w:val="17"/>
        </w:numPr>
        <w:adjustRightInd w:val="0"/>
        <w:snapToGrid w:val="0"/>
        <w:spacing w:beforeLines="0" w:afterLines="0" w:line="360" w:lineRule="auto"/>
        <w:ind w:left="-284" w:firstLine="142"/>
        <w:jc w:val="left"/>
        <w:rPr>
          <w:rFonts w:asciiTheme="majorEastAsia" w:hAnsiTheme="majorEastAsia" w:eastAsiaTheme="majorEastAsia"/>
        </w:rPr>
      </w:pPr>
      <w:r>
        <w:rPr>
          <w:rFonts w:hint="eastAsia" w:asciiTheme="majorEastAsia" w:hAnsiTheme="majorEastAsia" w:eastAsiaTheme="majorEastAsia"/>
        </w:rPr>
        <w:t>快速筛查方法需与GB</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rPr>
        <w:t>1</w:t>
      </w:r>
      <w:r>
        <w:rPr>
          <w:rFonts w:hint="eastAsia" w:asciiTheme="majorEastAsia" w:hAnsiTheme="majorEastAsia" w:eastAsiaTheme="majorEastAsia"/>
          <w:lang w:val="en-US" w:eastAsia="zh-CN"/>
        </w:rPr>
        <w:t>7930</w:t>
      </w:r>
      <w:r>
        <w:rPr>
          <w:rFonts w:hint="eastAsia" w:asciiTheme="majorEastAsia" w:hAnsiTheme="majorEastAsia" w:eastAsiaTheme="majorEastAsia"/>
        </w:rPr>
        <w:t>规定的方法标准进行对比试验，满足方法标准中再现性的要求。</w:t>
      </w:r>
    </w:p>
    <w:p w14:paraId="23CE2DDC">
      <w:pPr>
        <w:pStyle w:val="53"/>
        <w:numPr>
          <w:ilvl w:val="1"/>
          <w:numId w:val="17"/>
        </w:numPr>
        <w:adjustRightInd w:val="0"/>
        <w:snapToGrid w:val="0"/>
        <w:spacing w:beforeLines="0" w:afterLines="0" w:line="360" w:lineRule="auto"/>
        <w:ind w:left="-284" w:firstLine="142"/>
        <w:jc w:val="left"/>
        <w:rPr>
          <w:highlight w:val="none"/>
        </w:rPr>
      </w:pPr>
      <w:r>
        <w:rPr>
          <w:rFonts w:hint="eastAsia" w:asciiTheme="majorEastAsia" w:hAnsiTheme="majorEastAsia" w:eastAsiaTheme="majorEastAsia"/>
          <w:highlight w:val="none"/>
        </w:rPr>
        <w:t>定标模型样品集样品量不少于500个。</w:t>
      </w:r>
    </w:p>
    <w:p w14:paraId="792BFC9E">
      <w:pPr>
        <w:pStyle w:val="53"/>
        <w:numPr>
          <w:ilvl w:val="0"/>
          <w:numId w:val="17"/>
        </w:numPr>
        <w:adjustRightInd w:val="0"/>
        <w:snapToGrid w:val="0"/>
        <w:spacing w:before="240" w:after="240" w:line="360" w:lineRule="auto"/>
        <w:ind w:left="-141" w:leftChars="-67" w:firstLine="0"/>
        <w:jc w:val="left"/>
        <w:rPr>
          <w:rFonts w:hAnsi="黑体"/>
        </w:rPr>
      </w:pPr>
      <w:r>
        <w:rPr>
          <w:rFonts w:hint="eastAsia" w:hAnsi="黑体"/>
        </w:rPr>
        <w:t xml:space="preserve"> </w:t>
      </w:r>
      <w:r>
        <w:rPr>
          <w:rFonts w:hAnsi="黑体"/>
        </w:rPr>
        <w:t xml:space="preserve"> </w:t>
      </w:r>
      <w:r>
        <w:rPr>
          <w:rFonts w:hint="eastAsia" w:hAnsi="黑体"/>
        </w:rPr>
        <w:t>车辆</w:t>
      </w:r>
    </w:p>
    <w:p w14:paraId="09CEDD62">
      <w:pPr>
        <w:pStyle w:val="53"/>
        <w:snapToGrid w:val="0"/>
        <w:spacing w:beforeLines="0" w:afterLines="0" w:line="360" w:lineRule="auto"/>
        <w:ind w:firstLine="210" w:firstLineChars="100"/>
        <w:jc w:val="left"/>
        <w:rPr>
          <w:rFonts w:asciiTheme="majorEastAsia" w:hAnsiTheme="majorEastAsia" w:eastAsiaTheme="majorEastAsia"/>
        </w:rPr>
      </w:pPr>
      <w:r>
        <w:rPr>
          <w:rFonts w:hint="eastAsia" w:asciiTheme="majorEastAsia" w:hAnsiTheme="majorEastAsia" w:eastAsiaTheme="majorEastAsia"/>
        </w:rPr>
        <w:t>电源、通风、消防等设施满足检验要求，能够保证检测设备稳定性和检测数据的准确性。</w:t>
      </w:r>
    </w:p>
    <w:p w14:paraId="41ACA813">
      <w:pPr>
        <w:pStyle w:val="53"/>
        <w:numPr>
          <w:ilvl w:val="1"/>
          <w:numId w:val="17"/>
        </w:numPr>
        <w:adjustRightInd w:val="0"/>
        <w:snapToGrid w:val="0"/>
        <w:spacing w:beforeLines="0" w:afterLines="0" w:line="360" w:lineRule="auto"/>
        <w:ind w:left="-284" w:firstLine="142"/>
        <w:jc w:val="left"/>
        <w:rPr>
          <w:rFonts w:asciiTheme="majorEastAsia" w:hAnsiTheme="majorEastAsia" w:eastAsiaTheme="majorEastAsia"/>
        </w:rPr>
      </w:pPr>
      <w:r>
        <w:rPr>
          <w:rFonts w:hint="eastAsia"/>
        </w:rPr>
        <w:t>快速筛查结果处理和报告</w:t>
      </w:r>
    </w:p>
    <w:p w14:paraId="42348964">
      <w:pPr>
        <w:pStyle w:val="53"/>
        <w:numPr>
          <w:ilvl w:val="1"/>
          <w:numId w:val="17"/>
        </w:numPr>
        <w:adjustRightInd w:val="0"/>
        <w:snapToGrid w:val="0"/>
        <w:spacing w:beforeLines="0" w:afterLines="0" w:line="360" w:lineRule="auto"/>
        <w:ind w:left="-284" w:firstLine="142"/>
        <w:jc w:val="left"/>
        <w:rPr>
          <w:rFonts w:ascii="宋体" w:eastAsia="宋体"/>
        </w:rPr>
      </w:pPr>
      <w:r>
        <w:rPr>
          <w:rFonts w:hint="eastAsia" w:asciiTheme="majorEastAsia" w:hAnsiTheme="majorEastAsia" w:eastAsiaTheme="majorEastAsia"/>
        </w:rPr>
        <w:t>快速筛查结果符合GB</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rPr>
        <w:t>1</w:t>
      </w:r>
      <w:r>
        <w:rPr>
          <w:rFonts w:hint="eastAsia" w:asciiTheme="majorEastAsia" w:hAnsiTheme="majorEastAsia" w:eastAsiaTheme="majorEastAsia"/>
          <w:lang w:val="en-US" w:eastAsia="zh-CN"/>
        </w:rPr>
        <w:t>7930</w:t>
      </w:r>
      <w:r>
        <w:rPr>
          <w:rFonts w:hint="eastAsia" w:asciiTheme="majorEastAsia" w:hAnsiTheme="majorEastAsia" w:eastAsiaTheme="majorEastAsia"/>
        </w:rPr>
        <w:t>技术要求，则快速筛查结果合格，出具快速筛查报告单。</w:t>
      </w:r>
    </w:p>
    <w:p w14:paraId="2B37E390">
      <w:pPr>
        <w:pStyle w:val="53"/>
        <w:numPr>
          <w:ilvl w:val="1"/>
          <w:numId w:val="17"/>
        </w:numPr>
        <w:adjustRightInd w:val="0"/>
        <w:snapToGrid w:val="0"/>
        <w:spacing w:beforeLines="0" w:afterLines="0" w:line="360" w:lineRule="auto"/>
        <w:ind w:left="-284" w:firstLine="142"/>
        <w:jc w:val="left"/>
      </w:pPr>
      <w:r>
        <w:rPr>
          <w:rFonts w:hint="eastAsia" w:ascii="宋体" w:eastAsia="宋体"/>
        </w:rPr>
        <w:t>快速筛查结果在表1中阈值内，则快速筛查结果可疑。按G</w:t>
      </w:r>
      <w:r>
        <w:rPr>
          <w:rFonts w:ascii="宋体" w:eastAsia="宋体"/>
        </w:rPr>
        <w:t>B/T 4756</w:t>
      </w:r>
      <w:r>
        <w:rPr>
          <w:rFonts w:hint="eastAsia" w:ascii="宋体" w:eastAsia="宋体"/>
        </w:rPr>
        <w:t>抽取</w:t>
      </w:r>
      <w:r>
        <w:rPr>
          <w:rFonts w:ascii="宋体" w:eastAsia="宋体"/>
        </w:rPr>
        <w:t>4L</w:t>
      </w:r>
      <w:r>
        <w:rPr>
          <w:rFonts w:hint="eastAsia" w:ascii="宋体" w:eastAsia="宋体"/>
        </w:rPr>
        <w:t>样品作为检验和留样用，按</w:t>
      </w:r>
      <w:r>
        <w:rPr>
          <w:rFonts w:hint="eastAsia" w:asciiTheme="majorEastAsia" w:hAnsiTheme="majorEastAsia" w:eastAsiaTheme="majorEastAsia"/>
        </w:rPr>
        <w:t>GB</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rPr>
        <w:t>1</w:t>
      </w:r>
      <w:r>
        <w:rPr>
          <w:rFonts w:hint="eastAsia" w:asciiTheme="majorEastAsia" w:hAnsiTheme="majorEastAsia" w:eastAsiaTheme="majorEastAsia"/>
          <w:lang w:val="en-US" w:eastAsia="zh-CN"/>
        </w:rPr>
        <w:t>7930</w:t>
      </w:r>
      <w:r>
        <w:rPr>
          <w:rFonts w:hint="eastAsia" w:asciiTheme="majorEastAsia" w:hAnsiTheme="majorEastAsia" w:eastAsiaTheme="majorEastAsia"/>
        </w:rPr>
        <w:t>规定进行检验</w:t>
      </w:r>
      <w:r>
        <w:rPr>
          <w:rFonts w:hint="eastAsia" w:ascii="宋体" w:eastAsia="宋体"/>
        </w:rPr>
        <w:t>。</w:t>
      </w:r>
    </w:p>
    <w:p w14:paraId="3DB61547">
      <w:pPr>
        <w:pStyle w:val="31"/>
      </w:pPr>
    </w:p>
    <w:bookmarkEnd w:id="8"/>
    <w:p w14:paraId="0FF79B26">
      <w:pPr>
        <w:pStyle w:val="31"/>
        <w:spacing w:line="360" w:lineRule="auto"/>
        <w:ind w:firstLine="0" w:firstLineChars="0"/>
        <w:jc w:val="center"/>
        <w:rPr>
          <w:rFonts w:hint="eastAsia"/>
          <w:b/>
        </w:rPr>
      </w:pPr>
    </w:p>
    <w:p w14:paraId="10DA044F">
      <w:pPr>
        <w:pStyle w:val="31"/>
        <w:spacing w:line="360" w:lineRule="auto"/>
        <w:ind w:firstLine="0" w:firstLineChars="0"/>
        <w:jc w:val="center"/>
        <w:rPr>
          <w:rFonts w:hint="eastAsia"/>
          <w:b/>
        </w:rPr>
      </w:pPr>
    </w:p>
    <w:p w14:paraId="711BFD64">
      <w:pPr>
        <w:pStyle w:val="31"/>
        <w:spacing w:line="360" w:lineRule="auto"/>
        <w:ind w:firstLine="0" w:firstLineChars="0"/>
        <w:jc w:val="center"/>
        <w:rPr>
          <w:rFonts w:hint="eastAsia"/>
          <w:b/>
        </w:rPr>
      </w:pPr>
    </w:p>
    <w:p w14:paraId="731236B5">
      <w:pPr>
        <w:pStyle w:val="31"/>
        <w:spacing w:line="360" w:lineRule="auto"/>
        <w:ind w:firstLine="0" w:firstLineChars="0"/>
        <w:jc w:val="center"/>
        <w:rPr>
          <w:rFonts w:hint="eastAsia"/>
          <w:b/>
        </w:rPr>
      </w:pPr>
    </w:p>
    <w:p w14:paraId="3C5E16E2">
      <w:pPr>
        <w:pStyle w:val="31"/>
        <w:spacing w:line="360" w:lineRule="auto"/>
        <w:ind w:firstLine="0" w:firstLineChars="0"/>
        <w:jc w:val="center"/>
        <w:rPr>
          <w:rFonts w:hint="eastAsia"/>
          <w:b/>
        </w:rPr>
      </w:pPr>
    </w:p>
    <w:p w14:paraId="6FA6A186">
      <w:pPr>
        <w:pStyle w:val="31"/>
        <w:spacing w:line="360" w:lineRule="auto"/>
        <w:ind w:firstLine="0" w:firstLineChars="0"/>
        <w:jc w:val="center"/>
        <w:rPr>
          <w:rFonts w:hint="eastAsia"/>
          <w:b/>
        </w:rPr>
      </w:pPr>
    </w:p>
    <w:p w14:paraId="351D1257">
      <w:pPr>
        <w:pStyle w:val="31"/>
        <w:spacing w:line="360" w:lineRule="auto"/>
        <w:ind w:firstLine="0" w:firstLineChars="0"/>
        <w:jc w:val="center"/>
        <w:rPr>
          <w:rFonts w:hint="eastAsia"/>
          <w:b/>
        </w:rPr>
      </w:pPr>
    </w:p>
    <w:p w14:paraId="48C20FF0">
      <w:pPr>
        <w:pStyle w:val="31"/>
        <w:spacing w:line="360" w:lineRule="auto"/>
        <w:ind w:firstLine="0" w:firstLineChars="0"/>
        <w:jc w:val="center"/>
        <w:rPr>
          <w:rFonts w:hint="eastAsia"/>
          <w:b/>
        </w:rPr>
      </w:pPr>
    </w:p>
    <w:p w14:paraId="617B72FC">
      <w:pPr>
        <w:pStyle w:val="31"/>
        <w:spacing w:line="360" w:lineRule="auto"/>
        <w:ind w:firstLine="0" w:firstLineChars="0"/>
        <w:jc w:val="center"/>
        <w:rPr>
          <w:rFonts w:hint="eastAsia"/>
          <w:b/>
        </w:rPr>
      </w:pPr>
    </w:p>
    <w:p w14:paraId="2BE2F625">
      <w:pPr>
        <w:pStyle w:val="31"/>
        <w:spacing w:line="360" w:lineRule="auto"/>
        <w:ind w:firstLine="0" w:firstLineChars="0"/>
        <w:jc w:val="center"/>
        <w:rPr>
          <w:rFonts w:hint="eastAsia"/>
          <w:b/>
        </w:rPr>
      </w:pPr>
    </w:p>
    <w:p w14:paraId="5786DDDF">
      <w:pPr>
        <w:pStyle w:val="31"/>
        <w:spacing w:line="360" w:lineRule="auto"/>
        <w:ind w:firstLine="0" w:firstLineChars="0"/>
        <w:jc w:val="center"/>
        <w:rPr>
          <w:rFonts w:hint="eastAsia"/>
          <w:b/>
        </w:rPr>
      </w:pPr>
    </w:p>
    <w:p w14:paraId="3154CB7A">
      <w:pPr>
        <w:pStyle w:val="31"/>
        <w:spacing w:line="360" w:lineRule="auto"/>
        <w:ind w:firstLine="0" w:firstLineChars="0"/>
        <w:jc w:val="center"/>
        <w:rPr>
          <w:rFonts w:hint="eastAsia"/>
          <w:b/>
        </w:rPr>
      </w:pPr>
    </w:p>
    <w:p w14:paraId="5430594D">
      <w:pPr>
        <w:pStyle w:val="31"/>
        <w:spacing w:line="360" w:lineRule="auto"/>
        <w:ind w:firstLine="0" w:firstLineChars="0"/>
        <w:jc w:val="center"/>
        <w:rPr>
          <w:rFonts w:hint="eastAsia"/>
          <w:b/>
        </w:rPr>
      </w:pPr>
    </w:p>
    <w:p w14:paraId="6411BE10">
      <w:pPr>
        <w:pStyle w:val="31"/>
        <w:spacing w:line="360" w:lineRule="auto"/>
        <w:ind w:firstLine="0" w:firstLineChars="0"/>
        <w:jc w:val="center"/>
        <w:rPr>
          <w:rFonts w:hint="eastAsia"/>
          <w:b/>
        </w:rPr>
      </w:pPr>
    </w:p>
    <w:p w14:paraId="761EA48D">
      <w:pPr>
        <w:pStyle w:val="31"/>
        <w:spacing w:line="360" w:lineRule="auto"/>
        <w:ind w:firstLine="0" w:firstLineChars="0"/>
        <w:jc w:val="center"/>
        <w:rPr>
          <w:rFonts w:hint="eastAsia"/>
          <w:b/>
        </w:rPr>
      </w:pPr>
    </w:p>
    <w:p w14:paraId="4BFE9818">
      <w:pPr>
        <w:pStyle w:val="31"/>
        <w:spacing w:line="360" w:lineRule="auto"/>
        <w:ind w:firstLine="0" w:firstLineChars="0"/>
        <w:jc w:val="center"/>
        <w:rPr>
          <w:rFonts w:hint="eastAsia"/>
          <w:b/>
        </w:rPr>
      </w:pPr>
    </w:p>
    <w:p w14:paraId="750150F9">
      <w:pPr>
        <w:pStyle w:val="31"/>
        <w:spacing w:line="360" w:lineRule="auto"/>
        <w:ind w:firstLine="0" w:firstLineChars="0"/>
        <w:jc w:val="center"/>
        <w:rPr>
          <w:rFonts w:hint="eastAsia"/>
          <w:b/>
        </w:rPr>
      </w:pPr>
    </w:p>
    <w:p w14:paraId="28421D66">
      <w:pPr>
        <w:pStyle w:val="31"/>
        <w:spacing w:line="360" w:lineRule="auto"/>
        <w:ind w:firstLine="0" w:firstLineChars="0"/>
        <w:jc w:val="center"/>
        <w:rPr>
          <w:rFonts w:hint="eastAsia"/>
          <w:b/>
        </w:rPr>
      </w:pPr>
    </w:p>
    <w:p w14:paraId="5820E1E1">
      <w:pPr>
        <w:pStyle w:val="31"/>
        <w:spacing w:line="360" w:lineRule="auto"/>
        <w:ind w:firstLine="0" w:firstLineChars="0"/>
        <w:jc w:val="center"/>
        <w:rPr>
          <w:rFonts w:hint="eastAsia"/>
          <w:b/>
        </w:rPr>
      </w:pPr>
    </w:p>
    <w:p w14:paraId="2397C406">
      <w:pPr>
        <w:pStyle w:val="31"/>
        <w:spacing w:line="360" w:lineRule="auto"/>
        <w:ind w:firstLine="0" w:firstLineChars="0"/>
        <w:jc w:val="center"/>
        <w:rPr>
          <w:rFonts w:hint="eastAsia"/>
          <w:b/>
        </w:rPr>
      </w:pPr>
    </w:p>
    <w:p w14:paraId="0B56FE62">
      <w:pPr>
        <w:pStyle w:val="31"/>
        <w:spacing w:line="360" w:lineRule="auto"/>
        <w:ind w:firstLine="0" w:firstLineChars="0"/>
        <w:jc w:val="center"/>
        <w:rPr>
          <w:rFonts w:hint="eastAsia"/>
          <w:b/>
        </w:rPr>
      </w:pPr>
    </w:p>
    <w:p w14:paraId="18333DE4">
      <w:pPr>
        <w:pStyle w:val="31"/>
        <w:spacing w:line="360" w:lineRule="auto"/>
        <w:ind w:firstLine="0" w:firstLineChars="0"/>
        <w:jc w:val="center"/>
        <w:rPr>
          <w:rFonts w:hint="eastAsia"/>
          <w:b/>
        </w:rPr>
      </w:pPr>
    </w:p>
    <w:p w14:paraId="2421E928">
      <w:pPr>
        <w:pStyle w:val="31"/>
        <w:spacing w:line="360" w:lineRule="auto"/>
        <w:ind w:firstLine="0" w:firstLineChars="0"/>
        <w:jc w:val="center"/>
        <w:rPr>
          <w:rFonts w:hint="eastAsia"/>
          <w:b/>
        </w:rPr>
      </w:pPr>
    </w:p>
    <w:p w14:paraId="026B822E">
      <w:pPr>
        <w:pStyle w:val="31"/>
        <w:spacing w:line="360" w:lineRule="auto"/>
        <w:ind w:firstLine="0" w:firstLineChars="0"/>
        <w:jc w:val="center"/>
        <w:rPr>
          <w:rFonts w:hint="eastAsia"/>
          <w:b/>
        </w:rPr>
      </w:pPr>
    </w:p>
    <w:p w14:paraId="04772955">
      <w:pPr>
        <w:pStyle w:val="31"/>
        <w:spacing w:line="360" w:lineRule="auto"/>
        <w:ind w:firstLine="0" w:firstLineChars="0"/>
        <w:jc w:val="center"/>
        <w:rPr>
          <w:rFonts w:hint="eastAsia"/>
          <w:b/>
        </w:rPr>
      </w:pPr>
    </w:p>
    <w:p w14:paraId="74C73CD9">
      <w:pPr>
        <w:pStyle w:val="31"/>
        <w:spacing w:line="360" w:lineRule="auto"/>
        <w:ind w:firstLine="0" w:firstLineChars="0"/>
        <w:jc w:val="center"/>
        <w:rPr>
          <w:rFonts w:hint="eastAsia"/>
          <w:b/>
        </w:rPr>
      </w:pPr>
    </w:p>
    <w:p w14:paraId="56071B18">
      <w:pPr>
        <w:pStyle w:val="31"/>
        <w:spacing w:line="360" w:lineRule="auto"/>
        <w:ind w:firstLine="0" w:firstLineChars="0"/>
        <w:jc w:val="center"/>
        <w:rPr>
          <w:rFonts w:hint="eastAsia"/>
          <w:b/>
        </w:rPr>
      </w:pPr>
    </w:p>
    <w:p w14:paraId="6EA83D18">
      <w:pPr>
        <w:pStyle w:val="31"/>
        <w:spacing w:line="360" w:lineRule="auto"/>
        <w:ind w:firstLine="0" w:firstLineChars="0"/>
        <w:jc w:val="center"/>
        <w:rPr>
          <w:rFonts w:hint="eastAsia"/>
          <w:b/>
        </w:rPr>
      </w:pPr>
    </w:p>
    <w:p w14:paraId="083DF6EE">
      <w:pPr>
        <w:pStyle w:val="31"/>
        <w:spacing w:line="360" w:lineRule="auto"/>
        <w:ind w:firstLine="0" w:firstLineChars="0"/>
        <w:jc w:val="center"/>
        <w:rPr>
          <w:b/>
        </w:rPr>
      </w:pPr>
      <w:r>
        <w:rPr>
          <w:rFonts w:hint="eastAsia"/>
          <w:b/>
        </w:rPr>
        <w:t>附录A</w:t>
      </w:r>
    </w:p>
    <w:p w14:paraId="12866748">
      <w:pPr>
        <w:pStyle w:val="31"/>
        <w:spacing w:line="360" w:lineRule="auto"/>
        <w:ind w:firstLine="0" w:firstLineChars="0"/>
        <w:jc w:val="center"/>
        <w:rPr>
          <w:b/>
        </w:rPr>
      </w:pPr>
      <w:r>
        <w:rPr>
          <w:rFonts w:hint="eastAsia"/>
          <w:b/>
        </w:rPr>
        <w:t>（规范性附录）</w:t>
      </w:r>
    </w:p>
    <w:p w14:paraId="5BD29789">
      <w:pPr>
        <w:pStyle w:val="31"/>
        <w:spacing w:line="360" w:lineRule="auto"/>
        <w:ind w:firstLine="0" w:firstLineChars="0"/>
        <w:jc w:val="center"/>
        <w:rPr>
          <w:b/>
        </w:rPr>
      </w:pPr>
      <w:r>
        <w:rPr>
          <w:rFonts w:hint="eastAsia"/>
          <w:b/>
        </w:rPr>
        <w:t>车用汽油快速检测方法    近红外光谱法</w:t>
      </w:r>
    </w:p>
    <w:p w14:paraId="6A4972C9">
      <w:pPr>
        <w:pStyle w:val="53"/>
        <w:spacing w:before="240" w:after="240" w:line="360" w:lineRule="auto"/>
        <w:jc w:val="left"/>
      </w:pPr>
      <w:r>
        <w:rPr>
          <w:rFonts w:hint="eastAsia"/>
        </w:rPr>
        <w:t>A.1范围</w:t>
      </w:r>
    </w:p>
    <w:p w14:paraId="7582FDF9">
      <w:pPr>
        <w:spacing w:line="360" w:lineRule="auto"/>
        <w:ind w:firstLine="420" w:firstLineChars="200"/>
        <w:rPr>
          <w:rFonts w:ascii="宋体" w:hAnsi="宋体" w:cs="宋体"/>
          <w:color w:val="auto"/>
          <w:kern w:val="0"/>
          <w:szCs w:val="21"/>
        </w:rPr>
      </w:pPr>
      <w:r>
        <w:rPr>
          <w:rFonts w:hint="eastAsia" w:ascii="宋体" w:hAnsi="宋体" w:cs="宋体"/>
          <w:kern w:val="0"/>
          <w:szCs w:val="21"/>
        </w:rPr>
        <w:t>本附录规定了采用近红外光谱法测定车用汽油研究法辛烷值（RON）、</w:t>
      </w:r>
      <w:r>
        <w:rPr>
          <w:rFonts w:hint="eastAsia" w:ascii="宋体"/>
          <w:color w:val="auto"/>
          <w:szCs w:val="21"/>
          <w:lang w:val="en-US" w:eastAsia="zh-CN"/>
        </w:rPr>
        <w:t>甲醇</w:t>
      </w:r>
      <w:r>
        <w:rPr>
          <w:rFonts w:ascii="宋体"/>
          <w:color w:val="auto"/>
          <w:szCs w:val="21"/>
        </w:rPr>
        <w:t>含量</w:t>
      </w:r>
      <w:r>
        <w:rPr>
          <w:rFonts w:hint="eastAsia" w:ascii="宋体"/>
          <w:color w:val="auto"/>
          <w:szCs w:val="21"/>
        </w:rPr>
        <w:t>（质量分数）</w:t>
      </w:r>
      <w:r>
        <w:rPr>
          <w:rFonts w:hint="eastAsia" w:ascii="宋体"/>
          <w:color w:val="auto"/>
          <w:szCs w:val="21"/>
          <w:lang w:eastAsia="zh-CN"/>
        </w:rPr>
        <w:t>、</w:t>
      </w:r>
      <w:r>
        <w:rPr>
          <w:rFonts w:hint="eastAsia" w:ascii="宋体"/>
          <w:color w:val="auto"/>
          <w:szCs w:val="21"/>
          <w:lang w:val="en-US" w:eastAsia="zh-CN"/>
        </w:rPr>
        <w:t>氧</w:t>
      </w:r>
      <w:r>
        <w:rPr>
          <w:rFonts w:ascii="宋体"/>
          <w:color w:val="auto"/>
          <w:szCs w:val="21"/>
        </w:rPr>
        <w:t>含量</w:t>
      </w:r>
      <w:r>
        <w:rPr>
          <w:rFonts w:hint="eastAsia" w:ascii="宋体" w:hAnsi="宋体" w:cs="宋体"/>
          <w:color w:val="auto"/>
          <w:kern w:val="0"/>
          <w:szCs w:val="21"/>
        </w:rPr>
        <w:t>（质量分数）、苯含量（体积分数）、芳烃含量（体积分数）、烯烃含量（体积分数）、密度</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馏程</w:t>
      </w:r>
      <w:r>
        <w:rPr>
          <w:rFonts w:hint="eastAsia" w:ascii="宋体" w:hAnsi="宋体" w:cs="宋体"/>
          <w:color w:val="auto"/>
          <w:kern w:val="0"/>
          <w:szCs w:val="21"/>
        </w:rPr>
        <w:t>的方法。</w:t>
      </w:r>
    </w:p>
    <w:p w14:paraId="1521EC1F">
      <w:pPr>
        <w:spacing w:line="360" w:lineRule="auto"/>
        <w:ind w:firstLine="420" w:firstLineChars="200"/>
        <w:rPr>
          <w:rFonts w:ascii="宋体" w:hAnsi="宋体" w:cs="宋体"/>
          <w:kern w:val="0"/>
          <w:szCs w:val="21"/>
        </w:rPr>
      </w:pPr>
      <w:r>
        <w:rPr>
          <w:rFonts w:hint="eastAsia" w:ascii="宋体" w:hAnsi="宋体" w:cs="宋体"/>
          <w:kern w:val="0"/>
          <w:szCs w:val="21"/>
        </w:rPr>
        <w:t>本附录适用于车用汽油质量指标的快速检测。</w:t>
      </w:r>
    </w:p>
    <w:p w14:paraId="5A56B580">
      <w:pPr>
        <w:pStyle w:val="53"/>
        <w:spacing w:before="240" w:after="240" w:line="360" w:lineRule="auto"/>
      </w:pPr>
      <w:r>
        <w:rPr>
          <w:rFonts w:hint="eastAsia"/>
        </w:rPr>
        <w:t>A.2原理</w:t>
      </w:r>
    </w:p>
    <w:p w14:paraId="43010AAF">
      <w:pPr>
        <w:autoSpaceDE w:val="0"/>
        <w:autoSpaceDN w:val="0"/>
        <w:adjustRightInd w:val="0"/>
        <w:spacing w:line="360" w:lineRule="auto"/>
        <w:ind w:firstLine="420" w:firstLineChars="200"/>
        <w:rPr>
          <w:kern w:val="0"/>
          <w:szCs w:val="21"/>
        </w:rPr>
      </w:pPr>
      <w:r>
        <w:rPr>
          <w:rFonts w:hint="eastAsia"/>
          <w:kern w:val="0"/>
          <w:szCs w:val="21"/>
        </w:rPr>
        <w:t>近红外光谱是指在可见光与中红外光之间的电磁波谱，波</w:t>
      </w:r>
      <w:r>
        <w:rPr>
          <w:rFonts w:hint="eastAsia"/>
          <w:color w:val="000000" w:themeColor="text1"/>
          <w:kern w:val="0"/>
          <w:szCs w:val="21"/>
        </w:rPr>
        <w:t>数范围为</w:t>
      </w:r>
      <w:r>
        <w:rPr>
          <w:color w:val="000000" w:themeColor="text1"/>
          <w:kern w:val="0"/>
          <w:szCs w:val="21"/>
          <w:highlight w:val="none"/>
        </w:rPr>
        <w:t>1</w:t>
      </w:r>
      <w:r>
        <w:rPr>
          <w:rFonts w:hint="default"/>
          <w:color w:val="000000" w:themeColor="text1"/>
          <w:kern w:val="0"/>
          <w:szCs w:val="21"/>
          <w:highlight w:val="none"/>
          <w:lang w:val="en-US"/>
        </w:rPr>
        <w:t>2500</w:t>
      </w:r>
      <w:r>
        <w:rPr>
          <w:rFonts w:hint="eastAsia"/>
          <w:color w:val="000000" w:themeColor="text1"/>
          <w:kern w:val="0"/>
          <w:szCs w:val="21"/>
          <w:highlight w:val="none"/>
        </w:rPr>
        <w:t>cm</w:t>
      </w:r>
      <w:r>
        <w:rPr>
          <w:rFonts w:hint="eastAsia"/>
          <w:color w:val="000000" w:themeColor="text1"/>
          <w:kern w:val="0"/>
          <w:szCs w:val="21"/>
          <w:highlight w:val="none"/>
          <w:vertAlign w:val="superscript"/>
        </w:rPr>
        <w:t>-1</w:t>
      </w:r>
      <w:r>
        <w:rPr>
          <w:rFonts w:hint="eastAsia"/>
          <w:color w:val="000000" w:themeColor="text1"/>
          <w:kern w:val="0"/>
          <w:szCs w:val="21"/>
          <w:highlight w:val="none"/>
          <w:lang w:val="en-US" w:eastAsia="zh-CN"/>
        </w:rPr>
        <w:t>~</w:t>
      </w:r>
      <w:r>
        <w:rPr>
          <w:color w:val="000000" w:themeColor="text1"/>
          <w:kern w:val="0"/>
          <w:szCs w:val="21"/>
          <w:highlight w:val="none"/>
        </w:rPr>
        <w:t>4000</w:t>
      </w:r>
      <w:r>
        <w:rPr>
          <w:rFonts w:hint="eastAsia"/>
          <w:color w:val="000000" w:themeColor="text1"/>
          <w:kern w:val="0"/>
          <w:szCs w:val="21"/>
          <w:highlight w:val="none"/>
        </w:rPr>
        <w:t xml:space="preserve"> cm</w:t>
      </w:r>
      <w:r>
        <w:rPr>
          <w:rFonts w:hint="eastAsia"/>
          <w:color w:val="000000" w:themeColor="text1"/>
          <w:kern w:val="0"/>
          <w:szCs w:val="21"/>
          <w:highlight w:val="none"/>
          <w:vertAlign w:val="superscript"/>
        </w:rPr>
        <w:t>-1</w:t>
      </w:r>
      <w:r>
        <w:rPr>
          <w:rFonts w:hint="eastAsia"/>
          <w:color w:val="000000" w:themeColor="text1"/>
          <w:kern w:val="0"/>
          <w:szCs w:val="21"/>
          <w:highlight w:val="none"/>
        </w:rPr>
        <w:t>。</w:t>
      </w:r>
      <w:r>
        <w:rPr>
          <w:kern w:val="0"/>
          <w:szCs w:val="21"/>
        </w:rPr>
        <w:t>近红外光谱法是利用含有氢基团（X—H，X 为：C，O，N 等）化学键的伸缩振动的倍频</w:t>
      </w:r>
      <w:r>
        <w:rPr>
          <w:rFonts w:hint="eastAsia"/>
          <w:color w:val="000000" w:themeColor="text1"/>
          <w:kern w:val="0"/>
          <w:szCs w:val="21"/>
        </w:rPr>
        <w:t>或</w:t>
      </w:r>
      <w:r>
        <w:rPr>
          <w:kern w:val="0"/>
          <w:szCs w:val="21"/>
        </w:rPr>
        <w:t>合频，以透射或反射方式获取在近红外区的吸收光谱，通过主成分分析、偏最小二乘法等现代化学计量学方法，建立光谱与质量指标之间的线性或非线性关系（</w:t>
      </w:r>
      <w:r>
        <w:rPr>
          <w:rFonts w:hint="eastAsia"/>
          <w:kern w:val="0"/>
          <w:szCs w:val="21"/>
        </w:rPr>
        <w:t>定标</w:t>
      </w:r>
      <w:r>
        <w:rPr>
          <w:kern w:val="0"/>
          <w:szCs w:val="21"/>
        </w:rPr>
        <w:t>模型），从而实现利用光谱信息对待测样品的多种质量指标的快速测定</w:t>
      </w:r>
      <w:r>
        <w:rPr>
          <w:rFonts w:hint="eastAsia"/>
          <w:kern w:val="0"/>
          <w:szCs w:val="21"/>
        </w:rPr>
        <w:t>。</w:t>
      </w:r>
    </w:p>
    <w:p w14:paraId="67AED6C1">
      <w:pPr>
        <w:pStyle w:val="53"/>
        <w:spacing w:before="240" w:after="240" w:line="360" w:lineRule="auto"/>
      </w:pPr>
      <w:r>
        <w:rPr>
          <w:rFonts w:hint="eastAsia"/>
        </w:rPr>
        <w:t>A.3仪器与设备</w:t>
      </w:r>
    </w:p>
    <w:p w14:paraId="4D284705">
      <w:pPr>
        <w:pStyle w:val="50"/>
        <w:spacing w:beforeLines="0" w:afterLines="0" w:line="360" w:lineRule="auto"/>
        <w:rPr>
          <w:rFonts w:ascii="宋体" w:hAnsi="宋体" w:eastAsia="宋体" w:cs="宋体"/>
          <w:color w:val="000000" w:themeColor="text1"/>
          <w:kern w:val="2"/>
          <w:szCs w:val="24"/>
        </w:rPr>
      </w:pPr>
      <w:r>
        <w:rPr>
          <w:rFonts w:hint="eastAsia" w:hAnsi="宋体" w:cs="宋体"/>
          <w:color w:val="000000" w:themeColor="text1"/>
          <w:kern w:val="2"/>
          <w:szCs w:val="24"/>
        </w:rPr>
        <w:t xml:space="preserve">A.3.1  </w:t>
      </w:r>
      <w:r>
        <w:rPr>
          <w:rFonts w:hint="eastAsia" w:ascii="Times New Roman" w:eastAsia="宋体"/>
        </w:rPr>
        <w:t>近红外光谱仪：采用傅立叶变换或</w:t>
      </w:r>
      <w:r>
        <w:rPr>
          <w:rFonts w:hint="eastAsia" w:ascii="Times New Roman" w:eastAsia="宋体"/>
          <w:color w:val="000000" w:themeColor="text1"/>
        </w:rPr>
        <w:t>光栅式</w:t>
      </w:r>
      <w:r>
        <w:rPr>
          <w:rFonts w:hint="eastAsia" w:ascii="Times New Roman" w:eastAsia="宋体"/>
        </w:rPr>
        <w:t>近红外光谱仪。近红外光谱的有效波</w:t>
      </w:r>
      <w:r>
        <w:rPr>
          <w:rFonts w:hint="eastAsia" w:ascii="Times New Roman" w:eastAsia="宋体"/>
          <w:lang w:val="en-US" w:eastAsia="zh-CN"/>
        </w:rPr>
        <w:t>数</w:t>
      </w:r>
      <w:r>
        <w:rPr>
          <w:rFonts w:hint="eastAsia" w:ascii="Times New Roman" w:eastAsia="宋体"/>
        </w:rPr>
        <w:t xml:space="preserve">区间应至少包括 </w:t>
      </w:r>
      <w:r>
        <w:rPr>
          <w:rFonts w:hint="eastAsia" w:ascii="Times New Roman" w:eastAsia="宋体"/>
          <w:color w:val="000000" w:themeColor="text1"/>
        </w:rPr>
        <w:t>10000cm</w:t>
      </w:r>
      <w:r>
        <w:rPr>
          <w:rFonts w:hint="eastAsia" w:ascii="Times New Roman" w:eastAsia="宋体"/>
          <w:color w:val="000000" w:themeColor="text1"/>
          <w:vertAlign w:val="superscript"/>
        </w:rPr>
        <w:t>-1</w:t>
      </w:r>
      <w:r>
        <w:rPr>
          <w:rFonts w:hint="eastAsia" w:ascii="Times New Roman" w:eastAsia="宋体"/>
          <w:color w:val="000000" w:themeColor="text1"/>
          <w:lang w:val="en-US" w:eastAsia="zh-CN"/>
        </w:rPr>
        <w:t>~</w:t>
      </w:r>
      <w:r>
        <w:rPr>
          <w:rFonts w:hint="eastAsia" w:ascii="Times New Roman" w:eastAsia="宋体"/>
          <w:color w:val="000000" w:themeColor="text1"/>
        </w:rPr>
        <w:t>5555cm</w:t>
      </w:r>
      <w:r>
        <w:rPr>
          <w:rFonts w:hint="eastAsia" w:ascii="Times New Roman" w:eastAsia="宋体"/>
          <w:color w:val="000000" w:themeColor="text1"/>
          <w:vertAlign w:val="superscript"/>
        </w:rPr>
        <w:t>-1</w:t>
      </w:r>
      <w:r>
        <w:rPr>
          <w:rFonts w:hint="eastAsia" w:ascii="Times New Roman" w:eastAsia="宋体"/>
          <w:color w:val="000000" w:themeColor="text1"/>
          <w:highlight w:val="none"/>
        </w:rPr>
        <w:t>，光谱分辨率优于2 cm-1，波数准确度优于±0.03 cm-1，波数重复性优于0.05 cm-1</w:t>
      </w:r>
      <w:r>
        <w:rPr>
          <w:rFonts w:hint="eastAsia" w:ascii="Times New Roman" w:eastAsia="宋体"/>
          <w:color w:val="000000" w:themeColor="text1"/>
          <w:highlight w:val="none"/>
          <w:lang w:eastAsia="zh-CN"/>
        </w:rPr>
        <w:t>，</w:t>
      </w:r>
      <w:r>
        <w:rPr>
          <w:rFonts w:hint="eastAsia" w:ascii="Times New Roman" w:eastAsia="宋体"/>
          <w:color w:val="000000" w:themeColor="text1"/>
          <w:highlight w:val="none"/>
        </w:rPr>
        <w:t>扫描速度优于5次/秒，其他能够满足相应光谱技术指标的其他仪器也可采用。</w:t>
      </w:r>
      <w:r>
        <w:rPr>
          <w:rFonts w:hint="eastAsia" w:hAnsi="宋体" w:cs="宋体"/>
          <w:color w:val="000000" w:themeColor="text1"/>
          <w:kern w:val="2"/>
          <w:szCs w:val="24"/>
          <w:highlight w:val="none"/>
        </w:rPr>
        <w:t xml:space="preserve">A.3.2  </w:t>
      </w:r>
      <w:r>
        <w:rPr>
          <w:rFonts w:hint="eastAsia" w:ascii="宋体" w:hAnsi="宋体" w:eastAsia="宋体" w:cs="宋体"/>
          <w:color w:val="000000" w:themeColor="text1"/>
          <w:kern w:val="2"/>
          <w:szCs w:val="24"/>
          <w:highlight w:val="none"/>
        </w:rPr>
        <w:t>化学计</w:t>
      </w:r>
      <w:r>
        <w:rPr>
          <w:rFonts w:hint="eastAsia" w:ascii="宋体" w:hAnsi="宋体" w:eastAsia="宋体" w:cs="宋体"/>
          <w:color w:val="000000" w:themeColor="text1"/>
          <w:kern w:val="2"/>
          <w:szCs w:val="24"/>
        </w:rPr>
        <w:t>量学软件：使用近红外光谱仪配置的化学计量学软件。至少含 PLS（偏最小二乘法）多元校正算法，具有近红外光谱数据的收集、存储分析和计算功能，采用马氏距离判断样品的异常性以保障定标模型预测的可靠性和特异性样品的识别。</w:t>
      </w:r>
    </w:p>
    <w:p w14:paraId="67D73E2C">
      <w:pPr>
        <w:pStyle w:val="53"/>
        <w:spacing w:before="240" w:after="240" w:line="360" w:lineRule="auto"/>
      </w:pPr>
      <w:r>
        <w:rPr>
          <w:rFonts w:hint="eastAsia"/>
        </w:rPr>
        <w:t>A.4试剂</w:t>
      </w:r>
    </w:p>
    <w:p w14:paraId="7483C0A8">
      <w:pPr>
        <w:pStyle w:val="50"/>
        <w:spacing w:before="120" w:after="120" w:line="360" w:lineRule="auto"/>
        <w:rPr>
          <w:rFonts w:ascii="宋体" w:hAnsi="宋体" w:eastAsia="宋体" w:cs="宋体"/>
          <w:kern w:val="2"/>
          <w:szCs w:val="24"/>
        </w:rPr>
      </w:pPr>
      <w:r>
        <w:rPr>
          <w:rFonts w:hint="eastAsia"/>
        </w:rPr>
        <w:t>A.4.1样品池冲洗溶剂：</w:t>
      </w:r>
      <w:r>
        <w:rPr>
          <w:rFonts w:hint="eastAsia" w:ascii="宋体" w:hAnsi="宋体" w:eastAsia="宋体" w:cs="宋体"/>
          <w:kern w:val="2"/>
          <w:szCs w:val="24"/>
        </w:rPr>
        <w:t>石油醚（60℃～90℃），分析纯。</w:t>
      </w:r>
    </w:p>
    <w:p w14:paraId="34453A4A">
      <w:pPr>
        <w:pStyle w:val="53"/>
        <w:spacing w:before="240" w:after="240" w:line="360" w:lineRule="auto"/>
      </w:pPr>
      <w:r>
        <w:rPr>
          <w:rFonts w:hint="eastAsia"/>
        </w:rPr>
        <w:t>A.5定标模型的建立和验证</w:t>
      </w:r>
    </w:p>
    <w:p w14:paraId="42D037A9">
      <w:pPr>
        <w:pStyle w:val="53"/>
        <w:spacing w:before="240" w:after="240" w:line="360" w:lineRule="auto"/>
      </w:pPr>
      <w:r>
        <w:rPr>
          <w:rFonts w:hint="eastAsia"/>
        </w:rPr>
        <w:t>A.5.1仪器准备</w:t>
      </w:r>
    </w:p>
    <w:p w14:paraId="16B7FE77">
      <w:pPr>
        <w:pStyle w:val="50"/>
        <w:spacing w:beforeLines="100" w:afterLines="100" w:line="360" w:lineRule="auto"/>
      </w:pPr>
      <w:r>
        <w:rPr>
          <w:rFonts w:hint="eastAsia"/>
        </w:rPr>
        <w:t>A.5.1.1仪器性能检查</w:t>
      </w:r>
    </w:p>
    <w:p w14:paraId="7A93124E">
      <w:pPr>
        <w:pStyle w:val="31"/>
        <w:spacing w:line="360" w:lineRule="auto"/>
      </w:pPr>
      <w:r>
        <w:rPr>
          <w:rFonts w:hint="eastAsia"/>
        </w:rPr>
        <w:t>每次测定试样光谱之前，应按照仪器操作手册检查仪器性能，确保仪器正常运行。</w:t>
      </w:r>
    </w:p>
    <w:p w14:paraId="6531666C">
      <w:pPr>
        <w:pStyle w:val="50"/>
        <w:spacing w:beforeLines="100" w:afterLines="100" w:line="360" w:lineRule="auto"/>
      </w:pPr>
      <w:r>
        <w:rPr>
          <w:rFonts w:hint="eastAsia"/>
        </w:rPr>
        <w:t>A.5.1.2 仪器工作参数设置</w:t>
      </w:r>
    </w:p>
    <w:p w14:paraId="6B166784">
      <w:pPr>
        <w:pStyle w:val="31"/>
        <w:spacing w:line="360" w:lineRule="auto"/>
      </w:pPr>
      <w:r>
        <w:rPr>
          <w:rFonts w:hint="eastAsia"/>
        </w:rPr>
        <w:t>按照仪器操作手册设定仪器参数。测定定标集样品、验证集样品和待测试样的光谱时，仪器参数应一致。</w:t>
      </w:r>
    </w:p>
    <w:p w14:paraId="662F40B0">
      <w:pPr>
        <w:pStyle w:val="50"/>
        <w:spacing w:beforeLines="100" w:afterLines="100" w:line="360" w:lineRule="auto"/>
      </w:pPr>
      <w:r>
        <w:rPr>
          <w:rFonts w:hint="eastAsia"/>
        </w:rPr>
        <w:t>A.5.2 定标集样品选择</w:t>
      </w:r>
    </w:p>
    <w:p w14:paraId="204ADCE6">
      <w:pPr>
        <w:pStyle w:val="31"/>
        <w:spacing w:beforeLines="100" w:afterLines="100" w:line="360" w:lineRule="auto"/>
        <w:ind w:firstLine="0" w:firstLineChars="0"/>
      </w:pPr>
      <w:r>
        <w:rPr>
          <w:rFonts w:hint="eastAsia" w:ascii="黑体" w:eastAsia="黑体"/>
          <w:szCs w:val="21"/>
        </w:rPr>
        <w:t>A.5.2.1  定标集样品用于建立定标模型，应符合下列要求：</w:t>
      </w:r>
    </w:p>
    <w:p w14:paraId="2778B988">
      <w:pPr>
        <w:pStyle w:val="31"/>
        <w:spacing w:line="360" w:lineRule="auto"/>
      </w:pPr>
      <w:r>
        <w:rPr>
          <w:rFonts w:hint="eastAsia"/>
        </w:rPr>
        <w:t>a）定标集样品的化学组成范围应覆盖使用该模型时预测试样遇到的化学组成范围；</w:t>
      </w:r>
    </w:p>
    <w:p w14:paraId="2FA5C42D">
      <w:pPr>
        <w:pStyle w:val="31"/>
        <w:spacing w:line="360" w:lineRule="auto"/>
      </w:pPr>
      <w:r>
        <w:rPr>
          <w:rFonts w:hint="eastAsia"/>
        </w:rPr>
        <w:t>b）定标集样品的质量指标范围应覆盖使用该模型预测试样中遇到的质量指标范围；</w:t>
      </w:r>
    </w:p>
    <w:p w14:paraId="58BC97F1">
      <w:pPr>
        <w:pStyle w:val="31"/>
        <w:spacing w:line="360" w:lineRule="auto"/>
        <w:rPr>
          <w:rFonts w:hint="eastAsia" w:eastAsia="宋体"/>
          <w:szCs w:val="21"/>
          <w:lang w:eastAsia="zh-CN"/>
        </w:rPr>
      </w:pPr>
      <w:r>
        <w:rPr>
          <w:rFonts w:hint="eastAsia"/>
        </w:rPr>
        <w:t>c）定标集样品应具有代表性，应覆盖不同牌号、不同生产企业具有代表性的车用汽油，能够覆盖使用该模型预测样品中遇到的样品特性</w:t>
      </w:r>
      <w:r>
        <w:rPr>
          <w:rFonts w:hint="eastAsia"/>
          <w:lang w:eastAsia="zh-CN"/>
        </w:rPr>
        <w:t>；</w:t>
      </w:r>
    </w:p>
    <w:p w14:paraId="782D94E0">
      <w:pPr>
        <w:pStyle w:val="31"/>
        <w:spacing w:line="360" w:lineRule="auto"/>
        <w:rPr>
          <w:szCs w:val="21"/>
        </w:rPr>
      </w:pPr>
      <w:r>
        <w:rPr>
          <w:rFonts w:hint="eastAsia"/>
          <w:szCs w:val="21"/>
        </w:rPr>
        <w:t>d）定标集样品质量指标均匀分布；</w:t>
      </w:r>
    </w:p>
    <w:p w14:paraId="745A4B43">
      <w:pPr>
        <w:pStyle w:val="31"/>
        <w:spacing w:line="360" w:lineRule="auto"/>
        <w:rPr>
          <w:szCs w:val="21"/>
        </w:rPr>
      </w:pPr>
      <w:r>
        <w:rPr>
          <w:rFonts w:hint="eastAsia"/>
          <w:szCs w:val="21"/>
        </w:rPr>
        <w:t>e）定标集样品数目足够多，能统计确定光谱变量与待校正组分浓度与性质之间的关系。定标集样品数目通常不少于6κ（κ为PLS的主因子数）；</w:t>
      </w:r>
    </w:p>
    <w:p w14:paraId="6BEA43A8">
      <w:pPr>
        <w:pStyle w:val="31"/>
        <w:spacing w:line="360" w:lineRule="auto"/>
        <w:rPr>
          <w:szCs w:val="21"/>
        </w:rPr>
      </w:pPr>
      <w:r>
        <w:rPr>
          <w:rFonts w:hint="eastAsia"/>
          <w:szCs w:val="21"/>
        </w:rPr>
        <w:t>f）按照GB/T 4756方法采集样品，并置于低于5</w:t>
      </w:r>
      <w:r>
        <w:rPr>
          <w:rFonts w:hint="eastAsia" w:hAnsi="宋体" w:cs="宋体"/>
          <w:color w:val="333333"/>
          <w:sz w:val="20"/>
          <w:shd w:val="clear" w:color="auto" w:fill="FFFFFF"/>
        </w:rPr>
        <w:t>℃的环境中避光保存。</w:t>
      </w:r>
    </w:p>
    <w:p w14:paraId="74F87BBF">
      <w:pPr>
        <w:pStyle w:val="31"/>
        <w:spacing w:beforeLines="100" w:afterLines="100" w:line="360" w:lineRule="auto"/>
        <w:ind w:firstLine="0" w:firstLineChars="0"/>
        <w:rPr>
          <w:rFonts w:ascii="黑体" w:eastAsia="黑体"/>
          <w:szCs w:val="21"/>
        </w:rPr>
      </w:pPr>
      <w:r>
        <w:rPr>
          <w:rFonts w:hint="eastAsia" w:ascii="黑体" w:eastAsia="黑体"/>
          <w:szCs w:val="21"/>
        </w:rPr>
        <w:t>A.5.2.2  验证集样品用于验证定标模型的性能，应符合下列要求：</w:t>
      </w:r>
    </w:p>
    <w:p w14:paraId="03653FA4">
      <w:pPr>
        <w:pStyle w:val="31"/>
        <w:spacing w:line="360" w:lineRule="auto"/>
      </w:pPr>
      <w:r>
        <w:rPr>
          <w:rFonts w:hint="eastAsia"/>
        </w:rPr>
        <w:t>a）验证集样品的化学组成范围应覆盖使用该模型时预测试样遇到的化学组成范围；</w:t>
      </w:r>
    </w:p>
    <w:p w14:paraId="730334EE">
      <w:pPr>
        <w:pStyle w:val="31"/>
        <w:spacing w:line="360" w:lineRule="auto"/>
      </w:pPr>
      <w:r>
        <w:rPr>
          <w:rFonts w:hint="eastAsia"/>
        </w:rPr>
        <w:t>b）验证集样品的质量指标范围应覆盖使用该模型预测试样中遇到的质量指标范围；</w:t>
      </w:r>
    </w:p>
    <w:p w14:paraId="2F7F7119">
      <w:pPr>
        <w:pStyle w:val="31"/>
        <w:spacing w:line="360" w:lineRule="auto"/>
        <w:rPr>
          <w:rFonts w:hint="eastAsia" w:eastAsia="宋体"/>
          <w:szCs w:val="21"/>
          <w:lang w:eastAsia="zh-CN"/>
        </w:rPr>
      </w:pPr>
      <w:r>
        <w:rPr>
          <w:rFonts w:hint="eastAsia"/>
        </w:rPr>
        <w:t>c）验证集样品应具有代表性，应覆盖不同牌号、不同生产企业具有代表性的车用汽油，能够覆盖使用该模型预测样品中遇到的样品特性</w:t>
      </w:r>
      <w:r>
        <w:rPr>
          <w:rFonts w:hint="eastAsia"/>
          <w:lang w:eastAsia="zh-CN"/>
        </w:rPr>
        <w:t>；</w:t>
      </w:r>
    </w:p>
    <w:p w14:paraId="015C4F8C">
      <w:pPr>
        <w:pStyle w:val="31"/>
        <w:spacing w:line="360" w:lineRule="auto"/>
        <w:rPr>
          <w:rFonts w:hint="eastAsia" w:eastAsia="宋体"/>
          <w:szCs w:val="21"/>
          <w:lang w:eastAsia="zh-CN"/>
        </w:rPr>
      </w:pPr>
      <w:r>
        <w:rPr>
          <w:rFonts w:hint="eastAsia"/>
          <w:szCs w:val="21"/>
        </w:rPr>
        <w:t>d）验证集样品数目足够多，能统计确定光谱变量与待校正组分浓度与性质之间的关系</w:t>
      </w:r>
      <w:r>
        <w:rPr>
          <w:rFonts w:hint="eastAsia"/>
          <w:szCs w:val="21"/>
          <w:lang w:eastAsia="zh-CN"/>
        </w:rPr>
        <w:t>；</w:t>
      </w:r>
    </w:p>
    <w:p w14:paraId="77D460A9">
      <w:pPr>
        <w:pStyle w:val="31"/>
        <w:spacing w:line="360" w:lineRule="auto"/>
        <w:rPr>
          <w:rFonts w:hAnsi="宋体" w:cs="宋体"/>
          <w:color w:val="333333"/>
          <w:sz w:val="20"/>
          <w:shd w:val="clear" w:color="auto" w:fill="FFFFFF"/>
        </w:rPr>
      </w:pPr>
      <w:r>
        <w:rPr>
          <w:rFonts w:hint="eastAsia"/>
          <w:szCs w:val="21"/>
        </w:rPr>
        <w:t>e）按照GB/T 4756方法采集样品，并置于低于5</w:t>
      </w:r>
      <w:r>
        <w:rPr>
          <w:rFonts w:hint="eastAsia" w:hAnsi="宋体" w:cs="宋体"/>
          <w:color w:val="333333"/>
          <w:sz w:val="20"/>
          <w:shd w:val="clear" w:color="auto" w:fill="FFFFFF"/>
        </w:rPr>
        <w:t>℃的环境中避光保存。</w:t>
      </w:r>
    </w:p>
    <w:p w14:paraId="30E42193">
      <w:pPr>
        <w:pStyle w:val="50"/>
        <w:spacing w:beforeLines="100" w:afterLines="100" w:line="360" w:lineRule="auto"/>
      </w:pPr>
      <w:r>
        <w:rPr>
          <w:rFonts w:hint="eastAsia"/>
        </w:rPr>
        <w:t>A.5.3基准数据测定</w:t>
      </w:r>
    </w:p>
    <w:p w14:paraId="20D739AE">
      <w:pPr>
        <w:spacing w:line="360" w:lineRule="auto"/>
        <w:ind w:left="420"/>
        <w:rPr>
          <w:rFonts w:hint="eastAsia" w:ascii="黑体" w:eastAsia="黑体"/>
          <w:kern w:val="0"/>
          <w:szCs w:val="21"/>
        </w:rPr>
      </w:pPr>
      <w:r>
        <w:rPr>
          <w:rFonts w:ascii="宋体" w:hAnsi="宋体"/>
        </w:rPr>
        <w:t>按照</w:t>
      </w:r>
      <w:bookmarkStart w:id="9" w:name="_Hlk7350703"/>
      <w:r>
        <w:rPr>
          <w:rFonts w:hint="eastAsia" w:ascii="宋体" w:hAnsi="宋体"/>
        </w:rPr>
        <w:t>表1</w:t>
      </w:r>
      <w:bookmarkEnd w:id="9"/>
      <w:r>
        <w:rPr>
          <w:rFonts w:ascii="宋体" w:hAnsi="宋体"/>
        </w:rPr>
        <w:t>规定的</w:t>
      </w:r>
      <w:r>
        <w:rPr>
          <w:rFonts w:hint="eastAsia" w:ascii="宋体" w:hAnsi="宋体"/>
        </w:rPr>
        <w:t>标准</w:t>
      </w:r>
      <w:r>
        <w:rPr>
          <w:rFonts w:ascii="宋体" w:hAnsi="宋体"/>
        </w:rPr>
        <w:t>方法，测定</w:t>
      </w:r>
      <w:r>
        <w:rPr>
          <w:rFonts w:hint="eastAsia" w:ascii="宋体" w:hAnsi="宋体"/>
        </w:rPr>
        <w:t>定标样品集</w:t>
      </w:r>
      <w:r>
        <w:rPr>
          <w:rFonts w:ascii="宋体" w:hAnsi="宋体"/>
        </w:rPr>
        <w:t>的</w:t>
      </w:r>
      <w:r>
        <w:rPr>
          <w:rFonts w:hint="eastAsia" w:ascii="宋体" w:hAnsi="宋体"/>
        </w:rPr>
        <w:t>基准数据</w:t>
      </w:r>
      <w:r>
        <w:rPr>
          <w:rFonts w:ascii="宋体" w:hAnsi="宋体"/>
        </w:rPr>
        <w:t>。</w:t>
      </w:r>
    </w:p>
    <w:p w14:paraId="06C652EC">
      <w:pPr>
        <w:spacing w:beforeLines="100" w:line="360" w:lineRule="auto"/>
        <w:ind w:left="420"/>
        <w:jc w:val="center"/>
        <w:rPr>
          <w:rFonts w:ascii="黑体" w:eastAsia="黑体"/>
          <w:kern w:val="0"/>
          <w:szCs w:val="21"/>
        </w:rPr>
      </w:pPr>
      <w:r>
        <w:rPr>
          <w:rFonts w:hint="eastAsia" w:ascii="黑体" w:eastAsia="黑体"/>
          <w:kern w:val="0"/>
          <w:szCs w:val="21"/>
        </w:rPr>
        <w:t xml:space="preserve">表1  </w:t>
      </w:r>
      <w:r>
        <w:rPr>
          <w:rFonts w:ascii="黑体" w:hAnsi="黑体" w:eastAsia="黑体"/>
        </w:rPr>
        <w:t>车用汽油</w:t>
      </w:r>
      <w:r>
        <w:rPr>
          <w:rFonts w:hint="eastAsia" w:ascii="黑体" w:eastAsia="黑体"/>
          <w:kern w:val="0"/>
          <w:szCs w:val="21"/>
        </w:rPr>
        <w:t>标准试验方法</w:t>
      </w:r>
    </w:p>
    <w:tbl>
      <w:tblPr>
        <w:tblStyle w:val="40"/>
        <w:tblW w:w="921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82"/>
        <w:gridCol w:w="5232"/>
      </w:tblGrid>
      <w:tr w14:paraId="12C8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rPr>
        <w:tc>
          <w:tcPr>
            <w:tcW w:w="3982" w:type="dxa"/>
            <w:shd w:val="clear" w:color="auto" w:fill="auto"/>
            <w:vAlign w:val="bottom"/>
          </w:tcPr>
          <w:p w14:paraId="623AEE62">
            <w:pPr>
              <w:spacing w:line="240" w:lineRule="exact"/>
              <w:jc w:val="center"/>
              <w:rPr>
                <w:rFonts w:ascii="宋体" w:hAnsi="宋体"/>
              </w:rPr>
            </w:pPr>
            <w:r>
              <w:rPr>
                <w:rFonts w:ascii="宋体" w:hAnsi="宋体"/>
              </w:rPr>
              <w:t>项  目</w:t>
            </w:r>
          </w:p>
        </w:tc>
        <w:tc>
          <w:tcPr>
            <w:tcW w:w="5232" w:type="dxa"/>
            <w:shd w:val="clear" w:color="auto" w:fill="auto"/>
            <w:vAlign w:val="bottom"/>
          </w:tcPr>
          <w:p w14:paraId="01FEC4D8">
            <w:pPr>
              <w:spacing w:line="240" w:lineRule="exact"/>
              <w:jc w:val="center"/>
              <w:rPr>
                <w:rFonts w:ascii="宋体" w:hAnsi="宋体"/>
                <w:w w:val="98"/>
              </w:rPr>
            </w:pPr>
            <w:r>
              <w:rPr>
                <w:rFonts w:hint="eastAsia" w:ascii="宋体" w:hAnsi="宋体"/>
              </w:rPr>
              <w:t>标准方法</w:t>
            </w:r>
          </w:p>
        </w:tc>
      </w:tr>
      <w:tr w14:paraId="1B42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trPr>
        <w:tc>
          <w:tcPr>
            <w:tcW w:w="3982" w:type="dxa"/>
            <w:shd w:val="clear" w:color="auto" w:fill="auto"/>
            <w:vAlign w:val="bottom"/>
          </w:tcPr>
          <w:p w14:paraId="49FF3DE5">
            <w:pPr>
              <w:spacing w:line="360" w:lineRule="auto"/>
              <w:rPr>
                <w:szCs w:val="21"/>
              </w:rPr>
            </w:pPr>
            <w:r>
              <w:rPr>
                <w:rFonts w:hint="eastAsia"/>
                <w:szCs w:val="21"/>
              </w:rPr>
              <w:t>研究法辛烷值</w:t>
            </w:r>
          </w:p>
        </w:tc>
        <w:tc>
          <w:tcPr>
            <w:tcW w:w="5232" w:type="dxa"/>
            <w:shd w:val="clear" w:color="auto" w:fill="auto"/>
            <w:vAlign w:val="bottom"/>
          </w:tcPr>
          <w:p w14:paraId="17A28496">
            <w:pPr>
              <w:spacing w:line="360" w:lineRule="auto"/>
              <w:jc w:val="left"/>
              <w:rPr>
                <w:szCs w:val="21"/>
              </w:rPr>
            </w:pPr>
            <w:r>
              <w:rPr>
                <w:szCs w:val="21"/>
              </w:rPr>
              <w:t>GB/T 5487</w:t>
            </w:r>
          </w:p>
        </w:tc>
      </w:tr>
      <w:tr w14:paraId="4C97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trPr>
        <w:tc>
          <w:tcPr>
            <w:tcW w:w="3982" w:type="dxa"/>
            <w:shd w:val="clear" w:color="auto" w:fill="auto"/>
            <w:vAlign w:val="bottom"/>
          </w:tcPr>
          <w:p w14:paraId="6E5B0DF8">
            <w:pPr>
              <w:spacing w:line="360" w:lineRule="auto"/>
              <w:jc w:val="both"/>
              <w:rPr>
                <w:rFonts w:ascii="宋体"/>
                <w:color w:val="auto"/>
                <w:szCs w:val="21"/>
              </w:rPr>
            </w:pPr>
            <w:r>
              <w:rPr>
                <w:rFonts w:hint="eastAsia" w:ascii="宋体"/>
                <w:color w:val="auto"/>
                <w:szCs w:val="21"/>
                <w:lang w:val="en-US" w:eastAsia="zh-CN"/>
              </w:rPr>
              <w:t>甲醇</w:t>
            </w:r>
            <w:r>
              <w:rPr>
                <w:rFonts w:ascii="宋体"/>
                <w:color w:val="auto"/>
                <w:szCs w:val="21"/>
              </w:rPr>
              <w:t>含量</w:t>
            </w:r>
            <w:r>
              <w:rPr>
                <w:rFonts w:hint="eastAsia" w:ascii="宋体"/>
                <w:color w:val="auto"/>
                <w:szCs w:val="21"/>
              </w:rPr>
              <w:t>（质量分数）</w:t>
            </w:r>
          </w:p>
        </w:tc>
        <w:tc>
          <w:tcPr>
            <w:tcW w:w="5232" w:type="dxa"/>
            <w:shd w:val="clear" w:color="auto" w:fill="auto"/>
            <w:vAlign w:val="bottom"/>
          </w:tcPr>
          <w:p w14:paraId="3EDD88A1">
            <w:pPr>
              <w:spacing w:line="360" w:lineRule="auto"/>
              <w:jc w:val="both"/>
              <w:rPr>
                <w:color w:val="auto"/>
                <w:szCs w:val="21"/>
              </w:rPr>
            </w:pPr>
            <w:r>
              <w:rPr>
                <w:color w:val="auto"/>
                <w:szCs w:val="21"/>
              </w:rPr>
              <w:t>NB/SH/T 0663</w:t>
            </w:r>
            <w:r>
              <w:rPr>
                <w:rFonts w:hint="eastAsia" w:ascii="宋体"/>
                <w:color w:val="auto"/>
                <w:szCs w:val="21"/>
              </w:rPr>
              <w:t>、</w:t>
            </w:r>
            <w:r>
              <w:rPr>
                <w:rFonts w:hint="eastAsia"/>
                <w:color w:val="auto"/>
                <w:szCs w:val="21"/>
              </w:rPr>
              <w:t>SH/T 0720</w:t>
            </w:r>
          </w:p>
        </w:tc>
      </w:tr>
      <w:tr w14:paraId="487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trPr>
        <w:tc>
          <w:tcPr>
            <w:tcW w:w="3982" w:type="dxa"/>
            <w:shd w:val="clear" w:color="auto" w:fill="auto"/>
            <w:vAlign w:val="bottom"/>
          </w:tcPr>
          <w:p w14:paraId="2AA464F9">
            <w:pPr>
              <w:spacing w:line="360" w:lineRule="auto"/>
              <w:jc w:val="both"/>
              <w:rPr>
                <w:rFonts w:hint="eastAsia" w:ascii="宋体"/>
                <w:color w:val="auto"/>
                <w:szCs w:val="21"/>
              </w:rPr>
            </w:pPr>
            <w:r>
              <w:rPr>
                <w:rFonts w:hint="eastAsia" w:ascii="宋体"/>
                <w:color w:val="auto"/>
                <w:szCs w:val="21"/>
                <w:lang w:val="en-US" w:eastAsia="zh-CN"/>
              </w:rPr>
              <w:t>氧</w:t>
            </w:r>
            <w:r>
              <w:rPr>
                <w:rFonts w:ascii="宋体"/>
                <w:color w:val="auto"/>
                <w:szCs w:val="21"/>
              </w:rPr>
              <w:t>含量</w:t>
            </w:r>
            <w:r>
              <w:rPr>
                <w:rFonts w:hint="eastAsia" w:ascii="宋体"/>
                <w:color w:val="auto"/>
                <w:szCs w:val="21"/>
              </w:rPr>
              <w:t>（质量分数）</w:t>
            </w:r>
          </w:p>
        </w:tc>
        <w:tc>
          <w:tcPr>
            <w:tcW w:w="5232" w:type="dxa"/>
            <w:shd w:val="clear" w:color="auto" w:fill="auto"/>
            <w:vAlign w:val="bottom"/>
          </w:tcPr>
          <w:p w14:paraId="09F08AAA">
            <w:pPr>
              <w:spacing w:line="360" w:lineRule="auto"/>
              <w:jc w:val="both"/>
              <w:rPr>
                <w:color w:val="auto"/>
                <w:szCs w:val="21"/>
              </w:rPr>
            </w:pPr>
            <w:r>
              <w:rPr>
                <w:color w:val="auto"/>
                <w:szCs w:val="21"/>
              </w:rPr>
              <w:t>NB/SH/T 0663</w:t>
            </w:r>
            <w:r>
              <w:rPr>
                <w:rFonts w:hint="eastAsia" w:ascii="宋体"/>
                <w:color w:val="auto"/>
                <w:szCs w:val="21"/>
              </w:rPr>
              <w:t>、</w:t>
            </w:r>
            <w:r>
              <w:rPr>
                <w:rFonts w:hint="eastAsia"/>
                <w:color w:val="auto"/>
                <w:szCs w:val="21"/>
              </w:rPr>
              <w:t>SH/T 0720</w:t>
            </w:r>
          </w:p>
        </w:tc>
      </w:tr>
      <w:tr w14:paraId="0419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trPr>
        <w:tc>
          <w:tcPr>
            <w:tcW w:w="3982" w:type="dxa"/>
            <w:shd w:val="clear" w:color="auto" w:fill="auto"/>
            <w:vAlign w:val="bottom"/>
          </w:tcPr>
          <w:p w14:paraId="01017D35">
            <w:pPr>
              <w:spacing w:line="360" w:lineRule="auto"/>
              <w:jc w:val="both"/>
              <w:rPr>
                <w:rFonts w:ascii="宋体"/>
                <w:color w:val="auto"/>
                <w:szCs w:val="21"/>
              </w:rPr>
            </w:pPr>
            <w:r>
              <w:rPr>
                <w:rFonts w:ascii="宋体"/>
                <w:color w:val="auto"/>
                <w:szCs w:val="21"/>
              </w:rPr>
              <w:t>苯含量</w:t>
            </w:r>
            <w:r>
              <w:rPr>
                <w:rFonts w:hint="eastAsia" w:ascii="宋体"/>
                <w:color w:val="auto"/>
                <w:szCs w:val="21"/>
              </w:rPr>
              <w:t>（体积分数）</w:t>
            </w:r>
          </w:p>
        </w:tc>
        <w:tc>
          <w:tcPr>
            <w:tcW w:w="5232" w:type="dxa"/>
            <w:shd w:val="clear" w:color="auto" w:fill="auto"/>
            <w:vAlign w:val="bottom"/>
          </w:tcPr>
          <w:p w14:paraId="419530A7">
            <w:pPr>
              <w:spacing w:line="360" w:lineRule="auto"/>
              <w:jc w:val="both"/>
              <w:rPr>
                <w:color w:val="auto"/>
                <w:szCs w:val="21"/>
              </w:rPr>
            </w:pPr>
            <w:r>
              <w:rPr>
                <w:rFonts w:hint="eastAsia"/>
                <w:color w:val="auto"/>
                <w:szCs w:val="21"/>
              </w:rPr>
              <w:t>SH/T 0713</w:t>
            </w:r>
            <w:r>
              <w:rPr>
                <w:rFonts w:hint="eastAsia" w:ascii="宋体"/>
                <w:color w:val="auto"/>
                <w:szCs w:val="21"/>
              </w:rPr>
              <w:t>、</w:t>
            </w:r>
            <w:r>
              <w:rPr>
                <w:rFonts w:hint="eastAsia"/>
                <w:color w:val="auto"/>
                <w:szCs w:val="21"/>
              </w:rPr>
              <w:t>GB/T 30519</w:t>
            </w:r>
            <w:r>
              <w:rPr>
                <w:rFonts w:hint="eastAsia" w:ascii="宋体"/>
                <w:color w:val="auto"/>
                <w:szCs w:val="21"/>
              </w:rPr>
              <w:t>、</w:t>
            </w:r>
            <w:r>
              <w:rPr>
                <w:rFonts w:hint="eastAsia"/>
                <w:color w:val="auto"/>
                <w:szCs w:val="21"/>
              </w:rPr>
              <w:t>SH/T 0693</w:t>
            </w:r>
            <w:r>
              <w:rPr>
                <w:rFonts w:hint="eastAsia" w:ascii="宋体"/>
                <w:color w:val="auto"/>
                <w:szCs w:val="21"/>
              </w:rPr>
              <w:t>、</w:t>
            </w:r>
            <w:r>
              <w:rPr>
                <w:rFonts w:hint="eastAsia"/>
                <w:color w:val="auto"/>
                <w:szCs w:val="21"/>
              </w:rPr>
              <w:t>GB/T 28768</w:t>
            </w:r>
          </w:p>
        </w:tc>
      </w:tr>
      <w:tr w14:paraId="2FCA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982" w:type="dxa"/>
            <w:shd w:val="clear" w:color="auto" w:fill="auto"/>
            <w:vAlign w:val="bottom"/>
          </w:tcPr>
          <w:p w14:paraId="1ACA68C9">
            <w:pPr>
              <w:spacing w:line="360" w:lineRule="auto"/>
              <w:jc w:val="both"/>
              <w:rPr>
                <w:color w:val="auto"/>
                <w:szCs w:val="21"/>
              </w:rPr>
            </w:pPr>
            <w:r>
              <w:rPr>
                <w:rFonts w:ascii="宋体"/>
                <w:color w:val="auto"/>
                <w:szCs w:val="21"/>
              </w:rPr>
              <w:t>芳烃含量</w:t>
            </w:r>
            <w:r>
              <w:rPr>
                <w:rFonts w:hint="eastAsia" w:ascii="宋体"/>
                <w:color w:val="auto"/>
                <w:szCs w:val="21"/>
              </w:rPr>
              <w:t>（体积分数）</w:t>
            </w:r>
          </w:p>
        </w:tc>
        <w:tc>
          <w:tcPr>
            <w:tcW w:w="5232" w:type="dxa"/>
            <w:shd w:val="clear" w:color="auto" w:fill="auto"/>
            <w:vAlign w:val="bottom"/>
          </w:tcPr>
          <w:p w14:paraId="573813B0">
            <w:pPr>
              <w:spacing w:line="360" w:lineRule="auto"/>
              <w:jc w:val="both"/>
              <w:rPr>
                <w:color w:val="auto"/>
                <w:szCs w:val="21"/>
              </w:rPr>
            </w:pPr>
            <w:r>
              <w:rPr>
                <w:color w:val="auto"/>
                <w:szCs w:val="21"/>
              </w:rPr>
              <w:t>GB/T 30519</w:t>
            </w:r>
            <w:r>
              <w:rPr>
                <w:rFonts w:hint="eastAsia"/>
                <w:color w:val="auto"/>
                <w:szCs w:val="21"/>
              </w:rPr>
              <w:t>、GB/T 11132、G</w:t>
            </w:r>
            <w:r>
              <w:rPr>
                <w:color w:val="auto"/>
                <w:szCs w:val="21"/>
              </w:rPr>
              <w:t>B/T 28768</w:t>
            </w:r>
          </w:p>
        </w:tc>
      </w:tr>
      <w:tr w14:paraId="7F3A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982" w:type="dxa"/>
            <w:shd w:val="clear" w:color="auto" w:fill="auto"/>
            <w:vAlign w:val="bottom"/>
          </w:tcPr>
          <w:p w14:paraId="610C180E">
            <w:pPr>
              <w:spacing w:line="360" w:lineRule="auto"/>
              <w:jc w:val="both"/>
              <w:rPr>
                <w:color w:val="auto"/>
                <w:szCs w:val="21"/>
              </w:rPr>
            </w:pPr>
            <w:r>
              <w:rPr>
                <w:rFonts w:ascii="宋体"/>
                <w:color w:val="auto"/>
                <w:szCs w:val="21"/>
              </w:rPr>
              <w:t>烯烃含量</w:t>
            </w:r>
            <w:r>
              <w:rPr>
                <w:rFonts w:hint="eastAsia" w:ascii="宋体"/>
                <w:color w:val="auto"/>
                <w:szCs w:val="21"/>
              </w:rPr>
              <w:t>（体积分数）</w:t>
            </w:r>
          </w:p>
        </w:tc>
        <w:tc>
          <w:tcPr>
            <w:tcW w:w="5232" w:type="dxa"/>
            <w:shd w:val="clear" w:color="auto" w:fill="auto"/>
            <w:vAlign w:val="bottom"/>
          </w:tcPr>
          <w:p w14:paraId="64F0A300">
            <w:pPr>
              <w:spacing w:line="360" w:lineRule="auto"/>
              <w:jc w:val="both"/>
              <w:rPr>
                <w:color w:val="auto"/>
                <w:szCs w:val="21"/>
              </w:rPr>
            </w:pPr>
            <w:r>
              <w:rPr>
                <w:color w:val="auto"/>
                <w:szCs w:val="21"/>
              </w:rPr>
              <w:t>GB/T 30519</w:t>
            </w:r>
            <w:r>
              <w:rPr>
                <w:rFonts w:hint="eastAsia"/>
                <w:color w:val="auto"/>
                <w:szCs w:val="21"/>
              </w:rPr>
              <w:t>、GB/T 11132、G</w:t>
            </w:r>
            <w:r>
              <w:rPr>
                <w:color w:val="auto"/>
                <w:szCs w:val="21"/>
              </w:rPr>
              <w:t>B/T 28768</w:t>
            </w:r>
          </w:p>
        </w:tc>
      </w:tr>
      <w:tr w14:paraId="0ADE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982" w:type="dxa"/>
            <w:shd w:val="clear" w:color="auto" w:fill="auto"/>
            <w:vAlign w:val="bottom"/>
          </w:tcPr>
          <w:p w14:paraId="1B384F9E">
            <w:pPr>
              <w:spacing w:line="360" w:lineRule="auto"/>
              <w:jc w:val="both"/>
              <w:rPr>
                <w:rFonts w:ascii="宋体"/>
                <w:color w:val="auto"/>
                <w:szCs w:val="21"/>
              </w:rPr>
            </w:pPr>
            <w:r>
              <w:rPr>
                <w:rFonts w:hint="eastAsia" w:ascii="宋体"/>
                <w:color w:val="auto"/>
                <w:szCs w:val="21"/>
              </w:rPr>
              <w:t>密度（20℃）</w:t>
            </w:r>
          </w:p>
        </w:tc>
        <w:tc>
          <w:tcPr>
            <w:tcW w:w="5232" w:type="dxa"/>
            <w:shd w:val="clear" w:color="auto" w:fill="auto"/>
            <w:vAlign w:val="bottom"/>
          </w:tcPr>
          <w:p w14:paraId="372FC5AB">
            <w:pPr>
              <w:spacing w:line="360" w:lineRule="auto"/>
              <w:jc w:val="both"/>
              <w:rPr>
                <w:color w:val="auto"/>
                <w:szCs w:val="21"/>
              </w:rPr>
            </w:pPr>
            <w:r>
              <w:rPr>
                <w:rFonts w:hint="eastAsia"/>
                <w:color w:val="auto"/>
                <w:szCs w:val="21"/>
              </w:rPr>
              <w:t>G</w:t>
            </w:r>
            <w:r>
              <w:rPr>
                <w:color w:val="auto"/>
                <w:szCs w:val="21"/>
              </w:rPr>
              <w:t>B/T 1884</w:t>
            </w:r>
            <w:r>
              <w:rPr>
                <w:rFonts w:hint="eastAsia"/>
                <w:color w:val="auto"/>
                <w:szCs w:val="21"/>
              </w:rPr>
              <w:t>、</w:t>
            </w:r>
            <w:r>
              <w:rPr>
                <w:color w:val="auto"/>
                <w:szCs w:val="21"/>
              </w:rPr>
              <w:t>GB/T 1885</w:t>
            </w:r>
            <w:r>
              <w:rPr>
                <w:rFonts w:hint="eastAsia"/>
                <w:color w:val="auto"/>
                <w:szCs w:val="21"/>
              </w:rPr>
              <w:t>、</w:t>
            </w:r>
            <w:r>
              <w:rPr>
                <w:color w:val="auto"/>
                <w:szCs w:val="21"/>
              </w:rPr>
              <w:t>SH/T 0604</w:t>
            </w:r>
          </w:p>
        </w:tc>
      </w:tr>
      <w:tr w14:paraId="23E4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3982" w:type="dxa"/>
            <w:shd w:val="clear" w:color="auto" w:fill="auto"/>
            <w:vAlign w:val="bottom"/>
          </w:tcPr>
          <w:p w14:paraId="70FFDEEE">
            <w:pPr>
              <w:spacing w:line="360" w:lineRule="auto"/>
              <w:jc w:val="both"/>
              <w:rPr>
                <w:rFonts w:hint="eastAsia" w:ascii="宋体" w:eastAsia="宋体"/>
                <w:color w:val="auto"/>
                <w:szCs w:val="21"/>
                <w:lang w:val="en-US" w:eastAsia="zh-CN"/>
              </w:rPr>
            </w:pPr>
            <w:r>
              <w:rPr>
                <w:rFonts w:hint="eastAsia" w:ascii="宋体"/>
                <w:color w:val="auto"/>
                <w:szCs w:val="21"/>
                <w:lang w:val="en-US" w:eastAsia="zh-CN"/>
              </w:rPr>
              <w:t>馏程</w:t>
            </w:r>
          </w:p>
        </w:tc>
        <w:tc>
          <w:tcPr>
            <w:tcW w:w="5232" w:type="dxa"/>
            <w:shd w:val="clear" w:color="auto" w:fill="auto"/>
            <w:vAlign w:val="bottom"/>
          </w:tcPr>
          <w:p w14:paraId="3908B8AB">
            <w:pPr>
              <w:spacing w:line="360" w:lineRule="auto"/>
              <w:jc w:val="both"/>
              <w:rPr>
                <w:rFonts w:hint="default" w:eastAsia="宋体"/>
                <w:color w:val="auto"/>
                <w:szCs w:val="21"/>
                <w:lang w:val="en-US" w:eastAsia="zh-CN"/>
              </w:rPr>
            </w:pPr>
            <w:r>
              <w:rPr>
                <w:rFonts w:hint="default"/>
                <w:color w:val="auto"/>
                <w:szCs w:val="21"/>
              </w:rPr>
              <w:t>GB/T 6536</w:t>
            </w:r>
            <w:r>
              <w:rPr>
                <w:rFonts w:hint="eastAsia"/>
                <w:color w:val="auto"/>
                <w:szCs w:val="21"/>
                <w:lang w:val="en-US" w:eastAsia="zh-CN"/>
              </w:rPr>
              <w:t xml:space="preserve">  </w:t>
            </w:r>
          </w:p>
        </w:tc>
      </w:tr>
    </w:tbl>
    <w:p w14:paraId="17AF36F5">
      <w:pPr>
        <w:spacing w:line="360" w:lineRule="auto"/>
        <w:ind w:left="420"/>
        <w:jc w:val="center"/>
        <w:rPr>
          <w:rFonts w:ascii="宋体" w:hAnsi="宋体"/>
        </w:rPr>
      </w:pPr>
    </w:p>
    <w:p w14:paraId="0460080C">
      <w:pPr>
        <w:pStyle w:val="50"/>
        <w:spacing w:beforeLines="100" w:afterLines="100" w:line="360" w:lineRule="auto"/>
      </w:pPr>
      <w:r>
        <w:rPr>
          <w:rFonts w:hint="eastAsia"/>
        </w:rPr>
        <w:t>A.5.4  光谱采集</w:t>
      </w:r>
    </w:p>
    <w:p w14:paraId="6753D3C6">
      <w:pPr>
        <w:pStyle w:val="31"/>
        <w:spacing w:line="360" w:lineRule="auto"/>
        <w:ind w:firstLineChars="0"/>
        <w:rPr>
          <w:rFonts w:hAnsi="宋体"/>
        </w:rPr>
      </w:pPr>
      <w:r>
        <w:rPr>
          <w:rFonts w:hint="eastAsia" w:hAnsi="宋体"/>
        </w:rPr>
        <w:t>以空气为参比，采集背景光谱。样品摇匀后，移取样品置入样品池中，样品注入量满足样品池要求，并确保光度有效通过样品池且无气泡存在，测量样品光谱。</w:t>
      </w:r>
    </w:p>
    <w:p w14:paraId="28C963E3">
      <w:pPr>
        <w:pStyle w:val="50"/>
        <w:spacing w:beforeLines="100" w:afterLines="100" w:line="360" w:lineRule="auto"/>
      </w:pPr>
      <w:r>
        <w:rPr>
          <w:rFonts w:hint="eastAsia"/>
        </w:rPr>
        <w:t>A.5.5 基准数据测定</w:t>
      </w:r>
    </w:p>
    <w:p w14:paraId="50E4BE50">
      <w:pPr>
        <w:pStyle w:val="31"/>
        <w:spacing w:line="360" w:lineRule="auto"/>
        <w:ind w:firstLineChars="0"/>
        <w:rPr>
          <w:rFonts w:hAnsi="宋体"/>
        </w:rPr>
      </w:pPr>
      <w:r>
        <w:rPr>
          <w:rFonts w:hint="eastAsia" w:hAnsi="宋体"/>
        </w:rPr>
        <w:t>按照轻质石油燃料产品标准规定的试验方法，测定车用汽油定标集和验证集样品的各项质量指标。</w:t>
      </w:r>
    </w:p>
    <w:p w14:paraId="7B710D35">
      <w:pPr>
        <w:pStyle w:val="50"/>
        <w:spacing w:beforeLines="100" w:afterLines="100" w:line="360" w:lineRule="auto"/>
      </w:pPr>
      <w:r>
        <w:rPr>
          <w:rFonts w:hint="eastAsia"/>
        </w:rPr>
        <w:t>A.5.6  定标模型建立</w:t>
      </w:r>
    </w:p>
    <w:p w14:paraId="08634820">
      <w:pPr>
        <w:pStyle w:val="31"/>
        <w:spacing w:line="360" w:lineRule="auto"/>
        <w:ind w:firstLineChars="0"/>
      </w:pPr>
      <w:r>
        <w:rPr>
          <w:rFonts w:hint="eastAsia"/>
        </w:rPr>
        <w:t>利用化学计量学软件，以偏最小二乘法（PLS）建立各项质量指标与光谱数据关系的定标模型，应符合</w:t>
      </w:r>
      <w:r>
        <w:rPr>
          <w:rFonts w:hint="eastAsia" w:ascii="宋体" w:eastAsia="宋体"/>
        </w:rPr>
        <w:t>GB/T 29858</w:t>
      </w:r>
      <w:r>
        <w:rPr>
          <w:rFonts w:hint="eastAsia"/>
        </w:rPr>
        <w:t>要求。</w:t>
      </w:r>
      <w:r>
        <w:rPr>
          <w:rFonts w:hint="eastAsia"/>
          <w:color w:val="000000" w:themeColor="text1"/>
        </w:rPr>
        <w:t>用定标集的统计偏差（SEC）评价定标模型的准确性，以SEC是否满足基准标准的再现性进行评价,计算</w:t>
      </w:r>
      <w:r>
        <w:rPr>
          <w:rFonts w:hint="eastAsia"/>
        </w:rPr>
        <w:t>公式见式（1）。</w:t>
      </w:r>
    </w:p>
    <w:p w14:paraId="042E666D">
      <w:pPr>
        <w:pStyle w:val="31"/>
        <w:spacing w:line="360" w:lineRule="auto"/>
        <w:ind w:left="510" w:firstLine="0" w:firstLineChars="0"/>
        <w:jc w:val="left"/>
      </w:pPr>
      <w:r>
        <w:tab/>
      </w:r>
      <w:r>
        <w:rPr>
          <w:position w:val="-26"/>
        </w:rPr>
        <w:object>
          <v:shape id="_x0000_i1025" o:spt="75" type="#_x0000_t75" style="height:54pt;width:111.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tab/>
      </w:r>
      <w:r>
        <w:rPr>
          <w:rFonts w:hint="eastAsia"/>
        </w:rPr>
        <w:t>(1)</w:t>
      </w:r>
    </w:p>
    <w:p w14:paraId="55F81B19">
      <w:pPr>
        <w:pStyle w:val="31"/>
        <w:spacing w:line="360" w:lineRule="auto"/>
        <w:ind w:left="510" w:firstLine="0" w:firstLineChars="0"/>
      </w:pPr>
      <w:r>
        <w:rPr>
          <w:rFonts w:hint="eastAsia"/>
        </w:rPr>
        <w:t>式中：</w:t>
      </w:r>
    </w:p>
    <w:p w14:paraId="66AAF8A4">
      <w:pPr>
        <w:pStyle w:val="31"/>
        <w:adjustRightInd w:val="0"/>
        <w:snapToGrid w:val="0"/>
        <w:spacing w:line="360" w:lineRule="auto"/>
        <w:ind w:left="510" w:firstLine="0" w:firstLineChars="0"/>
      </w:pPr>
      <w:r>
        <w:rPr>
          <w:position w:val="-12"/>
          <w:szCs w:val="24"/>
        </w:rPr>
        <w:object>
          <v:shape id="_x0000_i1026" o:spt="75" type="#_x0000_t75" style="height:18pt;width:1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rPr>
        <w:t>—</w:t>
      </w:r>
      <w:r>
        <w:rPr>
          <w:rFonts w:hint="eastAsia"/>
          <w:szCs w:val="24"/>
        </w:rPr>
        <w:t>定标样品</w:t>
      </w:r>
      <w:r>
        <w:rPr>
          <w:szCs w:val="24"/>
        </w:rPr>
        <w:t>集第</w:t>
      </w:r>
      <w:r>
        <w:rPr>
          <w:rFonts w:hint="eastAsia"/>
          <w:i/>
          <w:szCs w:val="24"/>
        </w:rPr>
        <w:t>i</w:t>
      </w:r>
      <w:r>
        <w:rPr>
          <w:szCs w:val="24"/>
        </w:rPr>
        <w:t>个样品</w:t>
      </w:r>
      <w:r>
        <w:rPr>
          <w:rFonts w:hint="eastAsia"/>
        </w:rPr>
        <w:t>标准方法测定值；</w:t>
      </w:r>
    </w:p>
    <w:p w14:paraId="4BA55E39">
      <w:pPr>
        <w:pStyle w:val="31"/>
        <w:adjustRightInd w:val="0"/>
        <w:snapToGrid w:val="0"/>
        <w:spacing w:line="360" w:lineRule="auto"/>
        <w:ind w:left="510" w:firstLine="0" w:firstLineChars="0"/>
        <w:rPr>
          <w:szCs w:val="24"/>
        </w:rPr>
      </w:pPr>
      <w:r>
        <w:rPr>
          <w:position w:val="-14"/>
          <w:szCs w:val="24"/>
        </w:rPr>
        <w:object>
          <v:shape id="_x0000_i1027" o:spt="75" type="#_x0000_t75" style="height:18pt;width:1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rPr>
        <w:t>—</w:t>
      </w:r>
      <w:r>
        <w:rPr>
          <w:rFonts w:hint="eastAsia"/>
          <w:szCs w:val="24"/>
        </w:rPr>
        <w:t>定标样品</w:t>
      </w:r>
      <w:r>
        <w:rPr>
          <w:szCs w:val="24"/>
        </w:rPr>
        <w:t>集第</w:t>
      </w:r>
      <w:r>
        <w:rPr>
          <w:rFonts w:hint="eastAsia"/>
          <w:i/>
          <w:szCs w:val="24"/>
        </w:rPr>
        <w:t>i</w:t>
      </w:r>
      <w:r>
        <w:rPr>
          <w:szCs w:val="24"/>
        </w:rPr>
        <w:t>个样品</w:t>
      </w:r>
      <w:r>
        <w:rPr>
          <w:rFonts w:hint="eastAsia"/>
          <w:szCs w:val="24"/>
        </w:rPr>
        <w:t>的</w:t>
      </w:r>
      <w:r>
        <w:rPr>
          <w:szCs w:val="24"/>
        </w:rPr>
        <w:t>指标预测值</w:t>
      </w:r>
      <w:r>
        <w:rPr>
          <w:rFonts w:hint="eastAsia"/>
          <w:szCs w:val="24"/>
        </w:rPr>
        <w:t>；</w:t>
      </w:r>
    </w:p>
    <w:p w14:paraId="3744005B">
      <w:pPr>
        <w:pStyle w:val="31"/>
        <w:adjustRightInd w:val="0"/>
        <w:snapToGrid w:val="0"/>
        <w:spacing w:line="360" w:lineRule="auto"/>
        <w:ind w:left="510" w:firstLine="0" w:firstLineChars="0"/>
      </w:pPr>
      <w:r>
        <w:rPr>
          <w:rFonts w:hint="eastAsia"/>
        </w:rPr>
        <w:t>n—定标样品数目。</w:t>
      </w:r>
    </w:p>
    <w:p w14:paraId="5042123D">
      <w:pPr>
        <w:pStyle w:val="31"/>
        <w:spacing w:line="360" w:lineRule="auto"/>
        <w:ind w:firstLineChars="0"/>
      </w:pPr>
      <w:r>
        <w:rPr>
          <w:rFonts w:hint="eastAsia"/>
        </w:rPr>
        <w:t>在定标模型建立过程中需要检测并删除界外点（异常值）。根据F/T分布，计算检验值，进行异常样本的识别与筛除，异常值不得超过定标样品集的10%。</w:t>
      </w:r>
    </w:p>
    <w:p w14:paraId="3A813ACD">
      <w:pPr>
        <w:pStyle w:val="50"/>
        <w:spacing w:beforeLines="100" w:afterLines="100" w:line="360" w:lineRule="auto"/>
        <w:rPr>
          <w:rFonts w:ascii="宋体" w:hAnsi="宋体"/>
        </w:rPr>
      </w:pPr>
      <w:r>
        <w:rPr>
          <w:rFonts w:hint="eastAsia" w:hAnsi="黑体"/>
        </w:rPr>
        <w:t>A.5.7 定标模型验</w:t>
      </w:r>
      <w:r>
        <w:rPr>
          <w:rFonts w:hint="eastAsia" w:ascii="宋体" w:hAnsi="宋体"/>
        </w:rPr>
        <w:t>证</w:t>
      </w:r>
    </w:p>
    <w:p w14:paraId="6763CF6E">
      <w:pPr>
        <w:pStyle w:val="31"/>
        <w:spacing w:line="360" w:lineRule="auto"/>
        <w:ind w:firstLineChars="0"/>
        <w:rPr>
          <w:b/>
          <w:color w:val="E36C09" w:themeColor="accent6" w:themeShade="BF"/>
        </w:rPr>
      </w:pPr>
      <w:r>
        <w:rPr>
          <w:rFonts w:hint="eastAsia"/>
        </w:rPr>
        <w:t>通过验证集样品的吸收光谱数据，利用定标集样品所建立的校正模型，测定验证集样品的各项质量指标，并与基准数据进行比较，验证定标模型的分析准确度。近红外光谱法与标准方法的测定结果之差应满足表2准确性要求。</w:t>
      </w:r>
    </w:p>
    <w:p w14:paraId="1665AE28">
      <w:pPr>
        <w:pStyle w:val="50"/>
        <w:spacing w:beforeLines="100" w:afterLines="100" w:line="360" w:lineRule="auto"/>
      </w:pPr>
      <w:r>
        <w:rPr>
          <w:rFonts w:hint="eastAsia"/>
        </w:rPr>
        <w:t>A.5.8 定标模型维护</w:t>
      </w:r>
    </w:p>
    <w:p w14:paraId="25BA47AC">
      <w:pPr>
        <w:pStyle w:val="31"/>
        <w:spacing w:line="360" w:lineRule="auto"/>
        <w:ind w:firstLineChars="0"/>
      </w:pPr>
      <w:r>
        <w:rPr>
          <w:rFonts w:hint="eastAsia"/>
        </w:rPr>
        <w:t>定标模型应进行定期升级维护，根据待分析样品变化情况及时更新定标模型样品集，可将原来定标模型的验证光谱用于更新定标模型验证，建议每半年一次。</w:t>
      </w:r>
    </w:p>
    <w:p w14:paraId="6DF24E04">
      <w:pPr>
        <w:pStyle w:val="31"/>
        <w:spacing w:beforeLines="100" w:afterLines="100" w:line="360" w:lineRule="auto"/>
        <w:ind w:firstLine="0" w:firstLineChars="0"/>
        <w:rPr>
          <w:rFonts w:ascii="黑体" w:eastAsia="黑体"/>
          <w:szCs w:val="21"/>
        </w:rPr>
      </w:pPr>
      <w:r>
        <w:rPr>
          <w:rFonts w:hint="eastAsia" w:ascii="黑体" w:eastAsia="黑体"/>
          <w:szCs w:val="21"/>
        </w:rPr>
        <w:t>A.6 样品测定</w:t>
      </w:r>
    </w:p>
    <w:p w14:paraId="76155F2E">
      <w:pPr>
        <w:pStyle w:val="50"/>
        <w:spacing w:beforeLines="0" w:afterLines="0" w:line="360" w:lineRule="auto"/>
        <w:rPr>
          <w:rFonts w:hint="eastAsia" w:asciiTheme="minorEastAsia" w:hAnsiTheme="minorEastAsia" w:eastAsiaTheme="minorEastAsia"/>
          <w:lang w:eastAsia="zh-CN"/>
        </w:rPr>
      </w:pPr>
      <w:r>
        <w:rPr>
          <w:rFonts w:hint="eastAsia"/>
        </w:rPr>
        <w:t xml:space="preserve">A.6.1 </w:t>
      </w:r>
      <w:r>
        <w:rPr>
          <w:rFonts w:hint="eastAsia" w:asciiTheme="minorEastAsia" w:hAnsiTheme="minorEastAsia" w:eastAsiaTheme="minorEastAsia"/>
        </w:rPr>
        <w:t>样品分析前应在室温23℃±5℃下恒定</w:t>
      </w:r>
      <w:r>
        <w:rPr>
          <w:rFonts w:hint="eastAsia" w:asciiTheme="minorEastAsia" w:hAnsiTheme="minorEastAsia" w:eastAsiaTheme="minorEastAsia"/>
          <w:lang w:eastAsia="zh-CN"/>
        </w:rPr>
        <w:t>。</w:t>
      </w:r>
    </w:p>
    <w:p w14:paraId="4D0B71A3">
      <w:pPr>
        <w:pStyle w:val="50"/>
        <w:spacing w:beforeLines="0" w:afterLines="0" w:line="360" w:lineRule="auto"/>
        <w:rPr>
          <w:rFonts w:asciiTheme="minorEastAsia" w:hAnsiTheme="minorEastAsia" w:eastAsiaTheme="minorEastAsia"/>
        </w:rPr>
      </w:pPr>
      <w:r>
        <w:rPr>
          <w:rFonts w:hint="eastAsia"/>
        </w:rPr>
        <w:t xml:space="preserve">A.6.2 </w:t>
      </w:r>
      <w:r>
        <w:rPr>
          <w:rFonts w:hint="eastAsia" w:asciiTheme="minorEastAsia" w:hAnsiTheme="minorEastAsia" w:eastAsiaTheme="minorEastAsia"/>
        </w:rPr>
        <w:t>测量待测样品的近红外光谱，利用相应的定标模型分析待测样品的近红外光谱，即可得出各质量指标的分析数据和置信度值。</w:t>
      </w:r>
    </w:p>
    <w:p w14:paraId="1FA3207D">
      <w:pPr>
        <w:pStyle w:val="50"/>
        <w:spacing w:beforeLines="0" w:afterLines="0" w:line="360" w:lineRule="auto"/>
        <w:rPr>
          <w:rFonts w:asciiTheme="minorEastAsia" w:hAnsiTheme="minorEastAsia" w:eastAsiaTheme="minorEastAsia"/>
        </w:rPr>
      </w:pPr>
      <w:r>
        <w:rPr>
          <w:rFonts w:hint="eastAsia"/>
        </w:rPr>
        <w:t xml:space="preserve">A.6.3 </w:t>
      </w:r>
      <w:r>
        <w:rPr>
          <w:rFonts w:hint="eastAsia" w:asciiTheme="minorEastAsia" w:hAnsiTheme="minorEastAsia" w:eastAsiaTheme="minorEastAsia"/>
        </w:rPr>
        <w:t>每个样品平行测定两次，并计算平均值。</w:t>
      </w:r>
    </w:p>
    <w:p w14:paraId="1D88402F">
      <w:pPr>
        <w:pStyle w:val="53"/>
        <w:spacing w:before="240" w:after="240" w:line="360" w:lineRule="auto"/>
      </w:pPr>
      <w:r>
        <w:rPr>
          <w:rFonts w:hint="eastAsia"/>
        </w:rPr>
        <w:t>A.7 结果报告</w:t>
      </w:r>
    </w:p>
    <w:p w14:paraId="668A6B66">
      <w:pPr>
        <w:pStyle w:val="50"/>
        <w:spacing w:beforeLines="0" w:afterLines="0" w:line="360" w:lineRule="auto"/>
        <w:ind w:left="142"/>
        <w:rPr>
          <w:rFonts w:ascii="宋体" w:eastAsia="宋体"/>
          <w:szCs w:val="20"/>
        </w:rPr>
      </w:pPr>
      <w:r>
        <w:rPr>
          <w:rFonts w:hint="eastAsia"/>
        </w:rPr>
        <w:t>A.7.1</w:t>
      </w:r>
      <w:r>
        <w:rPr>
          <w:rFonts w:hint="eastAsia" w:ascii="宋体" w:eastAsia="宋体"/>
          <w:szCs w:val="20"/>
        </w:rPr>
        <w:t>样品检测结果置信度值不小于8</w:t>
      </w:r>
      <w:r>
        <w:rPr>
          <w:rFonts w:ascii="宋体" w:eastAsia="宋体"/>
          <w:szCs w:val="20"/>
        </w:rPr>
        <w:t>0</w:t>
      </w:r>
      <w:r>
        <w:rPr>
          <w:rFonts w:hint="eastAsia" w:ascii="宋体" w:eastAsia="宋体"/>
          <w:szCs w:val="20"/>
        </w:rPr>
        <w:t>%，则认为正常，报告测定结果。</w:t>
      </w:r>
    </w:p>
    <w:p w14:paraId="19E62CD3">
      <w:pPr>
        <w:pStyle w:val="50"/>
        <w:spacing w:beforeLines="0" w:afterLines="0" w:line="360" w:lineRule="auto"/>
        <w:ind w:left="142"/>
        <w:rPr>
          <w:rFonts w:ascii="宋体" w:eastAsia="宋体"/>
          <w:szCs w:val="20"/>
        </w:rPr>
      </w:pPr>
      <w:r>
        <w:rPr>
          <w:rFonts w:hint="eastAsia"/>
        </w:rPr>
        <w:t>A.7.2</w:t>
      </w:r>
      <w:r>
        <w:rPr>
          <w:rFonts w:hint="eastAsia" w:ascii="宋体" w:eastAsia="宋体"/>
          <w:szCs w:val="20"/>
        </w:rPr>
        <w:t>样品检测结果置信度值小于8</w:t>
      </w:r>
      <w:r>
        <w:rPr>
          <w:rFonts w:ascii="宋体" w:eastAsia="宋体"/>
          <w:szCs w:val="20"/>
        </w:rPr>
        <w:t>0</w:t>
      </w:r>
      <w:r>
        <w:rPr>
          <w:rFonts w:hint="eastAsia" w:ascii="宋体" w:eastAsia="宋体"/>
          <w:szCs w:val="20"/>
        </w:rPr>
        <w:t>%，则认为可疑，必须按照表1规定的标准试验方法进行测定。</w:t>
      </w:r>
    </w:p>
    <w:p w14:paraId="3DFD42E0">
      <w:pPr>
        <w:pStyle w:val="50"/>
        <w:spacing w:beforeLines="0" w:afterLines="0" w:line="360" w:lineRule="auto"/>
        <w:ind w:left="142"/>
        <w:rPr>
          <w:rFonts w:ascii="宋体" w:eastAsia="宋体"/>
          <w:szCs w:val="20"/>
        </w:rPr>
      </w:pPr>
      <w:r>
        <w:rPr>
          <w:rFonts w:hint="eastAsia"/>
        </w:rPr>
        <w:t>A.7.3</w:t>
      </w:r>
      <w:r>
        <w:rPr>
          <w:rFonts w:hint="eastAsia" w:ascii="宋体" w:eastAsia="宋体"/>
          <w:szCs w:val="20"/>
        </w:rPr>
        <w:t>检测结果的报出值与其标准试验方法一致。</w:t>
      </w:r>
    </w:p>
    <w:p w14:paraId="565868E5">
      <w:pPr>
        <w:pStyle w:val="53"/>
        <w:spacing w:before="240" w:after="240" w:line="360" w:lineRule="auto"/>
      </w:pPr>
      <w:bookmarkStart w:id="10" w:name="_Hlk11587071"/>
      <w:bookmarkStart w:id="11" w:name="_Hlk11587050"/>
      <w:r>
        <w:rPr>
          <w:rFonts w:hint="eastAsia"/>
        </w:rPr>
        <w:t>A.8重复性</w:t>
      </w:r>
    </w:p>
    <w:p w14:paraId="70A35599">
      <w:pPr>
        <w:pStyle w:val="31"/>
        <w:spacing w:line="360" w:lineRule="auto"/>
      </w:pPr>
      <w:r>
        <w:rPr>
          <w:rFonts w:hint="eastAsia"/>
        </w:rPr>
        <w:t>由同一操作者,在同一实验室，使用同一台仪器，对同一样品连续测定的两个试验结果之差不应超过表2所列数值。</w:t>
      </w:r>
    </w:p>
    <w:bookmarkEnd w:id="10"/>
    <w:bookmarkEnd w:id="11"/>
    <w:p w14:paraId="6F2A1F45">
      <w:pPr>
        <w:pStyle w:val="53"/>
        <w:spacing w:before="240" w:after="240" w:line="360" w:lineRule="auto"/>
        <w:rPr>
          <w:rFonts w:hint="eastAsia" w:eastAsia="黑体"/>
          <w:lang w:val="en-US" w:eastAsia="zh-CN"/>
        </w:rPr>
      </w:pPr>
      <w:r>
        <w:rPr>
          <w:rFonts w:hint="eastAsia"/>
        </w:rPr>
        <w:t>A.9</w:t>
      </w:r>
      <w:r>
        <w:rPr>
          <w:rFonts w:hint="eastAsia"/>
          <w:lang w:val="en-US" w:eastAsia="zh-CN"/>
        </w:rPr>
        <w:t>再现性</w:t>
      </w:r>
    </w:p>
    <w:p w14:paraId="7967E85F">
      <w:pPr>
        <w:pStyle w:val="31"/>
        <w:spacing w:line="360" w:lineRule="auto"/>
      </w:pPr>
      <w:r>
        <w:rPr>
          <w:rFonts w:hint="eastAsia"/>
        </w:rPr>
        <w:t>近红外光谱法的测定结果，与按照表1所列的标准方法的测定结果之差不应超过表2所列数值。</w:t>
      </w:r>
    </w:p>
    <w:p w14:paraId="3EC6D4A7">
      <w:pPr>
        <w:spacing w:beforeLines="100" w:afterLines="100" w:line="360" w:lineRule="auto"/>
        <w:ind w:left="2557"/>
        <w:rPr>
          <w:rFonts w:hint="eastAsia" w:ascii="黑体" w:hAnsi="黑体" w:eastAsia="黑体"/>
          <w:lang w:val="en-US" w:eastAsia="zh-CN"/>
        </w:rPr>
      </w:pPr>
      <w:r>
        <w:rPr>
          <w:rFonts w:ascii="黑体" w:hAnsi="黑体" w:eastAsia="黑体"/>
        </w:rPr>
        <w:t>表</w:t>
      </w:r>
      <w:r>
        <w:rPr>
          <w:rFonts w:hint="eastAsia" w:asciiTheme="minorEastAsia" w:hAnsiTheme="minorEastAsia" w:eastAsiaTheme="minorEastAsia"/>
        </w:rPr>
        <w:t xml:space="preserve">2  </w:t>
      </w:r>
      <w:r>
        <w:rPr>
          <w:rFonts w:ascii="黑体" w:hAnsi="黑体" w:eastAsia="黑体"/>
        </w:rPr>
        <w:t>车用汽油各项质量指标重复性和</w:t>
      </w:r>
      <w:r>
        <w:rPr>
          <w:rFonts w:hint="eastAsia" w:ascii="黑体" w:hAnsi="黑体" w:eastAsia="黑体"/>
          <w:lang w:val="en-US" w:eastAsia="zh-CN"/>
        </w:rPr>
        <w:t>再现性</w:t>
      </w:r>
    </w:p>
    <w:tbl>
      <w:tblPr>
        <w:tblStyle w:val="40"/>
        <w:tblW w:w="937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7"/>
        <w:gridCol w:w="4022"/>
        <w:gridCol w:w="1260"/>
        <w:gridCol w:w="3065"/>
      </w:tblGrid>
      <w:tr w14:paraId="0A8A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5049" w:type="dxa"/>
            <w:gridSpan w:val="2"/>
            <w:shd w:val="clear" w:color="auto" w:fill="auto"/>
            <w:vAlign w:val="bottom"/>
          </w:tcPr>
          <w:p w14:paraId="3B64B5B2">
            <w:pPr>
              <w:spacing w:line="360" w:lineRule="auto"/>
              <w:ind w:left="1160"/>
              <w:rPr>
                <w:rFonts w:ascii="宋体" w:hAnsi="宋体"/>
              </w:rPr>
            </w:pPr>
            <w:bookmarkStart w:id="12" w:name="_Hlk7350673"/>
            <w:r>
              <w:rPr>
                <w:rFonts w:ascii="宋体" w:hAnsi="宋体"/>
              </w:rPr>
              <w:t>项  目</w:t>
            </w:r>
          </w:p>
        </w:tc>
        <w:tc>
          <w:tcPr>
            <w:tcW w:w="1260" w:type="dxa"/>
            <w:shd w:val="clear" w:color="auto" w:fill="auto"/>
            <w:vAlign w:val="bottom"/>
          </w:tcPr>
          <w:p w14:paraId="1A4025D6">
            <w:pPr>
              <w:spacing w:line="360" w:lineRule="auto"/>
              <w:jc w:val="center"/>
              <w:rPr>
                <w:rFonts w:ascii="宋体" w:hAnsi="宋体"/>
                <w:w w:val="98"/>
              </w:rPr>
            </w:pPr>
            <w:r>
              <w:rPr>
                <w:rFonts w:ascii="宋体" w:hAnsi="宋体"/>
                <w:w w:val="98"/>
              </w:rPr>
              <w:t>重复性</w:t>
            </w:r>
          </w:p>
        </w:tc>
        <w:tc>
          <w:tcPr>
            <w:tcW w:w="3065" w:type="dxa"/>
            <w:vAlign w:val="center"/>
          </w:tcPr>
          <w:p w14:paraId="20FF7116">
            <w:pPr>
              <w:spacing w:line="360" w:lineRule="auto"/>
              <w:jc w:val="center"/>
              <w:rPr>
                <w:rFonts w:hint="default" w:ascii="宋体" w:hAnsi="宋体" w:eastAsia="宋体"/>
                <w:w w:val="98"/>
                <w:lang w:val="en-US" w:eastAsia="zh-CN"/>
              </w:rPr>
            </w:pPr>
            <w:r>
              <w:rPr>
                <w:rFonts w:hint="eastAsia" w:ascii="宋体" w:hAnsi="宋体"/>
                <w:w w:val="98"/>
                <w:lang w:val="en-US" w:eastAsia="zh-CN"/>
              </w:rPr>
              <w:t>再现性</w:t>
            </w:r>
          </w:p>
        </w:tc>
      </w:tr>
      <w:tr w14:paraId="5CBE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049" w:type="dxa"/>
            <w:gridSpan w:val="2"/>
            <w:shd w:val="clear" w:color="auto" w:fill="auto"/>
            <w:vAlign w:val="bottom"/>
          </w:tcPr>
          <w:p w14:paraId="31E884B9">
            <w:pPr>
              <w:spacing w:line="360" w:lineRule="auto"/>
              <w:rPr>
                <w:szCs w:val="21"/>
              </w:rPr>
            </w:pPr>
            <w:r>
              <w:rPr>
                <w:szCs w:val="21"/>
              </w:rPr>
              <w:t>研究法辛烷值</w:t>
            </w:r>
          </w:p>
        </w:tc>
        <w:tc>
          <w:tcPr>
            <w:tcW w:w="1260" w:type="dxa"/>
            <w:shd w:val="clear" w:color="auto" w:fill="auto"/>
          </w:tcPr>
          <w:p w14:paraId="1ECE01A7">
            <w:pPr>
              <w:spacing w:line="360" w:lineRule="auto"/>
              <w:jc w:val="center"/>
              <w:rPr>
                <w:szCs w:val="21"/>
              </w:rPr>
            </w:pPr>
            <w:r>
              <w:rPr>
                <w:rFonts w:hint="eastAsia"/>
                <w:szCs w:val="21"/>
              </w:rPr>
              <w:t>0.2</w:t>
            </w:r>
          </w:p>
        </w:tc>
        <w:tc>
          <w:tcPr>
            <w:tcW w:w="3065" w:type="dxa"/>
            <w:vAlign w:val="center"/>
          </w:tcPr>
          <w:p w14:paraId="4FA4D56C">
            <w:pPr>
              <w:spacing w:line="360" w:lineRule="auto"/>
              <w:jc w:val="center"/>
              <w:rPr>
                <w:szCs w:val="21"/>
              </w:rPr>
            </w:pPr>
            <w:r>
              <w:rPr>
                <w:rFonts w:hint="eastAsia"/>
                <w:szCs w:val="21"/>
              </w:rPr>
              <w:t>0.7</w:t>
            </w:r>
          </w:p>
        </w:tc>
      </w:tr>
      <w:tr w14:paraId="0FEF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5049" w:type="dxa"/>
            <w:gridSpan w:val="2"/>
            <w:shd w:val="clear" w:color="auto" w:fill="auto"/>
            <w:vAlign w:val="bottom"/>
          </w:tcPr>
          <w:p w14:paraId="7B466A36">
            <w:pPr>
              <w:spacing w:line="360" w:lineRule="auto"/>
              <w:rPr>
                <w:color w:val="auto"/>
                <w:szCs w:val="21"/>
              </w:rPr>
            </w:pPr>
            <w:r>
              <w:rPr>
                <w:rFonts w:hint="eastAsia" w:ascii="宋体"/>
                <w:color w:val="auto"/>
                <w:szCs w:val="21"/>
                <w:lang w:val="en-US" w:eastAsia="zh-CN"/>
              </w:rPr>
              <w:t>甲醇</w:t>
            </w:r>
            <w:r>
              <w:rPr>
                <w:rFonts w:ascii="宋体"/>
                <w:color w:val="auto"/>
                <w:szCs w:val="21"/>
              </w:rPr>
              <w:t>含量</w:t>
            </w:r>
            <w:r>
              <w:rPr>
                <w:rFonts w:hint="eastAsia" w:ascii="宋体"/>
                <w:color w:val="auto"/>
                <w:szCs w:val="21"/>
              </w:rPr>
              <w:t>（质量分数）</w:t>
            </w:r>
            <w:r>
              <w:rPr>
                <w:color w:val="auto"/>
                <w:szCs w:val="21"/>
              </w:rPr>
              <w:t>/%</w:t>
            </w:r>
          </w:p>
        </w:tc>
        <w:tc>
          <w:tcPr>
            <w:tcW w:w="1260" w:type="dxa"/>
            <w:shd w:val="clear" w:color="auto" w:fill="auto"/>
            <w:vAlign w:val="bottom"/>
          </w:tcPr>
          <w:p w14:paraId="526A91B7">
            <w:pPr>
              <w:spacing w:line="360" w:lineRule="auto"/>
              <w:jc w:val="center"/>
              <w:rPr>
                <w:rFonts w:hint="default" w:eastAsia="宋体"/>
                <w:color w:val="auto"/>
                <w:szCs w:val="21"/>
                <w:lang w:val="en-US" w:eastAsia="zh-CN"/>
              </w:rPr>
            </w:pPr>
            <w:r>
              <w:rPr>
                <w:color w:val="auto"/>
                <w:szCs w:val="21"/>
              </w:rPr>
              <w:t>0.</w:t>
            </w:r>
            <w:r>
              <w:rPr>
                <w:rFonts w:hint="eastAsia"/>
                <w:color w:val="auto"/>
                <w:szCs w:val="21"/>
                <w:lang w:val="en-US" w:eastAsia="zh-CN"/>
              </w:rPr>
              <w:t>04</w:t>
            </w:r>
          </w:p>
        </w:tc>
        <w:tc>
          <w:tcPr>
            <w:tcW w:w="3065" w:type="dxa"/>
            <w:vAlign w:val="center"/>
          </w:tcPr>
          <w:p w14:paraId="094F4C03">
            <w:pPr>
              <w:spacing w:line="360" w:lineRule="auto"/>
              <w:jc w:val="center"/>
              <w:rPr>
                <w:color w:val="auto"/>
                <w:szCs w:val="21"/>
              </w:rPr>
            </w:pPr>
            <w:r>
              <w:rPr>
                <w:color w:val="auto"/>
                <w:szCs w:val="21"/>
              </w:rPr>
              <w:t>同NB/SH/T 0663再现性</w:t>
            </w:r>
          </w:p>
        </w:tc>
      </w:tr>
      <w:tr w14:paraId="17DA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5049" w:type="dxa"/>
            <w:gridSpan w:val="2"/>
            <w:shd w:val="clear" w:color="auto" w:fill="auto"/>
            <w:vAlign w:val="bottom"/>
          </w:tcPr>
          <w:p w14:paraId="6C133E38">
            <w:pPr>
              <w:spacing w:line="360" w:lineRule="auto"/>
              <w:rPr>
                <w:rFonts w:hint="eastAsia"/>
                <w:color w:val="auto"/>
                <w:szCs w:val="21"/>
              </w:rPr>
            </w:pPr>
            <w:r>
              <w:rPr>
                <w:rFonts w:hint="eastAsia" w:ascii="宋体"/>
                <w:color w:val="auto"/>
                <w:szCs w:val="21"/>
                <w:lang w:val="en-US" w:eastAsia="zh-CN"/>
              </w:rPr>
              <w:t>氧</w:t>
            </w:r>
            <w:r>
              <w:rPr>
                <w:rFonts w:ascii="宋体"/>
                <w:color w:val="auto"/>
                <w:szCs w:val="21"/>
              </w:rPr>
              <w:t>含量</w:t>
            </w:r>
            <w:r>
              <w:rPr>
                <w:rFonts w:hint="eastAsia" w:ascii="宋体"/>
                <w:color w:val="auto"/>
                <w:szCs w:val="21"/>
              </w:rPr>
              <w:t>（质量分数）</w:t>
            </w:r>
            <w:r>
              <w:rPr>
                <w:color w:val="auto"/>
                <w:szCs w:val="21"/>
              </w:rPr>
              <w:t>/%</w:t>
            </w:r>
          </w:p>
        </w:tc>
        <w:tc>
          <w:tcPr>
            <w:tcW w:w="1260" w:type="dxa"/>
            <w:shd w:val="clear" w:color="auto" w:fill="auto"/>
            <w:vAlign w:val="bottom"/>
          </w:tcPr>
          <w:p w14:paraId="603A0AE1">
            <w:pPr>
              <w:spacing w:line="360" w:lineRule="auto"/>
              <w:jc w:val="center"/>
              <w:rPr>
                <w:rFonts w:hint="default" w:eastAsia="宋体"/>
                <w:color w:val="auto"/>
                <w:szCs w:val="21"/>
                <w:lang w:val="en-US" w:eastAsia="zh-CN"/>
              </w:rPr>
            </w:pPr>
            <w:r>
              <w:rPr>
                <w:rFonts w:hint="eastAsia"/>
                <w:color w:val="auto"/>
                <w:szCs w:val="21"/>
                <w:lang w:val="en-US" w:eastAsia="zh-CN"/>
              </w:rPr>
              <w:t>0.10</w:t>
            </w:r>
          </w:p>
        </w:tc>
        <w:tc>
          <w:tcPr>
            <w:tcW w:w="3065" w:type="dxa"/>
            <w:vAlign w:val="center"/>
          </w:tcPr>
          <w:p w14:paraId="41877DBC">
            <w:pPr>
              <w:spacing w:line="360" w:lineRule="auto"/>
              <w:jc w:val="center"/>
              <w:rPr>
                <w:rFonts w:hint="default" w:eastAsia="宋体"/>
                <w:color w:val="auto"/>
                <w:szCs w:val="21"/>
                <w:lang w:val="en-US" w:eastAsia="zh-CN"/>
              </w:rPr>
            </w:pPr>
            <w:r>
              <w:rPr>
                <w:szCs w:val="21"/>
              </w:rPr>
              <w:t>同NB/SH/T 0663再现性</w:t>
            </w:r>
          </w:p>
        </w:tc>
      </w:tr>
      <w:tr w14:paraId="6C67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5049" w:type="dxa"/>
            <w:gridSpan w:val="2"/>
            <w:shd w:val="clear" w:color="auto" w:fill="auto"/>
            <w:vAlign w:val="bottom"/>
          </w:tcPr>
          <w:p w14:paraId="11C2BBC5">
            <w:pPr>
              <w:spacing w:line="360" w:lineRule="auto"/>
              <w:rPr>
                <w:szCs w:val="21"/>
              </w:rPr>
            </w:pPr>
            <w:r>
              <w:rPr>
                <w:szCs w:val="21"/>
              </w:rPr>
              <w:t>苯含量（体积分数）/%</w:t>
            </w:r>
          </w:p>
        </w:tc>
        <w:tc>
          <w:tcPr>
            <w:tcW w:w="1260" w:type="dxa"/>
            <w:shd w:val="clear" w:color="auto" w:fill="auto"/>
            <w:vAlign w:val="bottom"/>
          </w:tcPr>
          <w:p w14:paraId="09574637">
            <w:pPr>
              <w:spacing w:line="360" w:lineRule="auto"/>
              <w:jc w:val="center"/>
              <w:rPr>
                <w:szCs w:val="21"/>
              </w:rPr>
            </w:pPr>
            <w:r>
              <w:rPr>
                <w:rFonts w:hint="eastAsia"/>
                <w:szCs w:val="21"/>
              </w:rPr>
              <w:t>0.03</w:t>
            </w:r>
          </w:p>
        </w:tc>
        <w:tc>
          <w:tcPr>
            <w:tcW w:w="3065" w:type="dxa"/>
            <w:vAlign w:val="center"/>
          </w:tcPr>
          <w:p w14:paraId="47B6A035">
            <w:pPr>
              <w:spacing w:line="360" w:lineRule="auto"/>
              <w:jc w:val="center"/>
              <w:rPr>
                <w:rFonts w:hint="default"/>
                <w:szCs w:val="21"/>
                <w:lang w:val="en-US" w:eastAsia="zh-CN"/>
              </w:rPr>
            </w:pPr>
            <w:r>
              <w:rPr>
                <w:rFonts w:hint="eastAsia"/>
                <w:szCs w:val="21"/>
                <w:lang w:val="en-US" w:eastAsia="zh-CN"/>
              </w:rPr>
              <w:t xml:space="preserve"> 0.18</w:t>
            </w:r>
          </w:p>
        </w:tc>
      </w:tr>
      <w:tr w14:paraId="1AD9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5049" w:type="dxa"/>
            <w:gridSpan w:val="2"/>
            <w:shd w:val="clear" w:color="auto" w:fill="auto"/>
            <w:vAlign w:val="bottom"/>
          </w:tcPr>
          <w:p w14:paraId="3CE7B022">
            <w:pPr>
              <w:spacing w:line="360" w:lineRule="auto"/>
              <w:rPr>
                <w:szCs w:val="21"/>
              </w:rPr>
            </w:pPr>
            <w:r>
              <w:rPr>
                <w:szCs w:val="21"/>
              </w:rPr>
              <w:t>芳烃含量（体积分数）/%</w:t>
            </w:r>
          </w:p>
        </w:tc>
        <w:tc>
          <w:tcPr>
            <w:tcW w:w="1260" w:type="dxa"/>
            <w:shd w:val="clear" w:color="auto" w:fill="auto"/>
            <w:vAlign w:val="bottom"/>
          </w:tcPr>
          <w:p w14:paraId="67B1A79A">
            <w:pPr>
              <w:spacing w:line="360" w:lineRule="auto"/>
              <w:jc w:val="center"/>
              <w:rPr>
                <w:szCs w:val="21"/>
              </w:rPr>
            </w:pPr>
            <w:r>
              <w:rPr>
                <w:rFonts w:hint="eastAsia"/>
                <w:szCs w:val="21"/>
              </w:rPr>
              <w:t>0.8</w:t>
            </w:r>
          </w:p>
        </w:tc>
        <w:tc>
          <w:tcPr>
            <w:tcW w:w="3065" w:type="dxa"/>
            <w:vAlign w:val="center"/>
          </w:tcPr>
          <w:p w14:paraId="12B820B0">
            <w:pPr>
              <w:spacing w:line="360" w:lineRule="auto"/>
              <w:jc w:val="center"/>
              <w:rPr>
                <w:rFonts w:hint="default"/>
                <w:szCs w:val="21"/>
                <w:lang w:val="en-US" w:eastAsia="zh-CN"/>
              </w:rPr>
            </w:pPr>
            <w:r>
              <w:rPr>
                <w:szCs w:val="21"/>
              </w:rPr>
              <w:t>同GB/T 30519再现性</w:t>
            </w:r>
          </w:p>
        </w:tc>
      </w:tr>
      <w:tr w14:paraId="1F6E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trPr>
        <w:tc>
          <w:tcPr>
            <w:tcW w:w="5049" w:type="dxa"/>
            <w:gridSpan w:val="2"/>
            <w:shd w:val="clear" w:color="auto" w:fill="auto"/>
            <w:vAlign w:val="bottom"/>
          </w:tcPr>
          <w:p w14:paraId="2199072D">
            <w:pPr>
              <w:spacing w:line="360" w:lineRule="auto"/>
              <w:rPr>
                <w:szCs w:val="21"/>
              </w:rPr>
            </w:pPr>
            <w:r>
              <w:rPr>
                <w:szCs w:val="21"/>
              </w:rPr>
              <w:t>烯烃含量（体积分数）/%</w:t>
            </w:r>
          </w:p>
        </w:tc>
        <w:tc>
          <w:tcPr>
            <w:tcW w:w="1260" w:type="dxa"/>
            <w:shd w:val="clear" w:color="auto" w:fill="auto"/>
            <w:vAlign w:val="bottom"/>
          </w:tcPr>
          <w:p w14:paraId="19E7ADF1">
            <w:pPr>
              <w:spacing w:line="360" w:lineRule="auto"/>
              <w:jc w:val="center"/>
              <w:rPr>
                <w:szCs w:val="21"/>
              </w:rPr>
            </w:pPr>
            <w:r>
              <w:rPr>
                <w:rFonts w:hint="eastAsia"/>
                <w:szCs w:val="21"/>
              </w:rPr>
              <w:t>0.5</w:t>
            </w:r>
          </w:p>
        </w:tc>
        <w:tc>
          <w:tcPr>
            <w:tcW w:w="3065" w:type="dxa"/>
            <w:vAlign w:val="center"/>
          </w:tcPr>
          <w:p w14:paraId="2941BF84">
            <w:pPr>
              <w:spacing w:line="360" w:lineRule="auto"/>
              <w:jc w:val="center"/>
              <w:rPr>
                <w:rFonts w:hint="default"/>
                <w:szCs w:val="21"/>
                <w:lang w:val="en-US" w:eastAsia="zh-CN"/>
              </w:rPr>
            </w:pPr>
            <w:r>
              <w:rPr>
                <w:szCs w:val="21"/>
              </w:rPr>
              <w:t>同GB/T 30519再现性</w:t>
            </w:r>
          </w:p>
        </w:tc>
      </w:tr>
      <w:tr w14:paraId="7822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5049" w:type="dxa"/>
            <w:gridSpan w:val="2"/>
            <w:shd w:val="clear" w:color="auto" w:fill="auto"/>
            <w:vAlign w:val="bottom"/>
          </w:tcPr>
          <w:p w14:paraId="7A7B36C7">
            <w:pPr>
              <w:spacing w:line="360" w:lineRule="auto"/>
              <w:rPr>
                <w:rFonts w:hint="default" w:eastAsia="宋体"/>
                <w:szCs w:val="21"/>
                <w:lang w:val="en-US" w:eastAsia="zh-CN"/>
              </w:rPr>
            </w:pPr>
            <w:r>
              <w:rPr>
                <w:szCs w:val="21"/>
              </w:rPr>
              <w:t>密度</w:t>
            </w:r>
            <w:r>
              <w:rPr>
                <w:rFonts w:hint="eastAsia"/>
                <w:szCs w:val="21"/>
              </w:rPr>
              <w:t>（20℃）</w:t>
            </w:r>
            <w:r>
              <w:rPr>
                <w:szCs w:val="21"/>
              </w:rPr>
              <w:t>/(kg/m</w:t>
            </w:r>
            <w:r>
              <w:rPr>
                <w:szCs w:val="21"/>
                <w:vertAlign w:val="superscript"/>
              </w:rPr>
              <w:t>3</w:t>
            </w:r>
            <w:r>
              <w:rPr>
                <w:szCs w:val="21"/>
              </w:rPr>
              <w:t>)</w:t>
            </w:r>
          </w:p>
        </w:tc>
        <w:tc>
          <w:tcPr>
            <w:tcW w:w="1260" w:type="dxa"/>
            <w:shd w:val="clear" w:color="auto" w:fill="auto"/>
            <w:vAlign w:val="bottom"/>
          </w:tcPr>
          <w:p w14:paraId="3DCCBB28">
            <w:pPr>
              <w:spacing w:line="360" w:lineRule="auto"/>
              <w:jc w:val="center"/>
              <w:rPr>
                <w:szCs w:val="21"/>
              </w:rPr>
            </w:pPr>
            <w:r>
              <w:rPr>
                <w:rFonts w:hint="eastAsia"/>
                <w:szCs w:val="21"/>
              </w:rPr>
              <w:t>0.5</w:t>
            </w:r>
          </w:p>
        </w:tc>
        <w:tc>
          <w:tcPr>
            <w:tcW w:w="3065" w:type="dxa"/>
            <w:vAlign w:val="center"/>
          </w:tcPr>
          <w:p w14:paraId="30BE2D9D">
            <w:pPr>
              <w:spacing w:line="360" w:lineRule="auto"/>
              <w:jc w:val="center"/>
              <w:rPr>
                <w:szCs w:val="21"/>
              </w:rPr>
            </w:pPr>
            <w:r>
              <w:rPr>
                <w:rFonts w:hint="eastAsia"/>
                <w:szCs w:val="21"/>
              </w:rPr>
              <w:t>1.2</w:t>
            </w:r>
          </w:p>
        </w:tc>
      </w:tr>
      <w:tr w14:paraId="6B83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027" w:type="dxa"/>
            <w:vMerge w:val="restart"/>
            <w:shd w:val="clear" w:color="auto" w:fill="auto"/>
            <w:vAlign w:val="center"/>
          </w:tcPr>
          <w:p w14:paraId="39DFA1A9">
            <w:pPr>
              <w:spacing w:line="360" w:lineRule="auto"/>
              <w:jc w:val="center"/>
              <w:rPr>
                <w:rFonts w:hint="eastAsia" w:eastAsia="宋体"/>
                <w:color w:val="auto"/>
                <w:szCs w:val="21"/>
                <w:lang w:val="en-US" w:eastAsia="zh-CN"/>
              </w:rPr>
            </w:pPr>
            <w:r>
              <w:rPr>
                <w:rFonts w:hint="eastAsia"/>
                <w:color w:val="auto"/>
                <w:szCs w:val="21"/>
                <w:lang w:val="en-US" w:eastAsia="zh-CN"/>
              </w:rPr>
              <w:t>馏程</w:t>
            </w:r>
          </w:p>
        </w:tc>
        <w:tc>
          <w:tcPr>
            <w:tcW w:w="4022" w:type="dxa"/>
            <w:shd w:val="clear" w:color="auto" w:fill="auto"/>
            <w:vAlign w:val="bottom"/>
          </w:tcPr>
          <w:p w14:paraId="3B4CE2CA">
            <w:pPr>
              <w:spacing w:line="360" w:lineRule="auto"/>
              <w:jc w:val="center"/>
              <w:rPr>
                <w:rFonts w:hint="eastAsia"/>
                <w:color w:val="auto"/>
                <w:szCs w:val="21"/>
                <w:lang w:val="en-US" w:eastAsia="zh-CN"/>
              </w:rPr>
            </w:pPr>
            <w:r>
              <w:rPr>
                <w:rFonts w:hint="eastAsia" w:ascii="宋体" w:hAnsi="Times New Roman" w:cs="Times New Roman"/>
                <w:color w:val="auto"/>
                <w:szCs w:val="21"/>
                <w:lang w:val="en-US" w:eastAsia="zh-CN"/>
              </w:rPr>
              <w:t xml:space="preserve">10%蒸发温度/℃           </w:t>
            </w:r>
          </w:p>
        </w:tc>
        <w:tc>
          <w:tcPr>
            <w:tcW w:w="1260" w:type="dxa"/>
            <w:vMerge w:val="restart"/>
            <w:shd w:val="clear" w:color="auto" w:fill="auto"/>
            <w:vAlign w:val="center"/>
          </w:tcPr>
          <w:p w14:paraId="0B2A6695">
            <w:pPr>
              <w:spacing w:line="360" w:lineRule="auto"/>
              <w:jc w:val="both"/>
              <w:rPr>
                <w:rFonts w:hint="eastAsia" w:eastAsia="宋体"/>
                <w:color w:val="C00000"/>
                <w:szCs w:val="21"/>
                <w:lang w:val="en-US" w:eastAsia="zh-CN"/>
              </w:rPr>
            </w:pPr>
            <w:r>
              <w:rPr>
                <w:rFonts w:hint="eastAsia"/>
                <w:szCs w:val="21"/>
                <w:lang w:val="en-US" w:eastAsia="zh-CN"/>
              </w:rPr>
              <w:t>同</w:t>
            </w:r>
            <w:r>
              <w:rPr>
                <w:rFonts w:hint="default"/>
                <w:szCs w:val="21"/>
              </w:rPr>
              <w:t>GB/</w:t>
            </w:r>
            <w:r>
              <w:rPr>
                <w:rFonts w:hint="default" w:ascii="宋体" w:hAnsi="Times New Roman" w:cs="Times New Roman"/>
                <w:color w:val="auto"/>
                <w:szCs w:val="21"/>
              </w:rPr>
              <w:t>T 6536</w:t>
            </w:r>
            <w:r>
              <w:rPr>
                <w:rFonts w:hint="eastAsia" w:ascii="宋体" w:cs="Times New Roman"/>
                <w:color w:val="auto"/>
                <w:szCs w:val="21"/>
                <w:lang w:val="en-US" w:eastAsia="zh-CN"/>
              </w:rPr>
              <w:t>重复性</w:t>
            </w:r>
          </w:p>
        </w:tc>
        <w:tc>
          <w:tcPr>
            <w:tcW w:w="3065" w:type="dxa"/>
            <w:vMerge w:val="restart"/>
            <w:vAlign w:val="center"/>
          </w:tcPr>
          <w:p w14:paraId="1FAE1453">
            <w:pPr>
              <w:spacing w:line="360" w:lineRule="auto"/>
              <w:jc w:val="center"/>
              <w:rPr>
                <w:rFonts w:hint="default"/>
                <w:szCs w:val="21"/>
                <w:lang w:val="en-US" w:eastAsia="zh-CN"/>
              </w:rPr>
            </w:pPr>
            <w:r>
              <w:rPr>
                <w:rFonts w:hint="eastAsia"/>
                <w:szCs w:val="21"/>
                <w:lang w:val="en-US" w:eastAsia="zh-CN"/>
              </w:rPr>
              <w:t>同</w:t>
            </w:r>
            <w:r>
              <w:rPr>
                <w:rFonts w:hint="default"/>
                <w:szCs w:val="21"/>
              </w:rPr>
              <w:t>GB/T 6536</w:t>
            </w:r>
            <w:r>
              <w:rPr>
                <w:rFonts w:hint="eastAsia"/>
                <w:szCs w:val="21"/>
                <w:lang w:val="en-US" w:eastAsia="zh-CN"/>
              </w:rPr>
              <w:t>再现性</w:t>
            </w:r>
          </w:p>
        </w:tc>
      </w:tr>
      <w:tr w14:paraId="23FE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027" w:type="dxa"/>
            <w:vMerge w:val="continue"/>
            <w:shd w:val="clear" w:color="auto" w:fill="auto"/>
            <w:vAlign w:val="bottom"/>
          </w:tcPr>
          <w:p w14:paraId="5CCE809C">
            <w:pPr>
              <w:spacing w:line="360" w:lineRule="auto"/>
              <w:rPr>
                <w:rFonts w:hint="eastAsia"/>
                <w:color w:val="auto"/>
                <w:szCs w:val="21"/>
                <w:lang w:val="en-US" w:eastAsia="zh-CN"/>
              </w:rPr>
            </w:pPr>
          </w:p>
        </w:tc>
        <w:tc>
          <w:tcPr>
            <w:tcW w:w="4022" w:type="dxa"/>
            <w:shd w:val="clear" w:color="auto" w:fill="auto"/>
            <w:vAlign w:val="bottom"/>
          </w:tcPr>
          <w:p w14:paraId="5A950730">
            <w:pPr>
              <w:spacing w:line="360" w:lineRule="auto"/>
              <w:jc w:val="center"/>
              <w:rPr>
                <w:rFonts w:hint="eastAsia"/>
                <w:color w:val="auto"/>
                <w:szCs w:val="21"/>
                <w:lang w:val="en-US" w:eastAsia="zh-CN"/>
              </w:rPr>
            </w:pPr>
            <w:r>
              <w:rPr>
                <w:rFonts w:hint="eastAsia" w:ascii="宋体" w:hAnsi="Times New Roman" w:cs="Times New Roman"/>
                <w:color w:val="auto"/>
                <w:szCs w:val="21"/>
                <w:lang w:val="en-US" w:eastAsia="zh-CN"/>
              </w:rPr>
              <w:t xml:space="preserve">50%蒸发温度/℃           </w:t>
            </w:r>
          </w:p>
        </w:tc>
        <w:tc>
          <w:tcPr>
            <w:tcW w:w="1260" w:type="dxa"/>
            <w:vMerge w:val="continue"/>
            <w:shd w:val="clear" w:color="auto" w:fill="auto"/>
            <w:vAlign w:val="center"/>
          </w:tcPr>
          <w:p w14:paraId="6E250F07">
            <w:pPr>
              <w:spacing w:line="360" w:lineRule="auto"/>
              <w:jc w:val="center"/>
              <w:rPr>
                <w:rFonts w:hint="default" w:eastAsia="宋体"/>
                <w:color w:val="C00000"/>
                <w:szCs w:val="21"/>
                <w:lang w:val="en-US" w:eastAsia="zh-CN"/>
              </w:rPr>
            </w:pPr>
          </w:p>
        </w:tc>
        <w:tc>
          <w:tcPr>
            <w:tcW w:w="3065" w:type="dxa"/>
            <w:vMerge w:val="continue"/>
            <w:vAlign w:val="center"/>
          </w:tcPr>
          <w:p w14:paraId="5EEC17F9">
            <w:pPr>
              <w:spacing w:line="360" w:lineRule="auto"/>
              <w:jc w:val="center"/>
              <w:rPr>
                <w:rFonts w:hint="default"/>
                <w:color w:val="C00000"/>
                <w:szCs w:val="21"/>
                <w:lang w:val="en-US"/>
              </w:rPr>
            </w:pPr>
          </w:p>
        </w:tc>
      </w:tr>
      <w:tr w14:paraId="510A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027" w:type="dxa"/>
            <w:vMerge w:val="continue"/>
            <w:shd w:val="clear" w:color="auto" w:fill="auto"/>
            <w:vAlign w:val="bottom"/>
          </w:tcPr>
          <w:p w14:paraId="6463A5EA">
            <w:pPr>
              <w:spacing w:line="360" w:lineRule="auto"/>
              <w:rPr>
                <w:rFonts w:hint="eastAsia"/>
                <w:color w:val="auto"/>
                <w:szCs w:val="21"/>
                <w:lang w:val="en-US" w:eastAsia="zh-CN"/>
              </w:rPr>
            </w:pPr>
          </w:p>
        </w:tc>
        <w:tc>
          <w:tcPr>
            <w:tcW w:w="4022" w:type="dxa"/>
            <w:shd w:val="clear" w:color="auto" w:fill="auto"/>
            <w:vAlign w:val="bottom"/>
          </w:tcPr>
          <w:p w14:paraId="2DE9ACA8">
            <w:pPr>
              <w:spacing w:line="360" w:lineRule="auto"/>
              <w:jc w:val="center"/>
              <w:rPr>
                <w:rFonts w:hint="eastAsia"/>
                <w:color w:val="auto"/>
                <w:szCs w:val="21"/>
                <w:lang w:val="en-US" w:eastAsia="zh-CN"/>
              </w:rPr>
            </w:pPr>
            <w:r>
              <w:rPr>
                <w:rFonts w:hint="eastAsia" w:ascii="宋体" w:hAnsi="Times New Roman" w:cs="Times New Roman"/>
                <w:color w:val="auto"/>
                <w:szCs w:val="21"/>
                <w:lang w:val="en-US" w:eastAsia="zh-CN"/>
              </w:rPr>
              <w:t xml:space="preserve">90%蒸发温度/℃            </w:t>
            </w:r>
          </w:p>
        </w:tc>
        <w:tc>
          <w:tcPr>
            <w:tcW w:w="1260" w:type="dxa"/>
            <w:vMerge w:val="continue"/>
            <w:shd w:val="clear" w:color="auto" w:fill="auto"/>
            <w:vAlign w:val="center"/>
          </w:tcPr>
          <w:p w14:paraId="298BF88C">
            <w:pPr>
              <w:spacing w:line="360" w:lineRule="auto"/>
              <w:jc w:val="center"/>
              <w:rPr>
                <w:rFonts w:hint="default" w:eastAsia="宋体"/>
                <w:color w:val="C00000"/>
                <w:szCs w:val="21"/>
                <w:lang w:val="en-US" w:eastAsia="zh-CN"/>
              </w:rPr>
            </w:pPr>
          </w:p>
        </w:tc>
        <w:tc>
          <w:tcPr>
            <w:tcW w:w="3065" w:type="dxa"/>
            <w:vMerge w:val="continue"/>
            <w:vAlign w:val="center"/>
          </w:tcPr>
          <w:p w14:paraId="693CA0DF">
            <w:pPr>
              <w:spacing w:line="360" w:lineRule="auto"/>
              <w:jc w:val="center"/>
              <w:rPr>
                <w:rFonts w:hint="default"/>
                <w:color w:val="C00000"/>
                <w:szCs w:val="21"/>
                <w:lang w:val="en-US"/>
              </w:rPr>
            </w:pPr>
          </w:p>
        </w:tc>
      </w:tr>
      <w:tr w14:paraId="395A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027" w:type="dxa"/>
            <w:vMerge w:val="continue"/>
            <w:shd w:val="clear" w:color="auto" w:fill="auto"/>
            <w:vAlign w:val="bottom"/>
          </w:tcPr>
          <w:p w14:paraId="63DC2887">
            <w:pPr>
              <w:spacing w:line="360" w:lineRule="auto"/>
              <w:rPr>
                <w:rFonts w:hint="eastAsia"/>
                <w:color w:val="auto"/>
                <w:szCs w:val="21"/>
                <w:lang w:val="en-US" w:eastAsia="zh-CN"/>
              </w:rPr>
            </w:pPr>
          </w:p>
        </w:tc>
        <w:tc>
          <w:tcPr>
            <w:tcW w:w="4022" w:type="dxa"/>
            <w:shd w:val="clear" w:color="auto" w:fill="auto"/>
            <w:vAlign w:val="bottom"/>
          </w:tcPr>
          <w:p w14:paraId="759DF226">
            <w:pPr>
              <w:spacing w:line="360" w:lineRule="auto"/>
              <w:jc w:val="center"/>
              <w:rPr>
                <w:rFonts w:hint="eastAsia"/>
                <w:color w:val="auto"/>
                <w:szCs w:val="21"/>
                <w:lang w:val="en-US" w:eastAsia="zh-CN"/>
              </w:rPr>
            </w:pPr>
            <w:r>
              <w:rPr>
                <w:rFonts w:hint="eastAsia" w:ascii="宋体" w:hAnsi="Times New Roman" w:cs="Times New Roman"/>
                <w:color w:val="auto"/>
                <w:szCs w:val="21"/>
                <w:lang w:val="en-US" w:eastAsia="zh-CN"/>
              </w:rPr>
              <w:t xml:space="preserve">终馏点/℃                 </w:t>
            </w:r>
          </w:p>
        </w:tc>
        <w:tc>
          <w:tcPr>
            <w:tcW w:w="1260" w:type="dxa"/>
            <w:vMerge w:val="continue"/>
            <w:shd w:val="clear" w:color="auto" w:fill="auto"/>
            <w:vAlign w:val="center"/>
          </w:tcPr>
          <w:p w14:paraId="1294ABFA">
            <w:pPr>
              <w:spacing w:line="360" w:lineRule="auto"/>
              <w:jc w:val="center"/>
              <w:rPr>
                <w:rFonts w:hint="default" w:eastAsia="宋体"/>
                <w:color w:val="C00000"/>
                <w:szCs w:val="21"/>
                <w:lang w:val="en-US" w:eastAsia="zh-CN"/>
              </w:rPr>
            </w:pPr>
          </w:p>
        </w:tc>
        <w:tc>
          <w:tcPr>
            <w:tcW w:w="3065" w:type="dxa"/>
            <w:vMerge w:val="continue"/>
            <w:vAlign w:val="center"/>
          </w:tcPr>
          <w:p w14:paraId="2D8F86CA">
            <w:pPr>
              <w:spacing w:line="360" w:lineRule="auto"/>
              <w:jc w:val="center"/>
              <w:rPr>
                <w:rFonts w:hint="default" w:eastAsia="宋体"/>
                <w:color w:val="C00000"/>
                <w:szCs w:val="21"/>
                <w:lang w:val="en-US" w:eastAsia="zh-CN"/>
              </w:rPr>
            </w:pPr>
          </w:p>
        </w:tc>
      </w:tr>
      <w:bookmarkEnd w:id="12"/>
    </w:tbl>
    <w:p w14:paraId="1448B5C2">
      <w:pPr>
        <w:pStyle w:val="31"/>
        <w:spacing w:line="360" w:lineRule="auto"/>
        <w:ind w:firstLine="0" w:firstLineChars="0"/>
        <w:jc w:val="both"/>
        <w:rPr>
          <w:rFonts w:hint="eastAsia"/>
          <w:b/>
        </w:rPr>
      </w:pPr>
    </w:p>
    <w:p w14:paraId="758E6529">
      <w:pPr>
        <w:pStyle w:val="31"/>
        <w:spacing w:line="360" w:lineRule="auto"/>
        <w:ind w:firstLine="0" w:firstLineChars="0"/>
        <w:jc w:val="center"/>
        <w:rPr>
          <w:rFonts w:hint="eastAsia"/>
          <w:b/>
        </w:rPr>
      </w:pPr>
    </w:p>
    <w:p w14:paraId="04FBB53C">
      <w:pPr>
        <w:pStyle w:val="31"/>
        <w:spacing w:line="360" w:lineRule="auto"/>
        <w:ind w:firstLine="0" w:firstLineChars="0"/>
        <w:jc w:val="center"/>
        <w:rPr>
          <w:rFonts w:hint="eastAsia"/>
          <w:b/>
        </w:rPr>
      </w:pPr>
    </w:p>
    <w:p w14:paraId="7D4F8517">
      <w:pPr>
        <w:pStyle w:val="31"/>
        <w:spacing w:line="360" w:lineRule="auto"/>
        <w:ind w:firstLine="0" w:firstLineChars="0"/>
        <w:jc w:val="center"/>
        <w:rPr>
          <w:rFonts w:hint="eastAsia"/>
          <w:b/>
        </w:rPr>
      </w:pPr>
    </w:p>
    <w:p w14:paraId="05109852">
      <w:pPr>
        <w:pStyle w:val="31"/>
        <w:spacing w:line="360" w:lineRule="auto"/>
        <w:ind w:firstLine="0" w:firstLineChars="0"/>
        <w:jc w:val="center"/>
        <w:rPr>
          <w:rFonts w:hint="eastAsia"/>
          <w:b/>
        </w:rPr>
      </w:pPr>
    </w:p>
    <w:p w14:paraId="3E5A3F2F">
      <w:pPr>
        <w:pStyle w:val="31"/>
        <w:spacing w:line="360" w:lineRule="auto"/>
        <w:ind w:firstLine="0" w:firstLineChars="0"/>
        <w:jc w:val="center"/>
        <w:rPr>
          <w:rFonts w:hint="eastAsia"/>
          <w:b/>
        </w:rPr>
      </w:pPr>
    </w:p>
    <w:p w14:paraId="0889E82A">
      <w:pPr>
        <w:pStyle w:val="31"/>
        <w:spacing w:line="360" w:lineRule="auto"/>
        <w:ind w:firstLine="0" w:firstLineChars="0"/>
        <w:jc w:val="center"/>
        <w:rPr>
          <w:rFonts w:hint="eastAsia"/>
          <w:b/>
        </w:rPr>
      </w:pPr>
    </w:p>
    <w:p w14:paraId="09D5F26B">
      <w:pPr>
        <w:pStyle w:val="31"/>
        <w:spacing w:line="360" w:lineRule="auto"/>
        <w:ind w:firstLine="0" w:firstLineChars="0"/>
        <w:jc w:val="center"/>
        <w:rPr>
          <w:rFonts w:hint="eastAsia"/>
          <w:b/>
        </w:rPr>
      </w:pPr>
    </w:p>
    <w:p w14:paraId="0AAC2306">
      <w:pPr>
        <w:pStyle w:val="31"/>
        <w:spacing w:line="360" w:lineRule="auto"/>
        <w:ind w:firstLine="0" w:firstLineChars="0"/>
        <w:jc w:val="center"/>
        <w:rPr>
          <w:rFonts w:hint="eastAsia"/>
          <w:b/>
        </w:rPr>
      </w:pPr>
    </w:p>
    <w:p w14:paraId="52C76615">
      <w:pPr>
        <w:pStyle w:val="31"/>
        <w:spacing w:line="360" w:lineRule="auto"/>
        <w:ind w:firstLine="0" w:firstLineChars="0"/>
        <w:jc w:val="center"/>
        <w:rPr>
          <w:rFonts w:hint="eastAsia"/>
          <w:b/>
        </w:rPr>
      </w:pPr>
    </w:p>
    <w:p w14:paraId="4CA1468F">
      <w:pPr>
        <w:pStyle w:val="31"/>
        <w:spacing w:line="360" w:lineRule="auto"/>
        <w:ind w:firstLine="0" w:firstLineChars="0"/>
        <w:jc w:val="center"/>
        <w:rPr>
          <w:rFonts w:hint="eastAsia"/>
          <w:b/>
        </w:rPr>
      </w:pPr>
    </w:p>
    <w:p w14:paraId="7D358607">
      <w:pPr>
        <w:pStyle w:val="31"/>
        <w:spacing w:line="360" w:lineRule="auto"/>
        <w:ind w:firstLine="0" w:firstLineChars="0"/>
        <w:jc w:val="center"/>
        <w:rPr>
          <w:rFonts w:hint="eastAsia"/>
          <w:b/>
        </w:rPr>
      </w:pPr>
    </w:p>
    <w:p w14:paraId="05E04C92">
      <w:pPr>
        <w:pStyle w:val="31"/>
        <w:spacing w:line="360" w:lineRule="auto"/>
        <w:ind w:firstLine="0" w:firstLineChars="0"/>
        <w:jc w:val="center"/>
        <w:rPr>
          <w:rFonts w:hint="eastAsia"/>
          <w:b/>
        </w:rPr>
      </w:pPr>
    </w:p>
    <w:p w14:paraId="2C8AC90E">
      <w:pPr>
        <w:pStyle w:val="31"/>
        <w:spacing w:line="360" w:lineRule="auto"/>
        <w:ind w:firstLine="0" w:firstLineChars="0"/>
        <w:jc w:val="center"/>
        <w:rPr>
          <w:rFonts w:hint="eastAsia"/>
          <w:b/>
        </w:rPr>
      </w:pPr>
    </w:p>
    <w:p w14:paraId="00B9A4CC">
      <w:pPr>
        <w:pStyle w:val="31"/>
        <w:spacing w:line="360" w:lineRule="auto"/>
        <w:ind w:firstLine="0" w:firstLineChars="0"/>
        <w:jc w:val="center"/>
        <w:rPr>
          <w:rFonts w:hint="eastAsia"/>
          <w:b/>
        </w:rPr>
      </w:pPr>
    </w:p>
    <w:p w14:paraId="642A415C">
      <w:pPr>
        <w:pStyle w:val="31"/>
        <w:spacing w:line="360" w:lineRule="auto"/>
        <w:ind w:firstLine="0" w:firstLineChars="0"/>
        <w:jc w:val="center"/>
        <w:rPr>
          <w:rFonts w:hint="eastAsia"/>
          <w:b/>
        </w:rPr>
      </w:pPr>
    </w:p>
    <w:p w14:paraId="57CF37C3">
      <w:pPr>
        <w:pStyle w:val="31"/>
        <w:spacing w:line="360" w:lineRule="auto"/>
        <w:ind w:firstLine="0" w:firstLineChars="0"/>
        <w:jc w:val="center"/>
        <w:rPr>
          <w:rFonts w:hint="eastAsia"/>
          <w:b/>
        </w:rPr>
      </w:pPr>
    </w:p>
    <w:p w14:paraId="3DF7D5FC">
      <w:pPr>
        <w:pStyle w:val="31"/>
        <w:spacing w:line="360" w:lineRule="auto"/>
        <w:ind w:firstLine="0" w:firstLineChars="0"/>
        <w:jc w:val="center"/>
        <w:rPr>
          <w:rFonts w:hint="eastAsia"/>
          <w:b/>
        </w:rPr>
      </w:pPr>
    </w:p>
    <w:p w14:paraId="695E256F">
      <w:pPr>
        <w:pStyle w:val="31"/>
        <w:spacing w:line="360" w:lineRule="auto"/>
        <w:ind w:firstLine="0" w:firstLineChars="0"/>
        <w:jc w:val="center"/>
        <w:rPr>
          <w:rFonts w:hint="eastAsia"/>
          <w:b/>
        </w:rPr>
      </w:pPr>
    </w:p>
    <w:p w14:paraId="2C1E16D4">
      <w:pPr>
        <w:pStyle w:val="31"/>
        <w:spacing w:line="360" w:lineRule="auto"/>
        <w:ind w:firstLine="0" w:firstLineChars="0"/>
        <w:jc w:val="center"/>
        <w:rPr>
          <w:rFonts w:hint="eastAsia"/>
          <w:b/>
        </w:rPr>
      </w:pPr>
    </w:p>
    <w:p w14:paraId="1F3A905B">
      <w:pPr>
        <w:pStyle w:val="31"/>
        <w:spacing w:line="360" w:lineRule="auto"/>
        <w:ind w:firstLine="0" w:firstLineChars="0"/>
        <w:jc w:val="center"/>
        <w:rPr>
          <w:rFonts w:hint="eastAsia"/>
          <w:b/>
        </w:rPr>
      </w:pPr>
    </w:p>
    <w:p w14:paraId="5A9B6FE5">
      <w:pPr>
        <w:pStyle w:val="31"/>
        <w:spacing w:line="360" w:lineRule="auto"/>
        <w:ind w:firstLine="0" w:firstLineChars="0"/>
        <w:jc w:val="center"/>
        <w:rPr>
          <w:rFonts w:hint="eastAsia"/>
          <w:b/>
        </w:rPr>
      </w:pPr>
    </w:p>
    <w:p w14:paraId="0CACCC9E">
      <w:pPr>
        <w:pStyle w:val="31"/>
        <w:spacing w:line="360" w:lineRule="auto"/>
        <w:ind w:firstLine="0" w:firstLineChars="0"/>
        <w:jc w:val="center"/>
        <w:rPr>
          <w:rFonts w:hint="eastAsia"/>
          <w:b/>
        </w:rPr>
      </w:pPr>
    </w:p>
    <w:p w14:paraId="141C98F1">
      <w:pPr>
        <w:pStyle w:val="31"/>
        <w:spacing w:line="360" w:lineRule="auto"/>
        <w:ind w:firstLine="0" w:firstLineChars="0"/>
        <w:jc w:val="center"/>
        <w:rPr>
          <w:rFonts w:hint="eastAsia"/>
          <w:b/>
        </w:rPr>
      </w:pPr>
    </w:p>
    <w:p w14:paraId="2BD0E57A">
      <w:pPr>
        <w:pStyle w:val="31"/>
        <w:spacing w:line="360" w:lineRule="auto"/>
        <w:ind w:firstLine="0" w:firstLineChars="0"/>
        <w:jc w:val="center"/>
        <w:rPr>
          <w:rFonts w:hint="eastAsia"/>
          <w:b/>
        </w:rPr>
      </w:pPr>
    </w:p>
    <w:p w14:paraId="739F1C8A">
      <w:pPr>
        <w:pStyle w:val="31"/>
        <w:spacing w:line="360" w:lineRule="auto"/>
        <w:ind w:firstLine="0" w:firstLineChars="0"/>
        <w:jc w:val="center"/>
        <w:rPr>
          <w:b/>
        </w:rPr>
      </w:pPr>
      <w:bookmarkStart w:id="13" w:name="_GoBack"/>
      <w:bookmarkEnd w:id="13"/>
      <w:r>
        <w:rPr>
          <w:rFonts w:hint="eastAsia"/>
          <w:b/>
        </w:rPr>
        <w:t>附录B</w:t>
      </w:r>
    </w:p>
    <w:p w14:paraId="7FFF5772">
      <w:pPr>
        <w:pStyle w:val="31"/>
        <w:spacing w:line="360" w:lineRule="auto"/>
        <w:ind w:firstLine="0" w:firstLineChars="0"/>
        <w:jc w:val="center"/>
        <w:rPr>
          <w:b/>
        </w:rPr>
      </w:pPr>
      <w:r>
        <w:rPr>
          <w:rFonts w:hint="eastAsia"/>
          <w:b/>
        </w:rPr>
        <w:t>（规范性附录）</w:t>
      </w:r>
    </w:p>
    <w:p w14:paraId="0491CB1D">
      <w:pPr>
        <w:pStyle w:val="31"/>
        <w:spacing w:line="360" w:lineRule="auto"/>
        <w:ind w:firstLine="0" w:firstLineChars="0"/>
        <w:jc w:val="center"/>
        <w:rPr>
          <w:b/>
        </w:rPr>
      </w:pPr>
      <w:r>
        <w:rPr>
          <w:rFonts w:hint="eastAsia"/>
          <w:b/>
        </w:rPr>
        <w:t>车用汽油快速检测方法    中红外光谱法</w:t>
      </w:r>
    </w:p>
    <w:p w14:paraId="25A6062E">
      <w:pPr>
        <w:pStyle w:val="53"/>
        <w:spacing w:before="240" w:after="240" w:line="360" w:lineRule="auto"/>
        <w:jc w:val="left"/>
      </w:pPr>
      <w:r>
        <w:rPr>
          <w:rFonts w:hint="eastAsia"/>
        </w:rPr>
        <w:t>B.1范围</w:t>
      </w:r>
    </w:p>
    <w:p w14:paraId="1CCA4A68">
      <w:pPr>
        <w:spacing w:line="360" w:lineRule="auto"/>
        <w:ind w:firstLine="420" w:firstLineChars="200"/>
        <w:rPr>
          <w:rFonts w:ascii="宋体" w:hAnsi="宋体" w:cs="宋体"/>
          <w:kern w:val="0"/>
          <w:szCs w:val="21"/>
        </w:rPr>
      </w:pPr>
      <w:r>
        <w:rPr>
          <w:rFonts w:hint="eastAsia" w:ascii="宋体" w:hAnsi="宋体" w:cs="宋体"/>
          <w:kern w:val="0"/>
          <w:szCs w:val="21"/>
        </w:rPr>
        <w:t>本附录规定了采用中红外光谱法测定车用汽油</w:t>
      </w:r>
      <w:r>
        <w:rPr>
          <w:rFonts w:hint="eastAsia" w:ascii="宋体" w:hAnsi="宋体" w:cs="宋体"/>
          <w:color w:val="auto"/>
          <w:kern w:val="0"/>
          <w:szCs w:val="21"/>
          <w:lang w:val="en-US" w:eastAsia="zh-CN"/>
        </w:rPr>
        <w:t>甲醇含量</w:t>
      </w:r>
      <w:r>
        <w:rPr>
          <w:rFonts w:hint="eastAsia" w:ascii="宋体" w:hAnsi="宋体" w:cs="宋体"/>
          <w:color w:val="auto"/>
          <w:kern w:val="0"/>
          <w:szCs w:val="21"/>
        </w:rPr>
        <w:t>（质量分数）、氧含量（质量分数）</w:t>
      </w:r>
      <w:r>
        <w:rPr>
          <w:rFonts w:hint="eastAsia" w:ascii="宋体" w:hAnsi="宋体" w:cs="宋体"/>
          <w:kern w:val="0"/>
          <w:szCs w:val="21"/>
        </w:rPr>
        <w:t>、苯含量（体积分数）、</w:t>
      </w:r>
      <w:r>
        <w:rPr>
          <w:rFonts w:hint="eastAsia" w:ascii="宋体" w:hAnsi="宋体" w:cs="宋体"/>
          <w:color w:val="000000" w:themeColor="text1"/>
          <w:kern w:val="0"/>
          <w:szCs w:val="21"/>
        </w:rPr>
        <w:t>密度的</w:t>
      </w:r>
      <w:r>
        <w:rPr>
          <w:rFonts w:hint="eastAsia" w:ascii="宋体" w:hAnsi="宋体" w:cs="宋体"/>
          <w:kern w:val="0"/>
          <w:szCs w:val="21"/>
        </w:rPr>
        <w:t>方法。</w:t>
      </w:r>
    </w:p>
    <w:p w14:paraId="0FF4A06A">
      <w:pPr>
        <w:spacing w:line="360" w:lineRule="auto"/>
        <w:ind w:firstLine="420" w:firstLineChars="200"/>
        <w:rPr>
          <w:rFonts w:ascii="宋体" w:hAnsi="宋体" w:cs="宋体"/>
          <w:kern w:val="0"/>
          <w:szCs w:val="21"/>
        </w:rPr>
      </w:pPr>
      <w:r>
        <w:rPr>
          <w:rFonts w:hint="eastAsia" w:ascii="宋体" w:hAnsi="宋体" w:cs="宋体"/>
          <w:kern w:val="0"/>
          <w:szCs w:val="21"/>
        </w:rPr>
        <w:t>本标准适用于车用车用汽油质量指标的快速检测。</w:t>
      </w:r>
    </w:p>
    <w:p w14:paraId="010F77AE">
      <w:pPr>
        <w:pStyle w:val="53"/>
        <w:spacing w:before="240" w:after="240" w:line="360" w:lineRule="auto"/>
      </w:pPr>
      <w:r>
        <w:rPr>
          <w:rFonts w:hint="eastAsia"/>
        </w:rPr>
        <w:t>B.2原理</w:t>
      </w:r>
    </w:p>
    <w:p w14:paraId="3AB24F9E">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在待测物的特征峰位置通过20</w:t>
      </w:r>
      <w:r>
        <w:rPr>
          <w:rFonts w:hint="eastAsia" w:ascii="宋体" w:hAnsi="宋体" w:cs="宋体"/>
        </w:rPr>
        <w:t>μm或100μm</w:t>
      </w:r>
      <w:r>
        <w:rPr>
          <w:rFonts w:hint="eastAsia" w:ascii="宋体" w:cs="宋体"/>
          <w:kern w:val="0"/>
          <w:szCs w:val="21"/>
        </w:rPr>
        <w:t>样品池，由吸光度和已知样品浓度建立待测物校准模型（拟合方程模型）或标准曲线，借助待测物特定的谱带对车用汽油中的待测物进行定性和定量。</w:t>
      </w:r>
    </w:p>
    <w:p w14:paraId="22EA2CD6">
      <w:pPr>
        <w:pStyle w:val="53"/>
        <w:spacing w:before="240" w:after="240" w:line="360" w:lineRule="auto"/>
      </w:pPr>
      <w:r>
        <w:rPr>
          <w:rFonts w:hint="eastAsia"/>
        </w:rPr>
        <w:t>B.3仪器</w:t>
      </w:r>
    </w:p>
    <w:p w14:paraId="3CCDAE62">
      <w:pPr>
        <w:pStyle w:val="50"/>
        <w:spacing w:beforeLines="0" w:afterLines="0" w:line="360" w:lineRule="auto"/>
        <w:rPr>
          <w:rFonts w:ascii="宋体" w:hAnsi="宋体" w:eastAsia="宋体" w:cs="宋体"/>
          <w:kern w:val="2"/>
          <w:szCs w:val="24"/>
        </w:rPr>
      </w:pPr>
      <w:r>
        <w:rPr>
          <w:rFonts w:hint="eastAsia" w:hAnsi="宋体"/>
        </w:rPr>
        <w:t xml:space="preserve">B.3.1  </w:t>
      </w:r>
      <w:r>
        <w:rPr>
          <w:rFonts w:hint="eastAsia" w:ascii="宋体" w:eastAsia="宋体" w:cs="宋体"/>
        </w:rPr>
        <w:t>傅立叶变换中红外光谱仪光谱的有效波数测量范围不少于</w:t>
      </w:r>
      <w:r>
        <w:rPr>
          <w:rFonts w:hint="eastAsia" w:ascii="宋体" w:eastAsia="宋体" w:cs="宋体"/>
          <w:color w:val="000000" w:themeColor="text1"/>
        </w:rPr>
        <w:t>4000 cm</w:t>
      </w:r>
      <w:r>
        <w:rPr>
          <w:rFonts w:hint="eastAsia" w:ascii="宋体" w:eastAsia="宋体" w:cs="宋体"/>
          <w:color w:val="000000" w:themeColor="text1"/>
          <w:vertAlign w:val="superscript"/>
        </w:rPr>
        <w:t>-1</w:t>
      </w:r>
      <w:r>
        <w:rPr>
          <w:rFonts w:hint="eastAsia" w:ascii="宋体" w:eastAsia="宋体" w:cs="宋体"/>
          <w:color w:val="000000" w:themeColor="text1"/>
        </w:rPr>
        <w:t>～631  cm</w:t>
      </w:r>
      <w:r>
        <w:rPr>
          <w:rFonts w:hint="eastAsia" w:ascii="宋体" w:eastAsia="宋体" w:cs="宋体"/>
          <w:color w:val="000000" w:themeColor="text1"/>
          <w:vertAlign w:val="superscript"/>
        </w:rPr>
        <w:t>-1</w:t>
      </w:r>
      <w:r>
        <w:rPr>
          <w:rFonts w:hint="eastAsia" w:ascii="宋体" w:eastAsia="宋体" w:cs="宋体"/>
          <w:color w:val="000000" w:themeColor="text1"/>
        </w:rPr>
        <w:t>，</w:t>
      </w:r>
      <w:r>
        <w:rPr>
          <w:rFonts w:hint="eastAsia" w:ascii="宋体" w:eastAsia="宋体" w:cs="宋体"/>
        </w:rPr>
        <w:t>光谱分辨率优于2cm</w:t>
      </w:r>
      <w:r>
        <w:rPr>
          <w:rFonts w:hint="eastAsia" w:ascii="宋体" w:eastAsia="宋体" w:cs="宋体"/>
          <w:vertAlign w:val="superscript"/>
        </w:rPr>
        <w:t>-1</w:t>
      </w:r>
      <w:r>
        <w:rPr>
          <w:rFonts w:hint="eastAsia" w:ascii="宋体" w:eastAsia="宋体" w:cs="宋体"/>
        </w:rPr>
        <w:t>（含2cm</w:t>
      </w:r>
      <w:r>
        <w:rPr>
          <w:rFonts w:hint="eastAsia" w:ascii="宋体" w:eastAsia="宋体" w:cs="宋体"/>
          <w:vertAlign w:val="superscript"/>
        </w:rPr>
        <w:t>-1</w:t>
      </w:r>
      <w:r>
        <w:rPr>
          <w:rFonts w:hint="eastAsia" w:ascii="宋体" w:eastAsia="宋体" w:cs="宋体"/>
        </w:rPr>
        <w:t>），波长准确性优于±0.01 cm</w:t>
      </w:r>
      <w:r>
        <w:rPr>
          <w:rFonts w:hint="eastAsia" w:ascii="宋体" w:eastAsia="宋体" w:cs="宋体"/>
          <w:vertAlign w:val="superscript"/>
        </w:rPr>
        <w:t>-1</w:t>
      </w:r>
      <w:r>
        <w:rPr>
          <w:rFonts w:hint="eastAsia" w:ascii="宋体" w:eastAsia="宋体" w:cs="宋体"/>
        </w:rPr>
        <w:t>，</w:t>
      </w:r>
      <w:r>
        <w:rPr>
          <w:rFonts w:hint="eastAsia" w:ascii="宋体" w:eastAsia="宋体" w:cs="宋体"/>
          <w:color w:val="000000" w:themeColor="text1"/>
        </w:rPr>
        <w:t>数据采集间隔优于0.05 cm</w:t>
      </w:r>
      <w:r>
        <w:rPr>
          <w:rFonts w:hint="eastAsia" w:ascii="宋体" w:eastAsia="宋体" w:cs="宋体"/>
          <w:color w:val="000000" w:themeColor="text1"/>
          <w:vertAlign w:val="superscript"/>
        </w:rPr>
        <w:t>-1</w:t>
      </w:r>
      <w:r>
        <w:rPr>
          <w:rFonts w:hint="eastAsia" w:ascii="宋体" w:eastAsia="宋体" w:cs="宋体"/>
          <w:color w:val="000000" w:themeColor="text1"/>
        </w:rPr>
        <w:t>（含0.05 cm</w:t>
      </w:r>
      <w:r>
        <w:rPr>
          <w:rFonts w:hint="eastAsia" w:ascii="宋体" w:eastAsia="宋体" w:cs="宋体"/>
          <w:color w:val="000000" w:themeColor="text1"/>
          <w:vertAlign w:val="superscript"/>
        </w:rPr>
        <w:t>-1</w:t>
      </w:r>
      <w:r>
        <w:rPr>
          <w:rFonts w:hint="eastAsia" w:ascii="宋体" w:eastAsia="宋体" w:cs="宋体"/>
          <w:color w:val="000000" w:themeColor="text1"/>
        </w:rPr>
        <w:t>）。</w:t>
      </w:r>
    </w:p>
    <w:p w14:paraId="3EB9E380">
      <w:pPr>
        <w:pStyle w:val="50"/>
        <w:spacing w:beforeLines="0" w:afterLines="0" w:line="360" w:lineRule="auto"/>
        <w:rPr>
          <w:rFonts w:ascii="宋体" w:eastAsia="宋体" w:cs="宋体"/>
        </w:rPr>
      </w:pPr>
      <w:r>
        <w:rPr>
          <w:rFonts w:hint="eastAsia"/>
          <w:szCs w:val="20"/>
        </w:rPr>
        <w:t xml:space="preserve">B.3.2 </w:t>
      </w:r>
      <w:r>
        <w:rPr>
          <w:rFonts w:hint="eastAsia" w:ascii="宋体" w:eastAsia="宋体" w:cs="宋体"/>
        </w:rPr>
        <w:t>样品池：防干涉透射式样品池，样品池光程0.1mm。为防止样品池窗口材料潮解面影响透过率，样品池可采用的窗口材料为ZnSe晶体；为获得良好的信噪比和平稳的光谱基线，样品池不应产生干涉条纹，可采用具有楔形结构的抗干涉样品池。测量时样品池内不应有气泡存在。</w:t>
      </w:r>
    </w:p>
    <w:p w14:paraId="665ED258">
      <w:pPr>
        <w:pStyle w:val="53"/>
        <w:spacing w:before="240" w:after="240" w:line="360" w:lineRule="auto"/>
      </w:pPr>
      <w:r>
        <w:rPr>
          <w:rFonts w:hint="eastAsia"/>
        </w:rPr>
        <w:t>B.4试剂和材料</w:t>
      </w:r>
    </w:p>
    <w:p w14:paraId="390701DB">
      <w:pPr>
        <w:pStyle w:val="50"/>
        <w:spacing w:beforeLines="0" w:afterLines="0" w:line="360" w:lineRule="auto"/>
        <w:rPr>
          <w:rFonts w:ascii="宋体" w:eastAsia="宋体" w:cs="宋体"/>
        </w:rPr>
      </w:pPr>
      <w:r>
        <w:rPr>
          <w:rFonts w:hint="eastAsia"/>
          <w:szCs w:val="20"/>
        </w:rPr>
        <w:t xml:space="preserve">B.4.1  </w:t>
      </w:r>
      <w:r>
        <w:rPr>
          <w:rFonts w:hint="eastAsia" w:ascii="宋体" w:eastAsia="宋体" w:cs="宋体"/>
        </w:rPr>
        <w:t xml:space="preserve"> 校准用的标准物质：苯胺、二甲氧基甲烷均为分析纯或分析纯以上级别试剂。</w:t>
      </w:r>
    </w:p>
    <w:p w14:paraId="6AE9A439">
      <w:pPr>
        <w:pStyle w:val="50"/>
        <w:spacing w:beforeLines="0" w:afterLines="0" w:line="360" w:lineRule="auto"/>
        <w:rPr>
          <w:rFonts w:ascii="宋体" w:eastAsia="宋体" w:cs="宋体"/>
        </w:rPr>
      </w:pPr>
      <w:r>
        <w:rPr>
          <w:rFonts w:hint="eastAsia"/>
          <w:szCs w:val="20"/>
        </w:rPr>
        <w:t>B.4.2</w:t>
      </w:r>
      <w:r>
        <w:rPr>
          <w:rFonts w:hint="eastAsia" w:ascii="宋体" w:eastAsia="宋体" w:cs="宋体"/>
        </w:rPr>
        <w:t xml:space="preserve"> 样品池冲洗溶剂：正己烷，分析纯。</w:t>
      </w:r>
    </w:p>
    <w:p w14:paraId="0071B705">
      <w:pPr>
        <w:pStyle w:val="53"/>
        <w:spacing w:before="240" w:after="240" w:line="360" w:lineRule="auto"/>
      </w:pPr>
      <w:r>
        <w:rPr>
          <w:rFonts w:hint="eastAsia"/>
        </w:rPr>
        <w:t>B.5测定样品模型的建立和验证</w:t>
      </w:r>
    </w:p>
    <w:p w14:paraId="36D6D647">
      <w:pPr>
        <w:pStyle w:val="50"/>
        <w:spacing w:beforeLines="100" w:afterLines="100" w:line="360" w:lineRule="auto"/>
      </w:pPr>
      <w:r>
        <w:rPr>
          <w:rFonts w:hint="eastAsia"/>
        </w:rPr>
        <w:t>B.5.1仪器准备</w:t>
      </w:r>
    </w:p>
    <w:p w14:paraId="3634C229">
      <w:pPr>
        <w:pStyle w:val="50"/>
        <w:spacing w:beforeLines="100" w:afterLines="100" w:line="360" w:lineRule="auto"/>
      </w:pPr>
      <w:r>
        <w:rPr>
          <w:rFonts w:hint="eastAsia"/>
        </w:rPr>
        <w:t>A.5.1.1仪器性能检查</w:t>
      </w:r>
    </w:p>
    <w:p w14:paraId="783CB09A">
      <w:pPr>
        <w:pStyle w:val="31"/>
        <w:spacing w:line="360" w:lineRule="auto"/>
      </w:pPr>
      <w:r>
        <w:rPr>
          <w:rFonts w:hint="eastAsia"/>
        </w:rPr>
        <w:t>每次测定试样光谱之前，应按照仪器操作手册检查仪器性能，确保仪器正常运行。</w:t>
      </w:r>
    </w:p>
    <w:p w14:paraId="00E97EA7">
      <w:pPr>
        <w:pStyle w:val="50"/>
        <w:spacing w:beforeLines="100" w:afterLines="100" w:line="360" w:lineRule="auto"/>
      </w:pPr>
      <w:r>
        <w:rPr>
          <w:rFonts w:hint="eastAsia"/>
        </w:rPr>
        <w:t>A.5.1.2 仪器工作参数设置</w:t>
      </w:r>
    </w:p>
    <w:p w14:paraId="73B4C517">
      <w:pPr>
        <w:pStyle w:val="31"/>
        <w:spacing w:line="360" w:lineRule="auto"/>
      </w:pPr>
      <w:r>
        <w:rPr>
          <w:rFonts w:hint="eastAsia"/>
        </w:rPr>
        <w:t>按照仪器操作手册设定仪器参数，按选择的</w:t>
      </w:r>
      <w:r>
        <w:rPr>
          <w:rFonts w:hint="eastAsia"/>
          <w:color w:val="000000" w:themeColor="text1"/>
        </w:rPr>
        <w:t>波</w:t>
      </w:r>
      <w:r>
        <w:rPr>
          <w:rFonts w:hint="eastAsia"/>
          <w:color w:val="000000" w:themeColor="text1"/>
          <w:lang w:val="en-US" w:eastAsia="zh-CN"/>
        </w:rPr>
        <w:t>数</w:t>
      </w:r>
      <w:r>
        <w:rPr>
          <w:rFonts w:hint="eastAsia"/>
          <w:color w:val="000000" w:themeColor="text1"/>
        </w:rPr>
        <w:t>范围进行设定，扫描波</w:t>
      </w:r>
      <w:r>
        <w:rPr>
          <w:rFonts w:hint="eastAsia"/>
          <w:color w:val="000000" w:themeColor="text1"/>
          <w:lang w:val="en-US" w:eastAsia="zh-CN"/>
        </w:rPr>
        <w:t>数</w:t>
      </w:r>
      <w:r>
        <w:rPr>
          <w:rFonts w:hint="eastAsia"/>
          <w:color w:val="000000" w:themeColor="text1"/>
        </w:rPr>
        <w:t>范围：4</w:t>
      </w:r>
      <w:r>
        <w:rPr>
          <w:color w:val="000000" w:themeColor="text1"/>
        </w:rPr>
        <w:t>0</w:t>
      </w:r>
      <w:r>
        <w:rPr>
          <w:rFonts w:hint="eastAsia"/>
          <w:color w:val="000000" w:themeColor="text1"/>
        </w:rPr>
        <w:t>00cm</w:t>
      </w:r>
      <w:r>
        <w:rPr>
          <w:rFonts w:hint="eastAsia"/>
          <w:color w:val="000000" w:themeColor="text1"/>
          <w:vertAlign w:val="superscript"/>
        </w:rPr>
        <w:t>-1</w:t>
      </w:r>
      <w:r>
        <w:rPr>
          <w:rFonts w:hint="eastAsia"/>
          <w:color w:val="000000" w:themeColor="text1"/>
        </w:rPr>
        <w:t>～631cm</w:t>
      </w:r>
      <w:r>
        <w:rPr>
          <w:rFonts w:hint="eastAsia"/>
          <w:color w:val="000000" w:themeColor="text1"/>
          <w:vertAlign w:val="superscript"/>
        </w:rPr>
        <w:t>-1</w:t>
      </w:r>
      <w:r>
        <w:rPr>
          <w:color w:val="000000" w:themeColor="text1"/>
        </w:rPr>
        <w:t xml:space="preserve"> </w:t>
      </w:r>
      <w:r>
        <w:rPr>
          <w:rFonts w:hint="eastAsia"/>
        </w:rPr>
        <w:t>。</w:t>
      </w:r>
    </w:p>
    <w:p w14:paraId="4A20F5C8">
      <w:pPr>
        <w:pStyle w:val="50"/>
        <w:spacing w:beforeLines="100" w:afterLines="100" w:line="360" w:lineRule="auto"/>
      </w:pPr>
      <w:r>
        <w:rPr>
          <w:rFonts w:hint="eastAsia"/>
        </w:rPr>
        <w:t xml:space="preserve">B.5.2化学组分的验证 </w:t>
      </w:r>
    </w:p>
    <w:p w14:paraId="5E8B431D">
      <w:pPr>
        <w:pStyle w:val="31"/>
        <w:spacing w:line="360" w:lineRule="auto"/>
      </w:pPr>
      <w:r>
        <w:rPr>
          <w:rFonts w:hint="eastAsia"/>
        </w:rPr>
        <w:t>仪器出厂对</w:t>
      </w:r>
      <w:r>
        <w:rPr>
          <w:rFonts w:hint="eastAsia" w:hAnsi="宋体"/>
          <w:color w:val="auto"/>
          <w:lang w:val="en-US" w:eastAsia="zh-CN"/>
        </w:rPr>
        <w:t>甲</w:t>
      </w:r>
      <w:r>
        <w:rPr>
          <w:rFonts w:hint="eastAsia" w:hAnsi="宋体"/>
          <w:color w:val="auto"/>
        </w:rPr>
        <w:t>醇、其他有机含氧化合物、</w:t>
      </w:r>
      <w:r>
        <w:rPr>
          <w:rFonts w:hAnsi="宋体"/>
          <w:color w:val="auto"/>
        </w:rPr>
        <w:t>苯</w:t>
      </w:r>
      <w:r>
        <w:rPr>
          <w:rFonts w:hAnsi="宋体"/>
        </w:rPr>
        <w:t>含量</w:t>
      </w:r>
      <w:r>
        <w:rPr>
          <w:rFonts w:hint="eastAsia" w:hAnsi="宋体"/>
        </w:rPr>
        <w:t>、甲缩醛、苯胺类化合物</w:t>
      </w:r>
      <w:r>
        <w:rPr>
          <w:rFonts w:hint="eastAsia"/>
        </w:rPr>
        <w:t>含量按照对应测定标准已经标定过，使用者可以自行对已知浓度并且涵盖测定范围样品进行验证，当不满足标准时，可以使用标定液或是自己配的溶液进行线性或非线性标定。</w:t>
      </w:r>
    </w:p>
    <w:p w14:paraId="35DDCB62">
      <w:pPr>
        <w:pStyle w:val="50"/>
        <w:spacing w:beforeLines="100" w:afterLines="100" w:line="360" w:lineRule="auto"/>
      </w:pPr>
      <w:r>
        <w:rPr>
          <w:rFonts w:hint="eastAsia" w:hAnsi="黑体"/>
        </w:rPr>
        <w:t>B.5.3</w:t>
      </w:r>
      <w:r>
        <w:rPr>
          <w:rFonts w:hint="eastAsia"/>
        </w:rPr>
        <w:t>基准数据测定</w:t>
      </w:r>
    </w:p>
    <w:p w14:paraId="5643F72A">
      <w:pPr>
        <w:spacing w:line="360" w:lineRule="auto"/>
        <w:ind w:left="420"/>
        <w:rPr>
          <w:rFonts w:ascii="宋体" w:hAnsi="宋体"/>
        </w:rPr>
      </w:pPr>
      <w:r>
        <w:rPr>
          <w:rFonts w:ascii="宋体" w:hAnsi="宋体"/>
        </w:rPr>
        <w:t>按照</w:t>
      </w:r>
      <w:r>
        <w:rPr>
          <w:rFonts w:hint="eastAsia" w:ascii="宋体" w:hAnsi="宋体"/>
        </w:rPr>
        <w:t>表1</w:t>
      </w:r>
      <w:r>
        <w:rPr>
          <w:rFonts w:ascii="宋体" w:hAnsi="宋体"/>
        </w:rPr>
        <w:t>规定的</w:t>
      </w:r>
      <w:r>
        <w:rPr>
          <w:rFonts w:hint="eastAsia" w:ascii="宋体" w:hAnsi="宋体"/>
        </w:rPr>
        <w:t>标准</w:t>
      </w:r>
      <w:r>
        <w:rPr>
          <w:rFonts w:ascii="宋体" w:hAnsi="宋体"/>
        </w:rPr>
        <w:t>方法，测定</w:t>
      </w:r>
      <w:r>
        <w:rPr>
          <w:rFonts w:hint="eastAsia" w:ascii="宋体" w:hAnsi="宋体"/>
        </w:rPr>
        <w:t>定标样品集</w:t>
      </w:r>
      <w:r>
        <w:rPr>
          <w:rFonts w:ascii="宋体" w:hAnsi="宋体"/>
        </w:rPr>
        <w:t>的</w:t>
      </w:r>
      <w:r>
        <w:rPr>
          <w:rFonts w:hint="eastAsia" w:ascii="宋体" w:hAnsi="宋体"/>
        </w:rPr>
        <w:t>基准数据</w:t>
      </w:r>
      <w:r>
        <w:rPr>
          <w:rFonts w:ascii="宋体" w:hAnsi="宋体"/>
        </w:rPr>
        <w:t>。</w:t>
      </w:r>
    </w:p>
    <w:tbl>
      <w:tblPr>
        <w:tblStyle w:val="40"/>
        <w:tblpPr w:leftFromText="180" w:rightFromText="180" w:vertAnchor="text" w:horzAnchor="margin" w:tblpY="910"/>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41"/>
        <w:gridCol w:w="4707"/>
      </w:tblGrid>
      <w:tr w14:paraId="6C95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trPr>
        <w:tc>
          <w:tcPr>
            <w:tcW w:w="4641" w:type="dxa"/>
            <w:shd w:val="clear" w:color="auto" w:fill="auto"/>
            <w:vAlign w:val="bottom"/>
          </w:tcPr>
          <w:p w14:paraId="698BAEF2">
            <w:pPr>
              <w:spacing w:line="360" w:lineRule="auto"/>
              <w:rPr>
                <w:rFonts w:ascii="宋体" w:hAnsi="宋体"/>
                <w:color w:val="auto"/>
              </w:rPr>
            </w:pPr>
            <w:r>
              <w:rPr>
                <w:rFonts w:ascii="宋体" w:hAnsi="宋体"/>
                <w:color w:val="auto"/>
              </w:rPr>
              <w:t>项  目</w:t>
            </w:r>
          </w:p>
        </w:tc>
        <w:tc>
          <w:tcPr>
            <w:tcW w:w="4707" w:type="dxa"/>
            <w:shd w:val="clear" w:color="auto" w:fill="auto"/>
            <w:vAlign w:val="bottom"/>
          </w:tcPr>
          <w:p w14:paraId="7EFC1BED">
            <w:pPr>
              <w:spacing w:line="360" w:lineRule="auto"/>
              <w:jc w:val="center"/>
              <w:rPr>
                <w:rFonts w:ascii="宋体" w:hAnsi="宋体"/>
                <w:w w:val="98"/>
              </w:rPr>
            </w:pPr>
            <w:r>
              <w:rPr>
                <w:rFonts w:hint="eastAsia" w:ascii="宋体" w:hAnsi="宋体"/>
              </w:rPr>
              <w:t>标准方法</w:t>
            </w:r>
          </w:p>
        </w:tc>
      </w:tr>
      <w:tr w14:paraId="52BA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trPr>
        <w:tc>
          <w:tcPr>
            <w:tcW w:w="4641" w:type="dxa"/>
            <w:shd w:val="clear" w:color="auto" w:fill="auto"/>
            <w:vAlign w:val="bottom"/>
          </w:tcPr>
          <w:p w14:paraId="6CB62BC5">
            <w:pPr>
              <w:spacing w:line="360" w:lineRule="auto"/>
              <w:rPr>
                <w:color w:val="auto"/>
                <w:szCs w:val="21"/>
              </w:rPr>
            </w:pPr>
            <w:r>
              <w:rPr>
                <w:rFonts w:hint="eastAsia"/>
                <w:color w:val="auto"/>
                <w:szCs w:val="21"/>
                <w:lang w:val="en-US" w:eastAsia="zh-CN"/>
              </w:rPr>
              <w:t>甲醇</w:t>
            </w:r>
            <w:r>
              <w:rPr>
                <w:rFonts w:hint="eastAsia"/>
                <w:color w:val="auto"/>
                <w:szCs w:val="21"/>
              </w:rPr>
              <w:t>含量</w:t>
            </w:r>
            <w:r>
              <w:rPr>
                <w:color w:val="auto"/>
                <w:szCs w:val="21"/>
              </w:rPr>
              <w:t>（</w:t>
            </w:r>
            <w:r>
              <w:rPr>
                <w:rFonts w:hint="eastAsia"/>
                <w:color w:val="auto"/>
                <w:szCs w:val="21"/>
                <w:lang w:val="en-US" w:eastAsia="zh-CN"/>
              </w:rPr>
              <w:t>质量</w:t>
            </w:r>
            <w:r>
              <w:rPr>
                <w:color w:val="auto"/>
                <w:szCs w:val="21"/>
              </w:rPr>
              <w:t>分数）</w:t>
            </w:r>
          </w:p>
        </w:tc>
        <w:tc>
          <w:tcPr>
            <w:tcW w:w="4707" w:type="dxa"/>
            <w:shd w:val="clear" w:color="auto" w:fill="auto"/>
            <w:vAlign w:val="bottom"/>
          </w:tcPr>
          <w:p w14:paraId="446AEA71">
            <w:pPr>
              <w:spacing w:line="360" w:lineRule="auto"/>
              <w:jc w:val="left"/>
              <w:rPr>
                <w:szCs w:val="21"/>
              </w:rPr>
            </w:pPr>
            <w:r>
              <w:rPr>
                <w:szCs w:val="21"/>
              </w:rPr>
              <w:t>NB/SH/T 0663</w:t>
            </w:r>
            <w:r>
              <w:rPr>
                <w:rFonts w:hint="eastAsia"/>
                <w:szCs w:val="21"/>
              </w:rPr>
              <w:t>、</w:t>
            </w:r>
            <w:r>
              <w:rPr>
                <w:szCs w:val="21"/>
              </w:rPr>
              <w:t>SH/T 0720</w:t>
            </w:r>
          </w:p>
        </w:tc>
      </w:tr>
      <w:tr w14:paraId="20A2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trPr>
        <w:tc>
          <w:tcPr>
            <w:tcW w:w="4641" w:type="dxa"/>
            <w:shd w:val="clear" w:color="auto" w:fill="auto"/>
            <w:vAlign w:val="bottom"/>
          </w:tcPr>
          <w:p w14:paraId="30E14BA2">
            <w:pPr>
              <w:spacing w:line="360" w:lineRule="auto"/>
              <w:rPr>
                <w:rFonts w:hint="eastAsia" w:eastAsia="宋体"/>
                <w:color w:val="auto"/>
                <w:szCs w:val="21"/>
                <w:lang w:eastAsia="zh-CN"/>
              </w:rPr>
            </w:pPr>
            <w:r>
              <w:rPr>
                <w:rFonts w:hint="eastAsia"/>
                <w:color w:val="auto"/>
                <w:szCs w:val="21"/>
              </w:rPr>
              <w:t>氧</w:t>
            </w:r>
            <w:r>
              <w:rPr>
                <w:color w:val="auto"/>
                <w:szCs w:val="21"/>
              </w:rPr>
              <w:t>含量</w:t>
            </w:r>
            <w:r>
              <w:rPr>
                <w:rFonts w:hint="eastAsia"/>
                <w:color w:val="auto"/>
                <w:szCs w:val="21"/>
                <w:lang w:eastAsia="zh-CN"/>
              </w:rPr>
              <w:t>（</w:t>
            </w:r>
            <w:r>
              <w:rPr>
                <w:rFonts w:hint="eastAsia"/>
                <w:color w:val="auto"/>
                <w:szCs w:val="21"/>
                <w:lang w:val="en-US" w:eastAsia="zh-CN"/>
              </w:rPr>
              <w:t>质量分数</w:t>
            </w:r>
            <w:r>
              <w:rPr>
                <w:rFonts w:hint="eastAsia"/>
                <w:color w:val="auto"/>
                <w:szCs w:val="21"/>
                <w:lang w:eastAsia="zh-CN"/>
              </w:rPr>
              <w:t>）</w:t>
            </w:r>
          </w:p>
        </w:tc>
        <w:tc>
          <w:tcPr>
            <w:tcW w:w="4707" w:type="dxa"/>
            <w:shd w:val="clear" w:color="auto" w:fill="auto"/>
            <w:vAlign w:val="bottom"/>
          </w:tcPr>
          <w:p w14:paraId="466D7A7C">
            <w:pPr>
              <w:spacing w:line="360" w:lineRule="auto"/>
              <w:jc w:val="left"/>
              <w:rPr>
                <w:szCs w:val="21"/>
              </w:rPr>
            </w:pPr>
            <w:r>
              <w:rPr>
                <w:szCs w:val="21"/>
              </w:rPr>
              <w:t>NB/SH/T 0663</w:t>
            </w:r>
            <w:r>
              <w:rPr>
                <w:rFonts w:hint="eastAsia"/>
                <w:szCs w:val="21"/>
              </w:rPr>
              <w:t>、SH/T 0720、</w:t>
            </w:r>
          </w:p>
        </w:tc>
      </w:tr>
      <w:tr w14:paraId="57BF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exact"/>
        </w:trPr>
        <w:tc>
          <w:tcPr>
            <w:tcW w:w="4641" w:type="dxa"/>
            <w:shd w:val="clear" w:color="auto" w:fill="auto"/>
            <w:vAlign w:val="bottom"/>
          </w:tcPr>
          <w:p w14:paraId="420EE133">
            <w:pPr>
              <w:spacing w:line="360" w:lineRule="auto"/>
              <w:rPr>
                <w:szCs w:val="21"/>
              </w:rPr>
            </w:pPr>
            <w:r>
              <w:rPr>
                <w:szCs w:val="21"/>
              </w:rPr>
              <w:t>苯含量（</w:t>
            </w:r>
            <w:r>
              <w:rPr>
                <w:rFonts w:hint="eastAsia"/>
                <w:szCs w:val="21"/>
              </w:rPr>
              <w:t>体积</w:t>
            </w:r>
            <w:r>
              <w:rPr>
                <w:szCs w:val="21"/>
              </w:rPr>
              <w:t>分数）</w:t>
            </w:r>
          </w:p>
        </w:tc>
        <w:tc>
          <w:tcPr>
            <w:tcW w:w="4707" w:type="dxa"/>
            <w:shd w:val="clear" w:color="auto" w:fill="auto"/>
            <w:vAlign w:val="bottom"/>
          </w:tcPr>
          <w:p w14:paraId="14BADE81">
            <w:pPr>
              <w:spacing w:line="360" w:lineRule="auto"/>
              <w:jc w:val="left"/>
              <w:rPr>
                <w:szCs w:val="21"/>
              </w:rPr>
            </w:pPr>
            <w:r>
              <w:rPr>
                <w:rFonts w:hint="eastAsia"/>
                <w:szCs w:val="21"/>
              </w:rPr>
              <w:t>SH/T 0713、GB/T 30519、SH/T 0693、GB/T 28768</w:t>
            </w:r>
          </w:p>
        </w:tc>
      </w:tr>
      <w:tr w14:paraId="3F79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trPr>
        <w:tc>
          <w:tcPr>
            <w:tcW w:w="4641" w:type="dxa"/>
            <w:shd w:val="clear" w:color="auto" w:fill="auto"/>
            <w:vAlign w:val="bottom"/>
          </w:tcPr>
          <w:p w14:paraId="5FE51ECD">
            <w:pPr>
              <w:spacing w:line="360" w:lineRule="auto"/>
              <w:rPr>
                <w:szCs w:val="21"/>
              </w:rPr>
            </w:pPr>
            <w:r>
              <w:rPr>
                <w:szCs w:val="21"/>
              </w:rPr>
              <w:t>密度</w:t>
            </w:r>
            <w:r>
              <w:rPr>
                <w:rFonts w:hint="eastAsia"/>
                <w:szCs w:val="21"/>
              </w:rPr>
              <w:t>（20℃）</w:t>
            </w:r>
          </w:p>
        </w:tc>
        <w:tc>
          <w:tcPr>
            <w:tcW w:w="4707" w:type="dxa"/>
            <w:shd w:val="clear" w:color="auto" w:fill="auto"/>
            <w:vAlign w:val="bottom"/>
          </w:tcPr>
          <w:p w14:paraId="6BE31795">
            <w:pPr>
              <w:spacing w:line="360" w:lineRule="auto"/>
              <w:jc w:val="left"/>
              <w:rPr>
                <w:szCs w:val="21"/>
              </w:rPr>
            </w:pPr>
            <w:r>
              <w:rPr>
                <w:rFonts w:hint="eastAsia"/>
                <w:szCs w:val="21"/>
              </w:rPr>
              <w:t>G</w:t>
            </w:r>
            <w:r>
              <w:rPr>
                <w:szCs w:val="21"/>
              </w:rPr>
              <w:t>B/T 1884</w:t>
            </w:r>
            <w:r>
              <w:rPr>
                <w:rFonts w:hint="eastAsia"/>
                <w:szCs w:val="21"/>
              </w:rPr>
              <w:t>、</w:t>
            </w:r>
            <w:r>
              <w:rPr>
                <w:szCs w:val="21"/>
              </w:rPr>
              <w:t>GB/T 1885</w:t>
            </w:r>
            <w:r>
              <w:rPr>
                <w:rFonts w:hint="eastAsia"/>
                <w:szCs w:val="21"/>
              </w:rPr>
              <w:t>、</w:t>
            </w:r>
            <w:r>
              <w:rPr>
                <w:szCs w:val="21"/>
              </w:rPr>
              <w:t>SH/T 0604</w:t>
            </w:r>
          </w:p>
        </w:tc>
      </w:tr>
    </w:tbl>
    <w:p w14:paraId="471A9B22">
      <w:pPr>
        <w:spacing w:beforeLines="100" w:afterLines="100" w:line="360" w:lineRule="auto"/>
        <w:ind w:left="420"/>
        <w:jc w:val="center"/>
        <w:rPr>
          <w:rFonts w:ascii="黑体" w:eastAsia="黑体"/>
          <w:kern w:val="0"/>
          <w:szCs w:val="21"/>
        </w:rPr>
      </w:pPr>
      <w:r>
        <w:rPr>
          <w:rFonts w:hint="eastAsia" w:ascii="黑体" w:eastAsia="黑体"/>
          <w:kern w:val="0"/>
          <w:szCs w:val="21"/>
        </w:rPr>
        <w:t xml:space="preserve">表1  </w:t>
      </w:r>
      <w:r>
        <w:rPr>
          <w:rFonts w:ascii="黑体" w:hAnsi="黑体" w:eastAsia="黑体"/>
        </w:rPr>
        <w:t>车用汽油</w:t>
      </w:r>
      <w:r>
        <w:rPr>
          <w:rFonts w:hint="eastAsia" w:ascii="黑体" w:eastAsia="黑体"/>
          <w:kern w:val="0"/>
          <w:szCs w:val="21"/>
        </w:rPr>
        <w:t>标准试验方法</w:t>
      </w:r>
    </w:p>
    <w:p w14:paraId="589F4F7F">
      <w:pPr>
        <w:pStyle w:val="50"/>
        <w:spacing w:beforeLines="0" w:afterLines="0" w:line="360" w:lineRule="auto"/>
      </w:pPr>
    </w:p>
    <w:p w14:paraId="41C51A51">
      <w:pPr>
        <w:pStyle w:val="50"/>
        <w:spacing w:beforeLines="100" w:afterLines="100" w:line="360" w:lineRule="auto"/>
      </w:pPr>
      <w:r>
        <w:rPr>
          <w:rFonts w:hint="eastAsia"/>
        </w:rPr>
        <w:t>B.5.4光谱数据采集</w:t>
      </w:r>
    </w:p>
    <w:p w14:paraId="3B969D02">
      <w:pPr>
        <w:pStyle w:val="31"/>
        <w:spacing w:line="360" w:lineRule="auto"/>
        <w:rPr>
          <w:rFonts w:hAnsi="宋体"/>
        </w:rPr>
      </w:pPr>
      <w:r>
        <w:rPr>
          <w:rFonts w:hint="eastAsia" w:hAnsi="宋体"/>
        </w:rPr>
        <w:t>以空气为参比，采集背景光谱，以消除空气中的二氧化碳、水分分子间的化学键的振动对结果产生的影响。样品摇匀后，把进样管放入样品中层，点击运行，仪器会自动进样，自动检测，自动排废液，结果以表格形式显示并且显示吸收谱线。</w:t>
      </w:r>
    </w:p>
    <w:p w14:paraId="765EB6B3">
      <w:pPr>
        <w:pStyle w:val="53"/>
        <w:spacing w:before="240" w:after="240" w:line="360" w:lineRule="auto"/>
      </w:pPr>
      <w:r>
        <w:rPr>
          <w:rFonts w:hint="eastAsia"/>
        </w:rPr>
        <w:t>B.6样品测定</w:t>
      </w:r>
    </w:p>
    <w:p w14:paraId="496A27AB">
      <w:pPr>
        <w:pStyle w:val="50"/>
        <w:spacing w:beforeLines="0" w:afterLines="0" w:line="360" w:lineRule="auto"/>
        <w:rPr>
          <w:rFonts w:asciiTheme="minorEastAsia" w:hAnsiTheme="minorEastAsia" w:eastAsiaTheme="minorEastAsia"/>
        </w:rPr>
      </w:pPr>
      <w:r>
        <w:rPr>
          <w:rFonts w:hint="eastAsia" w:asciiTheme="minorEastAsia" w:hAnsiTheme="minorEastAsia" w:eastAsiaTheme="minorEastAsia"/>
        </w:rPr>
        <w:t>B.6.1样品分析前摇匀静置1-2min。</w:t>
      </w:r>
    </w:p>
    <w:p w14:paraId="662AD445">
      <w:pPr>
        <w:pStyle w:val="50"/>
        <w:spacing w:beforeLines="0" w:afterLines="0" w:line="360" w:lineRule="auto"/>
        <w:rPr>
          <w:rFonts w:asciiTheme="minorEastAsia" w:hAnsiTheme="minorEastAsia" w:eastAsiaTheme="minorEastAsia"/>
        </w:rPr>
      </w:pPr>
      <w:r>
        <w:rPr>
          <w:rFonts w:hint="eastAsia" w:asciiTheme="minorEastAsia" w:hAnsiTheme="minorEastAsia" w:eastAsiaTheme="minorEastAsia"/>
        </w:rPr>
        <w:t>B.6.2化学组分通过特征峰定性，谱线库标准物质谱线计算出数据。</w:t>
      </w:r>
    </w:p>
    <w:p w14:paraId="4A1B9BEB">
      <w:pPr>
        <w:pStyle w:val="53"/>
        <w:spacing w:before="240" w:after="240" w:line="360" w:lineRule="auto"/>
      </w:pPr>
      <w:r>
        <w:rPr>
          <w:rFonts w:hint="eastAsia"/>
        </w:rPr>
        <w:t>B.7结果报告</w:t>
      </w:r>
    </w:p>
    <w:p w14:paraId="58066892">
      <w:pPr>
        <w:pStyle w:val="50"/>
        <w:spacing w:beforeLines="0" w:afterLines="0" w:line="360" w:lineRule="auto"/>
        <w:rPr>
          <w:rFonts w:ascii="宋体" w:eastAsia="宋体"/>
          <w:color w:val="00B0F0"/>
          <w:szCs w:val="20"/>
        </w:rPr>
      </w:pPr>
      <w:r>
        <w:rPr>
          <w:rFonts w:hint="eastAsia" w:ascii="宋体" w:eastAsia="宋体"/>
          <w:color w:val="000000" w:themeColor="text1"/>
          <w:szCs w:val="20"/>
        </w:rPr>
        <w:t>报告每种化合物的测定结果，精确至0.01%。</w:t>
      </w:r>
    </w:p>
    <w:p w14:paraId="3A7B483C">
      <w:pPr>
        <w:pStyle w:val="53"/>
        <w:spacing w:before="240" w:after="240" w:line="360" w:lineRule="auto"/>
      </w:pPr>
      <w:r>
        <w:rPr>
          <w:rFonts w:hint="eastAsia"/>
        </w:rPr>
        <w:t>B.8重复性</w:t>
      </w:r>
    </w:p>
    <w:p w14:paraId="43B1D1B0">
      <w:pPr>
        <w:pStyle w:val="31"/>
        <w:spacing w:line="360" w:lineRule="auto"/>
      </w:pPr>
      <w:r>
        <w:rPr>
          <w:rFonts w:hint="eastAsia"/>
        </w:rPr>
        <w:t>由同一操作者,在同一实验室，使用同一台仪器，对同一样品连续测定的两个试验结果之差不应超过表2所列数值。</w:t>
      </w:r>
    </w:p>
    <w:p w14:paraId="20A10373">
      <w:pPr>
        <w:pStyle w:val="53"/>
        <w:spacing w:before="240" w:after="240" w:line="360" w:lineRule="auto"/>
        <w:rPr>
          <w:rFonts w:hint="eastAsia" w:eastAsia="黑体"/>
          <w:lang w:val="en-US" w:eastAsia="zh-CN"/>
        </w:rPr>
      </w:pPr>
      <w:r>
        <w:rPr>
          <w:rFonts w:hint="eastAsia"/>
        </w:rPr>
        <w:t>B.9</w:t>
      </w:r>
      <w:r>
        <w:rPr>
          <w:rFonts w:hint="eastAsia"/>
          <w:lang w:val="en-US" w:eastAsia="zh-CN"/>
        </w:rPr>
        <w:t>再现性</w:t>
      </w:r>
    </w:p>
    <w:p w14:paraId="1CB2A6EA">
      <w:pPr>
        <w:pStyle w:val="31"/>
        <w:spacing w:line="360" w:lineRule="auto"/>
      </w:pPr>
      <w:r>
        <w:rPr>
          <w:rFonts w:hint="eastAsia"/>
        </w:rPr>
        <w:t>中红外光谱法的测定结果，与按照表1所列的标准方法的测定结果之差不应超过表2所列数值。</w:t>
      </w:r>
    </w:p>
    <w:p w14:paraId="30A0AF26">
      <w:pPr>
        <w:spacing w:beforeLines="100" w:afterLines="100" w:line="360" w:lineRule="auto"/>
        <w:ind w:left="2557"/>
        <w:rPr>
          <w:rFonts w:hint="eastAsia" w:ascii="黑体" w:hAnsi="黑体" w:eastAsia="黑体"/>
          <w:color w:val="00B0F0"/>
          <w:lang w:val="en-US" w:eastAsia="zh-CN"/>
        </w:rPr>
      </w:pPr>
      <w:r>
        <w:rPr>
          <w:rFonts w:ascii="黑体" w:hAnsi="黑体" w:eastAsia="黑体"/>
        </w:rPr>
        <w:t>表</w:t>
      </w:r>
      <w:r>
        <w:rPr>
          <w:rFonts w:hint="eastAsia" w:asciiTheme="minorEastAsia" w:hAnsiTheme="minorEastAsia" w:eastAsiaTheme="minorEastAsia"/>
        </w:rPr>
        <w:t xml:space="preserve">2  </w:t>
      </w:r>
      <w:r>
        <w:rPr>
          <w:rFonts w:ascii="黑体" w:hAnsi="黑体" w:eastAsia="黑体"/>
        </w:rPr>
        <w:t>车用汽油各项质量指标重复性和</w:t>
      </w:r>
      <w:r>
        <w:rPr>
          <w:rFonts w:hint="eastAsia" w:ascii="黑体" w:hAnsi="黑体" w:eastAsia="黑体"/>
          <w:lang w:val="en-US" w:eastAsia="zh-CN"/>
        </w:rPr>
        <w:t>再现性</w:t>
      </w:r>
    </w:p>
    <w:tbl>
      <w:tblPr>
        <w:tblStyle w:val="40"/>
        <w:tblW w:w="8351" w:type="dxa"/>
        <w:jc w:val="center"/>
        <w:tblLayout w:type="fixed"/>
        <w:tblCellMar>
          <w:top w:w="0" w:type="dxa"/>
          <w:left w:w="0" w:type="dxa"/>
          <w:bottom w:w="0" w:type="dxa"/>
          <w:right w:w="0" w:type="dxa"/>
        </w:tblCellMar>
      </w:tblPr>
      <w:tblGrid>
        <w:gridCol w:w="3117"/>
        <w:gridCol w:w="2475"/>
        <w:gridCol w:w="2759"/>
      </w:tblGrid>
      <w:tr w14:paraId="15D176F6">
        <w:tblPrEx>
          <w:tblCellMar>
            <w:top w:w="0" w:type="dxa"/>
            <w:left w:w="0" w:type="dxa"/>
            <w:bottom w:w="0" w:type="dxa"/>
            <w:right w:w="0" w:type="dxa"/>
          </w:tblCellMar>
        </w:tblPrEx>
        <w:trPr>
          <w:trHeight w:val="247" w:hRule="atLeast"/>
          <w:jc w:val="center"/>
        </w:trPr>
        <w:tc>
          <w:tcPr>
            <w:tcW w:w="3117" w:type="dxa"/>
            <w:tcBorders>
              <w:top w:val="single" w:color="auto" w:sz="8" w:space="0"/>
              <w:left w:val="single" w:color="auto" w:sz="8" w:space="0"/>
              <w:right w:val="single" w:color="auto" w:sz="8" w:space="0"/>
            </w:tcBorders>
            <w:shd w:val="clear" w:color="auto" w:fill="auto"/>
            <w:vAlign w:val="center"/>
          </w:tcPr>
          <w:p w14:paraId="11FBEEAD">
            <w:pPr>
              <w:spacing w:line="360" w:lineRule="auto"/>
              <w:jc w:val="center"/>
              <w:rPr>
                <w:rFonts w:ascii="宋体" w:hAnsi="宋体"/>
              </w:rPr>
            </w:pPr>
            <w:r>
              <w:rPr>
                <w:rFonts w:ascii="宋体" w:hAnsi="宋体"/>
              </w:rPr>
              <w:t>项  目</w:t>
            </w:r>
          </w:p>
        </w:tc>
        <w:tc>
          <w:tcPr>
            <w:tcW w:w="2475" w:type="dxa"/>
            <w:tcBorders>
              <w:top w:val="single" w:color="auto" w:sz="8" w:space="0"/>
              <w:right w:val="single" w:color="auto" w:sz="8" w:space="0"/>
            </w:tcBorders>
            <w:shd w:val="clear" w:color="auto" w:fill="auto"/>
            <w:vAlign w:val="center"/>
          </w:tcPr>
          <w:p w14:paraId="143D1E90">
            <w:pPr>
              <w:spacing w:line="360" w:lineRule="auto"/>
              <w:jc w:val="center"/>
              <w:rPr>
                <w:rFonts w:ascii="宋体" w:hAnsi="宋体"/>
              </w:rPr>
            </w:pPr>
            <w:r>
              <w:rPr>
                <w:rFonts w:ascii="宋体" w:hAnsi="宋体"/>
              </w:rPr>
              <w:t>重复性</w:t>
            </w:r>
          </w:p>
        </w:tc>
        <w:tc>
          <w:tcPr>
            <w:tcW w:w="2759" w:type="dxa"/>
            <w:tcBorders>
              <w:top w:val="single" w:color="auto" w:sz="8" w:space="0"/>
              <w:right w:val="single" w:color="auto" w:sz="8" w:space="0"/>
            </w:tcBorders>
            <w:vAlign w:val="center"/>
          </w:tcPr>
          <w:p w14:paraId="7F9CE2E6">
            <w:pPr>
              <w:spacing w:line="360" w:lineRule="auto"/>
              <w:jc w:val="center"/>
              <w:rPr>
                <w:rFonts w:hint="eastAsia" w:ascii="宋体" w:hAnsi="宋体" w:eastAsia="宋体"/>
                <w:lang w:val="en-US" w:eastAsia="zh-CN"/>
              </w:rPr>
            </w:pPr>
            <w:r>
              <w:rPr>
                <w:rFonts w:hint="eastAsia" w:ascii="宋体" w:hAnsi="宋体"/>
                <w:lang w:val="en-US" w:eastAsia="zh-CN"/>
              </w:rPr>
              <w:t>再现性</w:t>
            </w:r>
          </w:p>
        </w:tc>
      </w:tr>
      <w:tr w14:paraId="1235D348">
        <w:tblPrEx>
          <w:tblCellMar>
            <w:top w:w="0" w:type="dxa"/>
            <w:left w:w="0" w:type="dxa"/>
            <w:bottom w:w="0" w:type="dxa"/>
            <w:right w:w="0" w:type="dxa"/>
          </w:tblCellMar>
        </w:tblPrEx>
        <w:trPr>
          <w:trHeight w:val="766" w:hRule="atLeast"/>
          <w:jc w:val="center"/>
        </w:trPr>
        <w:tc>
          <w:tcPr>
            <w:tcW w:w="3117" w:type="dxa"/>
            <w:tcBorders>
              <w:top w:val="single" w:color="auto" w:sz="4" w:space="0"/>
              <w:left w:val="single" w:color="auto" w:sz="8" w:space="0"/>
              <w:bottom w:val="single" w:color="auto" w:sz="8" w:space="0"/>
              <w:right w:val="single" w:color="auto" w:sz="8" w:space="0"/>
            </w:tcBorders>
            <w:shd w:val="clear" w:color="auto" w:fill="auto"/>
            <w:vAlign w:val="center"/>
          </w:tcPr>
          <w:p w14:paraId="53E3069D">
            <w:pPr>
              <w:spacing w:line="360" w:lineRule="auto"/>
              <w:rPr>
                <w:rFonts w:hint="default"/>
                <w:color w:val="auto"/>
                <w:szCs w:val="21"/>
                <w:lang w:val="en-US" w:eastAsia="zh-CN"/>
              </w:rPr>
            </w:pPr>
            <w:r>
              <w:rPr>
                <w:rFonts w:hint="eastAsia"/>
                <w:color w:val="auto"/>
                <w:szCs w:val="21"/>
                <w:lang w:val="en-US" w:eastAsia="zh-CN"/>
              </w:rPr>
              <w:t>甲醇含量</w:t>
            </w:r>
            <w:r>
              <w:rPr>
                <w:color w:val="auto"/>
                <w:szCs w:val="21"/>
              </w:rPr>
              <w:t>（质量分数）/%</w:t>
            </w:r>
          </w:p>
        </w:tc>
        <w:tc>
          <w:tcPr>
            <w:tcW w:w="2475" w:type="dxa"/>
            <w:tcBorders>
              <w:top w:val="single" w:color="auto" w:sz="4" w:space="0"/>
              <w:bottom w:val="single" w:color="auto" w:sz="8" w:space="0"/>
              <w:right w:val="single" w:color="auto" w:sz="8" w:space="0"/>
            </w:tcBorders>
            <w:shd w:val="clear" w:color="auto" w:fill="auto"/>
            <w:vAlign w:val="center"/>
          </w:tcPr>
          <w:p w14:paraId="3062EB04">
            <w:pPr>
              <w:spacing w:line="360" w:lineRule="auto"/>
              <w:jc w:val="center"/>
              <w:rPr>
                <w:rFonts w:hint="default" w:eastAsia="宋体"/>
                <w:color w:val="auto"/>
                <w:szCs w:val="21"/>
                <w:lang w:val="en-US" w:eastAsia="zh-CN"/>
              </w:rPr>
            </w:pPr>
            <w:r>
              <w:rPr>
                <w:rFonts w:hint="eastAsia"/>
                <w:color w:val="auto"/>
                <w:szCs w:val="21"/>
                <w:lang w:val="en-US" w:eastAsia="zh-CN"/>
              </w:rPr>
              <w:t>0.04</w:t>
            </w:r>
          </w:p>
        </w:tc>
        <w:tc>
          <w:tcPr>
            <w:tcW w:w="2759" w:type="dxa"/>
            <w:tcBorders>
              <w:top w:val="single" w:color="auto" w:sz="4" w:space="0"/>
              <w:bottom w:val="single" w:color="auto" w:sz="8" w:space="0"/>
              <w:right w:val="single" w:color="auto" w:sz="8" w:space="0"/>
            </w:tcBorders>
            <w:vAlign w:val="center"/>
          </w:tcPr>
          <w:p w14:paraId="70DCA866">
            <w:pPr>
              <w:spacing w:line="360" w:lineRule="auto"/>
              <w:rPr>
                <w:rFonts w:hint="eastAsia" w:eastAsia="宋体"/>
                <w:color w:val="auto"/>
                <w:sz w:val="28"/>
                <w:szCs w:val="28"/>
                <w:lang w:val="en-US" w:eastAsia="zh-CN"/>
              </w:rPr>
            </w:pPr>
            <w:r>
              <w:rPr>
                <w:rFonts w:hint="eastAsia"/>
                <w:szCs w:val="21"/>
                <w:lang w:val="en-US" w:eastAsia="zh-CN"/>
              </w:rPr>
              <w:t>同</w:t>
            </w:r>
            <w:r>
              <w:rPr>
                <w:szCs w:val="21"/>
              </w:rPr>
              <w:t>NB/SH/T 0663</w:t>
            </w:r>
            <w:r>
              <w:rPr>
                <w:rFonts w:hint="eastAsia"/>
                <w:szCs w:val="21"/>
                <w:lang w:val="en-US" w:eastAsia="zh-CN"/>
              </w:rPr>
              <w:t>再现性</w:t>
            </w:r>
          </w:p>
        </w:tc>
      </w:tr>
      <w:tr w14:paraId="30477764">
        <w:tblPrEx>
          <w:tblCellMar>
            <w:top w:w="0" w:type="dxa"/>
            <w:left w:w="0" w:type="dxa"/>
            <w:bottom w:w="0" w:type="dxa"/>
            <w:right w:w="0" w:type="dxa"/>
          </w:tblCellMar>
        </w:tblPrEx>
        <w:trPr>
          <w:trHeight w:val="261" w:hRule="atLeast"/>
          <w:jc w:val="center"/>
        </w:trPr>
        <w:tc>
          <w:tcPr>
            <w:tcW w:w="3117" w:type="dxa"/>
            <w:tcBorders>
              <w:top w:val="single" w:color="auto" w:sz="4" w:space="0"/>
              <w:left w:val="single" w:color="auto" w:sz="8" w:space="0"/>
              <w:bottom w:val="single" w:color="auto" w:sz="8" w:space="0"/>
              <w:right w:val="single" w:color="auto" w:sz="8" w:space="0"/>
            </w:tcBorders>
            <w:shd w:val="clear" w:color="auto" w:fill="auto"/>
            <w:vAlign w:val="center"/>
          </w:tcPr>
          <w:p w14:paraId="2AB9FF99">
            <w:pPr>
              <w:spacing w:line="360" w:lineRule="auto"/>
              <w:rPr>
                <w:color w:val="auto"/>
                <w:szCs w:val="21"/>
              </w:rPr>
            </w:pPr>
            <w:r>
              <w:rPr>
                <w:rFonts w:hint="eastAsia"/>
                <w:color w:val="auto"/>
                <w:szCs w:val="21"/>
              </w:rPr>
              <w:t>氧含量</w:t>
            </w:r>
            <w:r>
              <w:rPr>
                <w:color w:val="auto"/>
                <w:szCs w:val="21"/>
              </w:rPr>
              <w:t>（质量分数）/%</w:t>
            </w:r>
          </w:p>
        </w:tc>
        <w:tc>
          <w:tcPr>
            <w:tcW w:w="2475" w:type="dxa"/>
            <w:tcBorders>
              <w:top w:val="single" w:color="auto" w:sz="4" w:space="0"/>
              <w:bottom w:val="single" w:color="auto" w:sz="8" w:space="0"/>
              <w:right w:val="single" w:color="auto" w:sz="8" w:space="0"/>
            </w:tcBorders>
            <w:shd w:val="clear" w:color="auto" w:fill="auto"/>
            <w:vAlign w:val="center"/>
          </w:tcPr>
          <w:p w14:paraId="7C625D59">
            <w:pPr>
              <w:spacing w:line="360" w:lineRule="auto"/>
              <w:jc w:val="center"/>
              <w:rPr>
                <w:rFonts w:hint="default" w:eastAsia="宋体"/>
                <w:color w:val="auto"/>
                <w:szCs w:val="21"/>
                <w:lang w:val="en-US" w:eastAsia="zh-CN"/>
              </w:rPr>
            </w:pPr>
            <w:r>
              <w:rPr>
                <w:rFonts w:hint="eastAsia"/>
                <w:color w:val="auto"/>
                <w:szCs w:val="21"/>
                <w:lang w:val="en-US" w:eastAsia="zh-CN"/>
              </w:rPr>
              <w:t>0.10</w:t>
            </w:r>
          </w:p>
        </w:tc>
        <w:tc>
          <w:tcPr>
            <w:tcW w:w="2759" w:type="dxa"/>
            <w:tcBorders>
              <w:top w:val="single" w:color="auto" w:sz="4" w:space="0"/>
              <w:bottom w:val="single" w:color="auto" w:sz="8" w:space="0"/>
              <w:right w:val="single" w:color="auto" w:sz="8" w:space="0"/>
            </w:tcBorders>
            <w:vAlign w:val="center"/>
          </w:tcPr>
          <w:p w14:paraId="58AE6635">
            <w:pPr>
              <w:spacing w:line="360" w:lineRule="auto"/>
              <w:rPr>
                <w:rFonts w:hint="default" w:eastAsia="宋体"/>
                <w:color w:val="C00000"/>
                <w:szCs w:val="21"/>
                <w:lang w:val="en-US" w:eastAsia="zh-CN"/>
              </w:rPr>
            </w:pPr>
            <w:r>
              <w:rPr>
                <w:rFonts w:hint="eastAsia"/>
                <w:szCs w:val="21"/>
                <w:lang w:val="en-US" w:eastAsia="zh-CN"/>
              </w:rPr>
              <w:t>同</w:t>
            </w:r>
            <w:r>
              <w:rPr>
                <w:szCs w:val="21"/>
              </w:rPr>
              <w:t>NB/SH/T 0663</w:t>
            </w:r>
            <w:r>
              <w:rPr>
                <w:rFonts w:hint="eastAsia"/>
                <w:szCs w:val="21"/>
                <w:lang w:val="en-US" w:eastAsia="zh-CN"/>
              </w:rPr>
              <w:t>再现性</w:t>
            </w:r>
          </w:p>
        </w:tc>
      </w:tr>
      <w:tr w14:paraId="5EE1409C">
        <w:tblPrEx>
          <w:tblCellMar>
            <w:top w:w="0" w:type="dxa"/>
            <w:left w:w="0" w:type="dxa"/>
            <w:bottom w:w="0" w:type="dxa"/>
            <w:right w:w="0" w:type="dxa"/>
          </w:tblCellMar>
        </w:tblPrEx>
        <w:trPr>
          <w:trHeight w:val="261" w:hRule="atLeast"/>
          <w:jc w:val="center"/>
        </w:trPr>
        <w:tc>
          <w:tcPr>
            <w:tcW w:w="3117" w:type="dxa"/>
            <w:tcBorders>
              <w:top w:val="single" w:color="auto" w:sz="4" w:space="0"/>
              <w:left w:val="single" w:color="auto" w:sz="8" w:space="0"/>
              <w:bottom w:val="single" w:color="auto" w:sz="8" w:space="0"/>
              <w:right w:val="single" w:color="auto" w:sz="8" w:space="0"/>
            </w:tcBorders>
            <w:shd w:val="clear" w:color="auto" w:fill="auto"/>
            <w:vAlign w:val="center"/>
          </w:tcPr>
          <w:p w14:paraId="562F7D45">
            <w:pPr>
              <w:spacing w:line="360" w:lineRule="auto"/>
              <w:rPr>
                <w:color w:val="auto"/>
                <w:szCs w:val="21"/>
              </w:rPr>
            </w:pPr>
            <w:r>
              <w:rPr>
                <w:color w:val="auto"/>
                <w:szCs w:val="21"/>
              </w:rPr>
              <w:t>苯含量（体积分数）/%</w:t>
            </w:r>
          </w:p>
        </w:tc>
        <w:tc>
          <w:tcPr>
            <w:tcW w:w="2475" w:type="dxa"/>
            <w:tcBorders>
              <w:top w:val="single" w:color="auto" w:sz="4" w:space="0"/>
              <w:bottom w:val="single" w:color="auto" w:sz="8" w:space="0"/>
              <w:right w:val="single" w:color="auto" w:sz="8" w:space="0"/>
            </w:tcBorders>
            <w:shd w:val="clear" w:color="auto" w:fill="auto"/>
            <w:vAlign w:val="center"/>
          </w:tcPr>
          <w:p w14:paraId="64935E4B">
            <w:pPr>
              <w:spacing w:line="360" w:lineRule="auto"/>
              <w:jc w:val="center"/>
              <w:rPr>
                <w:color w:val="auto"/>
                <w:szCs w:val="21"/>
              </w:rPr>
            </w:pPr>
            <w:r>
              <w:rPr>
                <w:rFonts w:hint="eastAsia"/>
                <w:color w:val="auto"/>
                <w:szCs w:val="21"/>
              </w:rPr>
              <w:t>0.03</w:t>
            </w:r>
          </w:p>
        </w:tc>
        <w:tc>
          <w:tcPr>
            <w:tcW w:w="2759" w:type="dxa"/>
            <w:tcBorders>
              <w:top w:val="single" w:color="auto" w:sz="4" w:space="0"/>
              <w:bottom w:val="single" w:color="auto" w:sz="8" w:space="0"/>
              <w:right w:val="single" w:color="auto" w:sz="8" w:space="0"/>
            </w:tcBorders>
            <w:vAlign w:val="center"/>
          </w:tcPr>
          <w:p w14:paraId="465AEB42">
            <w:pPr>
              <w:spacing w:line="360" w:lineRule="auto"/>
              <w:rPr>
                <w:rFonts w:hint="eastAsia" w:eastAsia="宋体"/>
                <w:color w:val="C00000"/>
                <w:szCs w:val="21"/>
                <w:lang w:eastAsia="zh-CN"/>
              </w:rPr>
            </w:pPr>
            <w:r>
              <w:rPr>
                <w:rFonts w:hint="eastAsia"/>
                <w:szCs w:val="21"/>
                <w:lang w:val="en-US" w:eastAsia="zh-CN"/>
              </w:rPr>
              <w:t>同</w:t>
            </w:r>
            <w:r>
              <w:rPr>
                <w:szCs w:val="21"/>
              </w:rPr>
              <w:t xml:space="preserve">SH/T </w:t>
            </w:r>
            <w:r>
              <w:rPr>
                <w:rFonts w:hint="eastAsia"/>
                <w:szCs w:val="21"/>
                <w:lang w:val="en-US" w:eastAsia="zh-CN"/>
              </w:rPr>
              <w:t>0713再现性</w:t>
            </w:r>
          </w:p>
        </w:tc>
      </w:tr>
      <w:tr w14:paraId="37D8FEFA">
        <w:tblPrEx>
          <w:tblCellMar>
            <w:top w:w="0" w:type="dxa"/>
            <w:left w:w="0" w:type="dxa"/>
            <w:bottom w:w="0" w:type="dxa"/>
            <w:right w:w="0" w:type="dxa"/>
          </w:tblCellMar>
        </w:tblPrEx>
        <w:trPr>
          <w:trHeight w:val="260" w:hRule="atLeast"/>
          <w:jc w:val="center"/>
        </w:trPr>
        <w:tc>
          <w:tcPr>
            <w:tcW w:w="3117" w:type="dxa"/>
            <w:tcBorders>
              <w:left w:val="single" w:color="auto" w:sz="8" w:space="0"/>
              <w:bottom w:val="single" w:color="auto" w:sz="8" w:space="0"/>
              <w:right w:val="single" w:color="auto" w:sz="8" w:space="0"/>
            </w:tcBorders>
            <w:shd w:val="clear" w:color="auto" w:fill="auto"/>
            <w:vAlign w:val="center"/>
          </w:tcPr>
          <w:p w14:paraId="5BA0FCFB">
            <w:pPr>
              <w:spacing w:line="360" w:lineRule="auto"/>
              <w:rPr>
                <w:color w:val="auto"/>
                <w:szCs w:val="21"/>
              </w:rPr>
            </w:pPr>
            <w:r>
              <w:rPr>
                <w:color w:val="auto"/>
                <w:szCs w:val="21"/>
              </w:rPr>
              <w:t>密度</w:t>
            </w:r>
            <w:r>
              <w:rPr>
                <w:rFonts w:hint="eastAsia"/>
                <w:color w:val="auto"/>
                <w:szCs w:val="21"/>
              </w:rPr>
              <w:t>（20）</w:t>
            </w:r>
            <w:r>
              <w:rPr>
                <w:color w:val="auto"/>
                <w:szCs w:val="21"/>
              </w:rPr>
              <w:t>/(kg/m</w:t>
            </w:r>
            <w:r>
              <w:rPr>
                <w:color w:val="auto"/>
                <w:szCs w:val="21"/>
                <w:vertAlign w:val="superscript"/>
              </w:rPr>
              <w:t>3</w:t>
            </w:r>
            <w:r>
              <w:rPr>
                <w:color w:val="auto"/>
                <w:szCs w:val="21"/>
              </w:rPr>
              <w:t>)</w:t>
            </w:r>
          </w:p>
        </w:tc>
        <w:tc>
          <w:tcPr>
            <w:tcW w:w="2475" w:type="dxa"/>
            <w:tcBorders>
              <w:bottom w:val="single" w:color="auto" w:sz="8" w:space="0"/>
              <w:right w:val="single" w:color="auto" w:sz="8" w:space="0"/>
            </w:tcBorders>
            <w:shd w:val="clear" w:color="auto" w:fill="auto"/>
            <w:vAlign w:val="center"/>
          </w:tcPr>
          <w:p w14:paraId="5551495A">
            <w:pPr>
              <w:spacing w:line="360" w:lineRule="auto"/>
              <w:jc w:val="center"/>
              <w:rPr>
                <w:color w:val="auto"/>
                <w:szCs w:val="21"/>
              </w:rPr>
            </w:pPr>
            <w:r>
              <w:rPr>
                <w:rFonts w:hint="eastAsia"/>
                <w:color w:val="auto"/>
                <w:szCs w:val="21"/>
              </w:rPr>
              <w:t>0.5</w:t>
            </w:r>
          </w:p>
        </w:tc>
        <w:tc>
          <w:tcPr>
            <w:tcW w:w="2759" w:type="dxa"/>
            <w:tcBorders>
              <w:bottom w:val="single" w:color="auto" w:sz="8" w:space="0"/>
              <w:right w:val="single" w:color="auto" w:sz="8" w:space="0"/>
            </w:tcBorders>
            <w:vAlign w:val="center"/>
          </w:tcPr>
          <w:p w14:paraId="154AFBAB">
            <w:pPr>
              <w:spacing w:line="360" w:lineRule="auto"/>
              <w:jc w:val="center"/>
              <w:rPr>
                <w:color w:val="C00000"/>
                <w:szCs w:val="21"/>
              </w:rPr>
            </w:pPr>
            <w:r>
              <w:rPr>
                <w:rFonts w:hint="eastAsia"/>
                <w:color w:val="000000" w:themeColor="text1"/>
                <w:szCs w:val="21"/>
              </w:rPr>
              <w:t>1.2</w:t>
            </w:r>
          </w:p>
        </w:tc>
      </w:tr>
    </w:tbl>
    <w:p w14:paraId="502650E5">
      <w:pPr>
        <w:pStyle w:val="31"/>
        <w:spacing w:line="360" w:lineRule="auto"/>
      </w:pPr>
    </w:p>
    <w:p w14:paraId="02CCF119">
      <w:pPr>
        <w:pStyle w:val="31"/>
        <w:spacing w:line="360" w:lineRule="auto"/>
        <w:ind w:firstLine="0" w:firstLineChars="0"/>
        <w:jc w:val="center"/>
        <w:rPr>
          <w:u w:val="single"/>
        </w:rPr>
      </w:pPr>
    </w:p>
    <w:p w14:paraId="054FA815">
      <w:pPr>
        <w:pStyle w:val="31"/>
        <w:spacing w:line="360" w:lineRule="auto"/>
        <w:ind w:firstLine="0" w:firstLineChars="0"/>
        <w:jc w:val="center"/>
        <w:rPr>
          <w:u w:val="single"/>
        </w:rPr>
      </w:pPr>
      <w:r>
        <w:rPr>
          <w:u w:val="single"/>
        </w:rPr>
        <w:t>_____</w:t>
      </w:r>
      <w:r>
        <w:rPr>
          <w:rFonts w:hint="eastAsia"/>
          <w:u w:val="single"/>
        </w:rPr>
        <w:t xml:space="preserve">            </w:t>
      </w:r>
      <w:r>
        <w:rPr>
          <w:u w:val="single"/>
        </w:rPr>
        <w:t>___</w:t>
      </w:r>
    </w:p>
    <w:p w14:paraId="6B35568F">
      <w:pPr>
        <w:pStyle w:val="31"/>
        <w:spacing w:line="360" w:lineRule="auto"/>
        <w:rPr>
          <w:u w:val="single"/>
        </w:rPr>
      </w:pPr>
    </w:p>
    <w:p w14:paraId="5067DD90"/>
    <w:p w14:paraId="07164881">
      <w:pPr>
        <w:pStyle w:val="31"/>
        <w:spacing w:line="360" w:lineRule="auto"/>
        <w:rPr>
          <w:u w:val="single"/>
        </w:rPr>
      </w:pPr>
    </w:p>
    <w:p w14:paraId="22F32DAE">
      <w:pPr>
        <w:pStyle w:val="31"/>
        <w:spacing w:line="360" w:lineRule="auto"/>
        <w:rPr>
          <w:u w:val="single"/>
        </w:rPr>
      </w:pPr>
    </w:p>
    <w:p w14:paraId="53A909BD">
      <w:pPr>
        <w:pStyle w:val="31"/>
        <w:spacing w:line="360" w:lineRule="auto"/>
      </w:pPr>
    </w:p>
    <w:p w14:paraId="56A5C03E">
      <w:pPr>
        <w:pStyle w:val="31"/>
        <w:spacing w:line="360" w:lineRule="auto"/>
        <w:ind w:firstLine="0" w:firstLineChars="0"/>
      </w:pPr>
    </w:p>
    <w:sectPr>
      <w:pgSz w:w="11900" w:h="16840"/>
      <w:pgMar w:top="1415" w:right="1124" w:bottom="544" w:left="1420" w:header="1417" w:footer="1134" w:gutter="0"/>
      <w:pgBorders>
        <w:top w:val="none" w:sz="0" w:space="0"/>
        <w:left w:val="none" w:sz="0" w:space="0"/>
        <w:bottom w:val="none" w:sz="0" w:space="0"/>
        <w:right w:val="none" w:sz="0" w:space="0"/>
      </w:pgBorders>
      <w:cols w:equalWidth="0" w:num="1">
        <w:col w:w="9360"/>
      </w:cols>
      <w:docGrid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D625">
    <w:pPr>
      <w:pStyle w:val="51"/>
    </w:pPr>
    <w:r>
      <w:fldChar w:fldCharType="begin"/>
    </w:r>
    <w:r>
      <w:instrText xml:space="preserve"> PAGE  \* MERGEFORMAT </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5B8A2">
    <w:pPr>
      <w:pStyle w:val="52"/>
      <w:rPr>
        <w:rFonts w:hint="eastAsia" w:eastAsia="黑体"/>
        <w:color w:val="auto"/>
        <w:lang w:eastAsia="zh-CN"/>
      </w:rPr>
    </w:pPr>
    <w:r>
      <w:rPr>
        <w:color w:val="auto"/>
      </w:rPr>
      <w:t>DB</w:t>
    </w:r>
    <w:r>
      <w:rPr>
        <w:rFonts w:hint="eastAsia"/>
        <w:color w:val="auto"/>
        <w:lang w:val="en-US" w:eastAsia="zh-CN"/>
      </w:rPr>
      <w:t>XX</w:t>
    </w:r>
    <w:r>
      <w:rPr>
        <w:color w:val="auto"/>
      </w:rPr>
      <w:t>/T XXXXX—20</w:t>
    </w:r>
    <w:r>
      <w:rPr>
        <w:rFonts w:hint="eastAsia"/>
        <w:color w:val="auto"/>
      </w:rPr>
      <w:t>2</w:t>
    </w:r>
    <w:r>
      <w:rPr>
        <w:rFonts w:hint="eastAsia"/>
        <w:color w:val="auto"/>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lvlText w:val="%1"/>
      <w:lvlJc w:val="left"/>
      <w:pPr>
        <w:ind w:left="432" w:hanging="432"/>
      </w:pPr>
      <w:rPr>
        <w:rFonts w:hint="eastAsia"/>
        <w:b/>
        <w:i w:val="0"/>
        <w:sz w:val="21"/>
        <w:szCs w:val="21"/>
      </w:rPr>
    </w:lvl>
    <w:lvl w:ilvl="1" w:tentative="0">
      <w:start w:val="1"/>
      <w:numFmt w:val="decimal"/>
      <w:lvlText w:val="%1.%2"/>
      <w:lvlJc w:val="left"/>
      <w:pPr>
        <w:ind w:left="576" w:hanging="576"/>
      </w:pPr>
      <w:rPr>
        <w:rFonts w:hint="eastAsia" w:ascii="黑体" w:hAnsi="黑体" w:eastAsia="黑体"/>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1.%2.%3"/>
      <w:lvlJc w:val="left"/>
      <w:pPr>
        <w:ind w:left="720" w:hanging="720"/>
      </w:pPr>
      <w:rPr>
        <w:rFonts w:hint="eastAsia"/>
        <w:b w:val="0"/>
        <w:i w:val="0"/>
        <w:sz w:val="21"/>
      </w:rPr>
    </w:lvl>
    <w:lvl w:ilvl="3" w:tentative="0">
      <w:start w:val="1"/>
      <w:numFmt w:val="decimal"/>
      <w:lvlText w:val="%1.%2.%3.%4"/>
      <w:lvlJc w:val="left"/>
      <w:pPr>
        <w:ind w:left="864" w:hanging="864"/>
      </w:pPr>
      <w:rPr>
        <w:rFonts w:hint="eastAsia"/>
        <w:b w:val="0"/>
        <w:i w:val="0"/>
        <w:sz w:val="21"/>
      </w:rPr>
    </w:lvl>
    <w:lvl w:ilvl="4" w:tentative="0">
      <w:start w:val="1"/>
      <w:numFmt w:val="decimal"/>
      <w:lvlText w:val="%1.%2.%3.%4.%5"/>
      <w:lvlJc w:val="left"/>
      <w:pPr>
        <w:ind w:left="1008" w:hanging="1008"/>
      </w:pPr>
      <w:rPr>
        <w:rFonts w:hint="eastAsia"/>
        <w:b w:val="0"/>
        <w:i w:val="0"/>
        <w:sz w:val="21"/>
      </w:rPr>
    </w:lvl>
    <w:lvl w:ilvl="5" w:tentative="0">
      <w:start w:val="1"/>
      <w:numFmt w:val="decimal"/>
      <w:lvlText w:val="%1.%2.%3.%4.%5.%6"/>
      <w:lvlJc w:val="left"/>
      <w:pPr>
        <w:ind w:left="1152" w:hanging="1152"/>
      </w:pPr>
      <w:rPr>
        <w:rFonts w:hint="eastAsia"/>
        <w:b w:val="0"/>
        <w:i w:val="0"/>
        <w:sz w:val="21"/>
      </w:rPr>
    </w:lvl>
    <w:lvl w:ilvl="6" w:tentative="0">
      <w:start w:val="1"/>
      <w:numFmt w:val="decimal"/>
      <w:lvlText w:val="%1.%2.%3.%4.%5.%6.%7"/>
      <w:lvlJc w:val="left"/>
      <w:pPr>
        <w:ind w:left="1296" w:hanging="1296"/>
      </w:pPr>
      <w:rPr>
        <w:rFonts w:hint="eastAsia"/>
        <w:b w:val="0"/>
        <w:i w:val="0"/>
        <w:sz w:val="21"/>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6"/>
      <w:suff w:val="nothing"/>
      <w:lvlText w:val="%1——"/>
      <w:lvlJc w:val="left"/>
      <w:pPr>
        <w:ind w:left="833" w:hanging="408"/>
      </w:pPr>
      <w:rPr>
        <w:rFonts w:hint="eastAsia"/>
      </w:rPr>
    </w:lvl>
    <w:lvl w:ilvl="1" w:tentative="0">
      <w:start w:val="1"/>
      <w:numFmt w:val="bullet"/>
      <w:pStyle w:val="57"/>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2"/>
      <w:lvlText w:val="%2)"/>
      <w:lvlJc w:val="left"/>
      <w:pPr>
        <w:tabs>
          <w:tab w:val="left" w:pos="1260"/>
        </w:tabs>
        <w:ind w:left="1259" w:hanging="419"/>
      </w:pPr>
      <w:rPr>
        <w:rFonts w:hint="eastAsia"/>
      </w:rPr>
    </w:lvl>
    <w:lvl w:ilvl="2" w:tentative="0">
      <w:start w:val="1"/>
      <w:numFmt w:val="decimal"/>
      <w:pStyle w:val="6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7"/>
  </w:num>
  <w:num w:numId="3">
    <w:abstractNumId w:val="2"/>
  </w:num>
  <w:num w:numId="4">
    <w:abstractNumId w:val="9"/>
  </w:num>
  <w:num w:numId="5">
    <w:abstractNumId w:val="16"/>
  </w:num>
  <w:num w:numId="6">
    <w:abstractNumId w:val="0"/>
  </w:num>
  <w:num w:numId="7">
    <w:abstractNumId w:val="10"/>
  </w:num>
  <w:num w:numId="8">
    <w:abstractNumId w:val="4"/>
  </w:num>
  <w:num w:numId="9">
    <w:abstractNumId w:val="14"/>
  </w:num>
  <w:num w:numId="10">
    <w:abstractNumId w:val="12"/>
  </w:num>
  <w:num w:numId="11">
    <w:abstractNumId w:val="15"/>
  </w:num>
  <w:num w:numId="12">
    <w:abstractNumId w:val="6"/>
  </w:num>
  <w:num w:numId="13">
    <w:abstractNumId w:val="1"/>
  </w:num>
  <w:num w:numId="14">
    <w:abstractNumId w:val="3"/>
  </w:num>
  <w:num w:numId="15">
    <w:abstractNumId w:val="1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hMDg2NzNmMzJkODg3Zjc2Zjk0NzdkZDU0NDMxMzEifQ=="/>
  </w:docVars>
  <w:rsids>
    <w:rsidRoot w:val="00035925"/>
    <w:rsid w:val="00000244"/>
    <w:rsid w:val="0000185F"/>
    <w:rsid w:val="0000238D"/>
    <w:rsid w:val="00002850"/>
    <w:rsid w:val="000038EC"/>
    <w:rsid w:val="0000586F"/>
    <w:rsid w:val="00005BD0"/>
    <w:rsid w:val="00013635"/>
    <w:rsid w:val="00013D86"/>
    <w:rsid w:val="00013E02"/>
    <w:rsid w:val="0001444B"/>
    <w:rsid w:val="0001690D"/>
    <w:rsid w:val="0002143C"/>
    <w:rsid w:val="0002377D"/>
    <w:rsid w:val="00023AD0"/>
    <w:rsid w:val="00023DB1"/>
    <w:rsid w:val="00025A65"/>
    <w:rsid w:val="00026C31"/>
    <w:rsid w:val="00027087"/>
    <w:rsid w:val="00027280"/>
    <w:rsid w:val="00030B61"/>
    <w:rsid w:val="00030CDC"/>
    <w:rsid w:val="000320A7"/>
    <w:rsid w:val="00034692"/>
    <w:rsid w:val="00035925"/>
    <w:rsid w:val="0003613A"/>
    <w:rsid w:val="00036C20"/>
    <w:rsid w:val="00041255"/>
    <w:rsid w:val="00044EEF"/>
    <w:rsid w:val="00054433"/>
    <w:rsid w:val="00057073"/>
    <w:rsid w:val="000644C0"/>
    <w:rsid w:val="00067215"/>
    <w:rsid w:val="00067AED"/>
    <w:rsid w:val="00067CDF"/>
    <w:rsid w:val="00071F25"/>
    <w:rsid w:val="00074DD0"/>
    <w:rsid w:val="00074FBE"/>
    <w:rsid w:val="00082EA8"/>
    <w:rsid w:val="0008367E"/>
    <w:rsid w:val="00083A09"/>
    <w:rsid w:val="000861FD"/>
    <w:rsid w:val="0009005E"/>
    <w:rsid w:val="00092857"/>
    <w:rsid w:val="00093B72"/>
    <w:rsid w:val="00096364"/>
    <w:rsid w:val="000A0631"/>
    <w:rsid w:val="000A20A9"/>
    <w:rsid w:val="000A48B1"/>
    <w:rsid w:val="000A556A"/>
    <w:rsid w:val="000B01C0"/>
    <w:rsid w:val="000B143F"/>
    <w:rsid w:val="000B3143"/>
    <w:rsid w:val="000B70F9"/>
    <w:rsid w:val="000C0E6D"/>
    <w:rsid w:val="000C1441"/>
    <w:rsid w:val="000C1A94"/>
    <w:rsid w:val="000C2115"/>
    <w:rsid w:val="000C306D"/>
    <w:rsid w:val="000C438C"/>
    <w:rsid w:val="000C6B05"/>
    <w:rsid w:val="000C6DD6"/>
    <w:rsid w:val="000C73D4"/>
    <w:rsid w:val="000D3D4C"/>
    <w:rsid w:val="000D4F51"/>
    <w:rsid w:val="000D718B"/>
    <w:rsid w:val="000D7677"/>
    <w:rsid w:val="000E0A62"/>
    <w:rsid w:val="000E0C46"/>
    <w:rsid w:val="000F030C"/>
    <w:rsid w:val="000F129C"/>
    <w:rsid w:val="000F364C"/>
    <w:rsid w:val="000F37D8"/>
    <w:rsid w:val="00102A54"/>
    <w:rsid w:val="001051CF"/>
    <w:rsid w:val="001056DE"/>
    <w:rsid w:val="00105F3D"/>
    <w:rsid w:val="001060CA"/>
    <w:rsid w:val="001124C0"/>
    <w:rsid w:val="00114B9F"/>
    <w:rsid w:val="00116B98"/>
    <w:rsid w:val="00117343"/>
    <w:rsid w:val="001178EE"/>
    <w:rsid w:val="00124FF6"/>
    <w:rsid w:val="001266F0"/>
    <w:rsid w:val="0013175F"/>
    <w:rsid w:val="00134536"/>
    <w:rsid w:val="00135E1C"/>
    <w:rsid w:val="00136D29"/>
    <w:rsid w:val="00143891"/>
    <w:rsid w:val="001512B4"/>
    <w:rsid w:val="00155AAC"/>
    <w:rsid w:val="001606C3"/>
    <w:rsid w:val="001620A5"/>
    <w:rsid w:val="001620F1"/>
    <w:rsid w:val="00164E53"/>
    <w:rsid w:val="00165C95"/>
    <w:rsid w:val="0016699D"/>
    <w:rsid w:val="00175159"/>
    <w:rsid w:val="00176208"/>
    <w:rsid w:val="0018211B"/>
    <w:rsid w:val="001840D3"/>
    <w:rsid w:val="00185A0D"/>
    <w:rsid w:val="001900F8"/>
    <w:rsid w:val="00191258"/>
    <w:rsid w:val="00192680"/>
    <w:rsid w:val="00193037"/>
    <w:rsid w:val="00193A2C"/>
    <w:rsid w:val="001944C2"/>
    <w:rsid w:val="00194D69"/>
    <w:rsid w:val="001A288E"/>
    <w:rsid w:val="001A3A5A"/>
    <w:rsid w:val="001B4A97"/>
    <w:rsid w:val="001B6DC2"/>
    <w:rsid w:val="001B73AB"/>
    <w:rsid w:val="001C0AD8"/>
    <w:rsid w:val="001C149C"/>
    <w:rsid w:val="001C21AC"/>
    <w:rsid w:val="001C31C0"/>
    <w:rsid w:val="001C47BA"/>
    <w:rsid w:val="001C57AC"/>
    <w:rsid w:val="001C59EA"/>
    <w:rsid w:val="001C6E50"/>
    <w:rsid w:val="001C7153"/>
    <w:rsid w:val="001D1CDD"/>
    <w:rsid w:val="001D2356"/>
    <w:rsid w:val="001D406C"/>
    <w:rsid w:val="001D41EE"/>
    <w:rsid w:val="001E0380"/>
    <w:rsid w:val="001E13B1"/>
    <w:rsid w:val="001E18F1"/>
    <w:rsid w:val="001E1CAE"/>
    <w:rsid w:val="001E5A10"/>
    <w:rsid w:val="001F0F02"/>
    <w:rsid w:val="001F15A3"/>
    <w:rsid w:val="001F3A19"/>
    <w:rsid w:val="001F5D48"/>
    <w:rsid w:val="00202ED1"/>
    <w:rsid w:val="0020573F"/>
    <w:rsid w:val="00212B72"/>
    <w:rsid w:val="00212E82"/>
    <w:rsid w:val="002325FE"/>
    <w:rsid w:val="00233A57"/>
    <w:rsid w:val="00234467"/>
    <w:rsid w:val="0023667E"/>
    <w:rsid w:val="00237D8D"/>
    <w:rsid w:val="00241DA2"/>
    <w:rsid w:val="002447C7"/>
    <w:rsid w:val="002466E8"/>
    <w:rsid w:val="00247FC7"/>
    <w:rsid w:val="00247FEE"/>
    <w:rsid w:val="00250E7D"/>
    <w:rsid w:val="00250FB1"/>
    <w:rsid w:val="00251DF5"/>
    <w:rsid w:val="002565D5"/>
    <w:rsid w:val="0025671A"/>
    <w:rsid w:val="0025756D"/>
    <w:rsid w:val="002578B6"/>
    <w:rsid w:val="0026202F"/>
    <w:rsid w:val="002622C0"/>
    <w:rsid w:val="00264EDF"/>
    <w:rsid w:val="00266873"/>
    <w:rsid w:val="002728B6"/>
    <w:rsid w:val="00274C1D"/>
    <w:rsid w:val="002778AE"/>
    <w:rsid w:val="0028269A"/>
    <w:rsid w:val="00283590"/>
    <w:rsid w:val="00283A4F"/>
    <w:rsid w:val="002841B0"/>
    <w:rsid w:val="00286973"/>
    <w:rsid w:val="002871AE"/>
    <w:rsid w:val="00291940"/>
    <w:rsid w:val="00294E70"/>
    <w:rsid w:val="002A003B"/>
    <w:rsid w:val="002A1924"/>
    <w:rsid w:val="002A6E8C"/>
    <w:rsid w:val="002A7420"/>
    <w:rsid w:val="002B0F12"/>
    <w:rsid w:val="002B1308"/>
    <w:rsid w:val="002B4399"/>
    <w:rsid w:val="002B4554"/>
    <w:rsid w:val="002C08D9"/>
    <w:rsid w:val="002C38FD"/>
    <w:rsid w:val="002C72D8"/>
    <w:rsid w:val="002C7A4E"/>
    <w:rsid w:val="002D11FA"/>
    <w:rsid w:val="002E0DDF"/>
    <w:rsid w:val="002E1846"/>
    <w:rsid w:val="002E2906"/>
    <w:rsid w:val="002E5635"/>
    <w:rsid w:val="002E64C3"/>
    <w:rsid w:val="002E6791"/>
    <w:rsid w:val="002E69E6"/>
    <w:rsid w:val="002E6A2C"/>
    <w:rsid w:val="002E7BCB"/>
    <w:rsid w:val="002F1D8C"/>
    <w:rsid w:val="002F21DA"/>
    <w:rsid w:val="002F47D3"/>
    <w:rsid w:val="003007D2"/>
    <w:rsid w:val="00301F39"/>
    <w:rsid w:val="00302840"/>
    <w:rsid w:val="003134A7"/>
    <w:rsid w:val="003172B6"/>
    <w:rsid w:val="00317FF3"/>
    <w:rsid w:val="003210B7"/>
    <w:rsid w:val="00323544"/>
    <w:rsid w:val="00323B38"/>
    <w:rsid w:val="00325926"/>
    <w:rsid w:val="003260B0"/>
    <w:rsid w:val="00327A8A"/>
    <w:rsid w:val="00334658"/>
    <w:rsid w:val="00336610"/>
    <w:rsid w:val="00341751"/>
    <w:rsid w:val="00343F73"/>
    <w:rsid w:val="00344A13"/>
    <w:rsid w:val="00345060"/>
    <w:rsid w:val="003463A0"/>
    <w:rsid w:val="0035039E"/>
    <w:rsid w:val="00350C5D"/>
    <w:rsid w:val="0035323B"/>
    <w:rsid w:val="00355FDB"/>
    <w:rsid w:val="003609D2"/>
    <w:rsid w:val="00360A1A"/>
    <w:rsid w:val="00363F22"/>
    <w:rsid w:val="00375564"/>
    <w:rsid w:val="00376D87"/>
    <w:rsid w:val="0038163F"/>
    <w:rsid w:val="00383191"/>
    <w:rsid w:val="00384BAA"/>
    <w:rsid w:val="00386DED"/>
    <w:rsid w:val="003912E7"/>
    <w:rsid w:val="00392ECD"/>
    <w:rsid w:val="00393947"/>
    <w:rsid w:val="003962D8"/>
    <w:rsid w:val="0039655F"/>
    <w:rsid w:val="003A0F7D"/>
    <w:rsid w:val="003A2275"/>
    <w:rsid w:val="003A69C9"/>
    <w:rsid w:val="003A6A4F"/>
    <w:rsid w:val="003A7088"/>
    <w:rsid w:val="003A795F"/>
    <w:rsid w:val="003B00DF"/>
    <w:rsid w:val="003B1275"/>
    <w:rsid w:val="003B1778"/>
    <w:rsid w:val="003C11CB"/>
    <w:rsid w:val="003C75F3"/>
    <w:rsid w:val="003C78A3"/>
    <w:rsid w:val="003C7901"/>
    <w:rsid w:val="003D1502"/>
    <w:rsid w:val="003D439F"/>
    <w:rsid w:val="003D5EF4"/>
    <w:rsid w:val="003E1584"/>
    <w:rsid w:val="003E1867"/>
    <w:rsid w:val="003E5729"/>
    <w:rsid w:val="003F157B"/>
    <w:rsid w:val="003F2E1E"/>
    <w:rsid w:val="003F386C"/>
    <w:rsid w:val="003F4EE0"/>
    <w:rsid w:val="00400981"/>
    <w:rsid w:val="00401EFA"/>
    <w:rsid w:val="00402153"/>
    <w:rsid w:val="00402FC1"/>
    <w:rsid w:val="00407F33"/>
    <w:rsid w:val="00414888"/>
    <w:rsid w:val="00421D1F"/>
    <w:rsid w:val="00425082"/>
    <w:rsid w:val="004309CF"/>
    <w:rsid w:val="00431DEB"/>
    <w:rsid w:val="00432A13"/>
    <w:rsid w:val="004408B4"/>
    <w:rsid w:val="00444D17"/>
    <w:rsid w:val="00446B29"/>
    <w:rsid w:val="00447140"/>
    <w:rsid w:val="00453F9A"/>
    <w:rsid w:val="004542B7"/>
    <w:rsid w:val="00455076"/>
    <w:rsid w:val="0046185C"/>
    <w:rsid w:val="00462F0F"/>
    <w:rsid w:val="0046407D"/>
    <w:rsid w:val="004640B5"/>
    <w:rsid w:val="00466282"/>
    <w:rsid w:val="00471E91"/>
    <w:rsid w:val="00473E95"/>
    <w:rsid w:val="00474675"/>
    <w:rsid w:val="0047470C"/>
    <w:rsid w:val="00486F6A"/>
    <w:rsid w:val="00487403"/>
    <w:rsid w:val="004875AD"/>
    <w:rsid w:val="00490450"/>
    <w:rsid w:val="004912CA"/>
    <w:rsid w:val="00491612"/>
    <w:rsid w:val="00492254"/>
    <w:rsid w:val="00496201"/>
    <w:rsid w:val="004A1446"/>
    <w:rsid w:val="004A35F9"/>
    <w:rsid w:val="004A5AA5"/>
    <w:rsid w:val="004B24C1"/>
    <w:rsid w:val="004B47BF"/>
    <w:rsid w:val="004C00F2"/>
    <w:rsid w:val="004C19FC"/>
    <w:rsid w:val="004C2515"/>
    <w:rsid w:val="004C292F"/>
    <w:rsid w:val="004C334F"/>
    <w:rsid w:val="004C33AD"/>
    <w:rsid w:val="004C7B10"/>
    <w:rsid w:val="004D27A1"/>
    <w:rsid w:val="004D31E8"/>
    <w:rsid w:val="004D66B6"/>
    <w:rsid w:val="004E3474"/>
    <w:rsid w:val="004E3E35"/>
    <w:rsid w:val="004E4163"/>
    <w:rsid w:val="004E4512"/>
    <w:rsid w:val="004F1DD2"/>
    <w:rsid w:val="004F27D6"/>
    <w:rsid w:val="004F3C6F"/>
    <w:rsid w:val="004F4271"/>
    <w:rsid w:val="00510280"/>
    <w:rsid w:val="00512C11"/>
    <w:rsid w:val="00513D73"/>
    <w:rsid w:val="00514A43"/>
    <w:rsid w:val="00516A0B"/>
    <w:rsid w:val="005174E5"/>
    <w:rsid w:val="00522393"/>
    <w:rsid w:val="00522620"/>
    <w:rsid w:val="005253B4"/>
    <w:rsid w:val="00525656"/>
    <w:rsid w:val="0053001D"/>
    <w:rsid w:val="00534C02"/>
    <w:rsid w:val="0053690F"/>
    <w:rsid w:val="00537EFB"/>
    <w:rsid w:val="00540DB6"/>
    <w:rsid w:val="0054264B"/>
    <w:rsid w:val="00543786"/>
    <w:rsid w:val="00545D4F"/>
    <w:rsid w:val="005533D7"/>
    <w:rsid w:val="00553953"/>
    <w:rsid w:val="00554232"/>
    <w:rsid w:val="005574B5"/>
    <w:rsid w:val="00561076"/>
    <w:rsid w:val="0056229D"/>
    <w:rsid w:val="00562C1B"/>
    <w:rsid w:val="0056444F"/>
    <w:rsid w:val="00567DC4"/>
    <w:rsid w:val="005703DE"/>
    <w:rsid w:val="00572E08"/>
    <w:rsid w:val="00576FC1"/>
    <w:rsid w:val="0057768E"/>
    <w:rsid w:val="00580141"/>
    <w:rsid w:val="0058464E"/>
    <w:rsid w:val="00584C64"/>
    <w:rsid w:val="00585938"/>
    <w:rsid w:val="005904D6"/>
    <w:rsid w:val="0059105C"/>
    <w:rsid w:val="00591E25"/>
    <w:rsid w:val="00592356"/>
    <w:rsid w:val="00595DC4"/>
    <w:rsid w:val="005A01CB"/>
    <w:rsid w:val="005A0FFA"/>
    <w:rsid w:val="005A1593"/>
    <w:rsid w:val="005A2733"/>
    <w:rsid w:val="005A2CB2"/>
    <w:rsid w:val="005A456A"/>
    <w:rsid w:val="005A49CE"/>
    <w:rsid w:val="005A58FF"/>
    <w:rsid w:val="005A5EAF"/>
    <w:rsid w:val="005A64C0"/>
    <w:rsid w:val="005A678C"/>
    <w:rsid w:val="005B3C11"/>
    <w:rsid w:val="005B4000"/>
    <w:rsid w:val="005B67BD"/>
    <w:rsid w:val="005C1C28"/>
    <w:rsid w:val="005C3672"/>
    <w:rsid w:val="005C53CC"/>
    <w:rsid w:val="005C6DB5"/>
    <w:rsid w:val="005D215B"/>
    <w:rsid w:val="005E0F53"/>
    <w:rsid w:val="005E19E7"/>
    <w:rsid w:val="005E4387"/>
    <w:rsid w:val="006006AB"/>
    <w:rsid w:val="00600C15"/>
    <w:rsid w:val="00610C4A"/>
    <w:rsid w:val="00613267"/>
    <w:rsid w:val="006143BD"/>
    <w:rsid w:val="00616074"/>
    <w:rsid w:val="0061716C"/>
    <w:rsid w:val="00623C6D"/>
    <w:rsid w:val="006243A1"/>
    <w:rsid w:val="00632E56"/>
    <w:rsid w:val="00635CBA"/>
    <w:rsid w:val="0064338B"/>
    <w:rsid w:val="00643BA8"/>
    <w:rsid w:val="00646542"/>
    <w:rsid w:val="00646E7A"/>
    <w:rsid w:val="006504F4"/>
    <w:rsid w:val="00654BC9"/>
    <w:rsid w:val="006552FD"/>
    <w:rsid w:val="00663AF3"/>
    <w:rsid w:val="00666A85"/>
    <w:rsid w:val="00666B6C"/>
    <w:rsid w:val="00671C2F"/>
    <w:rsid w:val="00672678"/>
    <w:rsid w:val="00677008"/>
    <w:rsid w:val="00682682"/>
    <w:rsid w:val="00682702"/>
    <w:rsid w:val="006844C9"/>
    <w:rsid w:val="0068638E"/>
    <w:rsid w:val="00686CDF"/>
    <w:rsid w:val="00692368"/>
    <w:rsid w:val="00692A19"/>
    <w:rsid w:val="0069581F"/>
    <w:rsid w:val="00695C16"/>
    <w:rsid w:val="006A2EBC"/>
    <w:rsid w:val="006A5EA0"/>
    <w:rsid w:val="006A783B"/>
    <w:rsid w:val="006A7B33"/>
    <w:rsid w:val="006B1DE9"/>
    <w:rsid w:val="006B4E13"/>
    <w:rsid w:val="006B75DD"/>
    <w:rsid w:val="006C0926"/>
    <w:rsid w:val="006C25E4"/>
    <w:rsid w:val="006C5693"/>
    <w:rsid w:val="006C59B8"/>
    <w:rsid w:val="006C66D0"/>
    <w:rsid w:val="006C67E0"/>
    <w:rsid w:val="006C7ABA"/>
    <w:rsid w:val="006C7D3D"/>
    <w:rsid w:val="006D0D60"/>
    <w:rsid w:val="006D1122"/>
    <w:rsid w:val="006D3AAA"/>
    <w:rsid w:val="006D3C00"/>
    <w:rsid w:val="006D5394"/>
    <w:rsid w:val="006D65B8"/>
    <w:rsid w:val="006E0723"/>
    <w:rsid w:val="006E3675"/>
    <w:rsid w:val="006E4A7F"/>
    <w:rsid w:val="006F0693"/>
    <w:rsid w:val="006F2DB0"/>
    <w:rsid w:val="006F7D80"/>
    <w:rsid w:val="00700B1A"/>
    <w:rsid w:val="00700B42"/>
    <w:rsid w:val="0070216E"/>
    <w:rsid w:val="00703DBE"/>
    <w:rsid w:val="00704DF6"/>
    <w:rsid w:val="0070651C"/>
    <w:rsid w:val="00707397"/>
    <w:rsid w:val="00712476"/>
    <w:rsid w:val="007132A3"/>
    <w:rsid w:val="00714018"/>
    <w:rsid w:val="00714641"/>
    <w:rsid w:val="00716421"/>
    <w:rsid w:val="00716741"/>
    <w:rsid w:val="00717030"/>
    <w:rsid w:val="00722C66"/>
    <w:rsid w:val="00723CC4"/>
    <w:rsid w:val="00724EFB"/>
    <w:rsid w:val="007310EC"/>
    <w:rsid w:val="00740021"/>
    <w:rsid w:val="007419C3"/>
    <w:rsid w:val="00745009"/>
    <w:rsid w:val="00745B87"/>
    <w:rsid w:val="007467A7"/>
    <w:rsid w:val="007469DD"/>
    <w:rsid w:val="00746D5F"/>
    <w:rsid w:val="0074741B"/>
    <w:rsid w:val="0074759E"/>
    <w:rsid w:val="007478EA"/>
    <w:rsid w:val="00751256"/>
    <w:rsid w:val="00751C3C"/>
    <w:rsid w:val="00752871"/>
    <w:rsid w:val="00753BA1"/>
    <w:rsid w:val="0075415C"/>
    <w:rsid w:val="00760B63"/>
    <w:rsid w:val="00763502"/>
    <w:rsid w:val="00780B81"/>
    <w:rsid w:val="00781936"/>
    <w:rsid w:val="00782605"/>
    <w:rsid w:val="007828DB"/>
    <w:rsid w:val="007910C3"/>
    <w:rsid w:val="007913AB"/>
    <w:rsid w:val="007914F7"/>
    <w:rsid w:val="00793BDC"/>
    <w:rsid w:val="00794E14"/>
    <w:rsid w:val="007A177C"/>
    <w:rsid w:val="007B047E"/>
    <w:rsid w:val="007B0F72"/>
    <w:rsid w:val="007B1625"/>
    <w:rsid w:val="007B1B25"/>
    <w:rsid w:val="007B2E9E"/>
    <w:rsid w:val="007B5321"/>
    <w:rsid w:val="007B5A45"/>
    <w:rsid w:val="007B5FE0"/>
    <w:rsid w:val="007B706E"/>
    <w:rsid w:val="007B71EB"/>
    <w:rsid w:val="007C0585"/>
    <w:rsid w:val="007C23D5"/>
    <w:rsid w:val="007C6205"/>
    <w:rsid w:val="007C686A"/>
    <w:rsid w:val="007C728E"/>
    <w:rsid w:val="007C7BE1"/>
    <w:rsid w:val="007D0198"/>
    <w:rsid w:val="007D2C53"/>
    <w:rsid w:val="007D3D60"/>
    <w:rsid w:val="007D3EC7"/>
    <w:rsid w:val="007E1505"/>
    <w:rsid w:val="007E1980"/>
    <w:rsid w:val="007E3CC6"/>
    <w:rsid w:val="007E4B76"/>
    <w:rsid w:val="007E5EA8"/>
    <w:rsid w:val="007F0CF1"/>
    <w:rsid w:val="007F12A5"/>
    <w:rsid w:val="007F2C4A"/>
    <w:rsid w:val="007F3057"/>
    <w:rsid w:val="007F4CF1"/>
    <w:rsid w:val="007F537F"/>
    <w:rsid w:val="007F6BAD"/>
    <w:rsid w:val="007F758D"/>
    <w:rsid w:val="007F7D52"/>
    <w:rsid w:val="00802CF1"/>
    <w:rsid w:val="0080654C"/>
    <w:rsid w:val="008071C6"/>
    <w:rsid w:val="00811891"/>
    <w:rsid w:val="00811DC0"/>
    <w:rsid w:val="008120F6"/>
    <w:rsid w:val="00817A00"/>
    <w:rsid w:val="00820B4C"/>
    <w:rsid w:val="00823035"/>
    <w:rsid w:val="00833241"/>
    <w:rsid w:val="00835DB3"/>
    <w:rsid w:val="0083617B"/>
    <w:rsid w:val="008371BD"/>
    <w:rsid w:val="008417D8"/>
    <w:rsid w:val="00845E30"/>
    <w:rsid w:val="00846394"/>
    <w:rsid w:val="00847EDE"/>
    <w:rsid w:val="00850112"/>
    <w:rsid w:val="008504A8"/>
    <w:rsid w:val="0085282E"/>
    <w:rsid w:val="00857DB7"/>
    <w:rsid w:val="00861AB1"/>
    <w:rsid w:val="00861E66"/>
    <w:rsid w:val="0086336C"/>
    <w:rsid w:val="00863A3E"/>
    <w:rsid w:val="0087198C"/>
    <w:rsid w:val="00872C1F"/>
    <w:rsid w:val="00873B42"/>
    <w:rsid w:val="00874F9E"/>
    <w:rsid w:val="008856D8"/>
    <w:rsid w:val="00887247"/>
    <w:rsid w:val="0089239C"/>
    <w:rsid w:val="00892E82"/>
    <w:rsid w:val="0089340C"/>
    <w:rsid w:val="00896065"/>
    <w:rsid w:val="00897098"/>
    <w:rsid w:val="008A69A5"/>
    <w:rsid w:val="008B2BFA"/>
    <w:rsid w:val="008B6270"/>
    <w:rsid w:val="008B6B0F"/>
    <w:rsid w:val="008B7617"/>
    <w:rsid w:val="008C05F2"/>
    <w:rsid w:val="008C1B58"/>
    <w:rsid w:val="008C39AE"/>
    <w:rsid w:val="008C590D"/>
    <w:rsid w:val="008C766C"/>
    <w:rsid w:val="008E031B"/>
    <w:rsid w:val="008E09E9"/>
    <w:rsid w:val="008E2E1E"/>
    <w:rsid w:val="008E5F5B"/>
    <w:rsid w:val="008E6986"/>
    <w:rsid w:val="008E7029"/>
    <w:rsid w:val="008E76FF"/>
    <w:rsid w:val="008E7EF6"/>
    <w:rsid w:val="008F058D"/>
    <w:rsid w:val="008F1F98"/>
    <w:rsid w:val="008F6758"/>
    <w:rsid w:val="009040DD"/>
    <w:rsid w:val="009055EE"/>
    <w:rsid w:val="00905B47"/>
    <w:rsid w:val="009070B8"/>
    <w:rsid w:val="009107F5"/>
    <w:rsid w:val="00910840"/>
    <w:rsid w:val="0091331C"/>
    <w:rsid w:val="00914DE6"/>
    <w:rsid w:val="0091604C"/>
    <w:rsid w:val="00916173"/>
    <w:rsid w:val="00920316"/>
    <w:rsid w:val="009279DE"/>
    <w:rsid w:val="00927FE6"/>
    <w:rsid w:val="00930116"/>
    <w:rsid w:val="009344EF"/>
    <w:rsid w:val="00937555"/>
    <w:rsid w:val="00937AF0"/>
    <w:rsid w:val="0094212C"/>
    <w:rsid w:val="00943136"/>
    <w:rsid w:val="00954689"/>
    <w:rsid w:val="009617C9"/>
    <w:rsid w:val="00961C93"/>
    <w:rsid w:val="0096263B"/>
    <w:rsid w:val="0096315F"/>
    <w:rsid w:val="00965324"/>
    <w:rsid w:val="0097091E"/>
    <w:rsid w:val="009725FC"/>
    <w:rsid w:val="009727AB"/>
    <w:rsid w:val="009760D3"/>
    <w:rsid w:val="00977132"/>
    <w:rsid w:val="00981A4B"/>
    <w:rsid w:val="00982501"/>
    <w:rsid w:val="00984E2E"/>
    <w:rsid w:val="009877D3"/>
    <w:rsid w:val="00991E20"/>
    <w:rsid w:val="009934D4"/>
    <w:rsid w:val="0099427D"/>
    <w:rsid w:val="00994E8F"/>
    <w:rsid w:val="009951DC"/>
    <w:rsid w:val="009959BB"/>
    <w:rsid w:val="00997158"/>
    <w:rsid w:val="009A1F3E"/>
    <w:rsid w:val="009A3A7C"/>
    <w:rsid w:val="009B2ADB"/>
    <w:rsid w:val="009B2D33"/>
    <w:rsid w:val="009B3A73"/>
    <w:rsid w:val="009B5F61"/>
    <w:rsid w:val="009B603A"/>
    <w:rsid w:val="009B6E07"/>
    <w:rsid w:val="009C1DF1"/>
    <w:rsid w:val="009C2D0E"/>
    <w:rsid w:val="009C3DAC"/>
    <w:rsid w:val="009C426D"/>
    <w:rsid w:val="009C42E0"/>
    <w:rsid w:val="009C4B60"/>
    <w:rsid w:val="009D5362"/>
    <w:rsid w:val="009D7A0E"/>
    <w:rsid w:val="009E12AE"/>
    <w:rsid w:val="009E1415"/>
    <w:rsid w:val="009E4953"/>
    <w:rsid w:val="009E4E5A"/>
    <w:rsid w:val="009E6116"/>
    <w:rsid w:val="009E659D"/>
    <w:rsid w:val="009E6D3F"/>
    <w:rsid w:val="009E7732"/>
    <w:rsid w:val="009F0016"/>
    <w:rsid w:val="009F2F66"/>
    <w:rsid w:val="009F5F7B"/>
    <w:rsid w:val="009F6B64"/>
    <w:rsid w:val="00A02E43"/>
    <w:rsid w:val="00A065F9"/>
    <w:rsid w:val="00A06C53"/>
    <w:rsid w:val="00A07F34"/>
    <w:rsid w:val="00A07F43"/>
    <w:rsid w:val="00A15809"/>
    <w:rsid w:val="00A22154"/>
    <w:rsid w:val="00A25146"/>
    <w:rsid w:val="00A25C38"/>
    <w:rsid w:val="00A2766D"/>
    <w:rsid w:val="00A349D9"/>
    <w:rsid w:val="00A36BBE"/>
    <w:rsid w:val="00A406AF"/>
    <w:rsid w:val="00A4204B"/>
    <w:rsid w:val="00A4307A"/>
    <w:rsid w:val="00A44828"/>
    <w:rsid w:val="00A4703E"/>
    <w:rsid w:val="00A47EBB"/>
    <w:rsid w:val="00A51CDD"/>
    <w:rsid w:val="00A546ED"/>
    <w:rsid w:val="00A55B6B"/>
    <w:rsid w:val="00A568E7"/>
    <w:rsid w:val="00A608CE"/>
    <w:rsid w:val="00A626A6"/>
    <w:rsid w:val="00A62C89"/>
    <w:rsid w:val="00A630FB"/>
    <w:rsid w:val="00A6730D"/>
    <w:rsid w:val="00A676B9"/>
    <w:rsid w:val="00A67CE4"/>
    <w:rsid w:val="00A71625"/>
    <w:rsid w:val="00A71B9B"/>
    <w:rsid w:val="00A751C7"/>
    <w:rsid w:val="00A76301"/>
    <w:rsid w:val="00A8054C"/>
    <w:rsid w:val="00A82CBF"/>
    <w:rsid w:val="00A867F4"/>
    <w:rsid w:val="00A87844"/>
    <w:rsid w:val="00A91140"/>
    <w:rsid w:val="00A9397B"/>
    <w:rsid w:val="00A9526E"/>
    <w:rsid w:val="00A95C6F"/>
    <w:rsid w:val="00AA038C"/>
    <w:rsid w:val="00AA5279"/>
    <w:rsid w:val="00AA7A09"/>
    <w:rsid w:val="00AB1B7B"/>
    <w:rsid w:val="00AB263B"/>
    <w:rsid w:val="00AB3B50"/>
    <w:rsid w:val="00AB725C"/>
    <w:rsid w:val="00AB7864"/>
    <w:rsid w:val="00AC05B1"/>
    <w:rsid w:val="00AD356C"/>
    <w:rsid w:val="00AE2914"/>
    <w:rsid w:val="00AE3E37"/>
    <w:rsid w:val="00AE6D15"/>
    <w:rsid w:val="00B01F2F"/>
    <w:rsid w:val="00B02AFA"/>
    <w:rsid w:val="00B02CB7"/>
    <w:rsid w:val="00B04182"/>
    <w:rsid w:val="00B04714"/>
    <w:rsid w:val="00B05CA6"/>
    <w:rsid w:val="00B06697"/>
    <w:rsid w:val="00B07AE3"/>
    <w:rsid w:val="00B10B7B"/>
    <w:rsid w:val="00B11430"/>
    <w:rsid w:val="00B11454"/>
    <w:rsid w:val="00B168D2"/>
    <w:rsid w:val="00B2642A"/>
    <w:rsid w:val="00B32702"/>
    <w:rsid w:val="00B32ABC"/>
    <w:rsid w:val="00B353EB"/>
    <w:rsid w:val="00B36BF3"/>
    <w:rsid w:val="00B36C94"/>
    <w:rsid w:val="00B3767E"/>
    <w:rsid w:val="00B37A87"/>
    <w:rsid w:val="00B41563"/>
    <w:rsid w:val="00B423BF"/>
    <w:rsid w:val="00B42E42"/>
    <w:rsid w:val="00B439C4"/>
    <w:rsid w:val="00B4535E"/>
    <w:rsid w:val="00B459BE"/>
    <w:rsid w:val="00B46876"/>
    <w:rsid w:val="00B52A8C"/>
    <w:rsid w:val="00B54DDB"/>
    <w:rsid w:val="00B553A0"/>
    <w:rsid w:val="00B611D4"/>
    <w:rsid w:val="00B617E8"/>
    <w:rsid w:val="00B61C5D"/>
    <w:rsid w:val="00B636A8"/>
    <w:rsid w:val="00B6617F"/>
    <w:rsid w:val="00B662FF"/>
    <w:rsid w:val="00B665C6"/>
    <w:rsid w:val="00B70CD8"/>
    <w:rsid w:val="00B74567"/>
    <w:rsid w:val="00B805AF"/>
    <w:rsid w:val="00B810B8"/>
    <w:rsid w:val="00B869EC"/>
    <w:rsid w:val="00B86B98"/>
    <w:rsid w:val="00B909E3"/>
    <w:rsid w:val="00B91BD9"/>
    <w:rsid w:val="00B93516"/>
    <w:rsid w:val="00B9397A"/>
    <w:rsid w:val="00B9588C"/>
    <w:rsid w:val="00B9633D"/>
    <w:rsid w:val="00B9676C"/>
    <w:rsid w:val="00BA2EBE"/>
    <w:rsid w:val="00BA3EB2"/>
    <w:rsid w:val="00BA5A62"/>
    <w:rsid w:val="00BB0F28"/>
    <w:rsid w:val="00BB43E5"/>
    <w:rsid w:val="00BB458A"/>
    <w:rsid w:val="00BC1FAC"/>
    <w:rsid w:val="00BC2064"/>
    <w:rsid w:val="00BC2EF0"/>
    <w:rsid w:val="00BC5148"/>
    <w:rsid w:val="00BD00D3"/>
    <w:rsid w:val="00BD1659"/>
    <w:rsid w:val="00BD2288"/>
    <w:rsid w:val="00BD3A1F"/>
    <w:rsid w:val="00BD3A39"/>
    <w:rsid w:val="00BD3AA9"/>
    <w:rsid w:val="00BD4426"/>
    <w:rsid w:val="00BD4A18"/>
    <w:rsid w:val="00BD5205"/>
    <w:rsid w:val="00BD66BD"/>
    <w:rsid w:val="00BD6C74"/>
    <w:rsid w:val="00BD6DB2"/>
    <w:rsid w:val="00BE0F6B"/>
    <w:rsid w:val="00BE11CF"/>
    <w:rsid w:val="00BE17A3"/>
    <w:rsid w:val="00BE21AB"/>
    <w:rsid w:val="00BE42D8"/>
    <w:rsid w:val="00BE546C"/>
    <w:rsid w:val="00BE55CB"/>
    <w:rsid w:val="00BE5692"/>
    <w:rsid w:val="00BF177F"/>
    <w:rsid w:val="00BF617A"/>
    <w:rsid w:val="00C00945"/>
    <w:rsid w:val="00C0379D"/>
    <w:rsid w:val="00C03931"/>
    <w:rsid w:val="00C05FE3"/>
    <w:rsid w:val="00C14648"/>
    <w:rsid w:val="00C2106B"/>
    <w:rsid w:val="00C2136D"/>
    <w:rsid w:val="00C214EE"/>
    <w:rsid w:val="00C22675"/>
    <w:rsid w:val="00C2314B"/>
    <w:rsid w:val="00C24971"/>
    <w:rsid w:val="00C257B3"/>
    <w:rsid w:val="00C26BE5"/>
    <w:rsid w:val="00C26E4D"/>
    <w:rsid w:val="00C27909"/>
    <w:rsid w:val="00C27B03"/>
    <w:rsid w:val="00C314E1"/>
    <w:rsid w:val="00C31AF5"/>
    <w:rsid w:val="00C32F16"/>
    <w:rsid w:val="00C33AD3"/>
    <w:rsid w:val="00C34397"/>
    <w:rsid w:val="00C3465F"/>
    <w:rsid w:val="00C4095D"/>
    <w:rsid w:val="00C4317D"/>
    <w:rsid w:val="00C5361C"/>
    <w:rsid w:val="00C57D9F"/>
    <w:rsid w:val="00C601D2"/>
    <w:rsid w:val="00C65BCC"/>
    <w:rsid w:val="00C66970"/>
    <w:rsid w:val="00C8691C"/>
    <w:rsid w:val="00C926DC"/>
    <w:rsid w:val="00C96137"/>
    <w:rsid w:val="00C96843"/>
    <w:rsid w:val="00CA168A"/>
    <w:rsid w:val="00CA357E"/>
    <w:rsid w:val="00CA44F9"/>
    <w:rsid w:val="00CA4A69"/>
    <w:rsid w:val="00CA569B"/>
    <w:rsid w:val="00CA7931"/>
    <w:rsid w:val="00CC0356"/>
    <w:rsid w:val="00CC0F83"/>
    <w:rsid w:val="00CC3E0C"/>
    <w:rsid w:val="00CC5132"/>
    <w:rsid w:val="00CC58D3"/>
    <w:rsid w:val="00CC5FB0"/>
    <w:rsid w:val="00CC784D"/>
    <w:rsid w:val="00CD01F4"/>
    <w:rsid w:val="00CD15E9"/>
    <w:rsid w:val="00CD7078"/>
    <w:rsid w:val="00CD7312"/>
    <w:rsid w:val="00CE0698"/>
    <w:rsid w:val="00CE2A13"/>
    <w:rsid w:val="00CE5941"/>
    <w:rsid w:val="00CE6557"/>
    <w:rsid w:val="00CF0F58"/>
    <w:rsid w:val="00CF2F81"/>
    <w:rsid w:val="00CF7B5B"/>
    <w:rsid w:val="00D0337B"/>
    <w:rsid w:val="00D03709"/>
    <w:rsid w:val="00D04ED5"/>
    <w:rsid w:val="00D079B2"/>
    <w:rsid w:val="00D114E9"/>
    <w:rsid w:val="00D1222D"/>
    <w:rsid w:val="00D17678"/>
    <w:rsid w:val="00D17D06"/>
    <w:rsid w:val="00D23DC0"/>
    <w:rsid w:val="00D25803"/>
    <w:rsid w:val="00D26BAD"/>
    <w:rsid w:val="00D3723F"/>
    <w:rsid w:val="00D405E9"/>
    <w:rsid w:val="00D429C6"/>
    <w:rsid w:val="00D47748"/>
    <w:rsid w:val="00D507EF"/>
    <w:rsid w:val="00D54CC3"/>
    <w:rsid w:val="00D56960"/>
    <w:rsid w:val="00D57951"/>
    <w:rsid w:val="00D57B33"/>
    <w:rsid w:val="00D6041A"/>
    <w:rsid w:val="00D633EB"/>
    <w:rsid w:val="00D65397"/>
    <w:rsid w:val="00D71101"/>
    <w:rsid w:val="00D72DB6"/>
    <w:rsid w:val="00D730DB"/>
    <w:rsid w:val="00D733AF"/>
    <w:rsid w:val="00D75F71"/>
    <w:rsid w:val="00D80734"/>
    <w:rsid w:val="00D80F58"/>
    <w:rsid w:val="00D82FF7"/>
    <w:rsid w:val="00D83CD5"/>
    <w:rsid w:val="00D83F30"/>
    <w:rsid w:val="00D84643"/>
    <w:rsid w:val="00D847FE"/>
    <w:rsid w:val="00D867BF"/>
    <w:rsid w:val="00D964EA"/>
    <w:rsid w:val="00D966D0"/>
    <w:rsid w:val="00D97A68"/>
    <w:rsid w:val="00DA0C59"/>
    <w:rsid w:val="00DA38F5"/>
    <w:rsid w:val="00DA3991"/>
    <w:rsid w:val="00DA5F60"/>
    <w:rsid w:val="00DA78FC"/>
    <w:rsid w:val="00DB6546"/>
    <w:rsid w:val="00DB7E6C"/>
    <w:rsid w:val="00DC14C6"/>
    <w:rsid w:val="00DC62EC"/>
    <w:rsid w:val="00DD5190"/>
    <w:rsid w:val="00DD5A29"/>
    <w:rsid w:val="00DD5C58"/>
    <w:rsid w:val="00DD5D9D"/>
    <w:rsid w:val="00DE0E84"/>
    <w:rsid w:val="00DE3550"/>
    <w:rsid w:val="00DE35CB"/>
    <w:rsid w:val="00DE7B71"/>
    <w:rsid w:val="00DF21E9"/>
    <w:rsid w:val="00E00F14"/>
    <w:rsid w:val="00E06386"/>
    <w:rsid w:val="00E0649B"/>
    <w:rsid w:val="00E11ED1"/>
    <w:rsid w:val="00E12766"/>
    <w:rsid w:val="00E13598"/>
    <w:rsid w:val="00E15542"/>
    <w:rsid w:val="00E15E3C"/>
    <w:rsid w:val="00E17A9D"/>
    <w:rsid w:val="00E20A8E"/>
    <w:rsid w:val="00E24EB4"/>
    <w:rsid w:val="00E30913"/>
    <w:rsid w:val="00E320ED"/>
    <w:rsid w:val="00E3375A"/>
    <w:rsid w:val="00E33AFB"/>
    <w:rsid w:val="00E34218"/>
    <w:rsid w:val="00E40655"/>
    <w:rsid w:val="00E46282"/>
    <w:rsid w:val="00E50C8C"/>
    <w:rsid w:val="00E51DF5"/>
    <w:rsid w:val="00E5216E"/>
    <w:rsid w:val="00E548C1"/>
    <w:rsid w:val="00E56654"/>
    <w:rsid w:val="00E60441"/>
    <w:rsid w:val="00E63120"/>
    <w:rsid w:val="00E7111A"/>
    <w:rsid w:val="00E72513"/>
    <w:rsid w:val="00E82344"/>
    <w:rsid w:val="00E82AE8"/>
    <w:rsid w:val="00E84C82"/>
    <w:rsid w:val="00E84D64"/>
    <w:rsid w:val="00E856A1"/>
    <w:rsid w:val="00E87408"/>
    <w:rsid w:val="00E914C4"/>
    <w:rsid w:val="00E91F2B"/>
    <w:rsid w:val="00E934F5"/>
    <w:rsid w:val="00E96961"/>
    <w:rsid w:val="00E96D01"/>
    <w:rsid w:val="00EA2E69"/>
    <w:rsid w:val="00EA72EC"/>
    <w:rsid w:val="00EB11CB"/>
    <w:rsid w:val="00EB275A"/>
    <w:rsid w:val="00EB786A"/>
    <w:rsid w:val="00EC099B"/>
    <w:rsid w:val="00EC1578"/>
    <w:rsid w:val="00EC1C72"/>
    <w:rsid w:val="00EC3CC9"/>
    <w:rsid w:val="00EC680A"/>
    <w:rsid w:val="00EC72C6"/>
    <w:rsid w:val="00EC7F83"/>
    <w:rsid w:val="00ED3CAB"/>
    <w:rsid w:val="00ED5271"/>
    <w:rsid w:val="00EE273C"/>
    <w:rsid w:val="00EE2BED"/>
    <w:rsid w:val="00EE374B"/>
    <w:rsid w:val="00EF7170"/>
    <w:rsid w:val="00F00588"/>
    <w:rsid w:val="00F04BF2"/>
    <w:rsid w:val="00F11BB5"/>
    <w:rsid w:val="00F133A6"/>
    <w:rsid w:val="00F1417B"/>
    <w:rsid w:val="00F16286"/>
    <w:rsid w:val="00F1765E"/>
    <w:rsid w:val="00F207FC"/>
    <w:rsid w:val="00F24C1A"/>
    <w:rsid w:val="00F338C3"/>
    <w:rsid w:val="00F34B99"/>
    <w:rsid w:val="00F34FC4"/>
    <w:rsid w:val="00F364AF"/>
    <w:rsid w:val="00F432DF"/>
    <w:rsid w:val="00F50DED"/>
    <w:rsid w:val="00F51E7E"/>
    <w:rsid w:val="00F52DAB"/>
    <w:rsid w:val="00F5430A"/>
    <w:rsid w:val="00F543F0"/>
    <w:rsid w:val="00F57695"/>
    <w:rsid w:val="00F6333A"/>
    <w:rsid w:val="00F80904"/>
    <w:rsid w:val="00F81369"/>
    <w:rsid w:val="00F81D29"/>
    <w:rsid w:val="00F86CBC"/>
    <w:rsid w:val="00F87125"/>
    <w:rsid w:val="00F90A37"/>
    <w:rsid w:val="00F91C4D"/>
    <w:rsid w:val="00F92FD9"/>
    <w:rsid w:val="00F94DDE"/>
    <w:rsid w:val="00F94FFC"/>
    <w:rsid w:val="00F95A96"/>
    <w:rsid w:val="00F9782C"/>
    <w:rsid w:val="00FA12FA"/>
    <w:rsid w:val="00FA3A40"/>
    <w:rsid w:val="00FA6684"/>
    <w:rsid w:val="00FA731E"/>
    <w:rsid w:val="00FB2B38"/>
    <w:rsid w:val="00FC2EBF"/>
    <w:rsid w:val="00FC5389"/>
    <w:rsid w:val="00FC6358"/>
    <w:rsid w:val="00FC6B0E"/>
    <w:rsid w:val="00FD0608"/>
    <w:rsid w:val="00FD320D"/>
    <w:rsid w:val="00FD51AE"/>
    <w:rsid w:val="00FD5C7C"/>
    <w:rsid w:val="00FE23DE"/>
    <w:rsid w:val="00FF64BB"/>
    <w:rsid w:val="00FF7DAC"/>
    <w:rsid w:val="039A317B"/>
    <w:rsid w:val="03E67495"/>
    <w:rsid w:val="04D44B19"/>
    <w:rsid w:val="04F3258F"/>
    <w:rsid w:val="051F641A"/>
    <w:rsid w:val="05642B7A"/>
    <w:rsid w:val="091C09F7"/>
    <w:rsid w:val="0A76004A"/>
    <w:rsid w:val="0D43255D"/>
    <w:rsid w:val="0D625B94"/>
    <w:rsid w:val="0EE224D2"/>
    <w:rsid w:val="10937656"/>
    <w:rsid w:val="118F3B1A"/>
    <w:rsid w:val="125B4EF1"/>
    <w:rsid w:val="17F42B7C"/>
    <w:rsid w:val="19AB1B6E"/>
    <w:rsid w:val="19F76B3D"/>
    <w:rsid w:val="1B0457CF"/>
    <w:rsid w:val="1CFC6CE4"/>
    <w:rsid w:val="1F6317DE"/>
    <w:rsid w:val="1FE32983"/>
    <w:rsid w:val="20701AD6"/>
    <w:rsid w:val="226E3259"/>
    <w:rsid w:val="235B22E1"/>
    <w:rsid w:val="23A60734"/>
    <w:rsid w:val="276A59E6"/>
    <w:rsid w:val="276F6228"/>
    <w:rsid w:val="27FF5A1C"/>
    <w:rsid w:val="2B1E245C"/>
    <w:rsid w:val="2B4F6267"/>
    <w:rsid w:val="2BAF3823"/>
    <w:rsid w:val="2BE547C4"/>
    <w:rsid w:val="2C310BE8"/>
    <w:rsid w:val="2DDE7D8B"/>
    <w:rsid w:val="2F3D5027"/>
    <w:rsid w:val="2F8F6148"/>
    <w:rsid w:val="2FB820BD"/>
    <w:rsid w:val="2FD951A4"/>
    <w:rsid w:val="33501C21"/>
    <w:rsid w:val="382C3602"/>
    <w:rsid w:val="3BA323E8"/>
    <w:rsid w:val="3C6F7E86"/>
    <w:rsid w:val="3E9C4B61"/>
    <w:rsid w:val="3FC656D4"/>
    <w:rsid w:val="3FFC547E"/>
    <w:rsid w:val="41851527"/>
    <w:rsid w:val="437A6AA5"/>
    <w:rsid w:val="48817813"/>
    <w:rsid w:val="496C1A3D"/>
    <w:rsid w:val="4A7473FE"/>
    <w:rsid w:val="4AD475A0"/>
    <w:rsid w:val="4DAD5A1F"/>
    <w:rsid w:val="53682E5B"/>
    <w:rsid w:val="53935268"/>
    <w:rsid w:val="53B3546F"/>
    <w:rsid w:val="5455051A"/>
    <w:rsid w:val="551455D3"/>
    <w:rsid w:val="56072EC4"/>
    <w:rsid w:val="57E0516F"/>
    <w:rsid w:val="58DE5A36"/>
    <w:rsid w:val="59431C85"/>
    <w:rsid w:val="597A0182"/>
    <w:rsid w:val="59E2043D"/>
    <w:rsid w:val="5A5372A7"/>
    <w:rsid w:val="5AA26546"/>
    <w:rsid w:val="5AB64F24"/>
    <w:rsid w:val="5C3A52EF"/>
    <w:rsid w:val="5D1802B4"/>
    <w:rsid w:val="5E5764CA"/>
    <w:rsid w:val="5EAE66A3"/>
    <w:rsid w:val="5FAE1C9E"/>
    <w:rsid w:val="60795723"/>
    <w:rsid w:val="611153DD"/>
    <w:rsid w:val="61F3516C"/>
    <w:rsid w:val="62AC6138"/>
    <w:rsid w:val="6330595C"/>
    <w:rsid w:val="63843079"/>
    <w:rsid w:val="641657C1"/>
    <w:rsid w:val="64AD7F3C"/>
    <w:rsid w:val="66367C8E"/>
    <w:rsid w:val="669C2095"/>
    <w:rsid w:val="66BD2303"/>
    <w:rsid w:val="687004A4"/>
    <w:rsid w:val="69AA3B71"/>
    <w:rsid w:val="6C3F2ABE"/>
    <w:rsid w:val="6D836159"/>
    <w:rsid w:val="6EB26A50"/>
    <w:rsid w:val="6EBF4C65"/>
    <w:rsid w:val="6EC072BA"/>
    <w:rsid w:val="7044136A"/>
    <w:rsid w:val="70912E00"/>
    <w:rsid w:val="71A800CA"/>
    <w:rsid w:val="71C73D6C"/>
    <w:rsid w:val="730B036D"/>
    <w:rsid w:val="73277BB6"/>
    <w:rsid w:val="741901C5"/>
    <w:rsid w:val="74B67C02"/>
    <w:rsid w:val="751E4040"/>
    <w:rsid w:val="75A74BD5"/>
    <w:rsid w:val="77CD12B7"/>
    <w:rsid w:val="77E63C6A"/>
    <w:rsid w:val="78354ABA"/>
    <w:rsid w:val="790B21F7"/>
    <w:rsid w:val="79A84102"/>
    <w:rsid w:val="79B15774"/>
    <w:rsid w:val="7BA048E9"/>
    <w:rsid w:val="7CC90F53"/>
    <w:rsid w:val="7CD71C15"/>
    <w:rsid w:val="7DC92B8B"/>
    <w:rsid w:val="7F5D3643"/>
    <w:rsid w:val="7F884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0"/>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5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2"/>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153"/>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54"/>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155"/>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56"/>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45"/>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endnote text"/>
    <w:basedOn w:val="1"/>
    <w:semiHidden/>
    <w:qFormat/>
    <w:uiPriority w:val="0"/>
    <w:pPr>
      <w:snapToGrid w:val="0"/>
      <w:jc w:val="left"/>
    </w:pPr>
  </w:style>
  <w:style w:type="paragraph" w:styleId="24">
    <w:name w:val="Balloon Text"/>
    <w:basedOn w:val="1"/>
    <w:semiHidden/>
    <w:qFormat/>
    <w:uiPriority w:val="0"/>
    <w:rPr>
      <w:sz w:val="18"/>
      <w:szCs w:val="18"/>
    </w:rPr>
  </w:style>
  <w:style w:type="paragraph" w:styleId="25">
    <w:name w:val="footer"/>
    <w:basedOn w:val="1"/>
    <w:link w:val="157"/>
    <w:qFormat/>
    <w:uiPriority w:val="99"/>
    <w:pPr>
      <w:snapToGrid w:val="0"/>
      <w:ind w:right="210" w:rightChars="100"/>
      <w:jc w:val="right"/>
    </w:pPr>
    <w:rPr>
      <w:sz w:val="18"/>
      <w:szCs w:val="18"/>
    </w:rPr>
  </w:style>
  <w:style w:type="paragraph" w:styleId="26">
    <w:name w:val="header"/>
    <w:basedOn w:val="1"/>
    <w:link w:val="147"/>
    <w:qFormat/>
    <w:uiPriority w:val="0"/>
    <w:pPr>
      <w:snapToGrid w:val="0"/>
      <w:jc w:val="left"/>
    </w:pPr>
    <w:rPr>
      <w:sz w:val="18"/>
      <w:szCs w:val="18"/>
    </w:rPr>
  </w:style>
  <w:style w:type="paragraph" w:styleId="27">
    <w:name w:val="toc 1"/>
    <w:basedOn w:val="1"/>
    <w:next w:val="1"/>
    <w:semiHidden/>
    <w:qFormat/>
    <w:uiPriority w:val="0"/>
    <w:pPr>
      <w:tabs>
        <w:tab w:val="right" w:leader="dot" w:pos="9242"/>
      </w:tabs>
      <w:spacing w:beforeLines="25" w:afterLines="25"/>
      <w:jc w:val="left"/>
    </w:pPr>
    <w:rPr>
      <w:rFonts w:ascii="宋体"/>
      <w:szCs w:val="21"/>
    </w:rPr>
  </w:style>
  <w:style w:type="paragraph" w:styleId="28">
    <w:name w:val="toc 4"/>
    <w:basedOn w:val="1"/>
    <w:next w:val="1"/>
    <w:semiHidden/>
    <w:qFormat/>
    <w:uiPriority w:val="0"/>
    <w:pPr>
      <w:tabs>
        <w:tab w:val="right" w:leader="dot" w:pos="9241"/>
      </w:tabs>
      <w:ind w:firstLine="200" w:firstLineChars="200"/>
      <w:jc w:val="left"/>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31"/>
    <w:qFormat/>
    <w:uiPriority w:val="0"/>
    <w:pPr>
      <w:tabs>
        <w:tab w:val="right" w:leader="dot" w:pos="9299"/>
      </w:tabs>
      <w:jc w:val="left"/>
    </w:pPr>
    <w:rPr>
      <w:rFonts w:ascii="宋体"/>
      <w:szCs w:val="21"/>
    </w:rPr>
  </w:style>
  <w:style w:type="paragraph" w:customStyle="1" w:styleId="31">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2">
    <w:name w:val="footnote text"/>
    <w:basedOn w:val="1"/>
    <w:qFormat/>
    <w:uiPriority w:val="0"/>
    <w:pPr>
      <w:numPr>
        <w:ilvl w:val="0"/>
        <w:numId w:val="1"/>
      </w:numPr>
      <w:snapToGrid w:val="0"/>
      <w:jc w:val="left"/>
    </w:pPr>
    <w:rPr>
      <w:rFonts w:ascii="宋体"/>
      <w:sz w:val="18"/>
      <w:szCs w:val="18"/>
    </w:rPr>
  </w:style>
  <w:style w:type="paragraph" w:styleId="33">
    <w:name w:val="toc 6"/>
    <w:basedOn w:val="1"/>
    <w:next w:val="1"/>
    <w:semiHidden/>
    <w:qFormat/>
    <w:uiPriority w:val="0"/>
    <w:pPr>
      <w:tabs>
        <w:tab w:val="right" w:leader="dot" w:pos="9241"/>
      </w:tabs>
      <w:ind w:firstLine="400" w:firstLineChars="400"/>
      <w:jc w:val="left"/>
    </w:pPr>
    <w:rPr>
      <w:rFonts w:ascii="宋体"/>
      <w:szCs w:val="21"/>
    </w:rPr>
  </w:style>
  <w:style w:type="paragraph" w:styleId="34">
    <w:name w:val="index 7"/>
    <w:basedOn w:val="1"/>
    <w:next w:val="1"/>
    <w:qFormat/>
    <w:uiPriority w:val="0"/>
    <w:pPr>
      <w:ind w:left="1470" w:hanging="210"/>
      <w:jc w:val="left"/>
    </w:pPr>
    <w:rPr>
      <w:rFonts w:ascii="Calibri" w:hAnsi="Calibri"/>
      <w:sz w:val="20"/>
      <w:szCs w:val="20"/>
    </w:rPr>
  </w:style>
  <w:style w:type="paragraph" w:styleId="35">
    <w:name w:val="index 9"/>
    <w:basedOn w:val="1"/>
    <w:next w:val="1"/>
    <w:qFormat/>
    <w:uiPriority w:val="0"/>
    <w:pPr>
      <w:ind w:left="1890" w:hanging="210"/>
      <w:jc w:val="left"/>
    </w:pPr>
    <w:rPr>
      <w:rFonts w:ascii="Calibri" w:hAnsi="Calibri"/>
      <w:sz w:val="20"/>
      <w:szCs w:val="20"/>
    </w:rPr>
  </w:style>
  <w:style w:type="paragraph" w:styleId="36">
    <w:name w:val="toc 2"/>
    <w:basedOn w:val="1"/>
    <w:next w:val="1"/>
    <w:semiHidden/>
    <w:qFormat/>
    <w:uiPriority w:val="0"/>
    <w:pPr>
      <w:tabs>
        <w:tab w:val="right" w:leader="dot" w:pos="9242"/>
      </w:tabs>
    </w:pPr>
    <w:rPr>
      <w:rFonts w:ascii="宋体"/>
      <w:szCs w:val="21"/>
    </w:rPr>
  </w:style>
  <w:style w:type="paragraph" w:styleId="37">
    <w:name w:val="toc 9"/>
    <w:basedOn w:val="1"/>
    <w:next w:val="1"/>
    <w:semiHidden/>
    <w:qFormat/>
    <w:uiPriority w:val="0"/>
    <w:pPr>
      <w:ind w:left="1470"/>
      <w:jc w:val="left"/>
    </w:pPr>
    <w:rPr>
      <w:sz w:val="20"/>
      <w:szCs w:val="20"/>
    </w:rPr>
  </w:style>
  <w:style w:type="paragraph" w:styleId="38">
    <w:name w:val="Normal (Web)"/>
    <w:basedOn w:val="1"/>
    <w:qFormat/>
    <w:uiPriority w:val="0"/>
    <w:pPr>
      <w:widowControl/>
      <w:spacing w:line="300" w:lineRule="atLeast"/>
      <w:jc w:val="left"/>
    </w:pPr>
    <w:rPr>
      <w:rFonts w:ascii="宋体" w:hAnsi="宋体"/>
      <w:kern w:val="0"/>
      <w:sz w:val="24"/>
    </w:rPr>
  </w:style>
  <w:style w:type="paragraph" w:styleId="39">
    <w:name w:val="index 2"/>
    <w:basedOn w:val="1"/>
    <w:next w:val="1"/>
    <w:qFormat/>
    <w:uiPriority w:val="0"/>
    <w:pPr>
      <w:ind w:left="420" w:hanging="210"/>
      <w:jc w:val="left"/>
    </w:pPr>
    <w:rPr>
      <w:rFonts w:ascii="Calibri" w:hAnsi="Calibri"/>
      <w:sz w:val="20"/>
      <w:szCs w:val="20"/>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qFormat/>
    <w:uiPriority w:val="0"/>
    <w:rPr>
      <w:color w:val="800080"/>
      <w:u w:val="single"/>
    </w:rPr>
  </w:style>
  <w:style w:type="character" w:styleId="46">
    <w:name w:val="Hyperlink"/>
    <w:qFormat/>
    <w:uiPriority w:val="0"/>
    <w:rPr>
      <w:color w:val="0000FF"/>
      <w:spacing w:val="0"/>
      <w:w w:val="100"/>
      <w:szCs w:val="21"/>
      <w:u w:val="single"/>
    </w:rPr>
  </w:style>
  <w:style w:type="character" w:styleId="47">
    <w:name w:val="annotation reference"/>
    <w:qFormat/>
    <w:uiPriority w:val="0"/>
    <w:rPr>
      <w:sz w:val="21"/>
      <w:szCs w:val="21"/>
    </w:rPr>
  </w:style>
  <w:style w:type="character" w:styleId="48">
    <w:name w:val="footnote reference"/>
    <w:semiHidden/>
    <w:qFormat/>
    <w:uiPriority w:val="0"/>
    <w:rPr>
      <w:vertAlign w:val="superscript"/>
    </w:rPr>
  </w:style>
  <w:style w:type="character" w:customStyle="1" w:styleId="49">
    <w:name w:val="段 Char"/>
    <w:link w:val="31"/>
    <w:qFormat/>
    <w:uiPriority w:val="0"/>
    <w:rPr>
      <w:rFonts w:ascii="宋体"/>
      <w:sz w:val="21"/>
      <w:lang w:val="en-US" w:eastAsia="zh-CN" w:bidi="ar-SA"/>
    </w:rPr>
  </w:style>
  <w:style w:type="paragraph" w:customStyle="1" w:styleId="50">
    <w:name w:val="一级条标题"/>
    <w:next w:val="3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章标题"/>
    <w:next w:val="3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4">
    <w:name w:val="二级条标题"/>
    <w:basedOn w:val="50"/>
    <w:next w:val="31"/>
    <w:qFormat/>
    <w:uiPriority w:val="0"/>
    <w:pPr>
      <w:spacing w:before="50" w:after="50"/>
      <w:outlineLvl w:val="3"/>
    </w:p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7">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8">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三级条标题"/>
    <w:basedOn w:val="54"/>
    <w:next w:val="31"/>
    <w:qFormat/>
    <w:uiPriority w:val="0"/>
    <w:pPr>
      <w:outlineLvl w:val="4"/>
    </w:pPr>
  </w:style>
  <w:style w:type="paragraph" w:customStyle="1" w:styleId="60">
    <w:name w:val="示例"/>
    <w:next w:val="61"/>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2">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3">
    <w:name w:val="四级条标题"/>
    <w:basedOn w:val="59"/>
    <w:next w:val="31"/>
    <w:qFormat/>
    <w:uiPriority w:val="0"/>
    <w:pPr>
      <w:outlineLvl w:val="5"/>
    </w:pPr>
  </w:style>
  <w:style w:type="paragraph" w:customStyle="1" w:styleId="64">
    <w:name w:val="五级条标题"/>
    <w:basedOn w:val="63"/>
    <w:next w:val="31"/>
    <w:qFormat/>
    <w:uiPriority w:val="0"/>
    <w:pPr>
      <w:outlineLvl w:val="6"/>
    </w:pPr>
  </w:style>
  <w:style w:type="paragraph" w:customStyle="1" w:styleId="65">
    <w:name w:val="注："/>
    <w:next w:val="3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6">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8">
    <w:name w:val="列项◆（三级）"/>
    <w:basedOn w:val="1"/>
    <w:qFormat/>
    <w:uiPriority w:val="0"/>
    <w:pPr>
      <w:numPr>
        <w:ilvl w:val="2"/>
        <w:numId w:val="2"/>
      </w:numPr>
    </w:pPr>
    <w:rPr>
      <w:rFonts w:ascii="宋体"/>
      <w:szCs w:val="21"/>
    </w:rPr>
  </w:style>
  <w:style w:type="paragraph" w:customStyle="1" w:styleId="69">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70">
    <w:name w:val="示例×："/>
    <w:basedOn w:val="53"/>
    <w:qFormat/>
    <w:uiPriority w:val="0"/>
    <w:pPr>
      <w:numPr>
        <w:ilvl w:val="0"/>
        <w:numId w:val="7"/>
      </w:numPr>
      <w:spacing w:beforeLines="0" w:afterLines="0"/>
      <w:outlineLvl w:val="9"/>
    </w:pPr>
    <w:rPr>
      <w:rFonts w:ascii="宋体" w:eastAsia="宋体"/>
      <w:sz w:val="18"/>
      <w:szCs w:val="18"/>
    </w:rPr>
  </w:style>
  <w:style w:type="paragraph" w:customStyle="1" w:styleId="71">
    <w:name w:val="二级无"/>
    <w:basedOn w:val="54"/>
    <w:qFormat/>
    <w:uiPriority w:val="0"/>
    <w:pPr>
      <w:spacing w:beforeLines="0" w:afterLines="0"/>
    </w:pPr>
    <w:rPr>
      <w:rFonts w:ascii="宋体" w:eastAsia="宋体"/>
    </w:rPr>
  </w:style>
  <w:style w:type="paragraph" w:customStyle="1" w:styleId="72">
    <w:name w:val="注：（正文）"/>
    <w:basedOn w:val="65"/>
    <w:next w:val="31"/>
    <w:qFormat/>
    <w:uiPriority w:val="0"/>
  </w:style>
  <w:style w:type="paragraph" w:customStyle="1" w:styleId="73">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7">
    <w:name w:val="标准书眉_偶数页"/>
    <w:basedOn w:val="52"/>
    <w:next w:val="1"/>
    <w:qFormat/>
    <w:uiPriority w:val="0"/>
    <w:pPr>
      <w:jc w:val="left"/>
    </w:p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参考文献、索引标题"/>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1">
    <w:name w:val="发布"/>
    <w:qFormat/>
    <w:uiPriority w:val="0"/>
    <w:rPr>
      <w:rFonts w:ascii="黑体" w:eastAsia="黑体"/>
      <w:spacing w:val="85"/>
      <w:w w:val="100"/>
      <w:position w:val="3"/>
      <w:sz w:val="28"/>
      <w:szCs w:val="28"/>
    </w:rPr>
  </w:style>
  <w:style w:type="paragraph" w:customStyle="1" w:styleId="82">
    <w:name w:val="发布部门"/>
    <w:next w:val="3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spacing w:before="370" w:line="400" w:lineRule="exact"/>
    </w:pPr>
    <w:rPr>
      <w:rFonts w:ascii="Times New Roman"/>
      <w:sz w:val="28"/>
      <w:szCs w:val="28"/>
    </w:rPr>
  </w:style>
  <w:style w:type="paragraph" w:customStyle="1" w:styleId="88">
    <w:name w:val="封面一致性程度标识"/>
    <w:basedOn w:val="87"/>
    <w:qFormat/>
    <w:uiPriority w:val="0"/>
    <w:pPr>
      <w:spacing w:before="440"/>
    </w:pPr>
    <w:rPr>
      <w:rFonts w:ascii="宋体" w:eastAsia="宋体"/>
    </w:rPr>
  </w:style>
  <w:style w:type="paragraph" w:customStyle="1" w:styleId="89">
    <w:name w:val="封面标准文稿类别"/>
    <w:basedOn w:val="88"/>
    <w:qFormat/>
    <w:uiPriority w:val="0"/>
    <w:pPr>
      <w:spacing w:after="160" w:line="240" w:lineRule="auto"/>
    </w:pPr>
    <w:rPr>
      <w:sz w:val="24"/>
    </w:rPr>
  </w:style>
  <w:style w:type="paragraph" w:customStyle="1" w:styleId="90">
    <w:name w:val="封面标准文稿编辑信息"/>
    <w:basedOn w:val="89"/>
    <w:qFormat/>
    <w:uiPriority w:val="0"/>
    <w:pPr>
      <w:spacing w:before="180" w:line="180" w:lineRule="exact"/>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标识"/>
    <w:basedOn w:val="1"/>
    <w:next w:val="31"/>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3">
    <w:name w:val="附录标题"/>
    <w:basedOn w:val="31"/>
    <w:next w:val="31"/>
    <w:qFormat/>
    <w:uiPriority w:val="0"/>
    <w:pPr>
      <w:ind w:firstLine="0" w:firstLineChars="0"/>
      <w:jc w:val="center"/>
    </w:pPr>
    <w:rPr>
      <w:rFonts w:ascii="黑体" w:eastAsia="黑体"/>
    </w:rPr>
  </w:style>
  <w:style w:type="paragraph" w:customStyle="1" w:styleId="94">
    <w:name w:val="附录表标号"/>
    <w:basedOn w:val="1"/>
    <w:next w:val="31"/>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5">
    <w:name w:val="附录表标题"/>
    <w:basedOn w:val="1"/>
    <w:next w:val="31"/>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6">
    <w:name w:val="附录二级条标题"/>
    <w:basedOn w:val="1"/>
    <w:next w:val="31"/>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7">
    <w:name w:val="附录二级无"/>
    <w:basedOn w:val="96"/>
    <w:qFormat/>
    <w:uiPriority w:val="0"/>
    <w:pPr>
      <w:tabs>
        <w:tab w:val="clear" w:pos="360"/>
      </w:tabs>
      <w:spacing w:beforeLines="0" w:afterLines="0"/>
    </w:pPr>
    <w:rPr>
      <w:rFonts w:ascii="宋体" w:eastAsia="宋体"/>
      <w:szCs w:val="21"/>
    </w:rPr>
  </w:style>
  <w:style w:type="paragraph" w:customStyle="1" w:styleId="98">
    <w:name w:val="附录公式"/>
    <w:basedOn w:val="31"/>
    <w:next w:val="31"/>
    <w:link w:val="99"/>
    <w:qFormat/>
    <w:uiPriority w:val="0"/>
  </w:style>
  <w:style w:type="character" w:customStyle="1" w:styleId="99">
    <w:name w:val="附录公式 Char"/>
    <w:basedOn w:val="49"/>
    <w:link w:val="98"/>
    <w:qFormat/>
    <w:uiPriority w:val="0"/>
    <w:rPr>
      <w:rFonts w:ascii="宋体"/>
      <w:sz w:val="21"/>
      <w:lang w:val="en-US" w:eastAsia="zh-CN" w:bidi="ar-SA"/>
    </w:rPr>
  </w:style>
  <w:style w:type="paragraph" w:customStyle="1" w:styleId="100">
    <w:name w:val="附录公式编号制表符"/>
    <w:basedOn w:val="1"/>
    <w:next w:val="31"/>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三级条标题"/>
    <w:basedOn w:val="96"/>
    <w:next w:val="31"/>
    <w:qFormat/>
    <w:uiPriority w:val="0"/>
    <w:pPr>
      <w:numPr>
        <w:ilvl w:val="4"/>
      </w:numPr>
      <w:outlineLvl w:val="4"/>
    </w:pPr>
  </w:style>
  <w:style w:type="paragraph" w:customStyle="1" w:styleId="102">
    <w:name w:val="附录三级无"/>
    <w:basedOn w:val="101"/>
    <w:qFormat/>
    <w:uiPriority w:val="0"/>
    <w:pPr>
      <w:tabs>
        <w:tab w:val="clear" w:pos="360"/>
      </w:tabs>
      <w:spacing w:beforeLines="0" w:afterLines="0"/>
    </w:pPr>
    <w:rPr>
      <w:rFonts w:ascii="宋体" w:eastAsia="宋体"/>
      <w:szCs w:val="21"/>
    </w:rPr>
  </w:style>
  <w:style w:type="paragraph" w:customStyle="1" w:styleId="10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4">
    <w:name w:val="附录四级条标题"/>
    <w:basedOn w:val="101"/>
    <w:next w:val="31"/>
    <w:qFormat/>
    <w:uiPriority w:val="0"/>
    <w:pPr>
      <w:numPr>
        <w:ilvl w:val="5"/>
      </w:numPr>
      <w:outlineLvl w:val="5"/>
    </w:pPr>
  </w:style>
  <w:style w:type="paragraph" w:customStyle="1" w:styleId="105">
    <w:name w:val="附录四级无"/>
    <w:basedOn w:val="104"/>
    <w:qFormat/>
    <w:uiPriority w:val="0"/>
    <w:pPr>
      <w:tabs>
        <w:tab w:val="clear" w:pos="360"/>
      </w:tabs>
      <w:spacing w:beforeLines="0" w:afterLines="0"/>
    </w:pPr>
    <w:rPr>
      <w:rFonts w:ascii="宋体" w:eastAsia="宋体"/>
      <w:szCs w:val="21"/>
    </w:rPr>
  </w:style>
  <w:style w:type="paragraph" w:customStyle="1" w:styleId="106">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7">
    <w:name w:val="附录图标题"/>
    <w:basedOn w:val="1"/>
    <w:next w:val="31"/>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8">
    <w:name w:val="附录五级条标题"/>
    <w:basedOn w:val="104"/>
    <w:next w:val="31"/>
    <w:qFormat/>
    <w:uiPriority w:val="0"/>
    <w:pPr>
      <w:numPr>
        <w:ilvl w:val="6"/>
      </w:numPr>
      <w:outlineLvl w:val="6"/>
    </w:pPr>
  </w:style>
  <w:style w:type="paragraph" w:customStyle="1" w:styleId="109">
    <w:name w:val="附录五级无"/>
    <w:basedOn w:val="108"/>
    <w:qFormat/>
    <w:uiPriority w:val="0"/>
    <w:pPr>
      <w:tabs>
        <w:tab w:val="clear" w:pos="360"/>
      </w:tabs>
      <w:spacing w:beforeLines="0" w:afterLines="0"/>
    </w:pPr>
    <w:rPr>
      <w:rFonts w:ascii="宋体" w:eastAsia="宋体"/>
      <w:szCs w:val="21"/>
    </w:rPr>
  </w:style>
  <w:style w:type="paragraph" w:customStyle="1" w:styleId="110">
    <w:name w:val="附录章标题"/>
    <w:next w:val="31"/>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31"/>
    <w:qFormat/>
    <w:uiPriority w:val="0"/>
    <w:pPr>
      <w:numPr>
        <w:ilvl w:val="2"/>
      </w:numPr>
      <w:autoSpaceDN w:val="0"/>
      <w:spacing w:beforeLines="50" w:afterLines="50"/>
      <w:outlineLvl w:val="2"/>
    </w:pPr>
  </w:style>
  <w:style w:type="paragraph" w:customStyle="1" w:styleId="112">
    <w:name w:val="附录一级无"/>
    <w:basedOn w:val="111"/>
    <w:qFormat/>
    <w:uiPriority w:val="0"/>
    <w:pPr>
      <w:tabs>
        <w:tab w:val="clear" w:pos="360"/>
      </w:tabs>
      <w:spacing w:beforeLines="0" w:afterLines="0"/>
    </w:pPr>
    <w:rPr>
      <w:rFonts w:ascii="宋体" w:eastAsia="宋体"/>
      <w:szCs w:val="21"/>
    </w:rPr>
  </w:style>
  <w:style w:type="paragraph" w:customStyle="1" w:styleId="113">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其他标准标志"/>
    <w:basedOn w:val="74"/>
    <w:qFormat/>
    <w:uiPriority w:val="0"/>
    <w:pPr>
      <w:framePr w:w="6101" w:vAnchor="page" w:hAnchor="page" w:x="4673" w:y="942"/>
    </w:pPr>
    <w:rPr>
      <w:w w:val="130"/>
    </w:rPr>
  </w:style>
  <w:style w:type="paragraph" w:customStyle="1" w:styleId="1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9">
    <w:name w:val="其他发布部门"/>
    <w:basedOn w:val="82"/>
    <w:qFormat/>
    <w:uiPriority w:val="0"/>
    <w:pPr>
      <w:framePr w:y="15310"/>
      <w:spacing w:line="0" w:lineRule="atLeast"/>
    </w:pPr>
    <w:rPr>
      <w:rFonts w:ascii="黑体" w:eastAsia="黑体"/>
      <w:b w:val="0"/>
    </w:rPr>
  </w:style>
  <w:style w:type="paragraph" w:customStyle="1" w:styleId="120">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1">
    <w:name w:val="三级无"/>
    <w:basedOn w:val="59"/>
    <w:qFormat/>
    <w:uiPriority w:val="0"/>
    <w:pPr>
      <w:spacing w:beforeLines="0" w:afterLines="0"/>
    </w:pPr>
    <w:rPr>
      <w:rFonts w:ascii="宋体" w:eastAsia="宋体"/>
    </w:rPr>
  </w:style>
  <w:style w:type="paragraph" w:customStyle="1" w:styleId="122">
    <w:name w:val="实施日期"/>
    <w:basedOn w:val="83"/>
    <w:qFormat/>
    <w:uiPriority w:val="0"/>
    <w:pPr>
      <w:framePr w:vAnchor="page" w:hAnchor="text"/>
      <w:jc w:val="right"/>
    </w:pPr>
  </w:style>
  <w:style w:type="paragraph" w:customStyle="1" w:styleId="123">
    <w:name w:val="示例后文字"/>
    <w:basedOn w:val="31"/>
    <w:next w:val="31"/>
    <w:qFormat/>
    <w:uiPriority w:val="0"/>
    <w:pPr>
      <w:ind w:firstLine="360"/>
    </w:pPr>
    <w:rPr>
      <w:sz w:val="18"/>
    </w:rPr>
  </w:style>
  <w:style w:type="paragraph" w:customStyle="1" w:styleId="124">
    <w:name w:val="首示例"/>
    <w:next w:val="31"/>
    <w:link w:val="125"/>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5">
    <w:name w:val="首示例 Char"/>
    <w:link w:val="124"/>
    <w:qFormat/>
    <w:uiPriority w:val="0"/>
    <w:rPr>
      <w:rFonts w:ascii="宋体" w:hAnsi="宋体"/>
      <w:kern w:val="2"/>
      <w:sz w:val="18"/>
      <w:szCs w:val="18"/>
    </w:rPr>
  </w:style>
  <w:style w:type="paragraph" w:customStyle="1" w:styleId="126">
    <w:name w:val="四级无"/>
    <w:basedOn w:val="63"/>
    <w:qFormat/>
    <w:uiPriority w:val="0"/>
    <w:pPr>
      <w:spacing w:beforeLines="0" w:afterLines="0"/>
    </w:pPr>
    <w:rPr>
      <w:rFonts w:ascii="宋体" w:eastAsia="宋体"/>
    </w:rPr>
  </w:style>
  <w:style w:type="paragraph" w:customStyle="1" w:styleId="127">
    <w:name w:val="条文脚注"/>
    <w:basedOn w:val="32"/>
    <w:qFormat/>
    <w:uiPriority w:val="0"/>
    <w:pPr>
      <w:numPr>
        <w:numId w:val="0"/>
      </w:numPr>
      <w:jc w:val="both"/>
    </w:pPr>
  </w:style>
  <w:style w:type="paragraph" w:customStyle="1" w:styleId="128">
    <w:name w:val="图标脚注说明"/>
    <w:basedOn w:val="31"/>
    <w:qFormat/>
    <w:uiPriority w:val="0"/>
    <w:pPr>
      <w:ind w:left="840" w:hanging="420" w:firstLineChars="0"/>
    </w:pPr>
    <w:rPr>
      <w:sz w:val="18"/>
      <w:szCs w:val="18"/>
    </w:rPr>
  </w:style>
  <w:style w:type="paragraph" w:customStyle="1" w:styleId="129">
    <w:name w:val="图表脚注说明"/>
    <w:basedOn w:val="1"/>
    <w:qFormat/>
    <w:uiPriority w:val="0"/>
    <w:pPr>
      <w:numPr>
        <w:ilvl w:val="0"/>
        <w:numId w:val="14"/>
      </w:numPr>
    </w:pPr>
    <w:rPr>
      <w:rFonts w:ascii="宋体"/>
      <w:sz w:val="18"/>
      <w:szCs w:val="18"/>
    </w:rPr>
  </w:style>
  <w:style w:type="paragraph" w:customStyle="1" w:styleId="130">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五级无"/>
    <w:basedOn w:val="64"/>
    <w:qFormat/>
    <w:uiPriority w:val="0"/>
    <w:pPr>
      <w:spacing w:beforeLines="0" w:afterLines="0"/>
    </w:pPr>
    <w:rPr>
      <w:rFonts w:ascii="宋体" w:eastAsia="宋体"/>
    </w:rPr>
  </w:style>
  <w:style w:type="paragraph" w:customStyle="1" w:styleId="133">
    <w:name w:val="一级无"/>
    <w:basedOn w:val="50"/>
    <w:qFormat/>
    <w:uiPriority w:val="0"/>
    <w:pPr>
      <w:spacing w:beforeLines="0" w:afterLines="0"/>
    </w:pPr>
    <w:rPr>
      <w:rFonts w:ascii="宋体" w:eastAsia="宋体"/>
    </w:rPr>
  </w:style>
  <w:style w:type="paragraph" w:customStyle="1" w:styleId="134">
    <w:name w:val="正文表标题"/>
    <w:next w:val="31"/>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5">
    <w:name w:val="正文公式编号制表符"/>
    <w:basedOn w:val="31"/>
    <w:next w:val="31"/>
    <w:qFormat/>
    <w:uiPriority w:val="0"/>
    <w:pPr>
      <w:ind w:firstLine="0" w:firstLineChars="0"/>
    </w:pPr>
  </w:style>
  <w:style w:type="paragraph" w:customStyle="1" w:styleId="136">
    <w:name w:val="正文图标题"/>
    <w:next w:val="3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其他发布日期"/>
    <w:basedOn w:val="83"/>
    <w:qFormat/>
    <w:uiPriority w:val="0"/>
    <w:pPr>
      <w:framePr w:vAnchor="page" w:hAnchor="text" w:x="1419"/>
    </w:pPr>
  </w:style>
  <w:style w:type="paragraph" w:customStyle="1" w:styleId="139">
    <w:name w:val="其他实施日期"/>
    <w:basedOn w:val="122"/>
    <w:qFormat/>
    <w:uiPriority w:val="0"/>
  </w:style>
  <w:style w:type="paragraph" w:customStyle="1" w:styleId="140">
    <w:name w:val="封面标准名称2"/>
    <w:basedOn w:val="86"/>
    <w:qFormat/>
    <w:uiPriority w:val="0"/>
    <w:pPr>
      <w:framePr w:y="4469"/>
      <w:spacing w:beforeLines="630"/>
    </w:pPr>
  </w:style>
  <w:style w:type="paragraph" w:customStyle="1" w:styleId="141">
    <w:name w:val="封面标准英文名称2"/>
    <w:basedOn w:val="87"/>
    <w:qFormat/>
    <w:uiPriority w:val="0"/>
    <w:pPr>
      <w:framePr w:y="4469"/>
    </w:pPr>
  </w:style>
  <w:style w:type="paragraph" w:customStyle="1" w:styleId="142">
    <w:name w:val="封面一致性程度标识2"/>
    <w:basedOn w:val="88"/>
    <w:qFormat/>
    <w:uiPriority w:val="0"/>
    <w:pPr>
      <w:framePr w:y="4469"/>
    </w:pPr>
  </w:style>
  <w:style w:type="paragraph" w:customStyle="1" w:styleId="143">
    <w:name w:val="封面标准文稿类别2"/>
    <w:basedOn w:val="89"/>
    <w:qFormat/>
    <w:uiPriority w:val="0"/>
    <w:pPr>
      <w:framePr w:y="4469"/>
    </w:pPr>
  </w:style>
  <w:style w:type="paragraph" w:customStyle="1" w:styleId="144">
    <w:name w:val="封面标准文稿编辑信息2"/>
    <w:basedOn w:val="90"/>
    <w:qFormat/>
    <w:uiPriority w:val="0"/>
    <w:pPr>
      <w:framePr w:y="4469"/>
    </w:pPr>
  </w:style>
  <w:style w:type="character" w:customStyle="1" w:styleId="145">
    <w:name w:val="批注文字 Char"/>
    <w:link w:val="16"/>
    <w:qFormat/>
    <w:uiPriority w:val="0"/>
    <w:rPr>
      <w:rFonts w:eastAsia="宋体"/>
      <w:kern w:val="2"/>
      <w:sz w:val="21"/>
      <w:szCs w:val="24"/>
      <w:lang w:val="en-US" w:eastAsia="zh-CN" w:bidi="ar-SA"/>
    </w:rPr>
  </w:style>
  <w:style w:type="paragraph" w:customStyle="1" w:styleId="14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7">
    <w:name w:val="页眉 Char"/>
    <w:basedOn w:val="42"/>
    <w:link w:val="26"/>
    <w:qFormat/>
    <w:uiPriority w:val="0"/>
    <w:rPr>
      <w:kern w:val="2"/>
      <w:sz w:val="18"/>
      <w:szCs w:val="18"/>
    </w:rPr>
  </w:style>
  <w:style w:type="character" w:customStyle="1" w:styleId="148">
    <w:name w:val="标题 1 Char"/>
    <w:basedOn w:val="42"/>
    <w:link w:val="2"/>
    <w:qFormat/>
    <w:uiPriority w:val="0"/>
    <w:rPr>
      <w:b/>
      <w:bCs/>
      <w:kern w:val="44"/>
      <w:sz w:val="44"/>
      <w:szCs w:val="44"/>
    </w:rPr>
  </w:style>
  <w:style w:type="character" w:customStyle="1" w:styleId="149">
    <w:name w:val="标题 2 Char"/>
    <w:basedOn w:val="42"/>
    <w:link w:val="3"/>
    <w:qFormat/>
    <w:uiPriority w:val="0"/>
    <w:rPr>
      <w:rFonts w:asciiTheme="majorHAnsi" w:hAnsiTheme="majorHAnsi" w:eastAsiaTheme="majorEastAsia" w:cstheme="majorBidi"/>
      <w:b/>
      <w:bCs/>
      <w:kern w:val="2"/>
      <w:sz w:val="32"/>
      <w:szCs w:val="32"/>
    </w:rPr>
  </w:style>
  <w:style w:type="character" w:customStyle="1" w:styleId="150">
    <w:name w:val="标题 3 Char"/>
    <w:basedOn w:val="42"/>
    <w:link w:val="4"/>
    <w:semiHidden/>
    <w:qFormat/>
    <w:uiPriority w:val="0"/>
    <w:rPr>
      <w:b/>
      <w:bCs/>
      <w:kern w:val="2"/>
      <w:sz w:val="32"/>
      <w:szCs w:val="32"/>
    </w:rPr>
  </w:style>
  <w:style w:type="character" w:customStyle="1" w:styleId="151">
    <w:name w:val="标题 4 Char"/>
    <w:basedOn w:val="42"/>
    <w:link w:val="5"/>
    <w:semiHidden/>
    <w:qFormat/>
    <w:uiPriority w:val="0"/>
    <w:rPr>
      <w:rFonts w:asciiTheme="majorHAnsi" w:hAnsiTheme="majorHAnsi" w:eastAsiaTheme="majorEastAsia" w:cstheme="majorBidi"/>
      <w:b/>
      <w:bCs/>
      <w:kern w:val="2"/>
      <w:sz w:val="28"/>
      <w:szCs w:val="28"/>
    </w:rPr>
  </w:style>
  <w:style w:type="character" w:customStyle="1" w:styleId="152">
    <w:name w:val="标题 5 Char"/>
    <w:basedOn w:val="42"/>
    <w:link w:val="6"/>
    <w:semiHidden/>
    <w:qFormat/>
    <w:uiPriority w:val="0"/>
    <w:rPr>
      <w:b/>
      <w:bCs/>
      <w:kern w:val="2"/>
      <w:sz w:val="28"/>
      <w:szCs w:val="28"/>
    </w:rPr>
  </w:style>
  <w:style w:type="character" w:customStyle="1" w:styleId="153">
    <w:name w:val="标题 6 Char"/>
    <w:basedOn w:val="42"/>
    <w:link w:val="7"/>
    <w:semiHidden/>
    <w:qFormat/>
    <w:uiPriority w:val="0"/>
    <w:rPr>
      <w:rFonts w:asciiTheme="majorHAnsi" w:hAnsiTheme="majorHAnsi" w:eastAsiaTheme="majorEastAsia" w:cstheme="majorBidi"/>
      <w:b/>
      <w:bCs/>
      <w:kern w:val="2"/>
      <w:sz w:val="24"/>
      <w:szCs w:val="24"/>
    </w:rPr>
  </w:style>
  <w:style w:type="character" w:customStyle="1" w:styleId="154">
    <w:name w:val="标题 7 Char"/>
    <w:basedOn w:val="42"/>
    <w:link w:val="8"/>
    <w:semiHidden/>
    <w:qFormat/>
    <w:uiPriority w:val="0"/>
    <w:rPr>
      <w:b/>
      <w:bCs/>
      <w:kern w:val="2"/>
      <w:sz w:val="24"/>
      <w:szCs w:val="24"/>
    </w:rPr>
  </w:style>
  <w:style w:type="character" w:customStyle="1" w:styleId="155">
    <w:name w:val="标题 8 Char"/>
    <w:basedOn w:val="42"/>
    <w:link w:val="9"/>
    <w:semiHidden/>
    <w:qFormat/>
    <w:uiPriority w:val="0"/>
    <w:rPr>
      <w:rFonts w:asciiTheme="majorHAnsi" w:hAnsiTheme="majorHAnsi" w:eastAsiaTheme="majorEastAsia" w:cstheme="majorBidi"/>
      <w:kern w:val="2"/>
      <w:sz w:val="24"/>
      <w:szCs w:val="24"/>
    </w:rPr>
  </w:style>
  <w:style w:type="character" w:customStyle="1" w:styleId="156">
    <w:name w:val="标题 9 Char"/>
    <w:basedOn w:val="42"/>
    <w:link w:val="10"/>
    <w:semiHidden/>
    <w:qFormat/>
    <w:uiPriority w:val="0"/>
    <w:rPr>
      <w:rFonts w:asciiTheme="majorHAnsi" w:hAnsiTheme="majorHAnsi" w:eastAsiaTheme="majorEastAsia" w:cstheme="majorBidi"/>
      <w:kern w:val="2"/>
      <w:sz w:val="21"/>
      <w:szCs w:val="21"/>
    </w:rPr>
  </w:style>
  <w:style w:type="character" w:customStyle="1" w:styleId="157">
    <w:name w:val="页脚 Char"/>
    <w:basedOn w:val="42"/>
    <w:link w:val="25"/>
    <w:qFormat/>
    <w:locked/>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3D2FC-D9C0-49B6-B493-FC78C86FE3B0}">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14</Pages>
  <Words>5211</Words>
  <Characters>6326</Characters>
  <Lines>52</Lines>
  <Paragraphs>14</Paragraphs>
  <TotalTime>6</TotalTime>
  <ScaleCrop>false</ScaleCrop>
  <LinksUpToDate>false</LinksUpToDate>
  <CharactersWithSpaces>6778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2020-08-22T08:49:00Z</dcterms:created>
  <dc:creator>CNIS</dc:creator>
  <cp:lastModifiedBy>亿知青</cp:lastModifiedBy>
  <cp:lastPrinted>2022-03-21T02:55:00Z</cp:lastPrinted>
  <dcterms:modified xsi:type="dcterms:W3CDTF">2024-07-26T10:27:16Z</dcterms:modified>
  <dc:title>标准名称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BA6AB78F320A45E9B44BB8B0F9540379</vt:lpwstr>
  </property>
</Properties>
</file>