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44355">
      <w:pPr>
        <w:pStyle w:val="131"/>
        <w:spacing w:line="360" w:lineRule="auto"/>
      </w:pPr>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0941F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14:paraId="71F6FC57">
            <w:pPr>
              <w:pStyle w:val="131"/>
              <w:spacing w:line="360" w:lineRule="auto"/>
            </w:pPr>
          </w:p>
        </w:tc>
      </w:tr>
    </w:tbl>
    <w:p w14:paraId="56EEA3AB">
      <w:pPr>
        <w:pStyle w:val="117"/>
        <w:spacing w:line="360" w:lineRule="auto"/>
        <w:rPr>
          <w:rFonts w:hint="default" w:eastAsia="宋体"/>
          <w:color w:val="auto"/>
          <w:lang w:val="en-US" w:eastAsia="zh-CN"/>
        </w:rPr>
      </w:pPr>
      <w:r>
        <w:rPr>
          <w:color w:val="auto"/>
        </w:rPr>
        <w:t>DB</w:t>
      </w:r>
      <w:r>
        <w:rPr>
          <w:rFonts w:hint="eastAsia"/>
          <w:color w:val="auto"/>
          <w:lang w:val="en-US" w:eastAsia="zh-CN"/>
        </w:rPr>
        <w:t>XX</w:t>
      </w:r>
    </w:p>
    <w:p w14:paraId="758943DD">
      <w:pPr>
        <w:pStyle w:val="118"/>
        <w:spacing w:line="360" w:lineRule="auto"/>
      </w:pPr>
      <w:r>
        <w:rPr>
          <w:rFonts w:hint="eastAsia"/>
          <w:color w:val="000000" w:themeColor="text1"/>
          <w:lang w:val="en-US" w:eastAsia="zh-CN"/>
          <w14:textFill>
            <w14:solidFill>
              <w14:schemeClr w14:val="tx1"/>
            </w14:solidFill>
          </w14:textFill>
        </w:rPr>
        <w:t>陕西省</w:t>
      </w:r>
      <w:r>
        <w:rPr>
          <w:rFonts w:hint="eastAsia"/>
        </w:rPr>
        <w:t>地方标准</w:t>
      </w:r>
    </w:p>
    <w:p w14:paraId="6A6631EF">
      <w:pPr>
        <w:pStyle w:val="55"/>
        <w:spacing w:line="360" w:lineRule="auto"/>
        <w:rPr>
          <w:rFonts w:hint="eastAsia" w:hAnsi="黑体" w:eastAsia="黑体"/>
          <w:color w:val="auto"/>
          <w:lang w:val="en-US" w:eastAsia="zh-CN"/>
        </w:rPr>
      </w:pPr>
      <w:r>
        <w:rPr>
          <w:rFonts w:ascii="Times New Roman"/>
          <w:color w:val="auto"/>
        </w:rPr>
        <w:t xml:space="preserve">DB </w:t>
      </w:r>
      <w:r>
        <w:rPr>
          <w:rFonts w:hint="eastAsia" w:ascii="Times New Roman"/>
          <w:color w:val="auto"/>
          <w:lang w:val="en-US" w:eastAsia="zh-CN"/>
        </w:rPr>
        <w:t>XX</w:t>
      </w:r>
      <w:r>
        <w:rPr>
          <w:rFonts w:hAnsi="黑体"/>
          <w:color w:val="auto"/>
        </w:rPr>
        <w:t xml:space="preserve">/T </w:t>
      </w:r>
      <w:bookmarkStart w:id="0" w:name="StdNo1"/>
      <w:r>
        <w:rPr>
          <w:rFonts w:hAnsi="黑体"/>
          <w:color w:val="auto"/>
        </w:rPr>
        <w:fldChar w:fldCharType="begin">
          <w:ffData>
            <w:name w:val="StdNo1"/>
            <w:enabled/>
            <w:calcOnExit w:val="0"/>
            <w:textInput>
              <w:default w:val="XXXXX"/>
            </w:textInput>
          </w:ffData>
        </w:fldChar>
      </w:r>
      <w:r>
        <w:rPr>
          <w:rFonts w:hAnsi="黑体"/>
          <w:color w:val="auto"/>
        </w:rPr>
        <w:instrText xml:space="preserve"> FORMTEXT </w:instrText>
      </w:r>
      <w:r>
        <w:rPr>
          <w:rFonts w:hAnsi="黑体"/>
          <w:color w:val="auto"/>
        </w:rPr>
        <w:fldChar w:fldCharType="separate"/>
      </w:r>
      <w:r>
        <w:rPr>
          <w:rFonts w:hAnsi="黑体"/>
          <w:color w:val="auto"/>
        </w:rPr>
        <w:t>XXXXX</w:t>
      </w:r>
      <w:r>
        <w:rPr>
          <w:rFonts w:hAnsi="黑体"/>
          <w:color w:val="auto"/>
        </w:rPr>
        <w:fldChar w:fldCharType="end"/>
      </w:r>
      <w:bookmarkEnd w:id="0"/>
      <w:r>
        <w:rPr>
          <w:rFonts w:hAnsi="黑体"/>
          <w:color w:val="auto"/>
        </w:rPr>
        <w:t>—</w:t>
      </w:r>
      <w:r>
        <w:rPr>
          <w:rFonts w:hint="eastAsia" w:hAnsi="黑体"/>
          <w:color w:val="auto"/>
        </w:rPr>
        <w:t>202</w:t>
      </w:r>
      <w:r>
        <w:rPr>
          <w:rFonts w:hint="eastAsia" w:hAnsi="黑体"/>
          <w:color w:val="auto"/>
          <w:lang w:val="en-US" w:eastAsia="zh-CN"/>
        </w:rPr>
        <w:t>4</w:t>
      </w:r>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8"/>
        <w:gridCol w:w="4678"/>
      </w:tblGrid>
      <w:tr w14:paraId="2962B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trPr>
        <w:tc>
          <w:tcPr>
            <w:tcW w:w="4678" w:type="dxa"/>
            <w:tcBorders>
              <w:top w:val="nil"/>
              <w:left w:val="nil"/>
              <w:bottom w:val="nil"/>
              <w:right w:val="nil"/>
            </w:tcBorders>
            <w:shd w:val="clear" w:color="auto" w:fill="auto"/>
          </w:tcPr>
          <w:p w14:paraId="1369EB46">
            <w:pPr>
              <w:pStyle w:val="84"/>
              <w:spacing w:line="360" w:lineRule="auto"/>
              <w:ind w:right="840"/>
            </w:pPr>
          </w:p>
        </w:tc>
        <w:tc>
          <w:tcPr>
            <w:tcW w:w="4678" w:type="dxa"/>
            <w:tcBorders>
              <w:top w:val="nil"/>
              <w:left w:val="nil"/>
              <w:bottom w:val="nil"/>
              <w:right w:val="nil"/>
            </w:tcBorders>
          </w:tcPr>
          <w:p w14:paraId="0D0AF63D">
            <w:pPr>
              <w:pStyle w:val="84"/>
              <w:spacing w:line="360" w:lineRule="auto"/>
              <w:ind w:right="840"/>
            </w:pPr>
          </w:p>
        </w:tc>
      </w:tr>
    </w:tbl>
    <w:p w14:paraId="19DC9298">
      <w:pPr>
        <w:pStyle w:val="55"/>
        <w:spacing w:line="360" w:lineRule="auto"/>
        <w:rPr>
          <w:rFonts w:hAnsi="黑体"/>
        </w:rPr>
      </w:pPr>
    </w:p>
    <w:p w14:paraId="158E416B">
      <w:pPr>
        <w:pStyle w:val="55"/>
        <w:spacing w:line="360" w:lineRule="auto"/>
        <w:rPr>
          <w:rFonts w:hAnsi="黑体"/>
        </w:rPr>
      </w:pPr>
    </w:p>
    <w:p w14:paraId="43BC6AEB">
      <w:pPr>
        <w:pStyle w:val="87"/>
        <w:spacing w:line="360" w:lineRule="auto"/>
        <w:rPr>
          <w:rFonts w:ascii="黑体" w:hAnsi="黑体"/>
          <w:b/>
          <w:sz w:val="52"/>
          <w:szCs w:val="52"/>
        </w:rPr>
      </w:pPr>
      <w:bookmarkStart w:id="1" w:name="StdEnglishName"/>
      <w:r>
        <w:rPr>
          <w:rFonts w:hint="eastAsia" w:ascii="黑体" w:hAnsi="黑体"/>
          <w:b/>
          <w:sz w:val="52"/>
          <w:szCs w:val="52"/>
        </w:rPr>
        <w:t>柴油发动机氮氧化物还原剂 尿素水溶液（AUS32）快速筛查技术规范</w:t>
      </w:r>
      <w:bookmarkEnd w:id="1"/>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26672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shd w:val="clear" w:color="auto" w:fill="auto"/>
          </w:tcPr>
          <w:p w14:paraId="7A1C6039">
            <w:pPr>
              <w:pStyle w:val="89"/>
              <w:spacing w:line="360" w:lineRule="auto"/>
              <w:rPr>
                <w:b/>
              </w:rPr>
            </w:pPr>
          </w:p>
        </w:tc>
      </w:tr>
      <w:tr w14:paraId="0D603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38F2BBA3">
            <w:pPr>
              <w:pStyle w:val="90"/>
              <w:spacing w:line="360" w:lineRule="auto"/>
              <w:rPr>
                <w:b/>
              </w:rPr>
            </w:pPr>
          </w:p>
        </w:tc>
      </w:tr>
    </w:tbl>
    <w:p w14:paraId="3960B7AB">
      <w:pPr>
        <w:pStyle w:val="138"/>
        <w:framePr w:hAnchor="page" w:x="1413"/>
        <w:spacing w:line="360" w:lineRule="auto"/>
        <w:rPr>
          <w:color w:val="auto"/>
        </w:rPr>
      </w:pPr>
      <w:r>
        <w:rPr>
          <w:rFonts w:hint="eastAsia" w:ascii="黑体"/>
          <w:color w:val="auto"/>
        </w:rPr>
        <w:t>202</w:t>
      </w:r>
      <w:r>
        <w:rPr>
          <w:rFonts w:hint="eastAsia" w:ascii="黑体"/>
          <w:color w:val="auto"/>
          <w:lang w:val="en-US" w:eastAsia="zh-CN"/>
        </w:rPr>
        <w:t>X</w:t>
      </w:r>
      <w:r>
        <w:rPr>
          <w:rFonts w:ascii="黑体"/>
          <w:color w:val="auto"/>
        </w:rPr>
        <w:t>-</w:t>
      </w:r>
      <w:r>
        <w:rPr>
          <w:rFonts w:ascii="黑体"/>
          <w:color w:val="auto"/>
        </w:rPr>
        <w:fldChar w:fldCharType="begin">
          <w:ffData>
            <w:name w:val="FM"/>
            <w:enabled/>
            <w:calcOnExit w:val="0"/>
            <w:entryMacro w:val="ShowHelp8"/>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r>
        <w:rPr>
          <w:rFonts w:ascii="黑体"/>
          <w:color w:val="auto"/>
        </w:rPr>
        <w:t>-</w:t>
      </w:r>
      <w:bookmarkStart w:id="2" w:name="FD"/>
      <w:r>
        <w:rPr>
          <w:rFonts w:ascii="黑体"/>
          <w:color w:val="auto"/>
        </w:rPr>
        <w:fldChar w:fldCharType="begin">
          <w:ffData>
            <w:name w:val="FD"/>
            <w:enabled/>
            <w:calcOnExit w:val="0"/>
            <w:entryMacro w:val="ShowHelp8"/>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2"/>
      <w:r>
        <w:rPr>
          <w:rFonts w:hint="eastAsia"/>
          <w:color w:val="auto"/>
        </w:rPr>
        <w:t>发布</w:t>
      </w:r>
    </w:p>
    <w:p w14:paraId="5D7454EF">
      <w:pPr>
        <w:pStyle w:val="139"/>
        <w:spacing w:line="360" w:lineRule="auto"/>
        <w:ind w:right="560"/>
        <w:jc w:val="both"/>
        <w:rPr>
          <w:color w:val="auto"/>
        </w:rPr>
      </w:pPr>
      <w:r>
        <w:rPr>
          <w:rFonts w:hint="eastAsia" w:ascii="黑体"/>
          <w:color w:val="auto"/>
        </w:rPr>
        <w:t>202</w:t>
      </w:r>
      <w:r>
        <w:rPr>
          <w:rFonts w:hint="eastAsia" w:ascii="黑体"/>
          <w:color w:val="auto"/>
          <w:lang w:val="en-US" w:eastAsia="zh-CN"/>
        </w:rPr>
        <w:t>X</w:t>
      </w:r>
      <w:r>
        <w:rPr>
          <w:rFonts w:ascii="黑体"/>
          <w:color w:val="auto"/>
        </w:rPr>
        <w:t>-</w:t>
      </w:r>
      <w:bookmarkStart w:id="3" w:name="SM"/>
      <w:r>
        <w:rPr>
          <w:rFonts w:ascii="黑体"/>
          <w:color w:val="auto"/>
        </w:rPr>
        <w:fldChar w:fldCharType="begin">
          <w:ffData>
            <w:name w:val="SM"/>
            <w:enabled/>
            <w:calcOnExit w:val="0"/>
            <w:entryMacro w:val="ShowHelp9"/>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3"/>
      <w:r>
        <w:rPr>
          <w:rFonts w:ascii="黑体"/>
          <w:color w:val="auto"/>
        </w:rPr>
        <w:t>-</w:t>
      </w:r>
      <w:bookmarkStart w:id="4" w:name="SD"/>
      <w:r>
        <w:rPr>
          <w:rFonts w:ascii="黑体"/>
          <w:color w:val="auto"/>
        </w:rPr>
        <w:fldChar w:fldCharType="begin">
          <w:ffData>
            <w:name w:val="SD"/>
            <w:enabled/>
            <w:calcOnExit w:val="0"/>
            <w:entryMacro w:val="ShowHelp9"/>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4"/>
      <w:r>
        <w:rPr>
          <w:rFonts w:hint="eastAsia"/>
          <w:color w:val="auto"/>
        </w:rPr>
        <w:t>实施</w:t>
      </w:r>
    </w:p>
    <w:p w14:paraId="68E5EF79">
      <w:pPr>
        <w:pStyle w:val="119"/>
        <w:framePr w:x="2161" w:y="14982"/>
        <w:spacing w:line="360" w:lineRule="auto"/>
        <w:rPr>
          <w:color w:val="auto"/>
        </w:rPr>
      </w:pPr>
      <w:bookmarkStart w:id="5" w:name="fm"/>
      <w:r>
        <w:rPr>
          <w:rFonts w:hint="default"/>
          <w:color w:val="auto"/>
          <w:w w:val="100"/>
          <w:lang w:val="en-US"/>
        </w:rPr>
        <mc:AlternateContent>
          <mc:Choice Requires="wps">
            <w:drawing>
              <wp:anchor distT="0" distB="0" distL="114300" distR="114300" simplePos="0" relativeHeight="251661312" behindDoc="1" locked="0" layoutInCell="1" allowOverlap="1">
                <wp:simplePos x="0" y="0"/>
                <wp:positionH relativeFrom="column">
                  <wp:posOffset>1810385</wp:posOffset>
                </wp:positionH>
                <wp:positionV relativeFrom="paragraph">
                  <wp:posOffset>-3942715</wp:posOffset>
                </wp:positionV>
                <wp:extent cx="1270000" cy="304800"/>
                <wp:effectExtent l="0" t="0" r="0" b="0"/>
                <wp:wrapNone/>
                <wp:docPr id="6"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42.55pt;margin-top:-310.45pt;height:24pt;width:100pt;z-index:-251655168;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DudS0MMAgAALgQAAA4AAABkcnMvZTJvRG9jLnhtbK1T&#10;wY7TMBC9I/EPlu80SSm7S9V0tbQqQiqw0sIHuI6TWDgeM3ablq9n7KSlLJc9kEM04xm/mfdmvLg/&#10;doYdFHoNtuTFJOdMWQmVtk3Jv3/bvLnjzAdhK2HAqpKflOf3y9evFr2bqym0YCqFjECsn/eu5G0I&#10;bp5lXraqE34CTlkK1oCdCORik1UoekLvTDbN85usB6wcglTe0+l6CPIREV8CCHWtpVqD3HfKhgEV&#10;lRGBKPlWO8+Xqdu6VjJ8rWuvAjMlJ6Yh/akI2bv4z5YLMW9QuFbLsQXxkhaeceqEtlT0ArUWQbA9&#10;6n+gOi0RPNRhIqHLBiJJEWJR5M+0eWqFU4kLSe3dRXT//2Dll8MjMl2V/IYzKzoa+PZDVKV3fk7B&#10;J/eIkZd3W5A/PLOwaoVt1AMi9K0SFfVSxPzsrwvR8XSV7frPUBGo2AdIAh1r7CIgUWfHNIfTZQ7q&#10;GJikw2J6m9PHmaTY23x2R3YsIebn2w59+KigY9EoOdKcE7o4bH0YUs8pqXswutpoY5KDzW5lkB0E&#10;7cQmfSO6v04zNiZbiNcGxOFEpa0ay5x5DnrtoDoRZ4RhzeiRkdEC/uKspxUruf+5F6g4M58s6fa+&#10;mM3iTiZn9u52Sg5eR3bXEWElQZU8cDaYqzDs8d6hblqqVCQJLDyQ1rVOMsT+hq7GCdEaJSHHlY97&#10;eu2nrD/PfP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Xu1tkAAAANAQAADwAAAAAAAAABACAA&#10;AAAiAAAAZHJzL2Rvd25yZXYueG1sUEsBAhQAFAAAAAgAh07iQDudS0MMAgAALgQAAA4AAAAAAAAA&#10;AQAgAAAAKAEAAGRycy9lMm9Eb2MueG1sUEsFBgAAAAAGAAYAWQEAAKYFAAAAAA==&#10;">
                <v:fill on="t" focussize="0,0"/>
                <v:stroke on="f"/>
                <v:imagedata o:title=""/>
                <o:lock v:ext="edit" aspectratio="f"/>
              </v:rect>
            </w:pict>
          </mc:Fallback>
        </mc:AlternateContent>
      </w:r>
      <w:r>
        <w:rPr>
          <w:rFonts w:hint="default"/>
          <w:color w:val="auto"/>
          <w:w w:val="100"/>
          <w:lang w:val="en-US"/>
        </w:rPr>
        <mc:AlternateContent>
          <mc:Choice Requires="wps">
            <w:drawing>
              <wp:anchor distT="0" distB="0" distL="114300" distR="114300" simplePos="0" relativeHeight="251660288"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47.55pt;margin-top:-585.45pt;height:18pt;width:90pt;z-index:-251656192;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PY76WDQIAAC4EAAAOAAAAZHJzL2Uyb0RvYy54bWyt&#10;U8Fu2zAMvQ/YPwi6L7aztOuMOEWRIMOAbivQ7gMUWbaFyaJGKXG6rx8lO1nWXXqYDwYpUo98j9Ty&#10;9tgbdlDoNdiKF7OcM2Ul1Nq2Ff/+tH13w5kPwtbCgFUVf1ae367evlkOrlRz6MDUChmBWF8OruJd&#10;CK7MMi871Qs/A6csBRvAXgRysc1qFAOh9yab5/l1NgDWDkEq7+l0Mwb5hIivAYSm0VJtQO57ZcOI&#10;isqIQJR8p53nq9Rt0ygZvjWNV4GZihPTkP5UhOxd/GerpShbFK7TcmpBvKaFF5x6oS0VPUNtRBBs&#10;j/ofqF5LBA9NmEnos5FIUoRYFPkLbR474VTiQlJ7dxbd/z9Y+fXwgEzXFb/izIqeBr55iqoMzpcU&#10;fHQPGHl5dw/yh2cW1p2wrbpDhKFToqZeipif/XUhOp6ust3wBWoCFfsASaBjg30EJOrsmObwfJ6D&#10;OgYm6bAoFu/znEYkKTaf31yTHUuI8nTboQ+fFPQsGhVHmnNCF4d7H8bUU0rqHoyut9qY5GC7Wxtk&#10;B0E7sU3fhO4v04yNyRbitRFxPFFpq6YyJ56jXjuon4kzwrhm9MjI6AB/cTbQilXc/9wLVJyZz5Z0&#10;+1gsFnEnk7O4+jAnBy8ju8uIsJKgKh44G811GPd471C3HVUqkgQW7kjrRicZYn9jV9OEaI2SkNPK&#10;xz299FPWn2e++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yYoR2gAAAA8BAAAPAAAAAAAAAAEA&#10;IAAAACIAAABkcnMvZG93bnJldi54bWxQSwECFAAUAAAACACHTuJAj2O+lg0CAAAuBAAADgAAAAAA&#10;AAABACAAAAApAQAAZHJzL2Uyb0RvYy54bWxQSwUGAAAAAAYABgBZAQAAqAUAAAAA&#10;">
                <v:fill on="t" focussize="0,0"/>
                <v:stroke on="f"/>
                <v:imagedata o:title=""/>
                <o:lock v:ext="edit" aspectratio="f"/>
              </v:rect>
            </w:pict>
          </mc:Fallback>
        </mc:AlternateContent>
      </w:r>
      <w:r>
        <w:rPr>
          <w:rFonts w:hint="default"/>
          <w:color w:val="auto"/>
          <w:w w:val="100"/>
          <w:lang w:val="en-US"/>
        </w:rPr>
        <mc:AlternateContent>
          <mc:Choice Requires="wps">
            <w:drawing>
              <wp:anchor distT="0" distB="0" distL="114300" distR="114300" simplePos="0" relativeHeight="251659264"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4"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margin-left:-36.6pt;margin-top:-552.85pt;height:0pt;width:481.9pt;z-index:25165926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1aufHc4BAACuAwAADgAAAGRycy9lMm9Eb2MueG1srVNN&#10;b9swDL0P2H8QdF8cZ2uxGXF6SNBdsi1Aux+gSLItTBIFUYmdfz9K+djaXXqYD4JEPj6Sj/TyYXKW&#10;HXVEA77l9WzOmfYSlPF9y38+P374zBkm4ZWw4HXLTxr5w+r9u+UYGr2AAazSkRGJx2YMLR9SCk1V&#10;oRy0EziDoD05O4hOJHrGvlJRjMTubLWYz++rEaIKEaRGJOvm7OQXxvgWQug6I/UG5MFpn86sUVuR&#10;qCUcTEC+KtV2nZbpR9ehTsy2nDpN5aQkdN/ns1otRdNHEQYjLyWIt5TwqicnjKekN6qNSIIdovmH&#10;yhkZAaFLMwmuOjdSFKEu6vkrbZ4GEXTphaTGcBMd/x+t/H7cRWZUyz9x5oWjgW+N16yuszRjwIYQ&#10;a7+LuTk5+aewBfkLmYf1IHyvS4nPp0BxJaJ6EZIfGCjBfvwGijDikKDoNHXRZUpSgE1lHKfbOPSU&#10;mCTjfU2afKRJyauvEs01MERMXzU4li8tt1R0IRbHLSYqnaBXSM7j4dFYW6ZtPRtb/uVucVcCEKxR&#10;2ZlhGPv92kZ2FHlfypd1ILIXsAgHr85263OcLqt2yXzt+qzfHtRpFzM422mMhe6ycnlP/n4X1J/f&#10;b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yWRoNgAAAAPAQAADwAAAAAAAAABACAAAAAiAAAA&#10;ZHJzL2Rvd25yZXYueG1sUEsBAhQAFAAAAAgAh07iQNWrnx3OAQAArgMAAA4AAAAAAAAAAQAgAAAA&#10;JwEAAGRycy9lMm9Eb2MueG1sUEsFBgAAAAAGAAYAWQEAAGcFAAAAAA==&#10;">
                <v:fill on="f" focussize="0,0"/>
                <v:stroke color="#000000" joinstyle="round"/>
                <v:imagedata o:title=""/>
                <o:lock v:ext="edit" aspectratio="f"/>
              </v:line>
            </w:pict>
          </mc:Fallback>
        </mc:AlternateContent>
      </w:r>
      <w:bookmarkEnd w:id="5"/>
      <w:r>
        <w:rPr>
          <w:rFonts w:hint="eastAsia"/>
          <w:color w:val="auto"/>
          <w:w w:val="100"/>
          <w:lang w:val="en-US" w:eastAsia="zh-CN"/>
        </w:rPr>
        <w:t>陕西省</w:t>
      </w:r>
      <w:r>
        <w:rPr>
          <w:rFonts w:hint="eastAsia"/>
          <w:color w:val="auto"/>
        </w:rPr>
        <w:t>市场监督管理局</w:t>
      </w:r>
      <w:r>
        <w:rPr>
          <w:rFonts w:hAnsi="黑体"/>
          <w:color w:val="auto"/>
        </w:rPr>
        <w:t>   </w:t>
      </w:r>
      <w:r>
        <w:rPr>
          <w:rStyle w:val="81"/>
          <w:rFonts w:hint="eastAsia"/>
          <w:color w:val="auto"/>
        </w:rPr>
        <w:t>发布</w:t>
      </w:r>
    </w:p>
    <w:p w14:paraId="45D88116">
      <w:pPr>
        <w:pStyle w:val="31"/>
        <w:spacing w:line="360" w:lineRule="auto"/>
        <w:rPr>
          <w:color w:val="auto"/>
        </w:rPr>
        <w:sectPr>
          <w:pgSz w:w="11906" w:h="16838"/>
          <w:pgMar w:top="567" w:right="850" w:bottom="1134" w:left="1418" w:header="0" w:footer="0" w:gutter="0"/>
          <w:pgNumType w:start="1"/>
          <w:cols w:space="425" w:num="1"/>
          <w:docGrid w:type="lines" w:linePitch="312" w:charSpace="0"/>
        </w:sectPr>
      </w:pPr>
      <w:r>
        <w:rPr>
          <w:color w:val="auto"/>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8910320</wp:posOffset>
                </wp:positionV>
                <wp:extent cx="6120130" cy="0"/>
                <wp:effectExtent l="0" t="0" r="0" b="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margin-top:701.6pt;height:0pt;width:481.9pt;mso-position-horizontal:right;mso-position-horizontal-relative:margin;z-index:251662336;mso-width-relative:page;mso-height-relative:page;" filled="f" stroked="t" coordsize="21600,21600" o:gfxdata="UEsDBAoAAAAAAIdO4kAAAAAAAAAAAAAAAAAEAAAAZHJzL1BLAwQUAAAACACHTuJASIOJjtUAAAAK&#10;AQAADwAAAGRycy9kb3ducmV2LnhtbE2PzU7DMBCE70i8g7VIXCpqN0EVhDg9ALlxoQVx3cZLEhGv&#10;09j9gadnOSA47sxodr5ydfKDOtAU+8AWFnMDirgJrufWwsumvroBFROywyEwWfikCKvq/KzEwoUj&#10;P9NhnVolJRwLtNClNBZax6Yjj3EeRmLx3sPkMck5tdpNeJRyP+jMmKX22LN86HCk+46aj/XeW4j1&#10;K+3qr1kzM295GyjbPTw9orWXFwtzByrRKf2F4We+TIdKNm3Dnl1UgwUBSaJemzwDJf7tMheU7a+k&#10;q1L/R6i+AVBLAwQUAAAACACHTuJALYS6Cc0BAACuAwAADgAAAGRycy9lMm9Eb2MueG1srVPBbtsw&#10;DL0P2D8Iui+OM7TYjDg9JOgu2Rag3QcokmwLk0RBVOLk70fJSbp2lx7mgyCRj4/kI718ODnLjjqi&#10;Ad/yejbnTHsJyvi+5b+eHz994QyT8EpY8LrlZ438YfXxw3IMjV7AAFbpyIjEYzOGlg8phaaqUA7a&#10;CZxB0J6cHUQnEj1jX6koRmJ3tlrM5/fVCFGFCFIjknUzOfmFMb6HELrOSL0BeXDap4k1aisStYSD&#10;CchXpdqu0zL97DrUidmWU6epnJSE7vt8VqulaPoowmDkpQTxnhLe9OSE8ZT0RrURSbBDNP9QOSMj&#10;IHRpJsFVUyNFEeqinr/R5mkQQZdeSGoMN9Hx/9HKH8ddZEbRJnDmhaOBb43XrK6zNGPAhhBrv4u5&#10;OXnyT2EL8jcyD+tB+F6XEp/PgeJKRPUqJD8wUIL9+B0UYcQhQdHp1EWXKUkBdirjON/GoU+JSTLe&#10;16TJZ5qUvPoq0VwDQ8T0TYNj+dJyS0UXYnHcYqLSCXqF5DweHo21ZdrWs7HlX+8WdyUAwRqVnRmG&#10;sd+vbWRHkfelfFkHInsFi3DwarJbn+N0WbVL5mvXk357UOddzOBspzEWusvK5T35+11QL7/Z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Ig4mO1QAAAAoBAAAPAAAAAAAAAAEAIAAAACIAAABkcnMv&#10;ZG93bnJldi54bWxQSwECFAAUAAAACACHTuJALYS6Cc0BAACuAwAADgAAAAAAAAABACAAAAAkAQAA&#10;ZHJzL2Uyb0RvYy54bWxQSwUGAAAAAAYABgBZAQAAYwUAAAAA&#10;">
                <v:fill on="f" focussize="0,0"/>
                <v:stroke color="#000000" joinstyle="round"/>
                <v:imagedata o:title=""/>
                <o:lock v:ext="edit" aspectratio="f"/>
              </v:line>
            </w:pict>
          </mc:Fallback>
        </mc:AlternateContent>
      </w:r>
    </w:p>
    <w:p w14:paraId="779C571B">
      <w:pPr>
        <w:pStyle w:val="12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前</w:t>
      </w:r>
      <w:bookmarkStart w:id="6" w:name="BKQY"/>
      <w:r>
        <w:rPr>
          <w:rFonts w:hAnsi="黑体"/>
          <w:color w:val="000000" w:themeColor="text1"/>
          <w14:textFill>
            <w14:solidFill>
              <w14:schemeClr w14:val="tx1"/>
            </w14:solidFill>
          </w14:textFill>
        </w:rPr>
        <w:t>  </w:t>
      </w:r>
      <w:r>
        <w:rPr>
          <w:rFonts w:hint="eastAsia"/>
          <w:color w:val="000000" w:themeColor="text1"/>
          <w14:textFill>
            <w14:solidFill>
              <w14:schemeClr w14:val="tx1"/>
            </w14:solidFill>
          </w14:textFill>
        </w:rPr>
        <w:t>言</w:t>
      </w:r>
      <w:bookmarkEnd w:id="6"/>
    </w:p>
    <w:p w14:paraId="7314C0A8">
      <w:pPr>
        <w:pStyle w:val="31"/>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本标准按</w:t>
      </w:r>
      <w:r>
        <w:rPr>
          <w:rFonts w:hint="eastAsia"/>
          <w:color w:val="auto"/>
        </w:rPr>
        <w:t>照</w:t>
      </w:r>
      <w:r>
        <w:rPr>
          <w:rFonts w:ascii="Times New Roman"/>
          <w:color w:val="auto"/>
        </w:rPr>
        <w:t>GB/T 1.1-2009</w:t>
      </w:r>
      <w:r>
        <w:rPr>
          <w:rFonts w:hint="eastAsia"/>
          <w:color w:val="000000" w:themeColor="text1"/>
          <w14:textFill>
            <w14:solidFill>
              <w14:schemeClr w14:val="tx1"/>
            </w14:solidFill>
          </w14:textFill>
        </w:rPr>
        <w:t>给出的规则起草。</w:t>
      </w:r>
    </w:p>
    <w:p w14:paraId="3855904D">
      <w:pPr>
        <w:pStyle w:val="31"/>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本标准由</w:t>
      </w:r>
      <w:r>
        <w:rPr>
          <w:rFonts w:hint="eastAsia"/>
          <w:color w:val="000000" w:themeColor="text1"/>
          <w:lang w:val="en-US" w:eastAsia="zh-CN"/>
          <w14:textFill>
            <w14:solidFill>
              <w14:schemeClr w14:val="tx1"/>
            </w14:solidFill>
          </w14:textFill>
        </w:rPr>
        <w:t>陕西</w:t>
      </w:r>
      <w:r>
        <w:rPr>
          <w:rFonts w:hint="eastAsia"/>
          <w:color w:val="000000" w:themeColor="text1"/>
          <w14:textFill>
            <w14:solidFill>
              <w14:schemeClr w14:val="tx1"/>
            </w14:solidFill>
          </w14:textFill>
        </w:rPr>
        <w:t>省市场监督管理局提出。</w:t>
      </w:r>
    </w:p>
    <w:p w14:paraId="36BFDFCC">
      <w:pPr>
        <w:pStyle w:val="31"/>
        <w:spacing w:line="360" w:lineRule="auto"/>
        <w:rPr>
          <w:rFonts w:hint="eastAsia" w:ascii="宋体" w:eastAsia="宋体"/>
          <w:color w:val="0000FF"/>
          <w:lang w:val="en-US" w:eastAsia="zh-CN"/>
        </w:rPr>
      </w:pPr>
      <w:r>
        <w:rPr>
          <w:rFonts w:hint="eastAsia"/>
          <w:color w:val="000000" w:themeColor="text1"/>
          <w14:textFill>
            <w14:solidFill>
              <w14:schemeClr w14:val="tx1"/>
            </w14:solidFill>
          </w14:textFill>
        </w:rPr>
        <w:t>本标准起草单位</w:t>
      </w:r>
      <w:r>
        <w:rPr>
          <w:rFonts w:hint="eastAsia"/>
          <w:color w:val="auto"/>
        </w:rPr>
        <w:t>：</w:t>
      </w:r>
      <w:r>
        <w:rPr>
          <w:rFonts w:hint="eastAsia"/>
          <w:color w:val="auto"/>
          <w:lang w:val="en-US" w:eastAsia="zh-CN"/>
        </w:rPr>
        <w:t>延安油气产品质量检验检测有限责任公司/国家石油天然气产品质量检验检测中</w:t>
      </w:r>
      <w:r>
        <w:rPr>
          <w:rFonts w:hint="eastAsia" w:ascii="宋体" w:eastAsia="宋体"/>
          <w:color w:val="auto"/>
          <w:lang w:val="en-US" w:eastAsia="zh-CN"/>
        </w:rPr>
        <w:t>心、</w:t>
      </w:r>
      <w:r>
        <w:rPr>
          <w:rFonts w:hint="eastAsia"/>
          <w:color w:val="auto"/>
          <w:lang w:val="en-US" w:eastAsia="zh-CN"/>
        </w:rPr>
        <w:t>国家煤及盐化工产品质量监督检验中心（榆林）、</w:t>
      </w:r>
      <w:r>
        <w:rPr>
          <w:rFonts w:hint="eastAsia" w:ascii="宋体" w:eastAsia="宋体"/>
          <w:color w:val="auto"/>
          <w:lang w:val="en-US" w:eastAsia="zh-CN"/>
        </w:rPr>
        <w:t>延安大学</w:t>
      </w:r>
      <w:r>
        <w:rPr>
          <w:rFonts w:hint="eastAsia"/>
          <w:color w:val="auto"/>
          <w:lang w:val="en-US" w:eastAsia="zh-CN"/>
        </w:rPr>
        <w:t>。</w:t>
      </w:r>
    </w:p>
    <w:p w14:paraId="5804BEDE">
      <w:pPr>
        <w:pStyle w:val="31"/>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本标准主要起草人：</w:t>
      </w:r>
      <w:r>
        <w:rPr>
          <w:rFonts w:hint="eastAsia"/>
          <w:color w:val="000000" w:themeColor="text1"/>
          <w:lang w:val="en-US" w:eastAsia="zh-CN"/>
          <w14:textFill>
            <w14:solidFill>
              <w14:schemeClr w14:val="tx1"/>
            </w14:solidFill>
          </w14:textFill>
        </w:rPr>
        <w:t>马宝权、艾刚刚、沙夜龙、高榆榆、</w:t>
      </w:r>
      <w:r>
        <w:rPr>
          <w:rFonts w:hint="eastAsia"/>
          <w:lang w:val="en-US" w:eastAsia="zh-CN"/>
        </w:rPr>
        <w:t>王娟、</w:t>
      </w:r>
      <w:r>
        <w:rPr>
          <w:rFonts w:hint="eastAsia"/>
          <w:color w:val="000000" w:themeColor="text1"/>
          <w:lang w:val="en-US" w:eastAsia="zh-CN"/>
          <w14:textFill>
            <w14:solidFill>
              <w14:schemeClr w14:val="tx1"/>
            </w14:solidFill>
          </w14:textFill>
        </w:rPr>
        <w:t>闫海军、</w:t>
      </w:r>
      <w:r>
        <w:rPr>
          <w:rFonts w:hint="eastAsia"/>
          <w:lang w:val="en-US" w:eastAsia="zh-CN"/>
        </w:rPr>
        <w:t>张玉琦、李然、</w:t>
      </w:r>
      <w:r>
        <w:rPr>
          <w:rFonts w:hint="eastAsia"/>
          <w:color w:val="000000" w:themeColor="text1"/>
          <w:lang w:val="en-US" w:eastAsia="zh-CN"/>
          <w14:textFill>
            <w14:solidFill>
              <w14:schemeClr w14:val="tx1"/>
            </w14:solidFill>
          </w14:textFill>
        </w:rPr>
        <w:t>边海龙、张凯、王子明、周茹、惠秀秀</w:t>
      </w:r>
      <w:r>
        <w:rPr>
          <w:rFonts w:hint="eastAsia"/>
          <w:color w:val="000000" w:themeColor="text1"/>
          <w14:textFill>
            <w14:solidFill>
              <w14:schemeClr w14:val="tx1"/>
            </w14:solidFill>
          </w14:textFill>
        </w:rPr>
        <w:t>。</w:t>
      </w:r>
    </w:p>
    <w:p w14:paraId="6B8D6A7D">
      <w:pPr>
        <w:pStyle w:val="31"/>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本标准为首次发布。</w:t>
      </w:r>
    </w:p>
    <w:p w14:paraId="3074E64B">
      <w:pPr>
        <w:pStyle w:val="31"/>
        <w:spacing w:line="360" w:lineRule="auto"/>
        <w:rPr>
          <w:color w:val="000000" w:themeColor="text1"/>
          <w14:textFill>
            <w14:solidFill>
              <w14:schemeClr w14:val="tx1"/>
            </w14:solidFill>
          </w14:textFill>
        </w:rPr>
      </w:pPr>
    </w:p>
    <w:p w14:paraId="542378C0">
      <w:pPr>
        <w:pStyle w:val="31"/>
        <w:spacing w:line="360" w:lineRule="auto"/>
        <w:rPr>
          <w:color w:val="000000" w:themeColor="text1"/>
          <w14:textFill>
            <w14:solidFill>
              <w14:schemeClr w14:val="tx1"/>
            </w14:solidFill>
          </w14:textFill>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14:paraId="012F7107">
      <w:pPr>
        <w:pStyle w:val="58"/>
        <w:spacing w:line="360" w:lineRule="auto"/>
        <w:ind w:left="432"/>
        <w:jc w:val="both"/>
        <w:rPr>
          <w:rFonts w:ascii="Times New Roman" w:eastAsia="宋体"/>
          <w:b/>
          <w:color w:val="000000" w:themeColor="text1"/>
          <w:kern w:val="2"/>
          <w:sz w:val="36"/>
          <w:szCs w:val="36"/>
          <w14:textFill>
            <w14:solidFill>
              <w14:schemeClr w14:val="tx1"/>
            </w14:solidFill>
          </w14:textFill>
        </w:rPr>
      </w:pPr>
      <w:r>
        <w:rPr>
          <w:rFonts w:hint="eastAsia" w:ascii="Times New Roman" w:eastAsia="宋体"/>
          <w:b/>
          <w:color w:val="000000" w:themeColor="text1"/>
          <w:kern w:val="2"/>
          <w:sz w:val="36"/>
          <w:szCs w:val="36"/>
          <w14:textFill>
            <w14:solidFill>
              <w14:schemeClr w14:val="tx1"/>
            </w14:solidFill>
          </w14:textFill>
        </w:rPr>
        <w:t>柴油发动机氮氧化物还原剂 尿素水溶液（AUS32）快速筛查技术规范</w:t>
      </w:r>
    </w:p>
    <w:p w14:paraId="6E3962C0">
      <w:pPr>
        <w:pStyle w:val="53"/>
        <w:numPr>
          <w:ilvl w:val="0"/>
          <w:numId w:val="17"/>
        </w:numPr>
        <w:spacing w:before="240" w:after="240" w:line="360" w:lineRule="auto"/>
        <w:ind w:left="0" w:firstLine="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范围</w:t>
      </w:r>
    </w:p>
    <w:p w14:paraId="6A197C8E">
      <w:pPr>
        <w:pStyle w:val="53"/>
        <w:spacing w:beforeLines="0" w:afterLines="0" w:line="360" w:lineRule="auto"/>
        <w:ind w:left="431"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本技术规范规定了柴油发动机氮氧化物还原剂 尿素水溶液（AUS32）快速筛查阈值、取样和快速筛查方法等内容。</w:t>
      </w:r>
    </w:p>
    <w:p w14:paraId="206DF2D8">
      <w:pPr>
        <w:pStyle w:val="53"/>
        <w:spacing w:beforeLines="0" w:afterLines="0" w:line="360" w:lineRule="auto"/>
        <w:ind w:left="431"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本技术规范仅适用于柴油发动机氮氧化物还原剂 尿素水溶液（AUS32）产品的快速筛查。</w:t>
      </w:r>
    </w:p>
    <w:p w14:paraId="74242BDC">
      <w:pPr>
        <w:pStyle w:val="53"/>
        <w:numPr>
          <w:ilvl w:val="0"/>
          <w:numId w:val="17"/>
        </w:numPr>
        <w:spacing w:before="240" w:after="240" w:line="360" w:lineRule="auto"/>
        <w:ind w:left="0" w:firstLine="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规范性引用文件</w:t>
      </w:r>
    </w:p>
    <w:p w14:paraId="098767B9">
      <w:pPr>
        <w:pStyle w:val="53"/>
        <w:spacing w:beforeLines="0" w:afterLines="0" w:line="360" w:lineRule="auto"/>
        <w:ind w:firstLine="420" w:firstLineChars="200"/>
        <w:rPr>
          <w:rFonts w:ascii="宋体" w:hAnsi="宋体" w:eastAsia="宋体" w:cs="宋体"/>
          <w:color w:val="000000" w:themeColor="text1"/>
          <w:kern w:val="2"/>
          <w:szCs w:val="24"/>
          <w14:textFill>
            <w14:solidFill>
              <w14:schemeClr w14:val="tx1"/>
            </w14:solidFill>
          </w14:textFill>
        </w:rPr>
      </w:pPr>
      <w:r>
        <w:rPr>
          <w:rFonts w:hint="eastAsia" w:ascii="宋体" w:hAnsi="宋体" w:eastAsia="宋体" w:cs="宋体"/>
          <w:color w:val="000000" w:themeColor="text1"/>
          <w:kern w:val="2"/>
          <w:szCs w:val="24"/>
          <w14:textFill>
            <w14:solidFill>
              <w14:schemeClr w14:val="tx1"/>
            </w14:solidFill>
          </w14:textFill>
        </w:rPr>
        <w:t>下列文件对于本文件的应用是必不可少的。凡是注日期的引用文件，仅所注日期的版本适用于本文件。凡是不注日期的引用文件，其最新版本（包括所有的修改单）适用于本文件。</w:t>
      </w:r>
    </w:p>
    <w:p w14:paraId="0C4466AB">
      <w:pPr>
        <w:pStyle w:val="53"/>
        <w:spacing w:beforeLines="0" w:afterLines="0" w:line="360" w:lineRule="auto"/>
        <w:ind w:firstLine="420" w:firstLineChars="200"/>
        <w:rPr>
          <w:rFonts w:ascii="宋体" w:hAnsi="宋体" w:eastAsia="宋体" w:cs="宋体"/>
          <w:color w:val="000000" w:themeColor="text1"/>
          <w:kern w:val="2"/>
          <w:szCs w:val="24"/>
          <w14:textFill>
            <w14:solidFill>
              <w14:schemeClr w14:val="tx1"/>
            </w14:solidFill>
          </w14:textFill>
        </w:rPr>
      </w:pPr>
      <w:r>
        <w:rPr>
          <w:rFonts w:hint="eastAsia" w:ascii="宋体" w:hAnsi="宋体" w:eastAsia="宋体" w:cs="宋体"/>
          <w:color w:val="000000" w:themeColor="text1"/>
          <w:kern w:val="2"/>
          <w:szCs w:val="24"/>
          <w14:textFill>
            <w14:solidFill>
              <w14:schemeClr w14:val="tx1"/>
            </w14:solidFill>
          </w14:textFill>
        </w:rPr>
        <w:t>GB/T</w:t>
      </w:r>
      <w:r>
        <w:rPr>
          <w:rFonts w:hint="eastAsia" w:ascii="宋体" w:hAnsi="宋体" w:eastAsia="宋体" w:cs="宋体"/>
          <w:color w:val="000000" w:themeColor="text1"/>
          <w:kern w:val="2"/>
          <w:szCs w:val="24"/>
          <w:lang w:val="en-US" w:eastAsia="zh-CN"/>
          <w14:textFill>
            <w14:solidFill>
              <w14:schemeClr w14:val="tx1"/>
            </w14:solidFill>
          </w14:textFill>
        </w:rPr>
        <w:t xml:space="preserve"> </w:t>
      </w:r>
      <w:r>
        <w:rPr>
          <w:rFonts w:hint="eastAsia" w:ascii="宋体" w:hAnsi="宋体" w:eastAsia="宋体" w:cs="宋体"/>
          <w:color w:val="000000" w:themeColor="text1"/>
          <w:kern w:val="2"/>
          <w:szCs w:val="24"/>
          <w14:textFill>
            <w14:solidFill>
              <w14:schemeClr w14:val="tx1"/>
            </w14:solidFill>
          </w14:textFill>
        </w:rPr>
        <w:t>614  化学试剂  折光率测定通用方法</w:t>
      </w:r>
    </w:p>
    <w:p w14:paraId="17AC8385">
      <w:pPr>
        <w:pStyle w:val="53"/>
        <w:spacing w:beforeLines="0" w:afterLines="0" w:line="360" w:lineRule="auto"/>
        <w:ind w:firstLine="420" w:firstLineChars="200"/>
        <w:rPr>
          <w:rFonts w:ascii="宋体" w:hAnsi="宋体" w:eastAsia="宋体" w:cs="宋体"/>
          <w:color w:val="000000" w:themeColor="text1"/>
          <w:kern w:val="2"/>
          <w:szCs w:val="24"/>
          <w14:textFill>
            <w14:solidFill>
              <w14:schemeClr w14:val="tx1"/>
            </w14:solidFill>
          </w14:textFill>
        </w:rPr>
      </w:pPr>
      <w:r>
        <w:rPr>
          <w:rFonts w:hint="eastAsia" w:ascii="宋体" w:hAnsi="宋体" w:eastAsia="宋体" w:cs="宋体"/>
          <w:color w:val="000000" w:themeColor="text1"/>
          <w:kern w:val="2"/>
          <w:szCs w:val="24"/>
          <w14:textFill>
            <w14:solidFill>
              <w14:schemeClr w14:val="tx1"/>
            </w14:solidFill>
          </w14:textFill>
        </w:rPr>
        <w:t>GB/T 1884</w:t>
      </w:r>
      <w:r>
        <w:rPr>
          <w:rFonts w:ascii="宋体" w:hAnsi="宋体" w:eastAsia="宋体" w:cs="宋体"/>
          <w:color w:val="000000" w:themeColor="text1"/>
          <w:kern w:val="2"/>
          <w:szCs w:val="24"/>
          <w14:textFill>
            <w14:solidFill>
              <w14:schemeClr w14:val="tx1"/>
            </w14:solidFill>
          </w14:textFill>
        </w:rPr>
        <w:t xml:space="preserve">  </w:t>
      </w:r>
      <w:r>
        <w:rPr>
          <w:rFonts w:hint="eastAsia" w:ascii="宋体" w:hAnsi="宋体" w:eastAsia="宋体" w:cs="宋体"/>
          <w:color w:val="000000" w:themeColor="text1"/>
          <w:kern w:val="2"/>
          <w:szCs w:val="24"/>
          <w14:textFill>
            <w14:solidFill>
              <w14:schemeClr w14:val="tx1"/>
            </w14:solidFill>
          </w14:textFill>
        </w:rPr>
        <w:t>原油和液体石油产品密度实验室测定法（密度计法）</w:t>
      </w:r>
    </w:p>
    <w:p w14:paraId="5BFC8963">
      <w:pPr>
        <w:pStyle w:val="53"/>
        <w:spacing w:beforeLines="0" w:afterLines="0" w:line="360" w:lineRule="auto"/>
        <w:ind w:firstLine="420" w:firstLineChars="200"/>
        <w:rPr>
          <w:rFonts w:ascii="宋体" w:hAnsi="宋体" w:eastAsia="宋体" w:cs="宋体"/>
          <w:color w:val="000000" w:themeColor="text1"/>
          <w:kern w:val="2"/>
          <w:szCs w:val="24"/>
          <w14:textFill>
            <w14:solidFill>
              <w14:schemeClr w14:val="tx1"/>
            </w14:solidFill>
          </w14:textFill>
        </w:rPr>
      </w:pPr>
      <w:r>
        <w:rPr>
          <w:rFonts w:hint="eastAsia" w:ascii="宋体" w:hAnsi="宋体" w:eastAsia="宋体" w:cs="宋体"/>
          <w:color w:val="000000" w:themeColor="text1"/>
          <w:kern w:val="2"/>
          <w:szCs w:val="24"/>
          <w14:textFill>
            <w14:solidFill>
              <w14:schemeClr w14:val="tx1"/>
            </w14:solidFill>
          </w14:textFill>
        </w:rPr>
        <w:t>G</w:t>
      </w:r>
      <w:r>
        <w:rPr>
          <w:rFonts w:ascii="宋体" w:hAnsi="宋体" w:eastAsia="宋体" w:cs="宋体"/>
          <w:color w:val="000000" w:themeColor="text1"/>
          <w:kern w:val="2"/>
          <w:szCs w:val="24"/>
          <w14:textFill>
            <w14:solidFill>
              <w14:schemeClr w14:val="tx1"/>
            </w14:solidFill>
          </w14:textFill>
        </w:rPr>
        <w:t xml:space="preserve">B/T 1885  </w:t>
      </w:r>
      <w:r>
        <w:rPr>
          <w:rFonts w:hint="eastAsia" w:ascii="宋体" w:hAnsi="宋体" w:eastAsia="宋体" w:cs="宋体"/>
          <w:color w:val="000000" w:themeColor="text1"/>
          <w:kern w:val="2"/>
          <w:szCs w:val="24"/>
          <w14:textFill>
            <w14:solidFill>
              <w14:schemeClr w14:val="tx1"/>
            </w14:solidFill>
          </w14:textFill>
        </w:rPr>
        <w:t>石油计量表</w:t>
      </w:r>
    </w:p>
    <w:p w14:paraId="5EDE759B">
      <w:pPr>
        <w:pStyle w:val="53"/>
        <w:spacing w:beforeLines="0" w:afterLines="0" w:line="360" w:lineRule="auto"/>
        <w:ind w:firstLine="420" w:firstLineChars="200"/>
        <w:rPr>
          <w:rFonts w:ascii="宋体" w:hAnsi="宋体" w:eastAsia="宋体" w:cs="宋体"/>
          <w:color w:val="000000" w:themeColor="text1"/>
          <w:kern w:val="2"/>
          <w:szCs w:val="24"/>
          <w14:textFill>
            <w14:solidFill>
              <w14:schemeClr w14:val="tx1"/>
            </w14:solidFill>
          </w14:textFill>
        </w:rPr>
      </w:pPr>
      <w:r>
        <w:rPr>
          <w:rFonts w:hint="eastAsia" w:ascii="宋体" w:hAnsi="宋体" w:eastAsia="宋体" w:cs="宋体"/>
          <w:color w:val="000000" w:themeColor="text1"/>
          <w:kern w:val="2"/>
          <w:szCs w:val="24"/>
          <w14:textFill>
            <w14:solidFill>
              <w14:schemeClr w14:val="tx1"/>
            </w14:solidFill>
          </w14:textFill>
        </w:rPr>
        <w:t>GB 29518 柴油发动机氮氧化物还原剂 尿素水溶液（AUS32）</w:t>
      </w:r>
    </w:p>
    <w:p w14:paraId="02A43215">
      <w:pPr>
        <w:pStyle w:val="53"/>
        <w:spacing w:beforeLines="0" w:afterLines="0" w:line="360" w:lineRule="auto"/>
        <w:ind w:firstLine="420" w:firstLineChars="200"/>
        <w:rPr>
          <w:rFonts w:ascii="宋体" w:hAnsi="宋体" w:eastAsia="宋体" w:cs="宋体"/>
          <w:color w:val="000000" w:themeColor="text1"/>
          <w:kern w:val="2"/>
          <w:szCs w:val="24"/>
          <w14:textFill>
            <w14:solidFill>
              <w14:schemeClr w14:val="tx1"/>
            </w14:solidFill>
          </w14:textFill>
        </w:rPr>
      </w:pPr>
      <w:r>
        <w:rPr>
          <w:rFonts w:hint="eastAsia" w:ascii="宋体" w:hAnsi="宋体" w:eastAsia="宋体" w:cs="宋体"/>
          <w:color w:val="000000" w:themeColor="text1"/>
          <w:kern w:val="2"/>
          <w:szCs w:val="24"/>
          <w14:textFill>
            <w14:solidFill>
              <w14:schemeClr w14:val="tx1"/>
            </w14:solidFill>
          </w14:textFill>
        </w:rPr>
        <w:t>S</w:t>
      </w:r>
      <w:r>
        <w:rPr>
          <w:rFonts w:ascii="宋体" w:hAnsi="宋体" w:eastAsia="宋体" w:cs="宋体"/>
          <w:color w:val="000000" w:themeColor="text1"/>
          <w:kern w:val="2"/>
          <w:szCs w:val="24"/>
          <w14:textFill>
            <w14:solidFill>
              <w14:schemeClr w14:val="tx1"/>
            </w14:solidFill>
          </w14:textFill>
        </w:rPr>
        <w:t>H/T 0604  原油和石油产品密度测定法</w:t>
      </w:r>
      <w:r>
        <w:rPr>
          <w:rFonts w:hint="eastAsia" w:ascii="宋体" w:hAnsi="宋体" w:eastAsia="宋体" w:cs="宋体"/>
          <w:color w:val="000000" w:themeColor="text1"/>
          <w:kern w:val="2"/>
          <w:szCs w:val="24"/>
          <w14:textFill>
            <w14:solidFill>
              <w14:schemeClr w14:val="tx1"/>
            </w14:solidFill>
          </w14:textFill>
        </w:rPr>
        <w:t>（</w:t>
      </w:r>
      <w:r>
        <w:rPr>
          <w:rFonts w:ascii="宋体" w:hAnsi="宋体" w:eastAsia="宋体" w:cs="宋体"/>
          <w:color w:val="000000" w:themeColor="text1"/>
          <w:kern w:val="2"/>
          <w:szCs w:val="24"/>
          <w14:textFill>
            <w14:solidFill>
              <w14:schemeClr w14:val="tx1"/>
            </w14:solidFill>
          </w14:textFill>
        </w:rPr>
        <w:t>U形振动管法</w:t>
      </w:r>
      <w:r>
        <w:rPr>
          <w:rFonts w:hint="eastAsia" w:ascii="宋体" w:hAnsi="宋体" w:eastAsia="宋体" w:cs="宋体"/>
          <w:color w:val="000000" w:themeColor="text1"/>
          <w:kern w:val="2"/>
          <w:szCs w:val="24"/>
          <w14:textFill>
            <w14:solidFill>
              <w14:schemeClr w14:val="tx1"/>
            </w14:solidFill>
          </w14:textFill>
        </w:rPr>
        <w:t>）</w:t>
      </w:r>
    </w:p>
    <w:p w14:paraId="70F769FF">
      <w:pPr>
        <w:pStyle w:val="53"/>
        <w:numPr>
          <w:ilvl w:val="0"/>
          <w:numId w:val="17"/>
        </w:numPr>
        <w:spacing w:before="240" w:after="240" w:line="360" w:lineRule="auto"/>
        <w:ind w:left="0" w:firstLine="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术语和定义</w:t>
      </w:r>
    </w:p>
    <w:p w14:paraId="63EF1CD7">
      <w:pPr>
        <w:pStyle w:val="31"/>
        <w:spacing w:line="360" w:lineRule="auto"/>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下列术语和定义适用于本</w:t>
      </w:r>
      <w:r>
        <w:rPr>
          <w:rFonts w:hint="eastAsia" w:hAnsi="宋体"/>
          <w:color w:val="000000" w:themeColor="text1"/>
          <w:szCs w:val="21"/>
          <w14:textFill>
            <w14:solidFill>
              <w14:schemeClr w14:val="tx1"/>
            </w14:solidFill>
          </w14:textFill>
        </w:rPr>
        <w:t>文件。</w:t>
      </w:r>
    </w:p>
    <w:p w14:paraId="68ECF958">
      <w:pPr>
        <w:pStyle w:val="50"/>
        <w:spacing w:before="120" w:after="120" w:line="360" w:lineRule="auto"/>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3.1阈值</w:t>
      </w:r>
      <w:r>
        <w:rPr>
          <w:rFonts w:hAnsi="宋体"/>
          <w:color w:val="000000" w:themeColor="text1"/>
          <w14:textFill>
            <w14:solidFill>
              <w14:schemeClr w14:val="tx1"/>
            </w14:solidFill>
          </w14:textFill>
        </w:rPr>
        <w:t>threshold</w:t>
      </w:r>
    </w:p>
    <w:p w14:paraId="17450DD9">
      <w:pPr>
        <w:pStyle w:val="53"/>
        <w:spacing w:before="240" w:after="240"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又叫临界值，是指一个效应能够产生的最低值或最高值。</w:t>
      </w:r>
    </w:p>
    <w:p w14:paraId="4E297273">
      <w:pPr>
        <w:pStyle w:val="50"/>
        <w:spacing w:before="120" w:after="120" w:line="360" w:lineRule="auto"/>
        <w:rPr>
          <w:rFonts w:hAnsi="宋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 xml:space="preserve">3.2 </w:t>
      </w:r>
      <w:r>
        <w:rPr>
          <w:rFonts w:hint="eastAsia" w:hAnsi="宋体"/>
          <w:color w:val="000000" w:themeColor="text1"/>
          <w14:textFill>
            <w14:solidFill>
              <w14:schemeClr w14:val="tx1"/>
            </w14:solidFill>
          </w14:textFill>
        </w:rPr>
        <w:t>定标</w:t>
      </w:r>
    </w:p>
    <w:p w14:paraId="6F9272FE">
      <w:pPr>
        <w:pStyle w:val="31"/>
        <w:spacing w:line="360" w:lineRule="auto"/>
        <w:rPr>
          <w:rFonts w:ascii="Times New Roman"/>
          <w:color w:val="000000" w:themeColor="text1"/>
          <w:szCs w:val="21"/>
          <w14:textFill>
            <w14:solidFill>
              <w14:schemeClr w14:val="tx1"/>
            </w14:solidFill>
          </w14:textFill>
        </w:rPr>
      </w:pPr>
      <w:r>
        <w:rPr>
          <w:rFonts w:hint="eastAsia" w:ascii="Times New Roman"/>
          <w:color w:val="000000" w:themeColor="text1"/>
          <w:szCs w:val="21"/>
          <w14:textFill>
            <w14:solidFill>
              <w14:schemeClr w14:val="tx1"/>
            </w14:solidFill>
          </w14:textFill>
        </w:rPr>
        <w:t>建立一组样品的质量指标与样品吸收光谱之间关系（模型）的过程。</w:t>
      </w:r>
    </w:p>
    <w:p w14:paraId="52D349F0">
      <w:pPr>
        <w:pStyle w:val="50"/>
        <w:spacing w:before="120" w:after="120" w:line="360" w:lineRule="auto"/>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3.3标准</w:t>
      </w:r>
      <w:r>
        <w:rPr>
          <w:rFonts w:hAnsi="黑体"/>
          <w:color w:val="000000" w:themeColor="text1"/>
          <w14:textFill>
            <w14:solidFill>
              <w14:schemeClr w14:val="tx1"/>
            </w14:solidFill>
          </w14:textFill>
        </w:rPr>
        <w:t>方法</w:t>
      </w:r>
      <w:r>
        <w:rPr>
          <w:rFonts w:ascii="Times New Roman"/>
          <w:b/>
          <w:color w:val="000000" w:themeColor="text1"/>
          <w14:textFill>
            <w14:solidFill>
              <w14:schemeClr w14:val="tx1"/>
            </w14:solidFill>
          </w14:textFill>
        </w:rPr>
        <w:t>stand</w:t>
      </w:r>
      <w:r>
        <w:rPr>
          <w:rFonts w:hint="eastAsia" w:ascii="Times New Roman"/>
          <w:b/>
          <w:color w:val="000000" w:themeColor="text1"/>
          <w14:textFill>
            <w14:solidFill>
              <w14:schemeClr w14:val="tx1"/>
            </w14:solidFill>
          </w14:textFill>
        </w:rPr>
        <w:t xml:space="preserve">ard </w:t>
      </w:r>
      <w:r>
        <w:rPr>
          <w:rFonts w:ascii="Times New Roman"/>
          <w:b/>
          <w:color w:val="000000" w:themeColor="text1"/>
          <w14:textFill>
            <w14:solidFill>
              <w14:schemeClr w14:val="tx1"/>
            </w14:solidFill>
          </w14:textFill>
        </w:rPr>
        <w:t>method</w:t>
      </w:r>
    </w:p>
    <w:p w14:paraId="47A49627">
      <w:pPr>
        <w:autoSpaceDE w:val="0"/>
        <w:autoSpaceDN w:val="0"/>
        <w:adjustRightInd w:val="0"/>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用来测定样品质量指标的国家标准或行业标准试验方法，其测定结果参与校正模型建立和验证</w:t>
      </w:r>
      <w:r>
        <w:rPr>
          <w:rFonts w:hint="eastAsia"/>
          <w:color w:val="000000" w:themeColor="text1"/>
          <w:kern w:val="0"/>
          <w:szCs w:val="21"/>
          <w14:textFill>
            <w14:solidFill>
              <w14:schemeClr w14:val="tx1"/>
            </w14:solidFill>
          </w14:textFill>
        </w:rPr>
        <w:t>。</w:t>
      </w:r>
    </w:p>
    <w:p w14:paraId="3CCA0D61">
      <w:pPr>
        <w:pStyle w:val="50"/>
        <w:spacing w:before="120" w:after="120" w:line="360" w:lineRule="auto"/>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3.4定标模型</w:t>
      </w:r>
      <w:r>
        <w:rPr>
          <w:rFonts w:ascii="Times New Roman"/>
          <w:b/>
          <w:color w:val="000000" w:themeColor="text1"/>
          <w14:textFill>
            <w14:solidFill>
              <w14:schemeClr w14:val="tx1"/>
            </w14:solidFill>
          </w14:textFill>
        </w:rPr>
        <w:t>calibration model</w:t>
      </w:r>
    </w:p>
    <w:p w14:paraId="2EDDBDDE">
      <w:pPr>
        <w:autoSpaceDE w:val="0"/>
        <w:autoSpaceDN w:val="0"/>
        <w:adjustRightIn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利用化学计量学方法建立的样品近红外光谱与对应质量指标之间关系的数学模型。</w:t>
      </w:r>
    </w:p>
    <w:p w14:paraId="314030EF">
      <w:pPr>
        <w:pStyle w:val="50"/>
        <w:spacing w:before="120" w:after="120" w:line="360" w:lineRule="auto"/>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 xml:space="preserve">3.5 定标集样品 </w:t>
      </w:r>
      <w:r>
        <w:rPr>
          <w:rFonts w:ascii="Times New Roman"/>
          <w:b/>
          <w:color w:val="000000" w:themeColor="text1"/>
          <w14:textFill>
            <w14:solidFill>
              <w14:schemeClr w14:val="tx1"/>
            </w14:solidFill>
          </w14:textFill>
        </w:rPr>
        <w:t xml:space="preserve">calibration </w:t>
      </w:r>
      <w:r>
        <w:rPr>
          <w:rFonts w:hint="eastAsia" w:ascii="Times New Roman"/>
          <w:b/>
          <w:color w:val="000000" w:themeColor="text1"/>
          <w14:textFill>
            <w14:solidFill>
              <w14:schemeClr w14:val="tx1"/>
            </w14:solidFill>
          </w14:textFill>
        </w:rPr>
        <w:t>samples</w:t>
      </w:r>
    </w:p>
    <w:p w14:paraId="0C03C3A2">
      <w:pPr>
        <w:pStyle w:val="50"/>
        <w:spacing w:before="120" w:after="120" w:line="360" w:lineRule="auto"/>
        <w:ind w:firstLine="420" w:firstLineChars="200"/>
        <w:rPr>
          <w:rFonts w:ascii="Times New Roman"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用来建立定标模型的一组样品。</w:t>
      </w:r>
    </w:p>
    <w:p w14:paraId="09011163">
      <w:pPr>
        <w:pStyle w:val="50"/>
        <w:spacing w:before="120" w:after="120" w:line="360" w:lineRule="auto"/>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 xml:space="preserve">3.6 验证集样品 </w:t>
      </w:r>
      <w:r>
        <w:rPr>
          <w:rFonts w:hint="eastAsia" w:ascii="Times New Roman"/>
          <w:b/>
          <w:color w:val="000000" w:themeColor="text1"/>
          <w14:textFill>
            <w14:solidFill>
              <w14:schemeClr w14:val="tx1"/>
            </w14:solidFill>
          </w14:textFill>
        </w:rPr>
        <w:t>valid</w:t>
      </w:r>
      <w:r>
        <w:rPr>
          <w:rFonts w:ascii="Times New Roman"/>
          <w:b/>
          <w:color w:val="000000" w:themeColor="text1"/>
          <w14:textFill>
            <w14:solidFill>
              <w14:schemeClr w14:val="tx1"/>
            </w14:solidFill>
          </w14:textFill>
        </w:rPr>
        <w:t xml:space="preserve">ation </w:t>
      </w:r>
      <w:r>
        <w:rPr>
          <w:rFonts w:hint="eastAsia" w:ascii="Times New Roman"/>
          <w:b/>
          <w:color w:val="000000" w:themeColor="text1"/>
          <w14:textFill>
            <w14:solidFill>
              <w14:schemeClr w14:val="tx1"/>
            </w14:solidFill>
          </w14:textFill>
        </w:rPr>
        <w:t>samples</w:t>
      </w:r>
    </w:p>
    <w:p w14:paraId="656B42FA">
      <w:pPr>
        <w:pStyle w:val="50"/>
        <w:spacing w:before="120" w:after="120" w:line="360" w:lineRule="auto"/>
        <w:ind w:firstLine="420" w:firstLineChars="200"/>
        <w:rPr>
          <w:rFonts w:ascii="Times New Roman"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用来验证定标模型分析精度的一组样品。</w:t>
      </w:r>
    </w:p>
    <w:p w14:paraId="7E4190F2">
      <w:pPr>
        <w:pStyle w:val="50"/>
        <w:spacing w:before="120" w:after="120" w:line="360" w:lineRule="auto"/>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 xml:space="preserve">3.7 预测值 </w:t>
      </w:r>
      <w:r>
        <w:rPr>
          <w:rFonts w:hint="eastAsia" w:ascii="Times New Roman"/>
          <w:b/>
          <w:color w:val="000000" w:themeColor="text1"/>
          <w14:textFill>
            <w14:solidFill>
              <w14:schemeClr w14:val="tx1"/>
            </w14:solidFill>
          </w14:textFill>
        </w:rPr>
        <w:t>estimate</w:t>
      </w:r>
    </w:p>
    <w:p w14:paraId="66241F55">
      <w:pPr>
        <w:pStyle w:val="50"/>
        <w:spacing w:before="120" w:after="120" w:line="360" w:lineRule="auto"/>
        <w:ind w:firstLine="420" w:firstLineChars="200"/>
        <w:rPr>
          <w:rFonts w:ascii="Times New Roman" w:eastAsia="宋体"/>
          <w:color w:val="000000" w:themeColor="text1"/>
          <w14:textFill>
            <w14:solidFill>
              <w14:schemeClr w14:val="tx1"/>
            </w14:solidFill>
          </w14:textFill>
        </w:rPr>
      </w:pPr>
      <w:r>
        <w:rPr>
          <w:rFonts w:hint="eastAsia" w:ascii="Times New Roman" w:eastAsia="宋体"/>
          <w:color w:val="000000" w:themeColor="text1"/>
          <w14:textFill>
            <w14:solidFill>
              <w14:schemeClr w14:val="tx1"/>
            </w14:solidFill>
          </w14:textFill>
        </w:rPr>
        <w:t>用定标模型和吸收光谱来测定试样质量值的结果。</w:t>
      </w:r>
    </w:p>
    <w:p w14:paraId="5A0DF208">
      <w:pPr>
        <w:pStyle w:val="50"/>
        <w:spacing w:before="120" w:after="120" w:line="360" w:lineRule="auto"/>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3.8定标模型验证</w:t>
      </w:r>
      <w:r>
        <w:rPr>
          <w:rFonts w:ascii="Times New Roman"/>
          <w:b/>
          <w:color w:val="000000" w:themeColor="text1"/>
          <w14:textFill>
            <w14:solidFill>
              <w14:schemeClr w14:val="tx1"/>
            </w14:solidFill>
          </w14:textFill>
        </w:rPr>
        <w:t>calibration model</w:t>
      </w:r>
      <w:r>
        <w:rPr>
          <w:rFonts w:hint="eastAsia" w:ascii="Times New Roman"/>
          <w:b/>
          <w:color w:val="000000" w:themeColor="text1"/>
          <w14:textFill>
            <w14:solidFill>
              <w14:schemeClr w14:val="tx1"/>
            </w14:solidFill>
          </w14:textFill>
        </w:rPr>
        <w:t xml:space="preserve"> validation</w:t>
      </w:r>
    </w:p>
    <w:p w14:paraId="06AE2777">
      <w:pPr>
        <w:autoSpaceDE w:val="0"/>
        <w:autoSpaceDN w:val="0"/>
        <w:adjustRightIn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通过验证集样品来检验定标模型预测结果与参考方法测定结果之间一致性的过程。</w:t>
      </w:r>
    </w:p>
    <w:p w14:paraId="0118C985">
      <w:pPr>
        <w:pStyle w:val="50"/>
        <w:spacing w:before="120" w:after="120" w:line="360" w:lineRule="auto"/>
        <w:rPr>
          <w:rFonts w:ascii="Times New Roman"/>
          <w:b/>
          <w:color w:val="000000" w:themeColor="text1"/>
          <w14:textFill>
            <w14:solidFill>
              <w14:schemeClr w14:val="tx1"/>
            </w14:solidFill>
          </w14:textFill>
        </w:rPr>
      </w:pPr>
      <w:r>
        <w:rPr>
          <w:rFonts w:hint="eastAsia" w:hAnsi="黑体"/>
          <w:color w:val="000000" w:themeColor="text1"/>
          <w14:textFill>
            <w14:solidFill>
              <w14:schemeClr w14:val="tx1"/>
            </w14:solidFill>
          </w14:textFill>
        </w:rPr>
        <w:t>3.9参考方法</w:t>
      </w:r>
      <w:r>
        <w:rPr>
          <w:rFonts w:hAnsi="黑体"/>
          <w:color w:val="000000" w:themeColor="text1"/>
          <w14:textFill>
            <w14:solidFill>
              <w14:schemeClr w14:val="tx1"/>
            </w14:solidFill>
          </w14:textFill>
        </w:rPr>
        <w:t xml:space="preserve"> </w:t>
      </w:r>
      <w:r>
        <w:rPr>
          <w:rFonts w:hint="eastAsia" w:ascii="Times New Roman"/>
          <w:b/>
          <w:color w:val="000000" w:themeColor="text1"/>
          <w14:textFill>
            <w14:solidFill>
              <w14:schemeClr w14:val="tx1"/>
            </w14:solidFill>
          </w14:textFill>
        </w:rPr>
        <w:t>reference method</w:t>
      </w:r>
    </w:p>
    <w:p w14:paraId="5C3D9056">
      <w:pPr>
        <w:pStyle w:val="31"/>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用来测定样品质量指标的国家标准或行业标准试验方法，其测定结果参与定标模型建立与验证。</w:t>
      </w:r>
    </w:p>
    <w:p w14:paraId="02E393EA">
      <w:pPr>
        <w:pStyle w:val="50"/>
        <w:spacing w:before="120" w:after="120" w:line="360" w:lineRule="auto"/>
        <w:rPr>
          <w:rFonts w:ascii="Times New Roman"/>
          <w:b/>
          <w:color w:val="000000" w:themeColor="text1"/>
          <w14:textFill>
            <w14:solidFill>
              <w14:schemeClr w14:val="tx1"/>
            </w14:solidFill>
          </w14:textFill>
        </w:rPr>
      </w:pPr>
      <w:r>
        <w:rPr>
          <w:rFonts w:hint="eastAsia" w:hAnsi="黑体"/>
          <w:color w:val="000000" w:themeColor="text1"/>
          <w14:textFill>
            <w14:solidFill>
              <w14:schemeClr w14:val="tx1"/>
            </w14:solidFill>
          </w14:textFill>
        </w:rPr>
        <w:t>3.10</w:t>
      </w:r>
      <w:r>
        <w:rPr>
          <w:rFonts w:hAnsi="黑体"/>
          <w:color w:val="000000" w:themeColor="text1"/>
          <w14:textFill>
            <w14:solidFill>
              <w14:schemeClr w14:val="tx1"/>
            </w14:solidFill>
          </w14:textFill>
        </w:rPr>
        <w:t xml:space="preserve">多元校正 </w:t>
      </w:r>
      <w:r>
        <w:rPr>
          <w:rFonts w:ascii="Times New Roman"/>
          <w:b/>
          <w:color w:val="000000" w:themeColor="text1"/>
          <w14:textFill>
            <w14:solidFill>
              <w14:schemeClr w14:val="tx1"/>
            </w14:solidFill>
          </w14:textFill>
        </w:rPr>
        <w:t>multivariate calibration</w:t>
      </w:r>
    </w:p>
    <w:p w14:paraId="1EBFADBA">
      <w:pPr>
        <w:pStyle w:val="31"/>
        <w:spacing w:line="360" w:lineRule="auto"/>
        <w:rPr>
          <w:color w:val="000000" w:themeColor="text1"/>
          <w14:textFill>
            <w14:solidFill>
              <w14:schemeClr w14:val="tx1"/>
            </w14:solidFill>
          </w14:textFill>
        </w:rPr>
      </w:pPr>
      <w:r>
        <w:rPr>
          <w:color w:val="000000" w:themeColor="text1"/>
          <w:szCs w:val="21"/>
          <w14:textFill>
            <w14:solidFill>
              <w14:schemeClr w14:val="tx1"/>
            </w14:solidFill>
          </w14:textFill>
        </w:rPr>
        <w:t>用一个以上波长或频率，建立一组样品的质量指标与吸收光谱之间的关系（</w:t>
      </w:r>
      <w:r>
        <w:rPr>
          <w:rFonts w:hint="eastAsia"/>
          <w:color w:val="000000" w:themeColor="text1"/>
          <w:szCs w:val="21"/>
          <w14:textFill>
            <w14:solidFill>
              <w14:schemeClr w14:val="tx1"/>
            </w14:solidFill>
          </w14:textFill>
        </w:rPr>
        <w:t>定标</w:t>
      </w:r>
      <w:r>
        <w:rPr>
          <w:color w:val="000000" w:themeColor="text1"/>
          <w:szCs w:val="21"/>
          <w14:textFill>
            <w14:solidFill>
              <w14:schemeClr w14:val="tx1"/>
            </w14:solidFill>
          </w14:textFill>
        </w:rPr>
        <w:t>模型）的过程。在本标准中，多元校正是通过化学计量学软件来实现</w:t>
      </w:r>
      <w:r>
        <w:rPr>
          <w:rFonts w:hint="eastAsia"/>
          <w:color w:val="000000" w:themeColor="text1"/>
          <w:szCs w:val="21"/>
          <w14:textFill>
            <w14:solidFill>
              <w14:schemeClr w14:val="tx1"/>
            </w14:solidFill>
          </w14:textFill>
        </w:rPr>
        <w:t>。</w:t>
      </w:r>
    </w:p>
    <w:p w14:paraId="66292B40">
      <w:pPr>
        <w:pStyle w:val="53"/>
        <w:numPr>
          <w:ilvl w:val="0"/>
          <w:numId w:val="17"/>
        </w:numPr>
        <w:spacing w:before="240" w:after="240" w:line="360" w:lineRule="auto"/>
        <w:ind w:left="0" w:firstLine="0"/>
        <w:jc w:val="left"/>
        <w:rPr>
          <w:rFonts w:hAnsi="宋体"/>
          <w:color w:val="000000" w:themeColor="text1"/>
          <w14:textFill>
            <w14:solidFill>
              <w14:schemeClr w14:val="tx1"/>
            </w14:solidFill>
          </w14:textFill>
        </w:rPr>
      </w:pPr>
      <w:r>
        <w:rPr>
          <w:rFonts w:hint="eastAsia" w:hAnsi="宋体"/>
          <w:color w:val="000000" w:themeColor="text1"/>
          <w:szCs w:val="21"/>
          <w14:textFill>
            <w14:solidFill>
              <w14:schemeClr w14:val="tx1"/>
            </w14:solidFill>
          </w14:textFill>
        </w:rPr>
        <w:t>快速筛查阈值和快速检测方法</w:t>
      </w:r>
    </w:p>
    <w:p w14:paraId="234C3F51">
      <w:pPr>
        <w:pStyle w:val="53"/>
        <w:spacing w:beforeLines="50" w:afterLines="0" w:line="360" w:lineRule="auto"/>
        <w:ind w:left="431"/>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柴油发动机氮氧化物还原剂 尿素水溶液（AUS32）快速筛查阈值见表1。</w:t>
      </w:r>
    </w:p>
    <w:p w14:paraId="49398363">
      <w:pPr>
        <w:pStyle w:val="53"/>
        <w:adjustRightInd w:val="0"/>
        <w:snapToGrid w:val="0"/>
        <w:spacing w:beforeLines="0" w:afterLines="0"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表1  柴油发动机氮氧化物还原剂 尿素水溶液（AUS32）快速筛查阈值和试验方法</w:t>
      </w:r>
    </w:p>
    <w:tbl>
      <w:tblPr>
        <w:tblStyle w:val="41"/>
        <w:tblW w:w="94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03"/>
        <w:gridCol w:w="2743"/>
        <w:gridCol w:w="2205"/>
      </w:tblGrid>
      <w:tr w14:paraId="2252C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exact"/>
        </w:trPr>
        <w:tc>
          <w:tcPr>
            <w:tcW w:w="4503" w:type="dxa"/>
            <w:vAlign w:val="bottom"/>
          </w:tcPr>
          <w:p w14:paraId="09C6B3E7">
            <w:pPr>
              <w:spacing w:line="360"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743" w:type="dxa"/>
            <w:vAlign w:val="bottom"/>
          </w:tcPr>
          <w:p w14:paraId="5A6FBB25">
            <w:pPr>
              <w:spacing w:line="360"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阈值</w:t>
            </w:r>
          </w:p>
        </w:tc>
        <w:tc>
          <w:tcPr>
            <w:tcW w:w="2205" w:type="dxa"/>
          </w:tcPr>
          <w:p w14:paraId="0AA65C69">
            <w:pPr>
              <w:spacing w:line="360" w:lineRule="auto"/>
              <w:jc w:val="left"/>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试验方法</w:t>
            </w:r>
          </w:p>
        </w:tc>
      </w:tr>
      <w:tr w14:paraId="21278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exact"/>
        </w:trPr>
        <w:tc>
          <w:tcPr>
            <w:tcW w:w="4503" w:type="dxa"/>
            <w:vAlign w:val="center"/>
          </w:tcPr>
          <w:p w14:paraId="30785F09">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尿素含量（质量分数） %</w:t>
            </w:r>
          </w:p>
        </w:tc>
        <w:tc>
          <w:tcPr>
            <w:tcW w:w="2743" w:type="dxa"/>
            <w:vAlign w:val="center"/>
          </w:tcPr>
          <w:p w14:paraId="0A87D794">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小于31.8；大于33.2</w:t>
            </w:r>
          </w:p>
        </w:tc>
        <w:tc>
          <w:tcPr>
            <w:tcW w:w="2205" w:type="dxa"/>
            <w:vAlign w:val="center"/>
          </w:tcPr>
          <w:p w14:paraId="114D6A70">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附录A</w:t>
            </w:r>
          </w:p>
        </w:tc>
      </w:tr>
      <w:tr w14:paraId="62E41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exact"/>
        </w:trPr>
        <w:tc>
          <w:tcPr>
            <w:tcW w:w="4503" w:type="dxa"/>
            <w:vAlign w:val="center"/>
          </w:tcPr>
          <w:p w14:paraId="6B2415C0">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密度 (20℃)/(kg/m3)</w:t>
            </w:r>
          </w:p>
        </w:tc>
        <w:tc>
          <w:tcPr>
            <w:tcW w:w="2743" w:type="dxa"/>
            <w:vAlign w:val="center"/>
          </w:tcPr>
          <w:p w14:paraId="55EFD190">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小于1087.0；大于1093.0</w:t>
            </w:r>
          </w:p>
        </w:tc>
        <w:tc>
          <w:tcPr>
            <w:tcW w:w="2205" w:type="dxa"/>
            <w:vAlign w:val="center"/>
          </w:tcPr>
          <w:p w14:paraId="33300F4D">
            <w:pPr>
              <w:jc w:val="center"/>
              <w:rPr>
                <w:rFonts w:ascii="宋体"/>
                <w:color w:val="auto"/>
                <w:szCs w:val="21"/>
              </w:rPr>
            </w:pPr>
            <w:r>
              <w:rPr>
                <w:rFonts w:hint="eastAsia" w:ascii="宋体"/>
                <w:color w:val="auto"/>
                <w:szCs w:val="21"/>
              </w:rPr>
              <w:t>附录A或SH/T</w:t>
            </w:r>
            <w:r>
              <w:rPr>
                <w:rFonts w:hint="eastAsia" w:ascii="宋体"/>
                <w:color w:val="auto"/>
                <w:szCs w:val="21"/>
                <w:lang w:val="en-US" w:eastAsia="zh-CN"/>
              </w:rPr>
              <w:t xml:space="preserve"> </w:t>
            </w:r>
            <w:r>
              <w:rPr>
                <w:rFonts w:hint="eastAsia" w:ascii="宋体"/>
                <w:color w:val="auto"/>
                <w:szCs w:val="21"/>
              </w:rPr>
              <w:t>0604</w:t>
            </w:r>
          </w:p>
        </w:tc>
      </w:tr>
      <w:tr w14:paraId="38BD8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exact"/>
        </w:trPr>
        <w:tc>
          <w:tcPr>
            <w:tcW w:w="4503" w:type="dxa"/>
            <w:vAlign w:val="center"/>
          </w:tcPr>
          <w:p w14:paraId="03180B32">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折光率</w:t>
            </w:r>
          </w:p>
        </w:tc>
        <w:tc>
          <w:tcPr>
            <w:tcW w:w="2743" w:type="dxa"/>
            <w:vAlign w:val="center"/>
          </w:tcPr>
          <w:p w14:paraId="201F06A5">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小于1.3814；大于1.3843</w:t>
            </w:r>
          </w:p>
        </w:tc>
        <w:tc>
          <w:tcPr>
            <w:tcW w:w="2205" w:type="dxa"/>
            <w:vAlign w:val="center"/>
          </w:tcPr>
          <w:p w14:paraId="63559FB3">
            <w:pPr>
              <w:jc w:val="center"/>
              <w:rPr>
                <w:rFonts w:ascii="宋体"/>
                <w:color w:val="auto"/>
                <w:szCs w:val="21"/>
              </w:rPr>
            </w:pPr>
            <w:r>
              <w:rPr>
                <w:rFonts w:hint="eastAsia" w:ascii="宋体"/>
                <w:color w:val="auto"/>
                <w:szCs w:val="21"/>
              </w:rPr>
              <w:t>GB/T</w:t>
            </w:r>
            <w:r>
              <w:rPr>
                <w:rFonts w:hint="eastAsia" w:ascii="宋体"/>
                <w:color w:val="auto"/>
                <w:szCs w:val="21"/>
                <w:lang w:val="en-US" w:eastAsia="zh-CN"/>
              </w:rPr>
              <w:t xml:space="preserve"> </w:t>
            </w:r>
            <w:r>
              <w:rPr>
                <w:rFonts w:hint="eastAsia" w:ascii="宋体"/>
                <w:color w:val="auto"/>
                <w:szCs w:val="21"/>
              </w:rPr>
              <w:t>614</w:t>
            </w:r>
          </w:p>
        </w:tc>
      </w:tr>
      <w:tr w14:paraId="50263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exact"/>
        </w:trPr>
        <w:tc>
          <w:tcPr>
            <w:tcW w:w="4503" w:type="dxa"/>
            <w:vAlign w:val="center"/>
          </w:tcPr>
          <w:p w14:paraId="4ADE97C2">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碱度（以NH3计）（质量分数）/(%)   大于</w:t>
            </w:r>
          </w:p>
        </w:tc>
        <w:tc>
          <w:tcPr>
            <w:tcW w:w="2743" w:type="dxa"/>
            <w:vAlign w:val="center"/>
          </w:tcPr>
          <w:p w14:paraId="55B5D5DA">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0.2</w:t>
            </w:r>
          </w:p>
        </w:tc>
        <w:tc>
          <w:tcPr>
            <w:tcW w:w="2205" w:type="dxa"/>
            <w:vAlign w:val="center"/>
          </w:tcPr>
          <w:p w14:paraId="7A794651">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附录A</w:t>
            </w:r>
          </w:p>
        </w:tc>
      </w:tr>
      <w:tr w14:paraId="6F171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exact"/>
        </w:trPr>
        <w:tc>
          <w:tcPr>
            <w:tcW w:w="4503" w:type="dxa"/>
            <w:vAlign w:val="center"/>
          </w:tcPr>
          <w:p w14:paraId="4C9C0680">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 xml:space="preserve">缩二脲（质量分数）/(%)     </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 xml:space="preserve">   大于</w:t>
            </w:r>
          </w:p>
        </w:tc>
        <w:tc>
          <w:tcPr>
            <w:tcW w:w="2743" w:type="dxa"/>
            <w:vAlign w:val="center"/>
          </w:tcPr>
          <w:p w14:paraId="58E91A22">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0.3</w:t>
            </w:r>
          </w:p>
        </w:tc>
        <w:tc>
          <w:tcPr>
            <w:tcW w:w="2205" w:type="dxa"/>
            <w:vAlign w:val="center"/>
          </w:tcPr>
          <w:p w14:paraId="13494A9B">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附录A</w:t>
            </w:r>
          </w:p>
        </w:tc>
      </w:tr>
      <w:tr w14:paraId="135DD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exact"/>
        </w:trPr>
        <w:tc>
          <w:tcPr>
            <w:tcW w:w="4503" w:type="dxa"/>
            <w:vAlign w:val="center"/>
          </w:tcPr>
          <w:p w14:paraId="6318781D">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 xml:space="preserve">醛类（以HCHO计）/(mg/kg)       </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 xml:space="preserve"> 大于</w:t>
            </w:r>
          </w:p>
        </w:tc>
        <w:tc>
          <w:tcPr>
            <w:tcW w:w="2743" w:type="dxa"/>
            <w:vAlign w:val="center"/>
          </w:tcPr>
          <w:p w14:paraId="35AB3E75">
            <w:pPr>
              <w:spacing w:line="360"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5</w:t>
            </w:r>
          </w:p>
        </w:tc>
        <w:tc>
          <w:tcPr>
            <w:tcW w:w="2205" w:type="dxa"/>
            <w:vAlign w:val="center"/>
          </w:tcPr>
          <w:p w14:paraId="786D25F6">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附录A</w:t>
            </w:r>
          </w:p>
        </w:tc>
      </w:tr>
    </w:tbl>
    <w:p w14:paraId="61C8B686">
      <w:pPr>
        <w:pStyle w:val="31"/>
        <w:rPr>
          <w:color w:val="000000" w:themeColor="text1"/>
          <w14:textFill>
            <w14:solidFill>
              <w14:schemeClr w14:val="tx1"/>
            </w14:solidFill>
          </w14:textFill>
        </w:rPr>
      </w:pPr>
    </w:p>
    <w:p w14:paraId="4D56CBB8">
      <w:pPr>
        <w:pStyle w:val="53"/>
        <w:spacing w:beforeLines="0" w:afterLines="0" w:line="360" w:lineRule="auto"/>
        <w:jc w:val="left"/>
        <w:rPr>
          <w:color w:val="000000" w:themeColor="text1"/>
          <w14:textFill>
            <w14:solidFill>
              <w14:schemeClr w14:val="tx1"/>
            </w14:solidFill>
          </w14:textFill>
        </w:rPr>
      </w:pPr>
    </w:p>
    <w:p w14:paraId="44E6C9BC">
      <w:pPr>
        <w:pStyle w:val="53"/>
        <w:numPr>
          <w:ilvl w:val="0"/>
          <w:numId w:val="17"/>
        </w:numPr>
        <w:adjustRightInd w:val="0"/>
        <w:snapToGrid w:val="0"/>
        <w:spacing w:beforeLines="0" w:afterLines="0" w:line="360" w:lineRule="auto"/>
        <w:ind w:left="-141" w:leftChars="-67" w:firstLine="0"/>
        <w:jc w:val="left"/>
        <w:rPr>
          <w:color w:val="000000" w:themeColor="text1"/>
          <w14:textFill>
            <w14:solidFill>
              <w14:schemeClr w14:val="tx1"/>
            </w14:solidFill>
          </w14:textFill>
        </w:rPr>
      </w:pPr>
      <w:bookmarkStart w:id="7" w:name="_Hlk11579493"/>
      <w:r>
        <w:rPr>
          <w:color w:val="000000" w:themeColor="text1"/>
          <w14:textFill>
            <w14:solidFill>
              <w14:schemeClr w14:val="tx1"/>
            </w14:solidFill>
          </w14:textFill>
        </w:rPr>
        <w:t xml:space="preserve">  </w:t>
      </w:r>
      <w:bookmarkStart w:id="8" w:name="_Hlk11579463"/>
      <w:r>
        <w:rPr>
          <w:rFonts w:hint="eastAsia"/>
          <w:color w:val="000000" w:themeColor="text1"/>
          <w14:textFill>
            <w14:solidFill>
              <w14:schemeClr w14:val="tx1"/>
            </w14:solidFill>
          </w14:textFill>
        </w:rPr>
        <w:t>取样</w:t>
      </w:r>
    </w:p>
    <w:bookmarkEnd w:id="8"/>
    <w:p w14:paraId="754BCCE6">
      <w:pPr>
        <w:pStyle w:val="53"/>
        <w:numPr>
          <w:ilvl w:val="1"/>
          <w:numId w:val="17"/>
        </w:numPr>
        <w:adjustRightInd w:val="0"/>
        <w:snapToGrid w:val="0"/>
        <w:spacing w:beforeLines="0" w:afterLines="0" w:line="360" w:lineRule="auto"/>
        <w:ind w:left="-142" w:hanging="11"/>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以随机抽样方式在被抽样销售者的待销产品中随机抽取不少于1L独立包装样品1份，再从该独立包装中抽取300～400mL</w:t>
      </w:r>
      <w:r>
        <w:rPr>
          <w:rFonts w:asciiTheme="minorEastAsia" w:hAnsiTheme="minorEastAsia" w:eastAsiaTheme="minorEastAsia"/>
          <w:color w:val="000000" w:themeColor="text1"/>
          <w14:textFill>
            <w14:solidFill>
              <w14:schemeClr w14:val="tx1"/>
            </w14:solidFill>
          </w14:textFill>
        </w:rPr>
        <w:t>，用于快速</w:t>
      </w:r>
      <w:r>
        <w:rPr>
          <w:rFonts w:hint="eastAsia" w:asciiTheme="minorEastAsia" w:hAnsiTheme="minorEastAsia" w:eastAsiaTheme="minorEastAsia"/>
          <w:color w:val="000000" w:themeColor="text1"/>
          <w14:textFill>
            <w14:solidFill>
              <w14:schemeClr w14:val="tx1"/>
            </w14:solidFill>
          </w14:textFill>
        </w:rPr>
        <w:t>筛查</w:t>
      </w:r>
      <w:r>
        <w:rPr>
          <w:rFonts w:asciiTheme="minorEastAsia" w:hAnsiTheme="minorEastAsia" w:eastAsiaTheme="minorEastAsia"/>
          <w:color w:val="000000" w:themeColor="text1"/>
          <w14:textFill>
            <w14:solidFill>
              <w14:schemeClr w14:val="tx1"/>
            </w14:solidFill>
          </w14:textFill>
        </w:rPr>
        <w:t>。</w:t>
      </w:r>
    </w:p>
    <w:p w14:paraId="39EDA47A">
      <w:pPr>
        <w:pStyle w:val="53"/>
        <w:numPr>
          <w:ilvl w:val="1"/>
          <w:numId w:val="17"/>
        </w:numPr>
        <w:adjustRightInd w:val="0"/>
        <w:snapToGrid w:val="0"/>
        <w:spacing w:beforeLines="0" w:afterLines="0" w:line="360" w:lineRule="auto"/>
        <w:ind w:left="-142" w:hanging="11"/>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有争议时，以随机抽样方式在被抽样销售者的待销产品中随机抽取不少于2L独立包装样品2份，其中1份为检验用样品，一份为备用样品。</w:t>
      </w:r>
    </w:p>
    <w:p w14:paraId="6FB8E0DF">
      <w:pPr>
        <w:pStyle w:val="53"/>
        <w:numPr>
          <w:ilvl w:val="0"/>
          <w:numId w:val="17"/>
        </w:numPr>
        <w:spacing w:before="240" w:after="240" w:line="360" w:lineRule="auto"/>
        <w:ind w:left="-141" w:leftChars="-67" w:firstLine="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快速筛查方法</w:t>
      </w:r>
    </w:p>
    <w:p w14:paraId="304A9232">
      <w:pPr>
        <w:pStyle w:val="53"/>
        <w:numPr>
          <w:ilvl w:val="1"/>
          <w:numId w:val="17"/>
        </w:numPr>
        <w:adjustRightInd w:val="0"/>
        <w:snapToGrid w:val="0"/>
        <w:spacing w:beforeLines="0" w:afterLines="0" w:line="360" w:lineRule="auto"/>
        <w:ind w:left="-142" w:hanging="11"/>
        <w:jc w:val="left"/>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尿素含量（质量分数）、</w:t>
      </w:r>
      <w:r>
        <w:rPr>
          <w:rFonts w:hint="eastAsia" w:ascii="宋体"/>
          <w:color w:val="000000" w:themeColor="text1"/>
          <w:szCs w:val="21"/>
          <w14:textFill>
            <w14:solidFill>
              <w14:schemeClr w14:val="tx1"/>
            </w14:solidFill>
          </w14:textFill>
        </w:rPr>
        <w:t>碱度、缩二脲、醛类</w:t>
      </w:r>
      <w:r>
        <w:rPr>
          <w:rFonts w:hint="eastAsia"/>
          <w:color w:val="000000" w:themeColor="text1"/>
          <w14:textFill>
            <w14:solidFill>
              <w14:schemeClr w14:val="tx1"/>
            </w14:solidFill>
          </w14:textFill>
        </w:rPr>
        <w:t>的测定</w:t>
      </w:r>
    </w:p>
    <w:p w14:paraId="1770BC7B">
      <w:pPr>
        <w:pStyle w:val="53"/>
        <w:numPr>
          <w:ilvl w:val="0"/>
          <w:numId w:val="0"/>
        </w:numPr>
        <w:adjustRightInd w:val="0"/>
        <w:snapToGrid w:val="0"/>
        <w:spacing w:beforeLines="0" w:afterLines="0" w:line="360" w:lineRule="auto"/>
        <w:ind w:left="-153" w:leftChars="0" w:firstLine="42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按DB</w:t>
      </w:r>
      <w:r>
        <w:rPr>
          <w:rFonts w:hint="eastAsia" w:asciiTheme="minorEastAsia" w:hAnsiTheme="minorEastAsia" w:eastAsiaTheme="minorEastAsia"/>
          <w:color w:val="000000" w:themeColor="text1"/>
          <w:lang w:val="en-US" w:eastAsia="zh-CN"/>
          <w14:textFill>
            <w14:solidFill>
              <w14:schemeClr w14:val="tx1"/>
            </w14:solidFill>
          </w14:textFill>
        </w:rPr>
        <w:t>XX</w:t>
      </w:r>
      <w:r>
        <w:rPr>
          <w:rFonts w:hint="eastAsia" w:asciiTheme="minorEastAsia" w:hAnsiTheme="minorEastAsia" w:eastAsiaTheme="minorEastAsia"/>
          <w:color w:val="000000" w:themeColor="text1"/>
          <w14:textFill>
            <w14:solidFill>
              <w14:schemeClr w14:val="tx1"/>
            </w14:solidFill>
          </w14:textFill>
        </w:rPr>
        <w:t>/T XX《柴油发动机氮氧化物还原剂 尿素水溶液（AUS32）快速筛查技术规范》附录A规定执行。</w:t>
      </w:r>
    </w:p>
    <w:p w14:paraId="558A113F">
      <w:pPr>
        <w:pStyle w:val="53"/>
        <w:numPr>
          <w:ilvl w:val="1"/>
          <w:numId w:val="17"/>
        </w:numPr>
        <w:adjustRightInd w:val="0"/>
        <w:snapToGrid w:val="0"/>
        <w:spacing w:beforeLines="0" w:afterLines="0" w:line="360" w:lineRule="auto"/>
        <w:ind w:left="-142" w:hanging="11"/>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密度的测定</w:t>
      </w:r>
    </w:p>
    <w:p w14:paraId="400CB40A">
      <w:pPr>
        <w:pStyle w:val="53"/>
        <w:numPr>
          <w:ilvl w:val="0"/>
          <w:numId w:val="0"/>
        </w:numPr>
        <w:adjustRightInd w:val="0"/>
        <w:snapToGrid w:val="0"/>
        <w:spacing w:beforeLines="0" w:afterLines="0" w:line="360" w:lineRule="auto"/>
        <w:ind w:left="-153" w:leftChars="0" w:firstLine="42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按SH/T 0604规定执行，也可采用DB</w:t>
      </w:r>
      <w:r>
        <w:rPr>
          <w:rFonts w:hint="eastAsia" w:asciiTheme="minorEastAsia" w:hAnsiTheme="minorEastAsia" w:eastAsiaTheme="minorEastAsia"/>
          <w:color w:val="000000" w:themeColor="text1"/>
          <w:lang w:val="en-US" w:eastAsia="zh-CN"/>
          <w14:textFill>
            <w14:solidFill>
              <w14:schemeClr w14:val="tx1"/>
            </w14:solidFill>
          </w14:textFill>
        </w:rPr>
        <w:t>XX</w:t>
      </w:r>
      <w:r>
        <w:rPr>
          <w:rFonts w:hint="eastAsia" w:asciiTheme="minorEastAsia" w:hAnsiTheme="minorEastAsia" w:eastAsiaTheme="minorEastAsia"/>
          <w:color w:val="000000" w:themeColor="text1"/>
          <w14:textFill>
            <w14:solidFill>
              <w14:schemeClr w14:val="tx1"/>
            </w14:solidFill>
          </w14:textFill>
        </w:rPr>
        <w:t>/T XX《柴油发动机氮氧化物还原剂 尿素水溶液（AUS32）快速筛查技术规范》附录A规定执行。</w:t>
      </w:r>
    </w:p>
    <w:p w14:paraId="755D793F">
      <w:pPr>
        <w:pStyle w:val="53"/>
        <w:numPr>
          <w:ilvl w:val="1"/>
          <w:numId w:val="17"/>
        </w:numPr>
        <w:adjustRightInd w:val="0"/>
        <w:snapToGrid w:val="0"/>
        <w:spacing w:beforeLines="0" w:afterLines="0" w:line="360" w:lineRule="auto"/>
        <w:ind w:left="-142" w:hanging="11"/>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折光率的测定</w:t>
      </w:r>
    </w:p>
    <w:p w14:paraId="43C4A81E">
      <w:pPr>
        <w:pStyle w:val="53"/>
        <w:numPr>
          <w:ilvl w:val="0"/>
          <w:numId w:val="0"/>
        </w:numPr>
        <w:adjustRightInd w:val="0"/>
        <w:snapToGrid w:val="0"/>
        <w:spacing w:beforeLines="0" w:afterLines="0" w:line="360" w:lineRule="auto"/>
        <w:ind w:left="-153" w:leftChars="0" w:firstLine="420" w:firstLineChars="200"/>
        <w:jc w:val="left"/>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按GB/T</w:t>
      </w:r>
      <w:r>
        <w:rPr>
          <w:rFonts w:hint="eastAsia" w:asciiTheme="minorEastAsia" w:hAnsiTheme="minorEastAsia" w:eastAsia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614规定执行，也可采用DB</w:t>
      </w:r>
      <w:r>
        <w:rPr>
          <w:rFonts w:hint="eastAsia" w:asciiTheme="minorEastAsia" w:hAnsiTheme="minorEastAsia" w:eastAsiaTheme="minorEastAsia"/>
          <w:color w:val="000000" w:themeColor="text1"/>
          <w:lang w:val="en-US" w:eastAsia="zh-CN"/>
          <w14:textFill>
            <w14:solidFill>
              <w14:schemeClr w14:val="tx1"/>
            </w14:solidFill>
          </w14:textFill>
        </w:rPr>
        <w:t>XX</w:t>
      </w:r>
      <w:r>
        <w:rPr>
          <w:rFonts w:hint="eastAsia" w:asciiTheme="minorEastAsia" w:hAnsiTheme="minorEastAsia" w:eastAsiaTheme="minorEastAsia"/>
          <w:color w:val="000000" w:themeColor="text1"/>
          <w14:textFill>
            <w14:solidFill>
              <w14:schemeClr w14:val="tx1"/>
            </w14:solidFill>
          </w14:textFill>
        </w:rPr>
        <w:t>/T XX《柴油发动机氮氧化物还原剂 尿素水溶液（AUS32）附录A规定执行。</w:t>
      </w:r>
    </w:p>
    <w:p w14:paraId="5E529780">
      <w:pPr>
        <w:pStyle w:val="53"/>
        <w:numPr>
          <w:ilvl w:val="1"/>
          <w:numId w:val="17"/>
        </w:numPr>
        <w:adjustRightInd w:val="0"/>
        <w:snapToGrid w:val="0"/>
        <w:spacing w:beforeLines="0" w:afterLines="0" w:line="360" w:lineRule="auto"/>
        <w:ind w:left="-130" w:leftChars="-67" w:hanging="11"/>
        <w:jc w:val="left"/>
        <w:rPr>
          <w:rFonts w:asciiTheme="majorEastAsia" w:hAnsiTheme="majorEastAsia" w:eastAsiaTheme="majorEastAsia"/>
          <w:color w:val="000000" w:themeColor="text1"/>
          <w14:textFill>
            <w14:solidFill>
              <w14:schemeClr w14:val="tx1"/>
            </w14:solidFill>
          </w14:textFill>
        </w:rPr>
      </w:pPr>
      <w:r>
        <w:rPr>
          <w:rFonts w:hint="eastAsia"/>
          <w:color w:val="000000" w:themeColor="text1"/>
          <w14:textFill>
            <w14:solidFill>
              <w14:schemeClr w14:val="tx1"/>
            </w14:solidFill>
          </w14:textFill>
        </w:rPr>
        <w:t>快速筛查方法验证</w:t>
      </w:r>
    </w:p>
    <w:p w14:paraId="17FA517C">
      <w:pPr>
        <w:pStyle w:val="53"/>
        <w:numPr>
          <w:ilvl w:val="0"/>
          <w:numId w:val="0"/>
        </w:numPr>
        <w:adjustRightInd w:val="0"/>
        <w:snapToGrid w:val="0"/>
        <w:spacing w:beforeLines="0" w:afterLines="0" w:line="360" w:lineRule="auto"/>
        <w:ind w:leftChars="-67"/>
        <w:jc w:val="left"/>
        <w:rPr>
          <w:rFonts w:hint="eastAsia" w:asciiTheme="majorEastAsia" w:hAnsiTheme="majorEastAsia" w:eastAsiaTheme="major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6.4.1</w:t>
      </w:r>
      <w:r>
        <w:rPr>
          <w:rFonts w:hint="eastAsia" w:asciiTheme="majorEastAsia" w:hAnsiTheme="majorEastAsia" w:eastAsiaTheme="majorEastAsia"/>
          <w:color w:val="000000" w:themeColor="text1"/>
          <w14:textFill>
            <w14:solidFill>
              <w14:schemeClr w14:val="tx1"/>
            </w14:solidFill>
          </w14:textFill>
        </w:rPr>
        <w:t>为保障快速筛查方法的准确性，需由省级以上质检中心进行快速筛查方法定期评估。</w:t>
      </w:r>
    </w:p>
    <w:p w14:paraId="315E77D2">
      <w:pPr>
        <w:pStyle w:val="53"/>
        <w:numPr>
          <w:ilvl w:val="0"/>
          <w:numId w:val="0"/>
        </w:numPr>
        <w:adjustRightInd w:val="0"/>
        <w:snapToGrid w:val="0"/>
        <w:spacing w:beforeLines="0" w:afterLines="0" w:line="360" w:lineRule="auto"/>
        <w:ind w:leftChars="-67"/>
        <w:jc w:val="left"/>
        <w:rPr>
          <w:rFonts w:hint="eastAsia" w:asciiTheme="majorEastAsia" w:hAnsiTheme="majorEastAsia" w:eastAsiaTheme="major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6.4.2</w:t>
      </w:r>
      <w:r>
        <w:rPr>
          <w:rFonts w:hint="eastAsia" w:asciiTheme="majorEastAsia" w:hAnsiTheme="majorEastAsia" w:eastAsiaTheme="majorEastAsia"/>
          <w:color w:val="000000" w:themeColor="text1"/>
          <w14:textFill>
            <w14:solidFill>
              <w14:schemeClr w14:val="tx1"/>
            </w14:solidFill>
          </w14:textFill>
        </w:rPr>
        <w:t>快速筛查方法定期评估时间为每半年一次。</w:t>
      </w:r>
    </w:p>
    <w:p w14:paraId="2B1180D7">
      <w:pPr>
        <w:pStyle w:val="53"/>
        <w:numPr>
          <w:ilvl w:val="0"/>
          <w:numId w:val="0"/>
        </w:numPr>
        <w:adjustRightInd w:val="0"/>
        <w:snapToGrid w:val="0"/>
        <w:spacing w:beforeLines="0" w:afterLines="0" w:line="360" w:lineRule="auto"/>
        <w:ind w:leftChars="-67"/>
        <w:jc w:val="left"/>
        <w:rPr>
          <w:highlight w:val="none"/>
        </w:rPr>
      </w:pPr>
      <w:r>
        <w:rPr>
          <w:rFonts w:hint="eastAsia"/>
          <w:color w:val="000000" w:themeColor="text1"/>
          <w:lang w:val="en-US" w:eastAsia="zh-CN"/>
          <w14:textFill>
            <w14:solidFill>
              <w14:schemeClr w14:val="tx1"/>
            </w14:solidFill>
          </w14:textFill>
        </w:rPr>
        <w:t>6.4.3</w:t>
      </w:r>
      <w:r>
        <w:rPr>
          <w:rFonts w:hint="eastAsia" w:asciiTheme="majorEastAsia" w:hAnsiTheme="majorEastAsia" w:eastAsiaTheme="majorEastAsia"/>
          <w:color w:val="000000" w:themeColor="text1"/>
          <w14:textFill>
            <w14:solidFill>
              <w14:schemeClr w14:val="tx1"/>
            </w14:solidFill>
          </w14:textFill>
        </w:rPr>
        <w:t>快速筛查方法需与GB 29518规定的方法标准进行对比试验，满足方法标准中再现性的要求。</w:t>
      </w:r>
    </w:p>
    <w:p w14:paraId="774DC549">
      <w:pPr>
        <w:pStyle w:val="53"/>
        <w:numPr>
          <w:ilvl w:val="0"/>
          <w:numId w:val="17"/>
        </w:numPr>
        <w:adjustRightInd w:val="0"/>
        <w:snapToGrid w:val="0"/>
        <w:spacing w:beforeLines="0" w:afterLines="0" w:line="360" w:lineRule="auto"/>
        <w:ind w:left="-141" w:leftChars="-67" w:firstLine="0"/>
        <w:jc w:val="left"/>
        <w:rPr>
          <w:rFonts w:hAnsi="黑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 xml:space="preserve"> </w:t>
      </w:r>
      <w:r>
        <w:rPr>
          <w:rFonts w:hAnsi="黑体"/>
          <w:color w:val="000000" w:themeColor="text1"/>
          <w14:textFill>
            <w14:solidFill>
              <w14:schemeClr w14:val="tx1"/>
            </w14:solidFill>
          </w14:textFill>
        </w:rPr>
        <w:t xml:space="preserve"> </w:t>
      </w:r>
      <w:r>
        <w:rPr>
          <w:rFonts w:hint="eastAsia" w:hAnsi="黑体"/>
          <w:color w:val="000000" w:themeColor="text1"/>
          <w14:textFill>
            <w14:solidFill>
              <w14:schemeClr w14:val="tx1"/>
            </w14:solidFill>
          </w14:textFill>
        </w:rPr>
        <w:t>车辆</w:t>
      </w:r>
    </w:p>
    <w:p w14:paraId="34B9EFB8">
      <w:pPr>
        <w:pStyle w:val="53"/>
        <w:snapToGrid w:val="0"/>
        <w:spacing w:beforeLines="0" w:afterLines="0" w:line="360" w:lineRule="auto"/>
        <w:ind w:firstLine="210" w:firstLineChars="100"/>
        <w:jc w:val="left"/>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电源、通风、消防等设施满足检验要求，能够保证检测设备稳定和检测数据的准确。</w:t>
      </w:r>
    </w:p>
    <w:p w14:paraId="10E628AA">
      <w:pPr>
        <w:pStyle w:val="53"/>
        <w:numPr>
          <w:ilvl w:val="0"/>
          <w:numId w:val="17"/>
        </w:numPr>
        <w:adjustRightInd w:val="0"/>
        <w:snapToGrid w:val="0"/>
        <w:spacing w:beforeLines="0" w:afterLines="0" w:line="360" w:lineRule="auto"/>
        <w:ind w:left="-141" w:leftChars="-67" w:firstLine="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快速筛查结果处理和报告</w:t>
      </w:r>
    </w:p>
    <w:p w14:paraId="5F31806E">
      <w:pPr>
        <w:pStyle w:val="53"/>
        <w:numPr>
          <w:ilvl w:val="1"/>
          <w:numId w:val="17"/>
        </w:numPr>
        <w:adjustRightInd w:val="0"/>
        <w:snapToGrid w:val="0"/>
        <w:spacing w:beforeLines="0" w:afterLines="0" w:line="360" w:lineRule="auto"/>
        <w:ind w:left="-284" w:firstLine="142"/>
        <w:jc w:val="left"/>
        <w:rPr>
          <w:rFonts w:ascii="宋体" w:eastAsia="宋体"/>
          <w:color w:val="000000" w:themeColor="text1"/>
          <w14:textFill>
            <w14:solidFill>
              <w14:schemeClr w14:val="tx1"/>
            </w14:solidFill>
          </w14:textFill>
        </w:rPr>
      </w:pPr>
      <w:r>
        <w:rPr>
          <w:rFonts w:hint="eastAsia" w:ascii="宋体" w:eastAsia="宋体"/>
          <w:color w:val="000000" w:themeColor="text1"/>
          <w14:textFill>
            <w14:solidFill>
              <w14:schemeClr w14:val="tx1"/>
            </w14:solidFill>
          </w14:textFill>
        </w:rPr>
        <w:t>快速筛查结果符合</w:t>
      </w:r>
      <w:r>
        <w:rPr>
          <w:rFonts w:hint="eastAsia" w:asciiTheme="majorEastAsia" w:hAnsiTheme="majorEastAsia" w:eastAsiaTheme="majorEastAsia"/>
          <w:color w:val="000000" w:themeColor="text1"/>
          <w14:textFill>
            <w14:solidFill>
              <w14:schemeClr w14:val="tx1"/>
            </w14:solidFill>
          </w14:textFill>
        </w:rPr>
        <w:t>GB 29518技术要求，</w:t>
      </w:r>
      <w:r>
        <w:rPr>
          <w:rFonts w:hint="eastAsia" w:ascii="宋体" w:eastAsia="宋体"/>
          <w:color w:val="000000" w:themeColor="text1"/>
          <w14:textFill>
            <w14:solidFill>
              <w14:schemeClr w14:val="tx1"/>
            </w14:solidFill>
          </w14:textFill>
        </w:rPr>
        <w:t>则快速筛查结果合格，</w:t>
      </w:r>
      <w:r>
        <w:rPr>
          <w:rFonts w:hint="eastAsia" w:asciiTheme="majorEastAsia" w:hAnsiTheme="majorEastAsia" w:eastAsiaTheme="majorEastAsia"/>
          <w:color w:val="000000" w:themeColor="text1"/>
          <w14:textFill>
            <w14:solidFill>
              <w14:schemeClr w14:val="tx1"/>
            </w14:solidFill>
          </w14:textFill>
        </w:rPr>
        <w:t>出据快速筛查报告单。</w:t>
      </w:r>
    </w:p>
    <w:p w14:paraId="6C9C1433">
      <w:pPr>
        <w:pStyle w:val="53"/>
        <w:numPr>
          <w:ilvl w:val="1"/>
          <w:numId w:val="17"/>
        </w:numPr>
        <w:adjustRightInd w:val="0"/>
        <w:snapToGrid w:val="0"/>
        <w:spacing w:beforeLines="0" w:afterLines="0" w:line="360" w:lineRule="auto"/>
        <w:ind w:left="-284" w:firstLine="142"/>
        <w:jc w:val="left"/>
        <w:rPr>
          <w:rFonts w:ascii="宋体" w:eastAsia="宋体"/>
          <w:color w:val="000000" w:themeColor="text1"/>
          <w14:textFill>
            <w14:solidFill>
              <w14:schemeClr w14:val="tx1"/>
            </w14:solidFill>
          </w14:textFill>
        </w:rPr>
      </w:pPr>
      <w:r>
        <w:rPr>
          <w:rFonts w:hint="eastAsia" w:ascii="宋体" w:eastAsia="宋体"/>
          <w:color w:val="000000" w:themeColor="text1"/>
          <w14:textFill>
            <w14:solidFill>
              <w14:schemeClr w14:val="tx1"/>
            </w14:solidFill>
          </w14:textFill>
        </w:rPr>
        <w:t>快速筛查结果在表1中阈值内，则快速筛查结果可疑。</w:t>
      </w:r>
      <w:r>
        <w:rPr>
          <w:rFonts w:hint="eastAsia" w:asciiTheme="majorEastAsia" w:hAnsiTheme="majorEastAsia" w:eastAsiaTheme="majorEastAsia"/>
          <w:color w:val="000000" w:themeColor="text1"/>
          <w14:textFill>
            <w14:solidFill>
              <w14:schemeClr w14:val="tx1"/>
            </w14:solidFill>
          </w14:textFill>
        </w:rPr>
        <w:t>以随机抽样方式在被抽样销售者的待销产品中随机抽取不少于2L独立包装样品2份，其中1份为检验用样品，一份为备用样品，</w:t>
      </w:r>
      <w:r>
        <w:rPr>
          <w:rFonts w:hint="eastAsia" w:ascii="宋体" w:eastAsia="宋体"/>
          <w:color w:val="000000" w:themeColor="text1"/>
          <w14:textFill>
            <w14:solidFill>
              <w14:schemeClr w14:val="tx1"/>
            </w14:solidFill>
          </w14:textFill>
        </w:rPr>
        <w:t>按</w:t>
      </w:r>
      <w:r>
        <w:rPr>
          <w:rFonts w:hint="eastAsia" w:asciiTheme="majorEastAsia" w:hAnsiTheme="majorEastAsia" w:eastAsiaTheme="majorEastAsia"/>
          <w:color w:val="000000" w:themeColor="text1"/>
          <w14:textFill>
            <w14:solidFill>
              <w14:schemeClr w14:val="tx1"/>
            </w14:solidFill>
          </w14:textFill>
        </w:rPr>
        <w:t>GB 29518规定进行检验</w:t>
      </w:r>
      <w:r>
        <w:rPr>
          <w:rFonts w:hint="eastAsia" w:ascii="宋体" w:eastAsia="宋体"/>
          <w:color w:val="000000" w:themeColor="text1"/>
          <w14:textFill>
            <w14:solidFill>
              <w14:schemeClr w14:val="tx1"/>
            </w14:solidFill>
          </w14:textFill>
        </w:rPr>
        <w:t>。</w:t>
      </w:r>
    </w:p>
    <w:p w14:paraId="1C9FF3D3">
      <w:pPr>
        <w:pStyle w:val="31"/>
        <w:rPr>
          <w:color w:val="000000" w:themeColor="text1"/>
          <w14:textFill>
            <w14:solidFill>
              <w14:schemeClr w14:val="tx1"/>
            </w14:solidFill>
          </w14:textFill>
        </w:rPr>
      </w:pPr>
    </w:p>
    <w:p w14:paraId="44747158">
      <w:pPr>
        <w:pStyle w:val="31"/>
        <w:rPr>
          <w:color w:val="000000" w:themeColor="text1"/>
          <w14:textFill>
            <w14:solidFill>
              <w14:schemeClr w14:val="tx1"/>
            </w14:solidFill>
          </w14:textFill>
        </w:rPr>
      </w:pPr>
    </w:p>
    <w:p w14:paraId="61FF019B">
      <w:pPr>
        <w:pStyle w:val="31"/>
        <w:rPr>
          <w:color w:val="000000" w:themeColor="text1"/>
          <w14:textFill>
            <w14:solidFill>
              <w14:schemeClr w14:val="tx1"/>
            </w14:solidFill>
          </w14:textFill>
        </w:rPr>
      </w:pPr>
    </w:p>
    <w:p w14:paraId="5847D1DC">
      <w:pPr>
        <w:pStyle w:val="31"/>
        <w:rPr>
          <w:color w:val="000000" w:themeColor="text1"/>
          <w14:textFill>
            <w14:solidFill>
              <w14:schemeClr w14:val="tx1"/>
            </w14:solidFill>
          </w14:textFill>
        </w:rPr>
      </w:pPr>
    </w:p>
    <w:p w14:paraId="248A37EE">
      <w:pPr>
        <w:pStyle w:val="31"/>
        <w:rPr>
          <w:color w:val="000000" w:themeColor="text1"/>
          <w14:textFill>
            <w14:solidFill>
              <w14:schemeClr w14:val="tx1"/>
            </w14:solidFill>
          </w14:textFill>
        </w:rPr>
      </w:pPr>
    </w:p>
    <w:p w14:paraId="47720146">
      <w:pPr>
        <w:pStyle w:val="31"/>
        <w:rPr>
          <w:color w:val="000000" w:themeColor="text1"/>
          <w14:textFill>
            <w14:solidFill>
              <w14:schemeClr w14:val="tx1"/>
            </w14:solidFill>
          </w14:textFill>
        </w:rPr>
      </w:pPr>
    </w:p>
    <w:p w14:paraId="5C60C12B">
      <w:pPr>
        <w:pStyle w:val="31"/>
        <w:rPr>
          <w:color w:val="000000" w:themeColor="text1"/>
          <w14:textFill>
            <w14:solidFill>
              <w14:schemeClr w14:val="tx1"/>
            </w14:solidFill>
          </w14:textFill>
        </w:rPr>
      </w:pPr>
    </w:p>
    <w:p w14:paraId="2A8FF683">
      <w:pPr>
        <w:pStyle w:val="31"/>
        <w:rPr>
          <w:color w:val="000000" w:themeColor="text1"/>
          <w14:textFill>
            <w14:solidFill>
              <w14:schemeClr w14:val="tx1"/>
            </w14:solidFill>
          </w14:textFill>
        </w:rPr>
      </w:pPr>
    </w:p>
    <w:bookmarkEnd w:id="7"/>
    <w:p w14:paraId="3D5155C4">
      <w:pPr>
        <w:pStyle w:val="31"/>
        <w:spacing w:line="360" w:lineRule="auto"/>
        <w:ind w:firstLine="525" w:firstLineChars="250"/>
        <w:rPr>
          <w:color w:val="000000" w:themeColor="text1"/>
          <w:szCs w:val="21"/>
          <w14:textFill>
            <w14:solidFill>
              <w14:schemeClr w14:val="tx1"/>
            </w14:solidFill>
          </w14:textFill>
        </w:rPr>
      </w:pPr>
    </w:p>
    <w:p w14:paraId="1261A28D">
      <w:pPr>
        <w:pStyle w:val="31"/>
        <w:spacing w:line="360" w:lineRule="auto"/>
        <w:ind w:firstLine="0" w:firstLineChars="0"/>
        <w:jc w:val="center"/>
        <w:rPr>
          <w:rFonts w:hint="eastAsia"/>
          <w:b/>
          <w:color w:val="000000" w:themeColor="text1"/>
          <w14:textFill>
            <w14:solidFill>
              <w14:schemeClr w14:val="tx1"/>
            </w14:solidFill>
          </w14:textFill>
        </w:rPr>
      </w:pPr>
    </w:p>
    <w:p w14:paraId="3079562E">
      <w:pPr>
        <w:pStyle w:val="31"/>
        <w:spacing w:line="360" w:lineRule="auto"/>
        <w:ind w:firstLine="0" w:firstLineChars="0"/>
        <w:jc w:val="center"/>
        <w:rPr>
          <w:rFonts w:hint="eastAsia"/>
          <w:b/>
          <w:color w:val="000000" w:themeColor="text1"/>
          <w14:textFill>
            <w14:solidFill>
              <w14:schemeClr w14:val="tx1"/>
            </w14:solidFill>
          </w14:textFill>
        </w:rPr>
      </w:pPr>
    </w:p>
    <w:p w14:paraId="11E26888">
      <w:pPr>
        <w:pStyle w:val="31"/>
        <w:spacing w:line="360" w:lineRule="auto"/>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附录A</w:t>
      </w:r>
    </w:p>
    <w:p w14:paraId="4430EDBC">
      <w:pPr>
        <w:pStyle w:val="31"/>
        <w:spacing w:line="360" w:lineRule="auto"/>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（规范性附录）</w:t>
      </w:r>
    </w:p>
    <w:p w14:paraId="6897FEDF">
      <w:pPr>
        <w:pStyle w:val="31"/>
        <w:spacing w:line="360" w:lineRule="auto"/>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柴油发动机氮氧化物还原剂 尿素水溶液（AUS32）    近红外光谱法</w:t>
      </w:r>
    </w:p>
    <w:p w14:paraId="176071C0">
      <w:pPr>
        <w:pStyle w:val="53"/>
        <w:spacing w:before="240" w:after="240"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A.1范围</w:t>
      </w:r>
    </w:p>
    <w:p w14:paraId="63E1CCCE">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本附录规定了采用近红外光谱法测定</w:t>
      </w:r>
      <w:r>
        <w:rPr>
          <w:rFonts w:hint="eastAsia" w:ascii="宋体" w:hAnsi="宋体" w:cs="宋体"/>
          <w:color w:val="000000" w:themeColor="text1"/>
          <w:szCs w:val="21"/>
          <w14:textFill>
            <w14:solidFill>
              <w14:schemeClr w14:val="tx1"/>
            </w14:solidFill>
          </w14:textFill>
        </w:rPr>
        <w:t>柴油发动机氮氧化物还原剂 尿素水溶液（AUS32）尿素含量、密度、折光率、碱度、缩二脲、醛类</w:t>
      </w:r>
      <w:r>
        <w:rPr>
          <w:rFonts w:hint="eastAsia" w:ascii="宋体" w:hAnsi="宋体" w:cs="宋体"/>
          <w:color w:val="000000" w:themeColor="text1"/>
          <w:kern w:val="0"/>
          <w:szCs w:val="21"/>
          <w14:textFill>
            <w14:solidFill>
              <w14:schemeClr w14:val="tx1"/>
            </w14:solidFill>
          </w14:textFill>
        </w:rPr>
        <w:t>的方法。</w:t>
      </w:r>
    </w:p>
    <w:p w14:paraId="7CE3A88E">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本附录适用于</w:t>
      </w:r>
      <w:r>
        <w:rPr>
          <w:rFonts w:hint="eastAsia" w:ascii="宋体" w:hAnsi="宋体" w:cs="宋体"/>
          <w:color w:val="000000" w:themeColor="text1"/>
          <w:szCs w:val="21"/>
          <w14:textFill>
            <w14:solidFill>
              <w14:schemeClr w14:val="tx1"/>
            </w14:solidFill>
          </w14:textFill>
        </w:rPr>
        <w:t>柴油发动机氮氧化物还原剂 尿素水溶液（AUS32）</w:t>
      </w:r>
      <w:r>
        <w:rPr>
          <w:rFonts w:hint="eastAsia" w:ascii="宋体" w:hAnsi="宋体" w:cs="宋体"/>
          <w:color w:val="000000" w:themeColor="text1"/>
          <w:kern w:val="0"/>
          <w:szCs w:val="21"/>
          <w14:textFill>
            <w14:solidFill>
              <w14:schemeClr w14:val="tx1"/>
            </w14:solidFill>
          </w14:textFill>
        </w:rPr>
        <w:t>质量指标的快速检测。</w:t>
      </w:r>
    </w:p>
    <w:p w14:paraId="69BC0B07">
      <w:pPr>
        <w:pStyle w:val="53"/>
        <w:spacing w:before="240" w:after="24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A.2原理</w:t>
      </w:r>
    </w:p>
    <w:p w14:paraId="437BDF03">
      <w:pPr>
        <w:autoSpaceDE w:val="0"/>
        <w:autoSpaceDN w:val="0"/>
        <w:adjustRightIn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近红外光谱是指在可见光与中红外光之间的电磁波谱，波数范围</w:t>
      </w:r>
      <w:r>
        <w:rPr>
          <w:rFonts w:hint="eastAsia"/>
          <w:color w:val="auto"/>
          <w:kern w:val="0"/>
          <w:szCs w:val="21"/>
          <w:highlight w:val="none"/>
        </w:rPr>
        <w:t>为</w:t>
      </w:r>
      <w:r>
        <w:rPr>
          <w:color w:val="auto"/>
          <w:kern w:val="0"/>
          <w:szCs w:val="21"/>
          <w:highlight w:val="none"/>
        </w:rPr>
        <w:t>1</w:t>
      </w:r>
      <w:r>
        <w:rPr>
          <w:rFonts w:hint="default"/>
          <w:color w:val="auto"/>
          <w:kern w:val="0"/>
          <w:szCs w:val="21"/>
          <w:highlight w:val="none"/>
          <w:lang w:val="en-US"/>
        </w:rPr>
        <w:t>2500</w:t>
      </w:r>
      <w:r>
        <w:rPr>
          <w:rFonts w:hint="eastAsia"/>
          <w:color w:val="auto"/>
          <w:kern w:val="0"/>
          <w:szCs w:val="21"/>
          <w:highlight w:val="none"/>
        </w:rPr>
        <w:t>cm</w:t>
      </w:r>
      <w:r>
        <w:rPr>
          <w:rFonts w:hint="eastAsia"/>
          <w:color w:val="auto"/>
          <w:kern w:val="0"/>
          <w:szCs w:val="21"/>
          <w:highlight w:val="none"/>
          <w:vertAlign w:val="superscript"/>
        </w:rPr>
        <w:t>-</w:t>
      </w:r>
      <w:r>
        <w:rPr>
          <w:rFonts w:hint="eastAsia"/>
          <w:color w:val="000000" w:themeColor="text1"/>
          <w:kern w:val="0"/>
          <w:szCs w:val="21"/>
          <w:vertAlign w:val="superscript"/>
          <w14:textFill>
            <w14:solidFill>
              <w14:schemeClr w14:val="tx1"/>
            </w14:solidFill>
          </w14:textFill>
        </w:rPr>
        <w:t>1</w:t>
      </w:r>
      <w:r>
        <w:rPr>
          <w:rFonts w:hint="eastAsia"/>
          <w:color w:val="auto"/>
          <w:kern w:val="0"/>
          <w:szCs w:val="21"/>
          <w:highlight w:val="none"/>
          <w:lang w:val="en-US" w:eastAsia="zh-CN"/>
        </w:rPr>
        <w:t>~</w:t>
      </w:r>
      <w:r>
        <w:rPr>
          <w:rFonts w:hint="eastAsia"/>
          <w:color w:val="auto"/>
          <w:kern w:val="0"/>
          <w:szCs w:val="21"/>
          <w:highlight w:val="none"/>
        </w:rPr>
        <w:t xml:space="preserve"> </w:t>
      </w:r>
      <w:r>
        <w:rPr>
          <w:color w:val="auto"/>
          <w:kern w:val="0"/>
          <w:szCs w:val="21"/>
          <w:highlight w:val="none"/>
        </w:rPr>
        <w:t>4000</w:t>
      </w:r>
      <w:r>
        <w:rPr>
          <w:rFonts w:hint="eastAsia"/>
          <w:color w:val="auto"/>
          <w:kern w:val="0"/>
          <w:szCs w:val="21"/>
          <w:highlight w:val="none"/>
        </w:rPr>
        <w:t>cm</w:t>
      </w:r>
      <w:r>
        <w:rPr>
          <w:rFonts w:hint="eastAsia"/>
          <w:color w:val="auto"/>
          <w:kern w:val="0"/>
          <w:szCs w:val="21"/>
          <w:highlight w:val="none"/>
          <w:vertAlign w:val="superscript"/>
        </w:rPr>
        <w:t>-</w:t>
      </w:r>
      <w:r>
        <w:rPr>
          <w:rFonts w:hint="eastAsia"/>
          <w:color w:val="000000" w:themeColor="text1"/>
          <w:kern w:val="0"/>
          <w:szCs w:val="21"/>
          <w:vertAlign w:val="superscript"/>
          <w14:textFill>
            <w14:solidFill>
              <w14:schemeClr w14:val="tx1"/>
            </w14:solidFill>
          </w14:textFill>
        </w:rPr>
        <w:t>1</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近红外光谱法是利用含有氢基团（X—H，X 为：C，O，N 等）化学键的伸缩振动的倍频</w:t>
      </w:r>
      <w:r>
        <w:rPr>
          <w:rFonts w:hint="eastAsia"/>
          <w:color w:val="000000" w:themeColor="text1"/>
          <w:kern w:val="0"/>
          <w:szCs w:val="21"/>
          <w14:textFill>
            <w14:solidFill>
              <w14:schemeClr w14:val="tx1"/>
            </w14:solidFill>
          </w14:textFill>
        </w:rPr>
        <w:t>或</w:t>
      </w:r>
      <w:r>
        <w:rPr>
          <w:color w:val="000000" w:themeColor="text1"/>
          <w:kern w:val="0"/>
          <w:szCs w:val="21"/>
          <w14:textFill>
            <w14:solidFill>
              <w14:schemeClr w14:val="tx1"/>
            </w14:solidFill>
          </w14:textFill>
        </w:rPr>
        <w:t>合频，以透射或反射方式获取在近红外区的吸收光谱，通过主成分分析、偏最小二乘法等现代化学计量学方法，建立光谱与质量指标之间的线性或非线性关系（</w:t>
      </w:r>
      <w:r>
        <w:rPr>
          <w:rFonts w:hint="eastAsia"/>
          <w:color w:val="000000" w:themeColor="text1"/>
          <w:kern w:val="0"/>
          <w:szCs w:val="21"/>
          <w14:textFill>
            <w14:solidFill>
              <w14:schemeClr w14:val="tx1"/>
            </w14:solidFill>
          </w14:textFill>
        </w:rPr>
        <w:t>定标</w:t>
      </w:r>
      <w:r>
        <w:rPr>
          <w:color w:val="000000" w:themeColor="text1"/>
          <w:kern w:val="0"/>
          <w:szCs w:val="21"/>
          <w14:textFill>
            <w14:solidFill>
              <w14:schemeClr w14:val="tx1"/>
            </w14:solidFill>
          </w14:textFill>
        </w:rPr>
        <w:t>模型），从而实现利用光谱信息对待测样品的多种质量指标的快速测定</w:t>
      </w:r>
      <w:r>
        <w:rPr>
          <w:rFonts w:hint="eastAsia"/>
          <w:color w:val="000000" w:themeColor="text1"/>
          <w:kern w:val="0"/>
          <w:szCs w:val="21"/>
          <w14:textFill>
            <w14:solidFill>
              <w14:schemeClr w14:val="tx1"/>
            </w14:solidFill>
          </w14:textFill>
        </w:rPr>
        <w:t>。</w:t>
      </w:r>
    </w:p>
    <w:p w14:paraId="37C308B9">
      <w:pPr>
        <w:pStyle w:val="53"/>
        <w:spacing w:before="240" w:after="24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A.3仪器与设备</w:t>
      </w:r>
    </w:p>
    <w:p w14:paraId="0A7F6987">
      <w:pPr>
        <w:pStyle w:val="50"/>
        <w:spacing w:beforeLines="0" w:afterLines="0" w:line="360" w:lineRule="auto"/>
        <w:rPr>
          <w:rFonts w:hint="eastAsia" w:ascii="Times New Roman" w:eastAsia="宋体"/>
        </w:rPr>
      </w:pPr>
      <w:r>
        <w:rPr>
          <w:rFonts w:hint="eastAsia" w:hAnsi="宋体" w:cs="宋体"/>
          <w:color w:val="000000" w:themeColor="text1"/>
          <w:kern w:val="2"/>
          <w:szCs w:val="24"/>
          <w14:textFill>
            <w14:solidFill>
              <w14:schemeClr w14:val="tx1"/>
            </w14:solidFill>
          </w14:textFill>
        </w:rPr>
        <w:t xml:space="preserve">A.3.1  </w:t>
      </w:r>
      <w:r>
        <w:rPr>
          <w:rFonts w:hint="eastAsia" w:ascii="Times New Roman" w:eastAsia="宋体"/>
          <w:color w:val="000000" w:themeColor="text1"/>
          <w14:textFill>
            <w14:solidFill>
              <w14:schemeClr w14:val="tx1"/>
            </w14:solidFill>
          </w14:textFill>
        </w:rPr>
        <w:t>近红外光谱仪：采用傅立叶变换或光栅式近红外光谱仪。近红外光谱的有效波</w:t>
      </w:r>
      <w:r>
        <w:rPr>
          <w:rFonts w:hint="eastAsia" w:ascii="Times New Roman" w:eastAsia="宋体"/>
          <w:color w:val="000000" w:themeColor="text1"/>
          <w:lang w:val="en-US" w:eastAsia="zh-CN"/>
          <w14:textFill>
            <w14:solidFill>
              <w14:schemeClr w14:val="tx1"/>
            </w14:solidFill>
          </w14:textFill>
        </w:rPr>
        <w:t>数</w:t>
      </w:r>
      <w:r>
        <w:rPr>
          <w:rFonts w:hint="eastAsia" w:ascii="Times New Roman" w:eastAsia="宋体"/>
          <w:color w:val="000000" w:themeColor="text1"/>
          <w14:textFill>
            <w14:solidFill>
              <w14:schemeClr w14:val="tx1"/>
            </w14:solidFill>
          </w14:textFill>
        </w:rPr>
        <w:t>区间应至少包括 10000cm</w:t>
      </w:r>
      <w:r>
        <w:rPr>
          <w:rFonts w:hint="eastAsia" w:ascii="Times New Roman" w:eastAsia="宋体"/>
          <w:color w:val="000000" w:themeColor="text1"/>
          <w:vertAlign w:val="superscript"/>
          <w14:textFill>
            <w14:solidFill>
              <w14:schemeClr w14:val="tx1"/>
            </w14:solidFill>
          </w14:textFill>
        </w:rPr>
        <w:t>-1</w:t>
      </w:r>
      <w:r>
        <w:rPr>
          <w:rFonts w:hint="eastAsia" w:ascii="Times New Roman" w:eastAsia="宋体"/>
          <w:color w:val="000000" w:themeColor="text1"/>
          <w:lang w:val="en-US" w:eastAsia="zh-CN"/>
          <w14:textFill>
            <w14:solidFill>
              <w14:schemeClr w14:val="tx1"/>
            </w14:solidFill>
          </w14:textFill>
        </w:rPr>
        <w:t>~</w:t>
      </w:r>
      <w:r>
        <w:rPr>
          <w:rFonts w:hint="eastAsia" w:ascii="Times New Roman" w:eastAsia="宋体"/>
          <w:color w:val="000000" w:themeColor="text1"/>
          <w14:textFill>
            <w14:solidFill>
              <w14:schemeClr w14:val="tx1"/>
            </w14:solidFill>
          </w14:textFill>
        </w:rPr>
        <w:t>5555cm</w:t>
      </w:r>
      <w:r>
        <w:rPr>
          <w:rFonts w:hint="eastAsia" w:ascii="Times New Roman" w:eastAsia="宋体"/>
          <w:color w:val="000000" w:themeColor="text1"/>
          <w:vertAlign w:val="superscript"/>
          <w14:textFill>
            <w14:solidFill>
              <w14:schemeClr w14:val="tx1"/>
            </w14:solidFill>
          </w14:textFill>
        </w:rPr>
        <w:t>-1</w:t>
      </w:r>
      <w:r>
        <w:rPr>
          <w:rFonts w:hint="eastAsia" w:ascii="Times New Roman" w:eastAsia="宋体"/>
          <w:color w:val="000000" w:themeColor="text1"/>
          <w14:textFill>
            <w14:solidFill>
              <w14:schemeClr w14:val="tx1"/>
            </w14:solidFill>
          </w14:textFill>
        </w:rPr>
        <w:t>，</w:t>
      </w:r>
      <w:r>
        <w:rPr>
          <w:rFonts w:hint="eastAsia" w:ascii="Times New Roman" w:eastAsia="宋体"/>
          <w:color w:val="auto"/>
          <w:highlight w:val="none"/>
        </w:rPr>
        <w:t>光谱分辨率优于2 cm</w:t>
      </w:r>
      <w:r>
        <w:rPr>
          <w:rFonts w:hint="eastAsia" w:ascii="Times New Roman" w:eastAsia="宋体"/>
          <w:color w:val="auto"/>
          <w:highlight w:val="none"/>
          <w:vertAlign w:val="superscript"/>
        </w:rPr>
        <w:t>-1</w:t>
      </w:r>
      <w:r>
        <w:rPr>
          <w:rFonts w:hint="eastAsia" w:ascii="Times New Roman" w:eastAsia="宋体"/>
          <w:color w:val="auto"/>
          <w:highlight w:val="none"/>
        </w:rPr>
        <w:t>，波数准确度优于±0.03 cm</w:t>
      </w:r>
      <w:r>
        <w:rPr>
          <w:rFonts w:hint="eastAsia" w:ascii="Times New Roman" w:eastAsia="宋体"/>
          <w:color w:val="auto"/>
          <w:highlight w:val="none"/>
          <w:vertAlign w:val="superscript"/>
        </w:rPr>
        <w:t>-1</w:t>
      </w:r>
      <w:r>
        <w:rPr>
          <w:rFonts w:hint="eastAsia" w:ascii="Times New Roman" w:eastAsia="宋体"/>
          <w:color w:val="auto"/>
          <w:highlight w:val="none"/>
        </w:rPr>
        <w:t>，波数重复性优于0.05 cm</w:t>
      </w:r>
      <w:r>
        <w:rPr>
          <w:rFonts w:hint="eastAsia" w:ascii="Times New Roman" w:eastAsia="宋体"/>
          <w:color w:val="auto"/>
          <w:highlight w:val="none"/>
          <w:vertAlign w:val="superscript"/>
        </w:rPr>
        <w:t>-1</w:t>
      </w:r>
      <w:r>
        <w:rPr>
          <w:rFonts w:hint="eastAsia" w:ascii="Times New Roman" w:eastAsia="宋体"/>
          <w:color w:val="auto"/>
          <w:highlight w:val="none"/>
          <w:lang w:eastAsia="zh-CN"/>
        </w:rPr>
        <w:t>，</w:t>
      </w:r>
      <w:r>
        <w:rPr>
          <w:rFonts w:hint="eastAsia" w:ascii="Times New Roman" w:eastAsia="宋体"/>
        </w:rPr>
        <w:t>扫描速度优于5次/秒，其他能够满足相应光谱技术指标的其他仪器也可采用。</w:t>
      </w:r>
    </w:p>
    <w:p w14:paraId="3A0C70F8">
      <w:pPr>
        <w:pStyle w:val="50"/>
        <w:spacing w:beforeLines="0" w:afterLines="0" w:line="360" w:lineRule="auto"/>
        <w:rPr>
          <w:rFonts w:ascii="宋体" w:hAnsi="宋体" w:eastAsia="宋体" w:cs="宋体"/>
          <w:color w:val="auto"/>
          <w:kern w:val="2"/>
          <w:szCs w:val="24"/>
        </w:rPr>
      </w:pPr>
      <w:r>
        <w:rPr>
          <w:rFonts w:hint="eastAsia" w:hAnsi="宋体" w:cs="宋体"/>
          <w:color w:val="000000" w:themeColor="text1"/>
          <w:kern w:val="2"/>
          <w:szCs w:val="24"/>
          <w14:textFill>
            <w14:solidFill>
              <w14:schemeClr w14:val="tx1"/>
            </w14:solidFill>
          </w14:textFill>
        </w:rPr>
        <w:t xml:space="preserve">A.3.2  </w:t>
      </w:r>
      <w:r>
        <w:rPr>
          <w:rFonts w:hint="eastAsia" w:ascii="宋体" w:hAnsi="宋体" w:eastAsia="宋体" w:cs="宋体"/>
          <w:color w:val="000000" w:themeColor="text1"/>
          <w:kern w:val="2"/>
          <w:szCs w:val="24"/>
          <w14:textFill>
            <w14:solidFill>
              <w14:schemeClr w14:val="tx1"/>
            </w14:solidFill>
          </w14:textFill>
        </w:rPr>
        <w:t>化学计量学软件：使用近红外光谱仪配置的化学计量学软件。至少含 PLS（偏最小二乘法）多元校正算法，具有近红外光谱数据的收集、存储分析和计算功能，</w:t>
      </w:r>
      <w:r>
        <w:rPr>
          <w:rFonts w:hint="eastAsia" w:ascii="宋体" w:hAnsi="宋体" w:eastAsia="宋体" w:cs="宋体"/>
          <w:color w:val="auto"/>
          <w:kern w:val="2"/>
          <w:szCs w:val="24"/>
        </w:rPr>
        <w:t>采用马氏距离判断样品的异常性以保障定标模型预测的可靠性和特异性样品的识别。</w:t>
      </w:r>
    </w:p>
    <w:p w14:paraId="612ED92E">
      <w:pPr>
        <w:pStyle w:val="53"/>
        <w:spacing w:before="240" w:after="24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A.4试剂</w:t>
      </w:r>
    </w:p>
    <w:p w14:paraId="0190D05B">
      <w:pPr>
        <w:pStyle w:val="50"/>
        <w:spacing w:before="120" w:after="120" w:line="360" w:lineRule="auto"/>
        <w:rPr>
          <w:rFonts w:ascii="宋体" w:hAnsi="宋体" w:eastAsia="宋体" w:cs="宋体"/>
          <w:color w:val="000000" w:themeColor="text1"/>
          <w:kern w:val="2"/>
          <w:szCs w:val="24"/>
          <w14:textFill>
            <w14:solidFill>
              <w14:schemeClr w14:val="tx1"/>
            </w14:solidFill>
          </w14:textFill>
        </w:rPr>
      </w:pPr>
      <w:r>
        <w:rPr>
          <w:rFonts w:hint="eastAsia"/>
          <w:color w:val="000000" w:themeColor="text1"/>
          <w14:textFill>
            <w14:solidFill>
              <w14:schemeClr w14:val="tx1"/>
            </w14:solidFill>
          </w14:textFill>
        </w:rPr>
        <w:t>A.4.1样品池冲洗溶剂：</w:t>
      </w:r>
      <w:r>
        <w:rPr>
          <w:rFonts w:hint="eastAsia" w:ascii="宋体" w:hAnsi="宋体" w:eastAsia="宋体" w:cs="宋体"/>
          <w:color w:val="000000" w:themeColor="text1"/>
          <w:kern w:val="2"/>
          <w:szCs w:val="24"/>
          <w14:textFill>
            <w14:solidFill>
              <w14:schemeClr w14:val="tx1"/>
            </w14:solidFill>
          </w14:textFill>
        </w:rPr>
        <w:t>石油醚（60℃～90℃），分析纯。</w:t>
      </w:r>
    </w:p>
    <w:p w14:paraId="2867E634">
      <w:pPr>
        <w:pStyle w:val="53"/>
        <w:spacing w:before="240" w:after="24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A.5定标模型的建立和验证</w:t>
      </w:r>
    </w:p>
    <w:p w14:paraId="788DBFCB">
      <w:pPr>
        <w:pStyle w:val="53"/>
        <w:spacing w:before="240" w:after="24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A.5.1仪器准备</w:t>
      </w:r>
    </w:p>
    <w:p w14:paraId="24C1513A">
      <w:pPr>
        <w:pStyle w:val="50"/>
        <w:spacing w:beforeLines="0" w:afterLines="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A.5.1.1仪器性能检查</w:t>
      </w:r>
    </w:p>
    <w:p w14:paraId="6AA4A98A">
      <w:pPr>
        <w:pStyle w:val="31"/>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每次测定试样光谱之前，应按照仪器操作手册检查仪器性能，确保仪器正常运行。</w:t>
      </w:r>
    </w:p>
    <w:p w14:paraId="3750DDB2">
      <w:pPr>
        <w:pStyle w:val="50"/>
        <w:spacing w:beforeLines="100" w:afterLines="10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A.5.1.2 仪器工作参数设置</w:t>
      </w:r>
    </w:p>
    <w:p w14:paraId="01C50C89">
      <w:pPr>
        <w:pStyle w:val="31"/>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按照仪器操作手册设定仪器参数。测定定标集样品、验证集样品和待测试样的光谱时，仪器参数应一致。</w:t>
      </w:r>
    </w:p>
    <w:p w14:paraId="5EB8F00D">
      <w:pPr>
        <w:pStyle w:val="50"/>
        <w:spacing w:beforeLines="100" w:afterLines="10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A.5.2 定标集样品选择</w:t>
      </w:r>
    </w:p>
    <w:p w14:paraId="4D2B264D">
      <w:pPr>
        <w:pStyle w:val="31"/>
        <w:spacing w:beforeLines="100" w:afterLines="100" w:line="360" w:lineRule="auto"/>
        <w:ind w:firstLine="0" w:firstLineChars="0"/>
        <w:rPr>
          <w:color w:val="000000" w:themeColor="text1"/>
          <w14:textFill>
            <w14:solidFill>
              <w14:schemeClr w14:val="tx1"/>
            </w14:solidFill>
          </w14:textFill>
        </w:rPr>
      </w:pPr>
      <w:r>
        <w:rPr>
          <w:rFonts w:hint="eastAsia" w:ascii="黑体" w:eastAsia="黑体"/>
          <w:color w:val="000000" w:themeColor="text1"/>
          <w:szCs w:val="21"/>
          <w14:textFill>
            <w14:solidFill>
              <w14:schemeClr w14:val="tx1"/>
            </w14:solidFill>
          </w14:textFill>
        </w:rPr>
        <w:t>A.5.2.1  定标集样品用于建立定标模型，应符合下列要求：</w:t>
      </w:r>
    </w:p>
    <w:p w14:paraId="0159C61A">
      <w:pPr>
        <w:pStyle w:val="31"/>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a）定标集样品的化学组成范围应覆盖使用该模型时预测试样遇到的化学组成范围；</w:t>
      </w:r>
    </w:p>
    <w:p w14:paraId="3F174689">
      <w:pPr>
        <w:pStyle w:val="31"/>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b）定标集样品的质量指标范围应覆盖使用该模型预测试样中遇到的质量指标范围；</w:t>
      </w:r>
    </w:p>
    <w:p w14:paraId="080AE7EE">
      <w:pPr>
        <w:pStyle w:val="31"/>
        <w:spacing w:line="360" w:lineRule="auto"/>
        <w:rPr>
          <w:rFonts w:hint="eastAsia" w:eastAsia="宋体"/>
          <w:color w:val="000000" w:themeColor="text1"/>
          <w:szCs w:val="21"/>
          <w:lang w:eastAsia="zh-CN"/>
          <w14:textFill>
            <w14:solidFill>
              <w14:schemeClr w14:val="tx1"/>
            </w14:solidFill>
          </w14:textFill>
        </w:rPr>
      </w:pPr>
      <w:r>
        <w:rPr>
          <w:rFonts w:hint="eastAsia"/>
          <w:color w:val="000000" w:themeColor="text1"/>
          <w14:textFill>
            <w14:solidFill>
              <w14:schemeClr w14:val="tx1"/>
            </w14:solidFill>
          </w14:textFill>
        </w:rPr>
        <w:t>c）定标集样品应具有代表性，应覆盖不同生产企业具有代表性的</w:t>
      </w:r>
      <w:r>
        <w:rPr>
          <w:rFonts w:hint="eastAsia" w:hAnsi="宋体" w:cs="宋体"/>
          <w:color w:val="000000" w:themeColor="text1"/>
          <w:szCs w:val="21"/>
          <w14:textFill>
            <w14:solidFill>
              <w14:schemeClr w14:val="tx1"/>
            </w14:solidFill>
          </w14:textFill>
        </w:rPr>
        <w:t>柴油发动机氮氧化物还原剂 尿素水溶液（AUS32）</w:t>
      </w:r>
      <w:r>
        <w:rPr>
          <w:rFonts w:hint="eastAsia"/>
          <w:color w:val="000000" w:themeColor="text1"/>
          <w14:textFill>
            <w14:solidFill>
              <w14:schemeClr w14:val="tx1"/>
            </w14:solidFill>
          </w14:textFill>
        </w:rPr>
        <w:t>，能够覆盖使用该模型预测样品中遇到的样品特性</w:t>
      </w:r>
      <w:r>
        <w:rPr>
          <w:rFonts w:hint="eastAsia"/>
          <w:color w:val="000000" w:themeColor="text1"/>
          <w:lang w:eastAsia="zh-CN"/>
          <w14:textFill>
            <w14:solidFill>
              <w14:schemeClr w14:val="tx1"/>
            </w14:solidFill>
          </w14:textFill>
        </w:rPr>
        <w:t>；</w:t>
      </w:r>
    </w:p>
    <w:p w14:paraId="688947A1">
      <w:pPr>
        <w:pStyle w:val="31"/>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d）定标集样品质量指标均匀分布；</w:t>
      </w:r>
    </w:p>
    <w:p w14:paraId="08A22532">
      <w:pPr>
        <w:pStyle w:val="31"/>
        <w:spacing w:line="360" w:lineRule="auto"/>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e）定标集样品数目足够多，能统计确定光谱变量与待校正组分浓度与性质之间的关系。定标集样品数目通常不少于6κ（κ为PLS的主因子数）</w:t>
      </w:r>
      <w:r>
        <w:rPr>
          <w:rFonts w:hint="eastAsia"/>
          <w:color w:val="000000" w:themeColor="text1"/>
          <w:szCs w:val="21"/>
          <w:lang w:eastAsia="zh-CN"/>
          <w14:textFill>
            <w14:solidFill>
              <w14:schemeClr w14:val="tx1"/>
            </w14:solidFill>
          </w14:textFill>
        </w:rPr>
        <w:t>。</w:t>
      </w:r>
    </w:p>
    <w:p w14:paraId="1BCD8611">
      <w:pPr>
        <w:pStyle w:val="31"/>
        <w:spacing w:beforeLines="100" w:afterLines="100" w:line="360" w:lineRule="auto"/>
        <w:ind w:firstLine="0" w:firstLineChars="0"/>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A.5.2.2  验证集样品用于验证定标模型的性能，应符合下列要求：</w:t>
      </w:r>
    </w:p>
    <w:p w14:paraId="1C497FEE">
      <w:pPr>
        <w:pStyle w:val="31"/>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a）验证集样品的化学组成范围应覆盖使用该模型时预测试样遇到的化学组成范围；</w:t>
      </w:r>
    </w:p>
    <w:p w14:paraId="17DE8EFB">
      <w:pPr>
        <w:pStyle w:val="31"/>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b）验证集样品的质量指标范围应覆盖使用该模型预测试样中遇到的质量指标范围；</w:t>
      </w:r>
    </w:p>
    <w:p w14:paraId="42D42809">
      <w:pPr>
        <w:pStyle w:val="31"/>
        <w:spacing w:line="360" w:lineRule="auto"/>
        <w:rPr>
          <w:rFonts w:hint="eastAsia" w:eastAsia="宋体"/>
          <w:color w:val="000000" w:themeColor="text1"/>
          <w:szCs w:val="21"/>
          <w:lang w:eastAsia="zh-CN"/>
          <w14:textFill>
            <w14:solidFill>
              <w14:schemeClr w14:val="tx1"/>
            </w14:solidFill>
          </w14:textFill>
        </w:rPr>
      </w:pPr>
      <w:r>
        <w:rPr>
          <w:rFonts w:hint="eastAsia"/>
          <w:color w:val="000000" w:themeColor="text1"/>
          <w14:textFill>
            <w14:solidFill>
              <w14:schemeClr w14:val="tx1"/>
            </w14:solidFill>
          </w14:textFill>
        </w:rPr>
        <w:t>c）验证集样品应具有代表性，应覆盖不同牌号、不同生产企业具有代表性的</w:t>
      </w:r>
      <w:r>
        <w:rPr>
          <w:rFonts w:hint="eastAsia" w:ascii="宋体" w:hAnsi="宋体" w:cs="宋体"/>
          <w:color w:val="000000" w:themeColor="text1"/>
          <w:szCs w:val="21"/>
          <w14:textFill>
            <w14:solidFill>
              <w14:schemeClr w14:val="tx1"/>
            </w14:solidFill>
          </w14:textFill>
        </w:rPr>
        <w:t>柴油发动机氮氧化物还原剂 尿素水溶液（AUS32）</w:t>
      </w:r>
      <w:r>
        <w:rPr>
          <w:rFonts w:hint="eastAsia"/>
          <w:color w:val="000000" w:themeColor="text1"/>
          <w14:textFill>
            <w14:solidFill>
              <w14:schemeClr w14:val="tx1"/>
            </w14:solidFill>
          </w14:textFill>
        </w:rPr>
        <w:t>，能够覆盖使用该模型预测样品中遇到的样品特性</w:t>
      </w:r>
      <w:r>
        <w:rPr>
          <w:rFonts w:hint="eastAsia"/>
          <w:color w:val="000000" w:themeColor="text1"/>
          <w:lang w:eastAsia="zh-CN"/>
          <w14:textFill>
            <w14:solidFill>
              <w14:schemeClr w14:val="tx1"/>
            </w14:solidFill>
          </w14:textFill>
        </w:rPr>
        <w:t>，</w:t>
      </w:r>
    </w:p>
    <w:p w14:paraId="21F1A32F">
      <w:pPr>
        <w:pStyle w:val="31"/>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d）验证集样品数目足够多，能统计确定光谱变量与待校正组分浓度与性质之间的关系。</w:t>
      </w:r>
    </w:p>
    <w:p w14:paraId="5DB18B35">
      <w:pPr>
        <w:pStyle w:val="50"/>
        <w:spacing w:beforeLines="100" w:afterLines="10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A.5.3基准数据测定</w:t>
      </w:r>
    </w:p>
    <w:p w14:paraId="35BD8968">
      <w:pPr>
        <w:spacing w:line="360" w:lineRule="auto"/>
        <w:ind w:left="420"/>
        <w:rPr>
          <w:rFonts w:hint="eastAsia" w:ascii="黑体" w:eastAsia="黑体"/>
          <w:color w:val="000000" w:themeColor="text1"/>
          <w:kern w:val="0"/>
          <w:szCs w:val="21"/>
          <w14:textFill>
            <w14:solidFill>
              <w14:schemeClr w14:val="tx1"/>
            </w14:solidFill>
          </w14:textFill>
        </w:rPr>
      </w:pPr>
      <w:r>
        <w:rPr>
          <w:rFonts w:ascii="宋体" w:hAnsi="宋体"/>
          <w:color w:val="000000" w:themeColor="text1"/>
          <w14:textFill>
            <w14:solidFill>
              <w14:schemeClr w14:val="tx1"/>
            </w14:solidFill>
          </w14:textFill>
        </w:rPr>
        <w:t>按照</w:t>
      </w:r>
      <w:bookmarkStart w:id="9" w:name="_Hlk7350703"/>
      <w:r>
        <w:rPr>
          <w:rFonts w:hint="eastAsia" w:ascii="宋体" w:hAnsi="宋体"/>
          <w:color w:val="000000" w:themeColor="text1"/>
          <w14:textFill>
            <w14:solidFill>
              <w14:schemeClr w14:val="tx1"/>
            </w14:solidFill>
          </w14:textFill>
        </w:rPr>
        <w:t>表1</w:t>
      </w:r>
      <w:bookmarkEnd w:id="9"/>
      <w:r>
        <w:rPr>
          <w:rFonts w:ascii="宋体" w:hAnsi="宋体"/>
          <w:color w:val="000000" w:themeColor="text1"/>
          <w14:textFill>
            <w14:solidFill>
              <w14:schemeClr w14:val="tx1"/>
            </w14:solidFill>
          </w14:textFill>
        </w:rPr>
        <w:t>规定的</w:t>
      </w:r>
      <w:r>
        <w:rPr>
          <w:rFonts w:hint="eastAsia" w:ascii="宋体" w:hAnsi="宋体"/>
          <w:color w:val="000000" w:themeColor="text1"/>
          <w14:textFill>
            <w14:solidFill>
              <w14:schemeClr w14:val="tx1"/>
            </w14:solidFill>
          </w14:textFill>
        </w:rPr>
        <w:t>标准</w:t>
      </w:r>
      <w:r>
        <w:rPr>
          <w:rFonts w:ascii="宋体" w:hAnsi="宋体"/>
          <w:color w:val="000000" w:themeColor="text1"/>
          <w14:textFill>
            <w14:solidFill>
              <w14:schemeClr w14:val="tx1"/>
            </w14:solidFill>
          </w14:textFill>
        </w:rPr>
        <w:t>方法，测定</w:t>
      </w:r>
      <w:r>
        <w:rPr>
          <w:rFonts w:hint="eastAsia" w:ascii="宋体" w:hAnsi="宋体"/>
          <w:color w:val="000000" w:themeColor="text1"/>
          <w14:textFill>
            <w14:solidFill>
              <w14:schemeClr w14:val="tx1"/>
            </w14:solidFill>
          </w14:textFill>
        </w:rPr>
        <w:t>定标样品集</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基准数据</w:t>
      </w:r>
      <w:r>
        <w:rPr>
          <w:rFonts w:ascii="宋体" w:hAnsi="宋体"/>
          <w:color w:val="000000" w:themeColor="text1"/>
          <w14:textFill>
            <w14:solidFill>
              <w14:schemeClr w14:val="tx1"/>
            </w14:solidFill>
          </w14:textFill>
        </w:rPr>
        <w:t>。</w:t>
      </w:r>
    </w:p>
    <w:p w14:paraId="11A01C16">
      <w:pPr>
        <w:spacing w:beforeLines="100" w:afterLines="100" w:line="360" w:lineRule="auto"/>
        <w:ind w:left="420"/>
        <w:jc w:val="center"/>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表1  柴油发动机氮氧化物还原剂 尿素水溶液（AUS32）标准试验方法</w:t>
      </w:r>
    </w:p>
    <w:tbl>
      <w:tblPr>
        <w:tblStyle w:val="40"/>
        <w:tblW w:w="8889" w:type="dxa"/>
        <w:tblInd w:w="11" w:type="dxa"/>
        <w:tblLayout w:type="fixed"/>
        <w:tblCellMar>
          <w:top w:w="0" w:type="dxa"/>
          <w:left w:w="0" w:type="dxa"/>
          <w:bottom w:w="0" w:type="dxa"/>
          <w:right w:w="0" w:type="dxa"/>
        </w:tblCellMar>
      </w:tblPr>
      <w:tblGrid>
        <w:gridCol w:w="4408"/>
        <w:gridCol w:w="4481"/>
      </w:tblGrid>
      <w:tr w14:paraId="65C270E8">
        <w:tblPrEx>
          <w:tblCellMar>
            <w:top w:w="0" w:type="dxa"/>
            <w:left w:w="0" w:type="dxa"/>
            <w:bottom w:w="0" w:type="dxa"/>
            <w:right w:w="0" w:type="dxa"/>
          </w:tblCellMar>
        </w:tblPrEx>
        <w:trPr>
          <w:trHeight w:val="308" w:hRule="exact"/>
        </w:trPr>
        <w:tc>
          <w:tcPr>
            <w:tcW w:w="4408" w:type="dxa"/>
            <w:tcBorders>
              <w:top w:val="single" w:color="auto" w:sz="8" w:space="0"/>
              <w:left w:val="single" w:color="auto" w:sz="8" w:space="0"/>
              <w:bottom w:val="single" w:color="auto" w:sz="4" w:space="0"/>
              <w:right w:val="single" w:color="auto" w:sz="8" w:space="0"/>
            </w:tcBorders>
            <w:shd w:val="clear" w:color="auto" w:fill="auto"/>
            <w:vAlign w:val="bottom"/>
          </w:tcPr>
          <w:p w14:paraId="33407F94">
            <w:pPr>
              <w:jc w:val="center"/>
              <w:rPr>
                <w:rFonts w:ascii="宋体"/>
                <w:color w:val="000000" w:themeColor="text1"/>
                <w:szCs w:val="21"/>
                <w14:textFill>
                  <w14:solidFill>
                    <w14:schemeClr w14:val="tx1"/>
                  </w14:solidFill>
                </w14:textFill>
              </w:rPr>
            </w:pPr>
            <w:r>
              <w:rPr>
                <w:rFonts w:ascii="宋体"/>
                <w:color w:val="000000" w:themeColor="text1"/>
                <w:szCs w:val="21"/>
                <w14:textFill>
                  <w14:solidFill>
                    <w14:schemeClr w14:val="tx1"/>
                  </w14:solidFill>
                </w14:textFill>
              </w:rPr>
              <w:t>项  目</w:t>
            </w:r>
          </w:p>
        </w:tc>
        <w:tc>
          <w:tcPr>
            <w:tcW w:w="4481" w:type="dxa"/>
            <w:tcBorders>
              <w:top w:val="single" w:color="auto" w:sz="8" w:space="0"/>
              <w:bottom w:val="single" w:color="auto" w:sz="4" w:space="0"/>
              <w:right w:val="single" w:color="auto" w:sz="8" w:space="0"/>
            </w:tcBorders>
            <w:shd w:val="clear" w:color="auto" w:fill="auto"/>
            <w:vAlign w:val="bottom"/>
          </w:tcPr>
          <w:p w14:paraId="16FFDE8C">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标准方法</w:t>
            </w:r>
          </w:p>
        </w:tc>
      </w:tr>
      <w:tr w14:paraId="51F43514">
        <w:tblPrEx>
          <w:tblCellMar>
            <w:top w:w="0" w:type="dxa"/>
            <w:left w:w="0" w:type="dxa"/>
            <w:bottom w:w="0" w:type="dxa"/>
            <w:right w:w="0" w:type="dxa"/>
          </w:tblCellMar>
        </w:tblPrEx>
        <w:trPr>
          <w:trHeight w:val="272" w:hRule="exact"/>
        </w:trPr>
        <w:tc>
          <w:tcPr>
            <w:tcW w:w="4408" w:type="dxa"/>
            <w:tcBorders>
              <w:top w:val="single" w:color="auto" w:sz="4" w:space="0"/>
              <w:left w:val="single" w:color="auto" w:sz="8" w:space="0"/>
              <w:bottom w:val="single" w:color="auto" w:sz="8" w:space="0"/>
              <w:right w:val="single" w:color="auto" w:sz="8" w:space="0"/>
            </w:tcBorders>
            <w:shd w:val="clear" w:color="auto" w:fill="auto"/>
            <w:vAlign w:val="center"/>
          </w:tcPr>
          <w:p w14:paraId="0581BA35">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尿素含量（质量分数）</w:t>
            </w:r>
          </w:p>
        </w:tc>
        <w:tc>
          <w:tcPr>
            <w:tcW w:w="4481" w:type="dxa"/>
            <w:tcBorders>
              <w:top w:val="single" w:color="auto" w:sz="4" w:space="0"/>
              <w:bottom w:val="single" w:color="auto" w:sz="8" w:space="0"/>
              <w:right w:val="single" w:color="auto" w:sz="8" w:space="0"/>
            </w:tcBorders>
            <w:shd w:val="clear" w:color="auto" w:fill="auto"/>
            <w:vAlign w:val="bottom"/>
          </w:tcPr>
          <w:p w14:paraId="2B9E6680">
            <w:pPr>
              <w:spacing w:line="360" w:lineRule="auto"/>
              <w:ind w:firstLine="105" w:firstLine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29518附录A</w:t>
            </w:r>
          </w:p>
        </w:tc>
      </w:tr>
      <w:tr w14:paraId="79FF0635">
        <w:tblPrEx>
          <w:tblCellMar>
            <w:top w:w="0" w:type="dxa"/>
            <w:left w:w="0" w:type="dxa"/>
            <w:bottom w:w="0" w:type="dxa"/>
            <w:right w:w="0" w:type="dxa"/>
          </w:tblCellMar>
        </w:tblPrEx>
        <w:trPr>
          <w:trHeight w:val="391" w:hRule="exact"/>
        </w:trPr>
        <w:tc>
          <w:tcPr>
            <w:tcW w:w="4408" w:type="dxa"/>
            <w:tcBorders>
              <w:left w:val="single" w:color="auto" w:sz="8" w:space="0"/>
              <w:bottom w:val="single" w:color="auto" w:sz="8" w:space="0"/>
              <w:right w:val="single" w:color="auto" w:sz="8" w:space="0"/>
            </w:tcBorders>
            <w:shd w:val="clear" w:color="auto" w:fill="auto"/>
            <w:vAlign w:val="center"/>
          </w:tcPr>
          <w:p w14:paraId="2C5B303D">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密度 (20℃)</w:t>
            </w:r>
          </w:p>
        </w:tc>
        <w:tc>
          <w:tcPr>
            <w:tcW w:w="4481" w:type="dxa"/>
            <w:tcBorders>
              <w:bottom w:val="single" w:color="auto" w:sz="8" w:space="0"/>
              <w:right w:val="single" w:color="auto" w:sz="8" w:space="0"/>
            </w:tcBorders>
            <w:shd w:val="clear" w:color="auto" w:fill="auto"/>
            <w:vAlign w:val="bottom"/>
          </w:tcPr>
          <w:p w14:paraId="7D2DDA3E">
            <w:pPr>
              <w:spacing w:line="360" w:lineRule="auto"/>
              <w:ind w:firstLine="105" w:firstLine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SH/T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0604、GB/T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1884、GB/T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1885</w:t>
            </w:r>
          </w:p>
        </w:tc>
      </w:tr>
      <w:tr w14:paraId="2B44F941">
        <w:tblPrEx>
          <w:tblCellMar>
            <w:top w:w="0" w:type="dxa"/>
            <w:left w:w="0" w:type="dxa"/>
            <w:bottom w:w="0" w:type="dxa"/>
            <w:right w:w="0" w:type="dxa"/>
          </w:tblCellMar>
        </w:tblPrEx>
        <w:trPr>
          <w:trHeight w:val="301" w:hRule="exact"/>
        </w:trPr>
        <w:tc>
          <w:tcPr>
            <w:tcW w:w="4408" w:type="dxa"/>
            <w:tcBorders>
              <w:left w:val="single" w:color="auto" w:sz="8" w:space="0"/>
              <w:bottom w:val="single" w:color="auto" w:sz="8" w:space="0"/>
              <w:right w:val="single" w:color="auto" w:sz="8" w:space="0"/>
            </w:tcBorders>
            <w:shd w:val="clear" w:color="auto" w:fill="auto"/>
            <w:vAlign w:val="center"/>
          </w:tcPr>
          <w:p w14:paraId="487515EA">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折光率</w:t>
            </w:r>
          </w:p>
        </w:tc>
        <w:tc>
          <w:tcPr>
            <w:tcW w:w="4481" w:type="dxa"/>
            <w:tcBorders>
              <w:bottom w:val="single" w:color="auto" w:sz="8" w:space="0"/>
              <w:right w:val="single" w:color="auto" w:sz="8" w:space="0"/>
            </w:tcBorders>
            <w:shd w:val="clear" w:color="auto" w:fill="auto"/>
            <w:vAlign w:val="bottom"/>
          </w:tcPr>
          <w:p w14:paraId="7536EA86">
            <w:pPr>
              <w:spacing w:line="360" w:lineRule="auto"/>
              <w:ind w:firstLine="105" w:firstLine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614</w:t>
            </w:r>
          </w:p>
        </w:tc>
      </w:tr>
      <w:tr w14:paraId="36D1F1BD">
        <w:tblPrEx>
          <w:tblCellMar>
            <w:top w:w="0" w:type="dxa"/>
            <w:left w:w="0" w:type="dxa"/>
            <w:bottom w:w="0" w:type="dxa"/>
            <w:right w:w="0" w:type="dxa"/>
          </w:tblCellMar>
        </w:tblPrEx>
        <w:trPr>
          <w:trHeight w:val="318" w:hRule="exact"/>
        </w:trPr>
        <w:tc>
          <w:tcPr>
            <w:tcW w:w="4408" w:type="dxa"/>
            <w:tcBorders>
              <w:left w:val="single" w:color="auto" w:sz="8" w:space="0"/>
              <w:bottom w:val="single" w:color="auto" w:sz="8" w:space="0"/>
              <w:right w:val="single" w:color="auto" w:sz="8" w:space="0"/>
            </w:tcBorders>
            <w:shd w:val="clear" w:color="auto" w:fill="auto"/>
            <w:vAlign w:val="center"/>
          </w:tcPr>
          <w:p w14:paraId="2B94452B">
            <w:pP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碱度（以NH3计）（质量分数）</w:t>
            </w:r>
            <w:r>
              <w:rPr>
                <w:rFonts w:hint="eastAsia"/>
                <w:color w:val="000000" w:themeColor="text1"/>
                <w:szCs w:val="21"/>
                <w14:textFill>
                  <w14:solidFill>
                    <w14:schemeClr w14:val="tx1"/>
                  </w14:solidFill>
                </w14:textFill>
              </w:rPr>
              <w:t xml:space="preserve"> </w:t>
            </w:r>
          </w:p>
        </w:tc>
        <w:tc>
          <w:tcPr>
            <w:tcW w:w="4481" w:type="dxa"/>
            <w:tcBorders>
              <w:bottom w:val="single" w:color="auto" w:sz="8" w:space="0"/>
              <w:right w:val="single" w:color="auto" w:sz="8" w:space="0"/>
            </w:tcBorders>
            <w:shd w:val="clear" w:color="auto" w:fill="auto"/>
            <w:vAlign w:val="bottom"/>
          </w:tcPr>
          <w:p w14:paraId="63836F6A">
            <w:pPr>
              <w:spacing w:line="360" w:lineRule="auto"/>
              <w:ind w:left="105" w:left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29518附录B</w:t>
            </w:r>
          </w:p>
        </w:tc>
      </w:tr>
      <w:tr w14:paraId="70FDF4B6">
        <w:tblPrEx>
          <w:tblCellMar>
            <w:top w:w="0" w:type="dxa"/>
            <w:left w:w="0" w:type="dxa"/>
            <w:bottom w:w="0" w:type="dxa"/>
            <w:right w:w="0" w:type="dxa"/>
          </w:tblCellMar>
        </w:tblPrEx>
        <w:trPr>
          <w:trHeight w:val="318" w:hRule="exact"/>
        </w:trPr>
        <w:tc>
          <w:tcPr>
            <w:tcW w:w="4408" w:type="dxa"/>
            <w:tcBorders>
              <w:left w:val="single" w:color="auto" w:sz="8" w:space="0"/>
              <w:bottom w:val="single" w:color="auto" w:sz="8" w:space="0"/>
              <w:right w:val="single" w:color="auto" w:sz="8" w:space="0"/>
            </w:tcBorders>
            <w:shd w:val="clear" w:color="auto" w:fill="auto"/>
            <w:vAlign w:val="center"/>
          </w:tcPr>
          <w:p w14:paraId="67952DD2">
            <w:pP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 xml:space="preserve">缩二脲（质量分数）  </w:t>
            </w:r>
            <w:r>
              <w:rPr>
                <w:rFonts w:ascii="宋体"/>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rFonts w:hint="eastAsia" w:ascii="宋体"/>
                <w:color w:val="000000" w:themeColor="text1"/>
                <w:szCs w:val="21"/>
                <w14:textFill>
                  <w14:solidFill>
                    <w14:schemeClr w14:val="tx1"/>
                  </w14:solidFill>
                </w14:textFill>
              </w:rPr>
              <w:t xml:space="preserve"> </w:t>
            </w:r>
          </w:p>
        </w:tc>
        <w:tc>
          <w:tcPr>
            <w:tcW w:w="4481" w:type="dxa"/>
            <w:tcBorders>
              <w:bottom w:val="single" w:color="auto" w:sz="8" w:space="0"/>
              <w:right w:val="single" w:color="auto" w:sz="8" w:space="0"/>
            </w:tcBorders>
            <w:shd w:val="clear" w:color="auto" w:fill="auto"/>
            <w:vAlign w:val="center"/>
          </w:tcPr>
          <w:p w14:paraId="2152F4C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29518附录C</w:t>
            </w:r>
          </w:p>
        </w:tc>
      </w:tr>
      <w:tr w14:paraId="6756C676">
        <w:tblPrEx>
          <w:tblCellMar>
            <w:top w:w="0" w:type="dxa"/>
            <w:left w:w="0" w:type="dxa"/>
            <w:bottom w:w="0" w:type="dxa"/>
            <w:right w:w="0" w:type="dxa"/>
          </w:tblCellMar>
        </w:tblPrEx>
        <w:trPr>
          <w:trHeight w:val="391" w:hRule="exact"/>
        </w:trPr>
        <w:tc>
          <w:tcPr>
            <w:tcW w:w="4408" w:type="dxa"/>
            <w:tcBorders>
              <w:left w:val="single" w:color="auto" w:sz="8" w:space="0"/>
              <w:bottom w:val="single" w:color="auto" w:sz="8" w:space="0"/>
              <w:right w:val="single" w:color="auto" w:sz="8" w:space="0"/>
            </w:tcBorders>
            <w:shd w:val="clear" w:color="auto" w:fill="auto"/>
            <w:vAlign w:val="center"/>
          </w:tcPr>
          <w:p w14:paraId="1FFABF8E">
            <w:pP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 xml:space="preserve">醛类（以HCHO计）      </w:t>
            </w:r>
            <w:r>
              <w:rPr>
                <w:rFonts w:ascii="宋体"/>
                <w:color w:val="000000" w:themeColor="text1"/>
                <w:szCs w:val="21"/>
                <w14:textFill>
                  <w14:solidFill>
                    <w14:schemeClr w14:val="tx1"/>
                  </w14:solidFill>
                </w14:textFill>
              </w:rPr>
              <w:t xml:space="preserve"> </w:t>
            </w:r>
          </w:p>
        </w:tc>
        <w:tc>
          <w:tcPr>
            <w:tcW w:w="4481" w:type="dxa"/>
            <w:tcBorders>
              <w:bottom w:val="single" w:color="auto" w:sz="8" w:space="0"/>
              <w:right w:val="single" w:color="auto" w:sz="8" w:space="0"/>
            </w:tcBorders>
            <w:shd w:val="clear" w:color="auto" w:fill="auto"/>
            <w:vAlign w:val="center"/>
          </w:tcPr>
          <w:p w14:paraId="3E4EDBF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29518附录D</w:t>
            </w:r>
          </w:p>
        </w:tc>
      </w:tr>
    </w:tbl>
    <w:p w14:paraId="75DD239E">
      <w:pPr>
        <w:spacing w:line="360" w:lineRule="auto"/>
        <w:ind w:left="420"/>
        <w:jc w:val="center"/>
        <w:rPr>
          <w:rFonts w:ascii="宋体" w:hAnsi="宋体"/>
          <w:color w:val="000000" w:themeColor="text1"/>
          <w14:textFill>
            <w14:solidFill>
              <w14:schemeClr w14:val="tx1"/>
            </w14:solidFill>
          </w14:textFill>
        </w:rPr>
      </w:pPr>
    </w:p>
    <w:p w14:paraId="5A992DFD">
      <w:pPr>
        <w:pStyle w:val="50"/>
        <w:spacing w:beforeLines="100" w:afterLines="10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A.5.4  光谱采集</w:t>
      </w:r>
    </w:p>
    <w:p w14:paraId="3E4FD4A5">
      <w:pPr>
        <w:pStyle w:val="31"/>
        <w:spacing w:line="360" w:lineRule="auto"/>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以空气为参比，采集背景光谱。样品摇匀后，移取样品置入样品池中，样品注入量满足样品池要求，并确保光度有效通过样品池且无气泡存在，测量样品光谱。</w:t>
      </w:r>
    </w:p>
    <w:p w14:paraId="1BAAF8D6">
      <w:pPr>
        <w:pStyle w:val="50"/>
        <w:spacing w:beforeLines="100" w:afterLines="10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A.5.5 基准数据测定</w:t>
      </w:r>
    </w:p>
    <w:p w14:paraId="288226FB">
      <w:pPr>
        <w:pStyle w:val="31"/>
        <w:spacing w:line="360" w:lineRule="auto"/>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按照</w:t>
      </w:r>
      <w:r>
        <w:rPr>
          <w:rFonts w:hint="eastAsia" w:hAnsi="宋体"/>
          <w:color w:val="000000" w:themeColor="text1"/>
          <w:lang w:val="en-US" w:eastAsia="zh-CN"/>
          <w14:textFill>
            <w14:solidFill>
              <w14:schemeClr w14:val="tx1"/>
            </w14:solidFill>
          </w14:textFill>
        </w:rPr>
        <w:t>柴油发动机氮氧化合物还原剂 尿素水溶液（AUS）产</w:t>
      </w:r>
      <w:r>
        <w:rPr>
          <w:rFonts w:hint="eastAsia" w:hAnsi="宋体"/>
          <w:color w:val="000000" w:themeColor="text1"/>
          <w14:textFill>
            <w14:solidFill>
              <w14:schemeClr w14:val="tx1"/>
            </w14:solidFill>
          </w14:textFill>
        </w:rPr>
        <w:t>品标准规定的试验方法，测定</w:t>
      </w:r>
      <w:r>
        <w:rPr>
          <w:rFonts w:hint="eastAsia" w:ascii="宋体" w:hAnsi="宋体" w:cs="宋体"/>
          <w:color w:val="000000" w:themeColor="text1"/>
          <w:szCs w:val="21"/>
          <w14:textFill>
            <w14:solidFill>
              <w14:schemeClr w14:val="tx1"/>
            </w14:solidFill>
          </w14:textFill>
        </w:rPr>
        <w:t>柴油发动机氮氧化物还原剂 尿素水溶液（AUS32）</w:t>
      </w:r>
      <w:r>
        <w:rPr>
          <w:rFonts w:hint="eastAsia" w:hAnsi="宋体"/>
          <w:color w:val="000000" w:themeColor="text1"/>
          <w14:textFill>
            <w14:solidFill>
              <w14:schemeClr w14:val="tx1"/>
            </w14:solidFill>
          </w14:textFill>
        </w:rPr>
        <w:t>定标集和验证集样品的各项质量指标。</w:t>
      </w:r>
    </w:p>
    <w:p w14:paraId="50E059CB">
      <w:pPr>
        <w:pStyle w:val="50"/>
        <w:spacing w:beforeLines="100" w:afterLines="10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A.5.6  定标模型建立</w:t>
      </w:r>
    </w:p>
    <w:p w14:paraId="7B1FD5C3">
      <w:pPr>
        <w:pStyle w:val="31"/>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利用化学计量学软件，以偏最小二乘法（PLS）建立各项质量指标与光谱数据关系的定标模型，应符合GB/T 29858要求。用</w:t>
      </w:r>
      <w:r>
        <w:rPr>
          <w:rFonts w:hint="eastAsia"/>
          <w:color w:val="auto"/>
        </w:rPr>
        <w:t>定标集的统计偏差（SEC）评价定标模型的准确性，以SEC是否</w:t>
      </w:r>
      <w:r>
        <w:rPr>
          <w:rFonts w:hint="eastAsia"/>
          <w:color w:val="000000" w:themeColor="text1"/>
          <w14:textFill>
            <w14:solidFill>
              <w14:schemeClr w14:val="tx1"/>
            </w14:solidFill>
          </w14:textFill>
        </w:rPr>
        <w:t>满足基准标准的再现性进行评价,计算公式见式（1）。</w:t>
      </w:r>
    </w:p>
    <w:p w14:paraId="1A282D31">
      <w:pPr>
        <w:pStyle w:val="31"/>
        <w:spacing w:line="360" w:lineRule="auto"/>
        <w:ind w:left="510" w:firstLine="0" w:firstLineChars="0"/>
        <w:jc w:val="lef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position w:val="-26"/>
          <w14:textFill>
            <w14:solidFill>
              <w14:schemeClr w14:val="tx1"/>
            </w14:solidFill>
          </w14:textFill>
        </w:rPr>
        <w:object>
          <v:shape id="_x0000_i1025" o:spt="75" type="#_x0000_t75" style="height:54pt;width:111.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color w:val="000000" w:themeColor="text1"/>
          <w14:textFill>
            <w14:solidFill>
              <w14:schemeClr w14:val="tx1"/>
            </w14:solidFill>
          </w14:textFill>
        </w:rPr>
        <w:tab/>
      </w:r>
      <w:r>
        <w:rPr>
          <w:rFonts w:hint="eastAsia"/>
          <w:color w:val="000000" w:themeColor="text1"/>
          <w14:textFill>
            <w14:solidFill>
              <w14:schemeClr w14:val="tx1"/>
            </w14:solidFill>
          </w14:textFill>
        </w:rPr>
        <w:t>(1)</w:t>
      </w:r>
    </w:p>
    <w:p w14:paraId="0B5CF4E0">
      <w:pPr>
        <w:pStyle w:val="31"/>
        <w:spacing w:line="360" w:lineRule="auto"/>
        <w:ind w:left="51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式中：</w:t>
      </w:r>
    </w:p>
    <w:p w14:paraId="7156FB89">
      <w:pPr>
        <w:pStyle w:val="31"/>
        <w:adjustRightInd w:val="0"/>
        <w:snapToGrid w:val="0"/>
        <w:spacing w:line="360" w:lineRule="auto"/>
        <w:ind w:left="510" w:firstLine="0" w:firstLineChars="0"/>
        <w:rPr>
          <w:color w:val="000000" w:themeColor="text1"/>
          <w14:textFill>
            <w14:solidFill>
              <w14:schemeClr w14:val="tx1"/>
            </w14:solidFill>
          </w14:textFill>
        </w:rPr>
      </w:pPr>
      <w:r>
        <w:rPr>
          <w:color w:val="000000" w:themeColor="text1"/>
          <w:position w:val="-12"/>
          <w:szCs w:val="24"/>
          <w14:textFill>
            <w14:solidFill>
              <w14:schemeClr w14:val="tx1"/>
            </w14:solidFill>
          </w14:textFill>
        </w:rPr>
        <w:object>
          <v:shape id="_x0000_i1026" o:spt="75" type="#_x0000_t75" style="height:18pt;width:12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color w:val="000000" w:themeColor="text1"/>
          <w14:textFill>
            <w14:solidFill>
              <w14:schemeClr w14:val="tx1"/>
            </w14:solidFill>
          </w14:textFill>
        </w:rPr>
        <w:t>—</w:t>
      </w:r>
      <w:r>
        <w:rPr>
          <w:rFonts w:hint="eastAsia"/>
          <w:color w:val="000000" w:themeColor="text1"/>
          <w:szCs w:val="24"/>
          <w14:textFill>
            <w14:solidFill>
              <w14:schemeClr w14:val="tx1"/>
            </w14:solidFill>
          </w14:textFill>
        </w:rPr>
        <w:t>定标样品</w:t>
      </w:r>
      <w:r>
        <w:rPr>
          <w:color w:val="000000" w:themeColor="text1"/>
          <w:szCs w:val="24"/>
          <w14:textFill>
            <w14:solidFill>
              <w14:schemeClr w14:val="tx1"/>
            </w14:solidFill>
          </w14:textFill>
        </w:rPr>
        <w:t>集第</w:t>
      </w:r>
      <w:r>
        <w:rPr>
          <w:rFonts w:hint="eastAsia"/>
          <w:i/>
          <w:color w:val="000000" w:themeColor="text1"/>
          <w:szCs w:val="24"/>
          <w14:textFill>
            <w14:solidFill>
              <w14:schemeClr w14:val="tx1"/>
            </w14:solidFill>
          </w14:textFill>
        </w:rPr>
        <w:t>i</w:t>
      </w:r>
      <w:r>
        <w:rPr>
          <w:color w:val="000000" w:themeColor="text1"/>
          <w:szCs w:val="24"/>
          <w14:textFill>
            <w14:solidFill>
              <w14:schemeClr w14:val="tx1"/>
            </w14:solidFill>
          </w14:textFill>
        </w:rPr>
        <w:t>个样品</w:t>
      </w:r>
      <w:r>
        <w:rPr>
          <w:rFonts w:hint="eastAsia"/>
          <w:color w:val="000000" w:themeColor="text1"/>
          <w14:textFill>
            <w14:solidFill>
              <w14:schemeClr w14:val="tx1"/>
            </w14:solidFill>
          </w14:textFill>
        </w:rPr>
        <w:t>标准方法测定值；</w:t>
      </w:r>
    </w:p>
    <w:p w14:paraId="5CE9C6EA">
      <w:pPr>
        <w:pStyle w:val="31"/>
        <w:adjustRightInd w:val="0"/>
        <w:snapToGrid w:val="0"/>
        <w:spacing w:line="360" w:lineRule="auto"/>
        <w:ind w:left="510" w:firstLine="0" w:firstLineChars="0"/>
        <w:rPr>
          <w:color w:val="000000" w:themeColor="text1"/>
          <w:szCs w:val="24"/>
          <w14:textFill>
            <w14:solidFill>
              <w14:schemeClr w14:val="tx1"/>
            </w14:solidFill>
          </w14:textFill>
        </w:rPr>
      </w:pPr>
      <w:r>
        <w:rPr>
          <w:color w:val="000000" w:themeColor="text1"/>
          <w:position w:val="-14"/>
          <w:szCs w:val="24"/>
          <w14:textFill>
            <w14:solidFill>
              <w14:schemeClr w14:val="tx1"/>
            </w14:solidFill>
          </w14:textFill>
        </w:rPr>
        <w:object>
          <v:shape id="_x0000_i1027" o:spt="75" type="#_x0000_t75" style="height:18pt;width:18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color w:val="000000" w:themeColor="text1"/>
          <w14:textFill>
            <w14:solidFill>
              <w14:schemeClr w14:val="tx1"/>
            </w14:solidFill>
          </w14:textFill>
        </w:rPr>
        <w:t>—</w:t>
      </w:r>
      <w:r>
        <w:rPr>
          <w:rFonts w:hint="eastAsia"/>
          <w:color w:val="000000" w:themeColor="text1"/>
          <w:szCs w:val="24"/>
          <w14:textFill>
            <w14:solidFill>
              <w14:schemeClr w14:val="tx1"/>
            </w14:solidFill>
          </w14:textFill>
        </w:rPr>
        <w:t>定标样品</w:t>
      </w:r>
      <w:r>
        <w:rPr>
          <w:color w:val="000000" w:themeColor="text1"/>
          <w:szCs w:val="24"/>
          <w14:textFill>
            <w14:solidFill>
              <w14:schemeClr w14:val="tx1"/>
            </w14:solidFill>
          </w14:textFill>
        </w:rPr>
        <w:t>集第</w:t>
      </w:r>
      <w:r>
        <w:rPr>
          <w:rFonts w:hint="eastAsia"/>
          <w:i/>
          <w:color w:val="000000" w:themeColor="text1"/>
          <w:szCs w:val="24"/>
          <w14:textFill>
            <w14:solidFill>
              <w14:schemeClr w14:val="tx1"/>
            </w14:solidFill>
          </w14:textFill>
        </w:rPr>
        <w:t>i</w:t>
      </w:r>
      <w:r>
        <w:rPr>
          <w:color w:val="000000" w:themeColor="text1"/>
          <w:szCs w:val="24"/>
          <w14:textFill>
            <w14:solidFill>
              <w14:schemeClr w14:val="tx1"/>
            </w14:solidFill>
          </w14:textFill>
        </w:rPr>
        <w:t>个样品</w:t>
      </w:r>
      <w:r>
        <w:rPr>
          <w:rFonts w:hint="eastAsia"/>
          <w:color w:val="000000" w:themeColor="text1"/>
          <w:szCs w:val="24"/>
          <w14:textFill>
            <w14:solidFill>
              <w14:schemeClr w14:val="tx1"/>
            </w14:solidFill>
          </w14:textFill>
        </w:rPr>
        <w:t>的</w:t>
      </w:r>
      <w:r>
        <w:rPr>
          <w:color w:val="000000" w:themeColor="text1"/>
          <w:szCs w:val="24"/>
          <w14:textFill>
            <w14:solidFill>
              <w14:schemeClr w14:val="tx1"/>
            </w14:solidFill>
          </w14:textFill>
        </w:rPr>
        <w:t>指标预测值</w:t>
      </w:r>
      <w:r>
        <w:rPr>
          <w:rFonts w:hint="eastAsia"/>
          <w:color w:val="000000" w:themeColor="text1"/>
          <w:szCs w:val="24"/>
          <w14:textFill>
            <w14:solidFill>
              <w14:schemeClr w14:val="tx1"/>
            </w14:solidFill>
          </w14:textFill>
        </w:rPr>
        <w:t>；</w:t>
      </w:r>
    </w:p>
    <w:p w14:paraId="798D7F81">
      <w:pPr>
        <w:pStyle w:val="31"/>
        <w:adjustRightInd w:val="0"/>
        <w:snapToGrid w:val="0"/>
        <w:spacing w:line="360" w:lineRule="auto"/>
        <w:ind w:left="51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n—定标样品数目。</w:t>
      </w:r>
    </w:p>
    <w:p w14:paraId="46EE671A">
      <w:pPr>
        <w:pStyle w:val="31"/>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在定标模型建立过程中需要检测并删除界外点（异常值）。根据F/T 分布，计算检验值，进行异常样本的识别与筛除，异常值不得超过定标样品集的10%。</w:t>
      </w:r>
    </w:p>
    <w:p w14:paraId="0FC67232">
      <w:pPr>
        <w:pStyle w:val="50"/>
        <w:spacing w:beforeLines="100" w:afterLines="100" w:line="360" w:lineRule="auto"/>
        <w:rPr>
          <w:rFonts w:ascii="宋体" w:hAnsi="宋体"/>
          <w:color w:val="000000" w:themeColor="text1"/>
          <w14:textFill>
            <w14:solidFill>
              <w14:schemeClr w14:val="tx1"/>
            </w14:solidFill>
          </w14:textFill>
        </w:rPr>
      </w:pPr>
      <w:r>
        <w:rPr>
          <w:rFonts w:hint="eastAsia" w:hAnsi="黑体"/>
          <w:color w:val="000000" w:themeColor="text1"/>
          <w14:textFill>
            <w14:solidFill>
              <w14:schemeClr w14:val="tx1"/>
            </w14:solidFill>
          </w14:textFill>
        </w:rPr>
        <w:t>A.5.7 定标模型验</w:t>
      </w:r>
      <w:r>
        <w:rPr>
          <w:rFonts w:hint="eastAsia" w:ascii="宋体" w:hAnsi="宋体"/>
          <w:color w:val="000000" w:themeColor="text1"/>
          <w14:textFill>
            <w14:solidFill>
              <w14:schemeClr w14:val="tx1"/>
            </w14:solidFill>
          </w14:textFill>
        </w:rPr>
        <w:t>证</w:t>
      </w:r>
    </w:p>
    <w:p w14:paraId="63155C20">
      <w:pPr>
        <w:pStyle w:val="31"/>
        <w:spacing w:line="360" w:lineRule="auto"/>
        <w:ind w:firstLineChars="0"/>
        <w:rPr>
          <w:b/>
          <w:color w:val="000000" w:themeColor="text1"/>
          <w14:textFill>
            <w14:solidFill>
              <w14:schemeClr w14:val="tx1"/>
            </w14:solidFill>
          </w14:textFill>
        </w:rPr>
      </w:pPr>
      <w:r>
        <w:rPr>
          <w:rFonts w:hint="eastAsia"/>
          <w:color w:val="000000" w:themeColor="text1"/>
          <w14:textFill>
            <w14:solidFill>
              <w14:schemeClr w14:val="tx1"/>
            </w14:solidFill>
          </w14:textFill>
        </w:rPr>
        <w:t>通过验证集样品的吸收光谱数据，利用定标集样品所建立的校正模型，测定验证集样品的各项质量指标，并与基准数据进行比较，验证定标模型的分析准确度。近红外光谱法与标准方法的测定结果之差应满足表2准确性要求。</w:t>
      </w:r>
    </w:p>
    <w:p w14:paraId="12857B20">
      <w:pPr>
        <w:pStyle w:val="50"/>
        <w:spacing w:beforeLines="100" w:afterLines="10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A.5.8 定标模型维护</w:t>
      </w:r>
    </w:p>
    <w:p w14:paraId="0EE059E8">
      <w:pPr>
        <w:pStyle w:val="31"/>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定标模型应进行定期升级维护，根据待分析样品变化情况及时更新定标模型样品集，可将原来定标模型的验证光谱用于更新定标模型验证，建议每半年一次。</w:t>
      </w:r>
    </w:p>
    <w:p w14:paraId="13169CFA">
      <w:pPr>
        <w:pStyle w:val="31"/>
        <w:spacing w:beforeLines="100" w:afterLines="100" w:line="360" w:lineRule="auto"/>
        <w:ind w:firstLine="0" w:firstLineChars="0"/>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A.6 样品测定</w:t>
      </w:r>
    </w:p>
    <w:p w14:paraId="213372EB">
      <w:pPr>
        <w:pStyle w:val="50"/>
        <w:spacing w:beforeLines="0" w:afterLines="0" w:line="360" w:lineRule="auto"/>
        <w:rPr>
          <w:rFonts w:hint="eastAsia" w:asciiTheme="minorEastAsia" w:hAnsiTheme="minor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 xml:space="preserve">A.6.1 </w:t>
      </w:r>
      <w:r>
        <w:rPr>
          <w:rFonts w:hint="eastAsia" w:asciiTheme="minorEastAsia" w:hAnsiTheme="minorEastAsia" w:eastAsiaTheme="minorEastAsia"/>
          <w:color w:val="000000" w:themeColor="text1"/>
          <w14:textFill>
            <w14:solidFill>
              <w14:schemeClr w14:val="tx1"/>
            </w14:solidFill>
          </w14:textFill>
        </w:rPr>
        <w:t>样品分析前应在室温23℃±5℃下恒定</w:t>
      </w:r>
      <w:r>
        <w:rPr>
          <w:rFonts w:hint="eastAsia" w:asciiTheme="minorEastAsia" w:hAnsiTheme="minorEastAsia" w:eastAsiaTheme="minorEastAsia"/>
          <w:color w:val="000000" w:themeColor="text1"/>
          <w:lang w:eastAsia="zh-CN"/>
          <w14:textFill>
            <w14:solidFill>
              <w14:schemeClr w14:val="tx1"/>
            </w14:solidFill>
          </w14:textFill>
        </w:rPr>
        <w:t>。</w:t>
      </w:r>
    </w:p>
    <w:p w14:paraId="2FBBAD5C">
      <w:pPr>
        <w:pStyle w:val="50"/>
        <w:spacing w:beforeLines="0" w:afterLines="0" w:line="360" w:lineRule="auto"/>
        <w:rPr>
          <w:rFonts w:asciiTheme="minorEastAsia" w:hAnsiTheme="minorEastAsia"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A.6.2 </w:t>
      </w:r>
      <w:r>
        <w:rPr>
          <w:rFonts w:hint="eastAsia" w:asciiTheme="minorEastAsia" w:hAnsiTheme="minorEastAsia" w:eastAsiaTheme="minorEastAsia"/>
          <w:color w:val="000000" w:themeColor="text1"/>
          <w14:textFill>
            <w14:solidFill>
              <w14:schemeClr w14:val="tx1"/>
            </w14:solidFill>
          </w14:textFill>
        </w:rPr>
        <w:t>测量待测样品的近红外光谱，利用相应的定标模型分析待测样品的近红外光谱，即可得出各质量指标的分析数据和置信度值。</w:t>
      </w:r>
    </w:p>
    <w:p w14:paraId="6599A552">
      <w:pPr>
        <w:pStyle w:val="50"/>
        <w:spacing w:beforeLines="0" w:afterLines="0" w:line="360" w:lineRule="auto"/>
        <w:rPr>
          <w:rFonts w:asciiTheme="minorEastAsia" w:hAnsiTheme="minorEastAsia" w:eastAsiaTheme="minor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A.6.3 </w:t>
      </w:r>
      <w:r>
        <w:rPr>
          <w:rFonts w:hint="eastAsia" w:asciiTheme="minorEastAsia" w:hAnsiTheme="minorEastAsia" w:eastAsiaTheme="minorEastAsia"/>
          <w:color w:val="000000" w:themeColor="text1"/>
          <w14:textFill>
            <w14:solidFill>
              <w14:schemeClr w14:val="tx1"/>
            </w14:solidFill>
          </w14:textFill>
        </w:rPr>
        <w:t>每个样品平行测定两次，并计算平均值。</w:t>
      </w:r>
    </w:p>
    <w:p w14:paraId="0A844F2B">
      <w:pPr>
        <w:pStyle w:val="53"/>
        <w:spacing w:before="240" w:after="240" w:line="360" w:lineRule="auto"/>
        <w:rPr>
          <w:color w:val="000000" w:themeColor="text1"/>
          <w14:textFill>
            <w14:solidFill>
              <w14:schemeClr w14:val="tx1"/>
            </w14:solidFill>
          </w14:textFill>
        </w:rPr>
      </w:pPr>
      <w:bookmarkStart w:id="13" w:name="_GoBack"/>
      <w:bookmarkEnd w:id="13"/>
      <w:r>
        <w:rPr>
          <w:rFonts w:hint="eastAsia"/>
          <w:color w:val="000000" w:themeColor="text1"/>
          <w14:textFill>
            <w14:solidFill>
              <w14:schemeClr w14:val="tx1"/>
            </w14:solidFill>
          </w14:textFill>
        </w:rPr>
        <w:t>A.7 结果报告</w:t>
      </w:r>
    </w:p>
    <w:p w14:paraId="17E538B9">
      <w:pPr>
        <w:pStyle w:val="50"/>
        <w:spacing w:beforeLines="0" w:afterLines="0" w:line="360" w:lineRule="auto"/>
        <w:ind w:left="142"/>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A.7.1样品检测结果置信度值不小于8</w:t>
      </w:r>
      <w:r>
        <w:rPr>
          <w:rFonts w:asciiTheme="minorEastAsia" w:hAnsiTheme="minorEastAsia" w:eastAsiaTheme="minorEastAsia"/>
          <w:color w:val="000000" w:themeColor="text1"/>
          <w14:textFill>
            <w14:solidFill>
              <w14:schemeClr w14:val="tx1"/>
            </w14:solidFill>
          </w14:textFill>
        </w:rPr>
        <w:t>0</w:t>
      </w:r>
      <w:r>
        <w:rPr>
          <w:rFonts w:hint="eastAsia" w:asciiTheme="minorEastAsia" w:hAnsiTheme="minorEastAsia" w:eastAsiaTheme="minorEastAsia"/>
          <w:color w:val="000000" w:themeColor="text1"/>
          <w14:textFill>
            <w14:solidFill>
              <w14:schemeClr w14:val="tx1"/>
            </w14:solidFill>
          </w14:textFill>
        </w:rPr>
        <w:t>%，则认为正常，报告测定结果。</w:t>
      </w:r>
    </w:p>
    <w:p w14:paraId="773ADAD9">
      <w:pPr>
        <w:pStyle w:val="50"/>
        <w:spacing w:beforeLines="0" w:afterLines="0" w:line="360" w:lineRule="auto"/>
        <w:ind w:left="142"/>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A.7.2样品检测结果置信度值小于8</w:t>
      </w:r>
      <w:r>
        <w:rPr>
          <w:rFonts w:asciiTheme="minorEastAsia" w:hAnsiTheme="minorEastAsia" w:eastAsiaTheme="minorEastAsia"/>
          <w:color w:val="000000" w:themeColor="text1"/>
          <w14:textFill>
            <w14:solidFill>
              <w14:schemeClr w14:val="tx1"/>
            </w14:solidFill>
          </w14:textFill>
        </w:rPr>
        <w:t>0</w:t>
      </w:r>
      <w:r>
        <w:rPr>
          <w:rFonts w:hint="eastAsia" w:asciiTheme="minorEastAsia" w:hAnsiTheme="minorEastAsia" w:eastAsiaTheme="minorEastAsia"/>
          <w:color w:val="000000" w:themeColor="text1"/>
          <w14:textFill>
            <w14:solidFill>
              <w14:schemeClr w14:val="tx1"/>
            </w14:solidFill>
          </w14:textFill>
        </w:rPr>
        <w:t>%，则认为可疑，必须按照表1规定的标准试验方法进行测定。</w:t>
      </w:r>
    </w:p>
    <w:p w14:paraId="00B283B0">
      <w:pPr>
        <w:pStyle w:val="50"/>
        <w:spacing w:beforeLines="0" w:afterLines="0" w:line="360" w:lineRule="auto"/>
        <w:ind w:left="142"/>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A.7.3检测结果的报出值与其标准试验方法一致。</w:t>
      </w:r>
    </w:p>
    <w:p w14:paraId="7F89E4B2">
      <w:pPr>
        <w:pStyle w:val="53"/>
        <w:spacing w:before="240" w:after="240" w:line="360" w:lineRule="auto"/>
        <w:rPr>
          <w:color w:val="000000" w:themeColor="text1"/>
          <w14:textFill>
            <w14:solidFill>
              <w14:schemeClr w14:val="tx1"/>
            </w14:solidFill>
          </w14:textFill>
        </w:rPr>
      </w:pPr>
      <w:bookmarkStart w:id="10" w:name="_Hlk11587050"/>
      <w:bookmarkStart w:id="11" w:name="_Hlk11587071"/>
      <w:r>
        <w:rPr>
          <w:rFonts w:hint="eastAsia"/>
          <w:color w:val="000000" w:themeColor="text1"/>
          <w14:textFill>
            <w14:solidFill>
              <w14:schemeClr w14:val="tx1"/>
            </w14:solidFill>
          </w14:textFill>
        </w:rPr>
        <w:t>A.8重复性</w:t>
      </w:r>
    </w:p>
    <w:p w14:paraId="28373B08">
      <w:pPr>
        <w:pStyle w:val="31"/>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由同一操作者,在同一实验室，使用同一台仪器，对同一样品连续测定的两个试验结果之差不应超过表2所列数值。</w:t>
      </w:r>
    </w:p>
    <w:bookmarkEnd w:id="10"/>
    <w:bookmarkEnd w:id="11"/>
    <w:p w14:paraId="6E5DAD56">
      <w:pPr>
        <w:pStyle w:val="53"/>
        <w:spacing w:before="240" w:after="240" w:line="360" w:lineRule="auto"/>
        <w:rPr>
          <w:rFonts w:hint="eastAsia" w:eastAsia="黑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A.9</w:t>
      </w:r>
      <w:r>
        <w:rPr>
          <w:rFonts w:hint="eastAsia"/>
          <w:color w:val="000000" w:themeColor="text1"/>
          <w:lang w:val="en-US" w:eastAsia="zh-CN"/>
          <w14:textFill>
            <w14:solidFill>
              <w14:schemeClr w14:val="tx1"/>
            </w14:solidFill>
          </w14:textFill>
        </w:rPr>
        <w:t>再现性</w:t>
      </w:r>
    </w:p>
    <w:p w14:paraId="6180CE23">
      <w:pPr>
        <w:pStyle w:val="31"/>
        <w:spacing w:line="360" w:lineRule="auto"/>
        <w:rPr>
          <w:rFonts w:ascii="黑体" w:hAnsi="黑体" w:eastAsia="黑体"/>
          <w:color w:val="000000" w:themeColor="text1"/>
          <w14:textFill>
            <w14:solidFill>
              <w14:schemeClr w14:val="tx1"/>
            </w14:solidFill>
          </w14:textFill>
        </w:rPr>
      </w:pPr>
      <w:r>
        <w:rPr>
          <w:rFonts w:hint="eastAsia"/>
          <w:color w:val="000000" w:themeColor="text1"/>
          <w14:textFill>
            <w14:solidFill>
              <w14:schemeClr w14:val="tx1"/>
            </w14:solidFill>
          </w14:textFill>
        </w:rPr>
        <w:t>近红外光谱法的测定结果，与按照表1所列的标准方法的测定结果之差不应超过表2所列数值。</w:t>
      </w:r>
    </w:p>
    <w:p w14:paraId="68B0EEA2">
      <w:pPr>
        <w:spacing w:beforeLines="100" w:afterLines="100" w:line="360" w:lineRule="auto"/>
        <w:jc w:val="center"/>
        <w:rPr>
          <w:rFonts w:hint="eastAsia" w:ascii="黑体" w:hAnsi="黑体" w:eastAsia="黑体"/>
          <w:color w:val="000000" w:themeColor="text1"/>
          <w:lang w:val="en-US" w:eastAsia="zh-CN"/>
          <w14:textFill>
            <w14:solidFill>
              <w14:schemeClr w14:val="tx1"/>
            </w14:solidFill>
          </w14:textFill>
        </w:rPr>
      </w:pPr>
      <w:r>
        <w:rPr>
          <w:rFonts w:ascii="黑体" w:hAnsi="黑体" w:eastAsia="黑体"/>
          <w:color w:val="000000" w:themeColor="text1"/>
          <w14:textFill>
            <w14:solidFill>
              <w14:schemeClr w14:val="tx1"/>
            </w14:solidFill>
          </w14:textFill>
        </w:rPr>
        <w:t>表</w:t>
      </w:r>
      <w:r>
        <w:rPr>
          <w:rFonts w:hint="eastAsia" w:ascii="黑体" w:hAnsi="黑体" w:eastAsia="黑体"/>
          <w:color w:val="000000" w:themeColor="text1"/>
          <w14:textFill>
            <w14:solidFill>
              <w14:schemeClr w14:val="tx1"/>
            </w14:solidFill>
          </w14:textFill>
        </w:rPr>
        <w:t>2柴油发动机氮氧化物还原剂 尿素水溶液（AUS32）</w:t>
      </w:r>
      <w:r>
        <w:rPr>
          <w:rFonts w:ascii="黑体" w:hAnsi="黑体" w:eastAsia="黑体"/>
          <w:color w:val="000000" w:themeColor="text1"/>
          <w14:textFill>
            <w14:solidFill>
              <w14:schemeClr w14:val="tx1"/>
            </w14:solidFill>
          </w14:textFill>
        </w:rPr>
        <w:t>各项质量指标重复性和</w:t>
      </w:r>
      <w:r>
        <w:rPr>
          <w:rFonts w:hint="eastAsia" w:ascii="黑体" w:hAnsi="黑体" w:eastAsia="黑体"/>
          <w:color w:val="000000" w:themeColor="text1"/>
          <w:lang w:val="en-US" w:eastAsia="zh-CN"/>
          <w14:textFill>
            <w14:solidFill>
              <w14:schemeClr w14:val="tx1"/>
            </w14:solidFill>
          </w14:textFill>
        </w:rPr>
        <w:t>再现性</w:t>
      </w:r>
    </w:p>
    <w:tbl>
      <w:tblPr>
        <w:tblStyle w:val="40"/>
        <w:tblW w:w="9209" w:type="dxa"/>
        <w:tblInd w:w="10" w:type="dxa"/>
        <w:tblLayout w:type="fixed"/>
        <w:tblCellMar>
          <w:top w:w="0" w:type="dxa"/>
          <w:left w:w="0" w:type="dxa"/>
          <w:bottom w:w="0" w:type="dxa"/>
          <w:right w:w="0" w:type="dxa"/>
        </w:tblCellMar>
      </w:tblPr>
      <w:tblGrid>
        <w:gridCol w:w="4960"/>
        <w:gridCol w:w="1238"/>
        <w:gridCol w:w="3011"/>
      </w:tblGrid>
      <w:tr w14:paraId="0EF1FAFB">
        <w:tblPrEx>
          <w:tblCellMar>
            <w:top w:w="0" w:type="dxa"/>
            <w:left w:w="0" w:type="dxa"/>
            <w:bottom w:w="0" w:type="dxa"/>
            <w:right w:w="0" w:type="dxa"/>
          </w:tblCellMar>
        </w:tblPrEx>
        <w:trPr>
          <w:trHeight w:val="221" w:hRule="atLeast"/>
        </w:trPr>
        <w:tc>
          <w:tcPr>
            <w:tcW w:w="4960" w:type="dxa"/>
            <w:tcBorders>
              <w:top w:val="single" w:color="auto" w:sz="8" w:space="0"/>
              <w:left w:val="single" w:color="auto" w:sz="8" w:space="0"/>
              <w:bottom w:val="single" w:color="auto" w:sz="4" w:space="0"/>
              <w:right w:val="single" w:color="auto" w:sz="8" w:space="0"/>
            </w:tcBorders>
            <w:shd w:val="clear" w:color="auto" w:fill="auto"/>
            <w:vAlign w:val="bottom"/>
          </w:tcPr>
          <w:p w14:paraId="40C74261">
            <w:pPr>
              <w:spacing w:line="360" w:lineRule="auto"/>
              <w:ind w:left="1160"/>
              <w:rPr>
                <w:color w:val="000000" w:themeColor="text1"/>
                <w:szCs w:val="21"/>
                <w14:textFill>
                  <w14:solidFill>
                    <w14:schemeClr w14:val="tx1"/>
                  </w14:solidFill>
                </w14:textFill>
              </w:rPr>
            </w:pPr>
            <w:bookmarkStart w:id="12" w:name="_Hlk7350673"/>
            <w:r>
              <w:rPr>
                <w:color w:val="000000" w:themeColor="text1"/>
                <w:szCs w:val="21"/>
                <w14:textFill>
                  <w14:solidFill>
                    <w14:schemeClr w14:val="tx1"/>
                  </w14:solidFill>
                </w14:textFill>
              </w:rPr>
              <w:t>项  目</w:t>
            </w:r>
          </w:p>
        </w:tc>
        <w:tc>
          <w:tcPr>
            <w:tcW w:w="1238" w:type="dxa"/>
            <w:tcBorders>
              <w:top w:val="single" w:color="auto" w:sz="8" w:space="0"/>
              <w:bottom w:val="single" w:color="auto" w:sz="4" w:space="0"/>
              <w:right w:val="single" w:color="auto" w:sz="8" w:space="0"/>
            </w:tcBorders>
            <w:shd w:val="clear" w:color="auto" w:fill="auto"/>
            <w:vAlign w:val="bottom"/>
          </w:tcPr>
          <w:p w14:paraId="2B09D479">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重复性</w:t>
            </w:r>
          </w:p>
        </w:tc>
        <w:tc>
          <w:tcPr>
            <w:tcW w:w="3011" w:type="dxa"/>
            <w:tcBorders>
              <w:top w:val="single" w:color="auto" w:sz="8" w:space="0"/>
              <w:bottom w:val="single" w:color="auto" w:sz="4" w:space="0"/>
              <w:right w:val="single" w:color="auto" w:sz="8" w:space="0"/>
            </w:tcBorders>
            <w:vAlign w:val="center"/>
          </w:tcPr>
          <w:p w14:paraId="59403DC7">
            <w:pPr>
              <w:spacing w:line="360" w:lineRule="auto"/>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再现性</w:t>
            </w:r>
          </w:p>
        </w:tc>
      </w:tr>
      <w:tr w14:paraId="4BB570CD">
        <w:tblPrEx>
          <w:tblCellMar>
            <w:top w:w="0" w:type="dxa"/>
            <w:left w:w="0" w:type="dxa"/>
            <w:bottom w:w="0" w:type="dxa"/>
            <w:right w:w="0" w:type="dxa"/>
          </w:tblCellMar>
        </w:tblPrEx>
        <w:trPr>
          <w:trHeight w:val="276" w:hRule="atLeast"/>
        </w:trPr>
        <w:tc>
          <w:tcPr>
            <w:tcW w:w="4960" w:type="dxa"/>
            <w:tcBorders>
              <w:top w:val="single" w:color="auto" w:sz="4" w:space="0"/>
              <w:left w:val="single" w:color="auto" w:sz="8" w:space="0"/>
              <w:bottom w:val="single" w:color="auto" w:sz="8" w:space="0"/>
              <w:right w:val="single" w:color="auto" w:sz="8" w:space="0"/>
            </w:tcBorders>
            <w:shd w:val="clear" w:color="auto" w:fill="auto"/>
            <w:vAlign w:val="center"/>
          </w:tcPr>
          <w:p w14:paraId="47778A03">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密度 (20℃)/(kg/m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w:t>
            </w:r>
          </w:p>
        </w:tc>
        <w:tc>
          <w:tcPr>
            <w:tcW w:w="1238" w:type="dxa"/>
            <w:tcBorders>
              <w:top w:val="single" w:color="auto" w:sz="4" w:space="0"/>
              <w:bottom w:val="single" w:color="auto" w:sz="8" w:space="0"/>
              <w:right w:val="single" w:color="auto" w:sz="8" w:space="0"/>
            </w:tcBorders>
            <w:shd w:val="clear" w:color="auto" w:fill="auto"/>
            <w:vAlign w:val="center"/>
          </w:tcPr>
          <w:p w14:paraId="34A3BAD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w:t>
            </w:r>
          </w:p>
        </w:tc>
        <w:tc>
          <w:tcPr>
            <w:tcW w:w="3011" w:type="dxa"/>
            <w:tcBorders>
              <w:top w:val="single" w:color="auto" w:sz="4" w:space="0"/>
              <w:bottom w:val="single" w:color="auto" w:sz="8" w:space="0"/>
              <w:right w:val="single" w:color="auto" w:sz="8" w:space="0"/>
            </w:tcBorders>
            <w:vAlign w:val="center"/>
          </w:tcPr>
          <w:p w14:paraId="78E7F1F8">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同SH/T0604再现性</w:t>
            </w:r>
          </w:p>
        </w:tc>
      </w:tr>
      <w:tr w14:paraId="7037FF98">
        <w:tblPrEx>
          <w:tblCellMar>
            <w:top w:w="0" w:type="dxa"/>
            <w:left w:w="0" w:type="dxa"/>
            <w:bottom w:w="0" w:type="dxa"/>
            <w:right w:w="0" w:type="dxa"/>
          </w:tblCellMar>
        </w:tblPrEx>
        <w:trPr>
          <w:trHeight w:val="276" w:hRule="atLeast"/>
        </w:trPr>
        <w:tc>
          <w:tcPr>
            <w:tcW w:w="4960" w:type="dxa"/>
            <w:tcBorders>
              <w:top w:val="single" w:color="auto" w:sz="4" w:space="0"/>
              <w:left w:val="single" w:color="auto" w:sz="8" w:space="0"/>
              <w:bottom w:val="single" w:color="auto" w:sz="8" w:space="0"/>
              <w:right w:val="single" w:color="auto" w:sz="8" w:space="0"/>
            </w:tcBorders>
            <w:shd w:val="clear" w:color="auto" w:fill="auto"/>
            <w:vAlign w:val="center"/>
          </w:tcPr>
          <w:p w14:paraId="5EB00F9D">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折光率</w:t>
            </w:r>
          </w:p>
        </w:tc>
        <w:tc>
          <w:tcPr>
            <w:tcW w:w="1238" w:type="dxa"/>
            <w:tcBorders>
              <w:top w:val="single" w:color="auto" w:sz="4" w:space="0"/>
              <w:bottom w:val="single" w:color="auto" w:sz="8" w:space="0"/>
              <w:right w:val="single" w:color="auto" w:sz="8" w:space="0"/>
            </w:tcBorders>
            <w:shd w:val="clear" w:color="auto" w:fill="auto"/>
            <w:vAlign w:val="center"/>
          </w:tcPr>
          <w:p w14:paraId="22DC64C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4</w:t>
            </w:r>
          </w:p>
        </w:tc>
        <w:tc>
          <w:tcPr>
            <w:tcW w:w="3011" w:type="dxa"/>
            <w:tcBorders>
              <w:top w:val="single" w:color="auto" w:sz="4" w:space="0"/>
              <w:bottom w:val="single" w:color="auto" w:sz="8" w:space="0"/>
              <w:right w:val="single" w:color="auto" w:sz="8" w:space="0"/>
            </w:tcBorders>
            <w:vAlign w:val="center"/>
          </w:tcPr>
          <w:p w14:paraId="002ADFA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GB/T</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614</w:t>
            </w:r>
          </w:p>
        </w:tc>
      </w:tr>
      <w:tr w14:paraId="045F5442">
        <w:tblPrEx>
          <w:tblCellMar>
            <w:top w:w="0" w:type="dxa"/>
            <w:left w:w="0" w:type="dxa"/>
            <w:bottom w:w="0" w:type="dxa"/>
            <w:right w:w="0" w:type="dxa"/>
          </w:tblCellMar>
        </w:tblPrEx>
        <w:trPr>
          <w:trHeight w:val="276" w:hRule="atLeast"/>
        </w:trPr>
        <w:tc>
          <w:tcPr>
            <w:tcW w:w="4960" w:type="dxa"/>
            <w:tcBorders>
              <w:top w:val="single" w:color="auto" w:sz="4" w:space="0"/>
              <w:left w:val="single" w:color="auto" w:sz="8" w:space="0"/>
              <w:bottom w:val="single" w:color="auto" w:sz="8" w:space="0"/>
              <w:right w:val="single" w:color="auto" w:sz="8" w:space="0"/>
            </w:tcBorders>
            <w:shd w:val="clear" w:color="auto" w:fill="auto"/>
            <w:vAlign w:val="center"/>
          </w:tcPr>
          <w:p w14:paraId="1F14A011">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碱度（以NH3计）（质量分数）/(%)   </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大于</w:t>
            </w:r>
          </w:p>
        </w:tc>
        <w:tc>
          <w:tcPr>
            <w:tcW w:w="1238" w:type="dxa"/>
            <w:tcBorders>
              <w:top w:val="single" w:color="auto" w:sz="4" w:space="0"/>
              <w:bottom w:val="single" w:color="auto" w:sz="8" w:space="0"/>
              <w:right w:val="single" w:color="auto" w:sz="8" w:space="0"/>
            </w:tcBorders>
            <w:shd w:val="clear" w:color="auto" w:fill="auto"/>
            <w:vAlign w:val="center"/>
          </w:tcPr>
          <w:p w14:paraId="76D33C8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w:t>
            </w:r>
          </w:p>
        </w:tc>
        <w:tc>
          <w:tcPr>
            <w:tcW w:w="3011" w:type="dxa"/>
            <w:tcBorders>
              <w:top w:val="single" w:color="auto" w:sz="4" w:space="0"/>
              <w:bottom w:val="single" w:color="auto" w:sz="8" w:space="0"/>
              <w:right w:val="single" w:color="auto" w:sz="8" w:space="0"/>
            </w:tcBorders>
            <w:vAlign w:val="center"/>
          </w:tcPr>
          <w:p w14:paraId="66FFAAC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同GB29518附录B再现性</w:t>
            </w:r>
          </w:p>
        </w:tc>
      </w:tr>
      <w:tr w14:paraId="4EB2D33A">
        <w:tblPrEx>
          <w:tblCellMar>
            <w:top w:w="0" w:type="dxa"/>
            <w:left w:w="0" w:type="dxa"/>
            <w:bottom w:w="0" w:type="dxa"/>
            <w:right w:w="0" w:type="dxa"/>
          </w:tblCellMar>
        </w:tblPrEx>
        <w:trPr>
          <w:trHeight w:val="276" w:hRule="atLeast"/>
        </w:trPr>
        <w:tc>
          <w:tcPr>
            <w:tcW w:w="4960" w:type="dxa"/>
            <w:tcBorders>
              <w:top w:val="single" w:color="auto" w:sz="4" w:space="0"/>
              <w:left w:val="single" w:color="auto" w:sz="8" w:space="0"/>
              <w:bottom w:val="single" w:color="auto" w:sz="8" w:space="0"/>
              <w:right w:val="single" w:color="auto" w:sz="8" w:space="0"/>
            </w:tcBorders>
            <w:shd w:val="clear" w:color="auto" w:fill="auto"/>
            <w:vAlign w:val="center"/>
          </w:tcPr>
          <w:p w14:paraId="3D445CD0">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缩二脲（质量分数）/(%)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大于</w:t>
            </w:r>
          </w:p>
        </w:tc>
        <w:tc>
          <w:tcPr>
            <w:tcW w:w="1238" w:type="dxa"/>
            <w:tcBorders>
              <w:top w:val="single" w:color="auto" w:sz="4" w:space="0"/>
              <w:bottom w:val="single" w:color="auto" w:sz="8" w:space="0"/>
              <w:right w:val="single" w:color="auto" w:sz="8" w:space="0"/>
            </w:tcBorders>
            <w:shd w:val="clear" w:color="auto" w:fill="auto"/>
            <w:vAlign w:val="center"/>
          </w:tcPr>
          <w:p w14:paraId="6E2AB670">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w:t>
            </w:r>
          </w:p>
        </w:tc>
        <w:tc>
          <w:tcPr>
            <w:tcW w:w="3011" w:type="dxa"/>
            <w:tcBorders>
              <w:top w:val="single" w:color="auto" w:sz="4" w:space="0"/>
              <w:bottom w:val="single" w:color="auto" w:sz="8" w:space="0"/>
              <w:right w:val="single" w:color="auto" w:sz="8" w:space="0"/>
            </w:tcBorders>
            <w:vAlign w:val="center"/>
          </w:tcPr>
          <w:p w14:paraId="4CEB83BC">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同GB29518附录C再现性</w:t>
            </w:r>
          </w:p>
        </w:tc>
      </w:tr>
      <w:tr w14:paraId="12DA4194">
        <w:tblPrEx>
          <w:tblCellMar>
            <w:top w:w="0" w:type="dxa"/>
            <w:left w:w="0" w:type="dxa"/>
            <w:bottom w:w="0" w:type="dxa"/>
            <w:right w:w="0" w:type="dxa"/>
          </w:tblCellMar>
        </w:tblPrEx>
        <w:trPr>
          <w:trHeight w:val="276" w:hRule="atLeast"/>
        </w:trPr>
        <w:tc>
          <w:tcPr>
            <w:tcW w:w="4960" w:type="dxa"/>
            <w:tcBorders>
              <w:top w:val="single" w:color="auto" w:sz="4" w:space="0"/>
              <w:left w:val="single" w:color="auto" w:sz="8" w:space="0"/>
              <w:bottom w:val="single" w:color="auto" w:sz="8" w:space="0"/>
              <w:right w:val="single" w:color="auto" w:sz="8" w:space="0"/>
            </w:tcBorders>
            <w:shd w:val="clear" w:color="auto" w:fill="auto"/>
            <w:vAlign w:val="center"/>
          </w:tcPr>
          <w:p w14:paraId="280846CC">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醛类（以HCHO计）/(mg/kg)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rFonts w:hint="eastAsia"/>
                <w:color w:val="000000" w:themeColor="text1"/>
                <w:szCs w:val="21"/>
                <w:lang w:val="en-US" w:eastAsia="zh-CN"/>
                <w14:textFill>
                  <w14:solidFill>
                    <w14:schemeClr w14:val="tx1"/>
                  </w14:solidFill>
                </w14:textFill>
              </w:rPr>
              <w:t xml:space="preserve">  </w:t>
            </w:r>
            <w:r>
              <w:rPr>
                <w:rFonts w:hint="eastAsia"/>
                <w:color w:val="000000" w:themeColor="text1"/>
                <w:szCs w:val="21"/>
                <w14:textFill>
                  <w14:solidFill>
                    <w14:schemeClr w14:val="tx1"/>
                  </w14:solidFill>
                </w14:textFill>
              </w:rPr>
              <w:t>大于</w:t>
            </w:r>
          </w:p>
        </w:tc>
        <w:tc>
          <w:tcPr>
            <w:tcW w:w="1238" w:type="dxa"/>
            <w:tcBorders>
              <w:top w:val="single" w:color="auto" w:sz="4" w:space="0"/>
              <w:bottom w:val="single" w:color="auto" w:sz="8" w:space="0"/>
              <w:right w:val="single" w:color="auto" w:sz="8" w:space="0"/>
            </w:tcBorders>
            <w:shd w:val="clear" w:color="auto" w:fill="auto"/>
            <w:vAlign w:val="center"/>
          </w:tcPr>
          <w:p w14:paraId="77B62DC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0.14</w:t>
            </w:r>
          </w:p>
        </w:tc>
        <w:tc>
          <w:tcPr>
            <w:tcW w:w="3011" w:type="dxa"/>
            <w:tcBorders>
              <w:top w:val="single" w:color="auto" w:sz="4" w:space="0"/>
              <w:bottom w:val="single" w:color="auto" w:sz="8" w:space="0"/>
              <w:right w:val="single" w:color="auto" w:sz="8" w:space="0"/>
            </w:tcBorders>
            <w:vAlign w:val="center"/>
          </w:tcPr>
          <w:p w14:paraId="2047E556">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同GB29518附录D再现性</w:t>
            </w:r>
          </w:p>
        </w:tc>
      </w:tr>
      <w:bookmarkEnd w:id="12"/>
    </w:tbl>
    <w:p w14:paraId="243E800F">
      <w:pPr>
        <w:pStyle w:val="31"/>
        <w:spacing w:line="360" w:lineRule="auto"/>
        <w:ind w:firstLine="0" w:firstLineChars="0"/>
        <w:rPr>
          <w:color w:val="000000" w:themeColor="text1"/>
          <w:u w:val="single"/>
          <w14:textFill>
            <w14:solidFill>
              <w14:schemeClr w14:val="tx1"/>
            </w14:solidFill>
          </w14:textFill>
        </w:rPr>
      </w:pPr>
    </w:p>
    <w:p w14:paraId="0962909F">
      <w:pPr>
        <w:pStyle w:val="31"/>
        <w:spacing w:line="360" w:lineRule="auto"/>
        <w:ind w:firstLine="0" w:firstLineChars="0"/>
        <w:rPr>
          <w:color w:val="000000" w:themeColor="text1"/>
          <w:u w:val="single"/>
          <w14:textFill>
            <w14:solidFill>
              <w14:schemeClr w14:val="tx1"/>
            </w14:solidFill>
          </w14:textFill>
        </w:rPr>
      </w:pPr>
    </w:p>
    <w:p w14:paraId="5868BFD7">
      <w:pPr>
        <w:pStyle w:val="31"/>
        <w:spacing w:line="360" w:lineRule="auto"/>
        <w:ind w:firstLine="0" w:firstLineChars="0"/>
        <w:rPr>
          <w:color w:val="000000" w:themeColor="text1"/>
          <w:u w:val="single"/>
          <w14:textFill>
            <w14:solidFill>
              <w14:schemeClr w14:val="tx1"/>
            </w14:solidFill>
          </w14:textFill>
        </w:rPr>
      </w:pPr>
    </w:p>
    <w:sectPr>
      <w:pgSz w:w="11900" w:h="16840"/>
      <w:pgMar w:top="1415" w:right="1124" w:bottom="544" w:left="1420" w:header="1417" w:footer="1134" w:gutter="0"/>
      <w:cols w:equalWidth="0" w:num="1">
        <w:col w:w="9360"/>
      </w:cols>
      <w:docGrid w:linePitch="360"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62449">
    <w:pPr>
      <w:pStyle w:val="51"/>
    </w:pPr>
    <w:r>
      <w:fldChar w:fldCharType="begin"/>
    </w:r>
    <w:r>
      <w:instrText xml:space="preserve"> PAGE  \* MERGEFORMAT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05B42">
    <w:pPr>
      <w:pStyle w:val="52"/>
      <w:rPr>
        <w:rFonts w:hint="eastAsia" w:eastAsia="黑体"/>
        <w:color w:val="auto"/>
        <w:lang w:eastAsia="zh-CN"/>
      </w:rPr>
    </w:pPr>
    <w:r>
      <w:rPr>
        <w:color w:val="auto"/>
      </w:rPr>
      <w:t>DB</w:t>
    </w:r>
    <w:r>
      <w:rPr>
        <w:rFonts w:hint="eastAsia"/>
        <w:color w:val="auto"/>
        <w:lang w:val="en-US" w:eastAsia="zh-CN"/>
      </w:rPr>
      <w:t>XX</w:t>
    </w:r>
    <w:r>
      <w:rPr>
        <w:color w:val="auto"/>
      </w:rPr>
      <w:t>/T XXXXX—20</w:t>
    </w:r>
    <w:r>
      <w:rPr>
        <w:rFonts w:hint="eastAsia"/>
        <w:color w:val="auto"/>
      </w:rPr>
      <w:t>2</w:t>
    </w:r>
    <w:r>
      <w:rPr>
        <w:rFonts w:hint="eastAsia"/>
        <w:color w:val="auto"/>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6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lvlText w:val="%1"/>
      <w:lvlJc w:val="left"/>
      <w:pPr>
        <w:ind w:left="432" w:hanging="432"/>
      </w:pPr>
      <w:rPr>
        <w:rFonts w:hint="eastAsia"/>
        <w:b/>
        <w:i w:val="0"/>
        <w:sz w:val="21"/>
        <w:szCs w:val="21"/>
      </w:rPr>
    </w:lvl>
    <w:lvl w:ilvl="1" w:tentative="0">
      <w:start w:val="1"/>
      <w:numFmt w:val="decimal"/>
      <w:lvlText w:val="%1.%2"/>
      <w:lvlJc w:val="left"/>
      <w:pPr>
        <w:ind w:left="576" w:hanging="576"/>
      </w:pPr>
      <w:rPr>
        <w:rFonts w:hint="eastAsia" w:ascii="黑体" w:hAnsi="黑体" w:eastAsia="黑体"/>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lvlText w:val="%1.%2.%3"/>
      <w:lvlJc w:val="left"/>
      <w:pPr>
        <w:ind w:left="720" w:hanging="720"/>
      </w:pPr>
      <w:rPr>
        <w:rFonts w:hint="eastAsia"/>
        <w:b w:val="0"/>
        <w:i w:val="0"/>
        <w:sz w:val="21"/>
      </w:rPr>
    </w:lvl>
    <w:lvl w:ilvl="3" w:tentative="0">
      <w:start w:val="1"/>
      <w:numFmt w:val="decimal"/>
      <w:lvlText w:val="%1.%2.%3.%4"/>
      <w:lvlJc w:val="left"/>
      <w:pPr>
        <w:ind w:left="864" w:hanging="864"/>
      </w:pPr>
      <w:rPr>
        <w:rFonts w:hint="eastAsia"/>
        <w:b w:val="0"/>
        <w:i w:val="0"/>
        <w:sz w:val="21"/>
      </w:rPr>
    </w:lvl>
    <w:lvl w:ilvl="4" w:tentative="0">
      <w:start w:val="1"/>
      <w:numFmt w:val="decimal"/>
      <w:lvlText w:val="%1.%2.%3.%4.%5"/>
      <w:lvlJc w:val="left"/>
      <w:pPr>
        <w:ind w:left="1008" w:hanging="1008"/>
      </w:pPr>
      <w:rPr>
        <w:rFonts w:hint="eastAsia"/>
        <w:b w:val="0"/>
        <w:i w:val="0"/>
        <w:sz w:val="21"/>
      </w:rPr>
    </w:lvl>
    <w:lvl w:ilvl="5" w:tentative="0">
      <w:start w:val="1"/>
      <w:numFmt w:val="decimal"/>
      <w:lvlText w:val="%1.%2.%3.%4.%5.%6"/>
      <w:lvlJc w:val="left"/>
      <w:pPr>
        <w:ind w:left="1152" w:hanging="1152"/>
      </w:pPr>
      <w:rPr>
        <w:rFonts w:hint="eastAsia"/>
        <w:b w:val="0"/>
        <w:i w:val="0"/>
        <w:sz w:val="21"/>
      </w:rPr>
    </w:lvl>
    <w:lvl w:ilvl="6" w:tentative="0">
      <w:start w:val="1"/>
      <w:numFmt w:val="decimal"/>
      <w:lvlText w:val="%1.%2.%3.%4.%5.%6.%7"/>
      <w:lvlJc w:val="left"/>
      <w:pPr>
        <w:ind w:left="1296" w:hanging="1296"/>
      </w:pPr>
      <w:rPr>
        <w:rFonts w:hint="eastAsia"/>
        <w:b w:val="0"/>
        <w:i w:val="0"/>
        <w:sz w:val="21"/>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2A8F7113"/>
    <w:multiLevelType w:val="multilevel"/>
    <w:tmpl w:val="2A8F7113"/>
    <w:lvl w:ilvl="0" w:tentative="0">
      <w:start w:val="1"/>
      <w:numFmt w:val="upperLetter"/>
      <w:pStyle w:val="106"/>
      <w:suff w:val="space"/>
      <w:lvlText w:val="%1"/>
      <w:lvlJc w:val="left"/>
      <w:pPr>
        <w:ind w:left="623" w:hanging="425"/>
      </w:pPr>
      <w:rPr>
        <w:rFonts w:hint="eastAsia"/>
      </w:rPr>
    </w:lvl>
    <w:lvl w:ilvl="1" w:tentative="0">
      <w:start w:val="1"/>
      <w:numFmt w:val="decimal"/>
      <w:pStyle w:val="10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6"/>
      <w:suff w:val="nothing"/>
      <w:lvlText w:val="%1——"/>
      <w:lvlJc w:val="left"/>
      <w:pPr>
        <w:ind w:left="833" w:hanging="408"/>
      </w:pPr>
      <w:rPr>
        <w:rFonts w:hint="eastAsia"/>
      </w:rPr>
    </w:lvl>
    <w:lvl w:ilvl="1" w:tentative="0">
      <w:start w:val="1"/>
      <w:numFmt w:val="bullet"/>
      <w:pStyle w:val="57"/>
      <w:lvlText w:val=""/>
      <w:lvlJc w:val="left"/>
      <w:pPr>
        <w:tabs>
          <w:tab w:val="left" w:pos="760"/>
        </w:tabs>
        <w:ind w:left="1264" w:hanging="413"/>
      </w:pPr>
      <w:rPr>
        <w:rFonts w:hint="default" w:ascii="Symbol" w:hAnsi="Symbol"/>
        <w:color w:val="auto"/>
      </w:rPr>
    </w:lvl>
    <w:lvl w:ilvl="2" w:tentative="0">
      <w:start w:val="1"/>
      <w:numFmt w:val="bullet"/>
      <w:pStyle w:val="6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3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6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2"/>
      <w:lvlText w:val="%2)"/>
      <w:lvlJc w:val="left"/>
      <w:pPr>
        <w:tabs>
          <w:tab w:val="left" w:pos="1260"/>
        </w:tabs>
        <w:ind w:left="1259" w:hanging="419"/>
      </w:pPr>
      <w:rPr>
        <w:rFonts w:hint="eastAsia"/>
      </w:rPr>
    </w:lvl>
    <w:lvl w:ilvl="2" w:tentative="0">
      <w:start w:val="1"/>
      <w:numFmt w:val="decimal"/>
      <w:pStyle w:val="6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7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3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94"/>
      <w:lvlText w:val="%1"/>
      <w:lvlJc w:val="left"/>
      <w:pPr>
        <w:tabs>
          <w:tab w:val="left" w:pos="0"/>
        </w:tabs>
        <w:ind w:left="0" w:hanging="425"/>
      </w:pPr>
      <w:rPr>
        <w:rFonts w:hint="eastAsia"/>
      </w:rPr>
    </w:lvl>
    <w:lvl w:ilvl="1" w:tentative="0">
      <w:start w:val="1"/>
      <w:numFmt w:val="decimal"/>
      <w:pStyle w:val="9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9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1"/>
      <w:suff w:val="nothing"/>
      <w:lvlText w:val="%1.%2.%3　"/>
      <w:lvlJc w:val="left"/>
      <w:pPr>
        <w:ind w:left="0" w:firstLine="0"/>
      </w:pPr>
      <w:rPr>
        <w:rFonts w:hint="eastAsia" w:ascii="黑体" w:hAnsi="Times New Roman" w:eastAsia="黑体"/>
        <w:b w:val="0"/>
        <w:i w:val="0"/>
        <w:sz w:val="21"/>
      </w:rPr>
    </w:lvl>
    <w:lvl w:ilvl="3" w:tentative="0">
      <w:start w:val="1"/>
      <w:numFmt w:val="decimal"/>
      <w:pStyle w:val="96"/>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4"/>
      <w:suff w:val="nothing"/>
      <w:lvlText w:val="%1.%2.%3.%4.%5.%6　"/>
      <w:lvlJc w:val="left"/>
      <w:pPr>
        <w:ind w:left="0" w:firstLine="0"/>
      </w:pPr>
      <w:rPr>
        <w:rFonts w:hint="eastAsia" w:ascii="黑体" w:hAnsi="Times New Roman" w:eastAsia="黑体"/>
        <w:b w:val="0"/>
        <w:i w:val="0"/>
        <w:sz w:val="21"/>
      </w:rPr>
    </w:lvl>
    <w:lvl w:ilvl="6" w:tentative="0">
      <w:start w:val="1"/>
      <w:numFmt w:val="decimal"/>
      <w:pStyle w:val="10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13"/>
      <w:lvlText w:val="%1)"/>
      <w:lvlJc w:val="left"/>
      <w:pPr>
        <w:tabs>
          <w:tab w:val="left" w:pos="839"/>
        </w:tabs>
        <w:ind w:left="839" w:hanging="419"/>
      </w:pPr>
      <w:rPr>
        <w:rFonts w:hint="eastAsia" w:ascii="宋体" w:eastAsia="宋体"/>
        <w:b w:val="0"/>
        <w:i w:val="0"/>
        <w:sz w:val="21"/>
      </w:rPr>
    </w:lvl>
    <w:lvl w:ilvl="1" w:tentative="0">
      <w:start w:val="1"/>
      <w:numFmt w:val="decimal"/>
      <w:pStyle w:val="10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6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7"/>
  </w:num>
  <w:num w:numId="3">
    <w:abstractNumId w:val="2"/>
  </w:num>
  <w:num w:numId="4">
    <w:abstractNumId w:val="9"/>
  </w:num>
  <w:num w:numId="5">
    <w:abstractNumId w:val="16"/>
  </w:num>
  <w:num w:numId="6">
    <w:abstractNumId w:val="0"/>
  </w:num>
  <w:num w:numId="7">
    <w:abstractNumId w:val="10"/>
  </w:num>
  <w:num w:numId="8">
    <w:abstractNumId w:val="4"/>
  </w:num>
  <w:num w:numId="9">
    <w:abstractNumId w:val="14"/>
  </w:num>
  <w:num w:numId="10">
    <w:abstractNumId w:val="12"/>
  </w:num>
  <w:num w:numId="11">
    <w:abstractNumId w:val="15"/>
  </w:num>
  <w:num w:numId="12">
    <w:abstractNumId w:val="6"/>
  </w:num>
  <w:num w:numId="13">
    <w:abstractNumId w:val="1"/>
  </w:num>
  <w:num w:numId="14">
    <w:abstractNumId w:val="3"/>
  </w:num>
  <w:num w:numId="15">
    <w:abstractNumId w:val="13"/>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Dg2NzNmMzJkODg3Zjc2Zjk0NzdkZDU0NDMxMzEifQ=="/>
  </w:docVars>
  <w:rsids>
    <w:rsidRoot w:val="00035925"/>
    <w:rsid w:val="00000244"/>
    <w:rsid w:val="0000185F"/>
    <w:rsid w:val="0000238D"/>
    <w:rsid w:val="00002850"/>
    <w:rsid w:val="000038EC"/>
    <w:rsid w:val="0000586F"/>
    <w:rsid w:val="00005BD0"/>
    <w:rsid w:val="00013635"/>
    <w:rsid w:val="00013D86"/>
    <w:rsid w:val="00013E02"/>
    <w:rsid w:val="0001444B"/>
    <w:rsid w:val="0001690D"/>
    <w:rsid w:val="0002143C"/>
    <w:rsid w:val="0002377D"/>
    <w:rsid w:val="00023AD0"/>
    <w:rsid w:val="00025A65"/>
    <w:rsid w:val="00026C31"/>
    <w:rsid w:val="00027087"/>
    <w:rsid w:val="00027280"/>
    <w:rsid w:val="00030B61"/>
    <w:rsid w:val="00030CDC"/>
    <w:rsid w:val="000320A7"/>
    <w:rsid w:val="00035925"/>
    <w:rsid w:val="0003613A"/>
    <w:rsid w:val="00036C20"/>
    <w:rsid w:val="00041255"/>
    <w:rsid w:val="00044EEF"/>
    <w:rsid w:val="00054433"/>
    <w:rsid w:val="00057073"/>
    <w:rsid w:val="00057538"/>
    <w:rsid w:val="000644C0"/>
    <w:rsid w:val="00067215"/>
    <w:rsid w:val="00067AED"/>
    <w:rsid w:val="00067CDF"/>
    <w:rsid w:val="00071F25"/>
    <w:rsid w:val="00074DD0"/>
    <w:rsid w:val="00074FBE"/>
    <w:rsid w:val="00082EA8"/>
    <w:rsid w:val="0008367E"/>
    <w:rsid w:val="00083A09"/>
    <w:rsid w:val="000861FD"/>
    <w:rsid w:val="0009005E"/>
    <w:rsid w:val="00092857"/>
    <w:rsid w:val="00093B72"/>
    <w:rsid w:val="00096364"/>
    <w:rsid w:val="000A0631"/>
    <w:rsid w:val="000A20A9"/>
    <w:rsid w:val="000A48B1"/>
    <w:rsid w:val="000A556A"/>
    <w:rsid w:val="000B01C0"/>
    <w:rsid w:val="000B143F"/>
    <w:rsid w:val="000B3143"/>
    <w:rsid w:val="000B70F9"/>
    <w:rsid w:val="000C0E6D"/>
    <w:rsid w:val="000C1441"/>
    <w:rsid w:val="000C1A94"/>
    <w:rsid w:val="000C2115"/>
    <w:rsid w:val="000C306D"/>
    <w:rsid w:val="000C438C"/>
    <w:rsid w:val="000C6B05"/>
    <w:rsid w:val="000C6DD6"/>
    <w:rsid w:val="000C73D4"/>
    <w:rsid w:val="000D3D4C"/>
    <w:rsid w:val="000D4F51"/>
    <w:rsid w:val="000D718B"/>
    <w:rsid w:val="000E0A62"/>
    <w:rsid w:val="000E0C46"/>
    <w:rsid w:val="000F030C"/>
    <w:rsid w:val="000F129C"/>
    <w:rsid w:val="000F364C"/>
    <w:rsid w:val="000F37D8"/>
    <w:rsid w:val="00102A54"/>
    <w:rsid w:val="001051CF"/>
    <w:rsid w:val="001056DE"/>
    <w:rsid w:val="00105F3D"/>
    <w:rsid w:val="001060CA"/>
    <w:rsid w:val="001124C0"/>
    <w:rsid w:val="00114B9F"/>
    <w:rsid w:val="00116B98"/>
    <w:rsid w:val="00117343"/>
    <w:rsid w:val="001178EE"/>
    <w:rsid w:val="00124FF6"/>
    <w:rsid w:val="001266F0"/>
    <w:rsid w:val="0013175F"/>
    <w:rsid w:val="00134536"/>
    <w:rsid w:val="00135E1C"/>
    <w:rsid w:val="00136D29"/>
    <w:rsid w:val="00143891"/>
    <w:rsid w:val="001512B4"/>
    <w:rsid w:val="001606C3"/>
    <w:rsid w:val="001620A5"/>
    <w:rsid w:val="001620F1"/>
    <w:rsid w:val="00164E53"/>
    <w:rsid w:val="00165C95"/>
    <w:rsid w:val="0016699D"/>
    <w:rsid w:val="00175159"/>
    <w:rsid w:val="00176208"/>
    <w:rsid w:val="0018211B"/>
    <w:rsid w:val="001840D3"/>
    <w:rsid w:val="00185A0D"/>
    <w:rsid w:val="001900F8"/>
    <w:rsid w:val="00191258"/>
    <w:rsid w:val="00192680"/>
    <w:rsid w:val="00193037"/>
    <w:rsid w:val="00193A2C"/>
    <w:rsid w:val="001944C2"/>
    <w:rsid w:val="00194D69"/>
    <w:rsid w:val="001A288E"/>
    <w:rsid w:val="001A3A5A"/>
    <w:rsid w:val="001B4A97"/>
    <w:rsid w:val="001B6DC2"/>
    <w:rsid w:val="001B73AB"/>
    <w:rsid w:val="001C0AD8"/>
    <w:rsid w:val="001C149C"/>
    <w:rsid w:val="001C21AC"/>
    <w:rsid w:val="001C31C0"/>
    <w:rsid w:val="001C47BA"/>
    <w:rsid w:val="001C57AC"/>
    <w:rsid w:val="001C59EA"/>
    <w:rsid w:val="001C6E50"/>
    <w:rsid w:val="001C7153"/>
    <w:rsid w:val="001D1CDD"/>
    <w:rsid w:val="001D2356"/>
    <w:rsid w:val="001D406C"/>
    <w:rsid w:val="001D41EE"/>
    <w:rsid w:val="001E0380"/>
    <w:rsid w:val="001E13B1"/>
    <w:rsid w:val="001E18F1"/>
    <w:rsid w:val="001E1CAE"/>
    <w:rsid w:val="001E5A10"/>
    <w:rsid w:val="001F0F02"/>
    <w:rsid w:val="001F3A19"/>
    <w:rsid w:val="001F5D48"/>
    <w:rsid w:val="00202ED1"/>
    <w:rsid w:val="0020573F"/>
    <w:rsid w:val="00212B72"/>
    <w:rsid w:val="00212E82"/>
    <w:rsid w:val="002325FE"/>
    <w:rsid w:val="00233A57"/>
    <w:rsid w:val="00234467"/>
    <w:rsid w:val="0023667E"/>
    <w:rsid w:val="00237D8D"/>
    <w:rsid w:val="00241DA2"/>
    <w:rsid w:val="002447C7"/>
    <w:rsid w:val="002466E8"/>
    <w:rsid w:val="00247FC7"/>
    <w:rsid w:val="00247FEE"/>
    <w:rsid w:val="00250E7D"/>
    <w:rsid w:val="00250FB1"/>
    <w:rsid w:val="00251DF5"/>
    <w:rsid w:val="002565D5"/>
    <w:rsid w:val="0025671A"/>
    <w:rsid w:val="0025756D"/>
    <w:rsid w:val="002578B6"/>
    <w:rsid w:val="0026202F"/>
    <w:rsid w:val="002622C0"/>
    <w:rsid w:val="00264EDF"/>
    <w:rsid w:val="00266873"/>
    <w:rsid w:val="002728B6"/>
    <w:rsid w:val="00274C1D"/>
    <w:rsid w:val="002778AE"/>
    <w:rsid w:val="0028269A"/>
    <w:rsid w:val="00283590"/>
    <w:rsid w:val="00283A4F"/>
    <w:rsid w:val="002841B0"/>
    <w:rsid w:val="00286973"/>
    <w:rsid w:val="002871AE"/>
    <w:rsid w:val="00291940"/>
    <w:rsid w:val="00294E70"/>
    <w:rsid w:val="002A003B"/>
    <w:rsid w:val="002A1924"/>
    <w:rsid w:val="002A6E8C"/>
    <w:rsid w:val="002A7420"/>
    <w:rsid w:val="002B0F12"/>
    <w:rsid w:val="002B1308"/>
    <w:rsid w:val="002B4399"/>
    <w:rsid w:val="002B4554"/>
    <w:rsid w:val="002C08D9"/>
    <w:rsid w:val="002C38FD"/>
    <w:rsid w:val="002C72D8"/>
    <w:rsid w:val="002C7A4E"/>
    <w:rsid w:val="002D11FA"/>
    <w:rsid w:val="002E0DDF"/>
    <w:rsid w:val="002E1846"/>
    <w:rsid w:val="002E2906"/>
    <w:rsid w:val="002E5635"/>
    <w:rsid w:val="002E64C3"/>
    <w:rsid w:val="002E6791"/>
    <w:rsid w:val="002E69E6"/>
    <w:rsid w:val="002E6A2C"/>
    <w:rsid w:val="002E7BCB"/>
    <w:rsid w:val="002F1D8C"/>
    <w:rsid w:val="002F21DA"/>
    <w:rsid w:val="002F47D3"/>
    <w:rsid w:val="003007D2"/>
    <w:rsid w:val="00301F39"/>
    <w:rsid w:val="00302840"/>
    <w:rsid w:val="00310A9B"/>
    <w:rsid w:val="003134A7"/>
    <w:rsid w:val="003172B6"/>
    <w:rsid w:val="00317FF3"/>
    <w:rsid w:val="003210B7"/>
    <w:rsid w:val="00323544"/>
    <w:rsid w:val="00323B38"/>
    <w:rsid w:val="00325926"/>
    <w:rsid w:val="003260B0"/>
    <w:rsid w:val="00327A8A"/>
    <w:rsid w:val="00334658"/>
    <w:rsid w:val="00336610"/>
    <w:rsid w:val="00341751"/>
    <w:rsid w:val="00343F73"/>
    <w:rsid w:val="00344A13"/>
    <w:rsid w:val="00345060"/>
    <w:rsid w:val="003463A0"/>
    <w:rsid w:val="0035039E"/>
    <w:rsid w:val="00350C5D"/>
    <w:rsid w:val="0035323B"/>
    <w:rsid w:val="00355FDB"/>
    <w:rsid w:val="003609D2"/>
    <w:rsid w:val="00360A1A"/>
    <w:rsid w:val="00363F22"/>
    <w:rsid w:val="00375564"/>
    <w:rsid w:val="00376D87"/>
    <w:rsid w:val="00383191"/>
    <w:rsid w:val="00384BAA"/>
    <w:rsid w:val="00386DED"/>
    <w:rsid w:val="003912E7"/>
    <w:rsid w:val="00392ECD"/>
    <w:rsid w:val="00393947"/>
    <w:rsid w:val="003962D8"/>
    <w:rsid w:val="0039655F"/>
    <w:rsid w:val="003A0F7D"/>
    <w:rsid w:val="003A2275"/>
    <w:rsid w:val="003A69C9"/>
    <w:rsid w:val="003A6A4F"/>
    <w:rsid w:val="003A7088"/>
    <w:rsid w:val="003A792A"/>
    <w:rsid w:val="003A795F"/>
    <w:rsid w:val="003B00DF"/>
    <w:rsid w:val="003B1275"/>
    <w:rsid w:val="003B1778"/>
    <w:rsid w:val="003C11CB"/>
    <w:rsid w:val="003C75F3"/>
    <w:rsid w:val="003C78A3"/>
    <w:rsid w:val="003C7901"/>
    <w:rsid w:val="003D1502"/>
    <w:rsid w:val="003D439F"/>
    <w:rsid w:val="003D5EF4"/>
    <w:rsid w:val="003E1584"/>
    <w:rsid w:val="003E1867"/>
    <w:rsid w:val="003E1C6F"/>
    <w:rsid w:val="003E5729"/>
    <w:rsid w:val="003F2E1E"/>
    <w:rsid w:val="003F386C"/>
    <w:rsid w:val="003F4EE0"/>
    <w:rsid w:val="00400981"/>
    <w:rsid w:val="00401EFA"/>
    <w:rsid w:val="00402153"/>
    <w:rsid w:val="00402FC1"/>
    <w:rsid w:val="00404942"/>
    <w:rsid w:val="00407F33"/>
    <w:rsid w:val="00414888"/>
    <w:rsid w:val="00421D1F"/>
    <w:rsid w:val="00425082"/>
    <w:rsid w:val="004309CF"/>
    <w:rsid w:val="00431DEB"/>
    <w:rsid w:val="00432A13"/>
    <w:rsid w:val="004408B4"/>
    <w:rsid w:val="00444D17"/>
    <w:rsid w:val="00446B29"/>
    <w:rsid w:val="00447140"/>
    <w:rsid w:val="00453F9A"/>
    <w:rsid w:val="004542B7"/>
    <w:rsid w:val="00455076"/>
    <w:rsid w:val="0046185C"/>
    <w:rsid w:val="00462F0F"/>
    <w:rsid w:val="0046407D"/>
    <w:rsid w:val="004640B5"/>
    <w:rsid w:val="00466282"/>
    <w:rsid w:val="00471E91"/>
    <w:rsid w:val="00473E95"/>
    <w:rsid w:val="00474675"/>
    <w:rsid w:val="0047470C"/>
    <w:rsid w:val="00486F6A"/>
    <w:rsid w:val="00487403"/>
    <w:rsid w:val="004875AD"/>
    <w:rsid w:val="00490450"/>
    <w:rsid w:val="004912CA"/>
    <w:rsid w:val="00491612"/>
    <w:rsid w:val="00492254"/>
    <w:rsid w:val="004A1446"/>
    <w:rsid w:val="004A35F9"/>
    <w:rsid w:val="004A5AA5"/>
    <w:rsid w:val="004B24C1"/>
    <w:rsid w:val="004B47BF"/>
    <w:rsid w:val="004C00F2"/>
    <w:rsid w:val="004C19FC"/>
    <w:rsid w:val="004C2515"/>
    <w:rsid w:val="004C292F"/>
    <w:rsid w:val="004C334F"/>
    <w:rsid w:val="004C33AD"/>
    <w:rsid w:val="004C7B10"/>
    <w:rsid w:val="004D27A1"/>
    <w:rsid w:val="004D31E8"/>
    <w:rsid w:val="004D66B6"/>
    <w:rsid w:val="004E3474"/>
    <w:rsid w:val="004E3E35"/>
    <w:rsid w:val="004E4163"/>
    <w:rsid w:val="004E4512"/>
    <w:rsid w:val="004F1DD2"/>
    <w:rsid w:val="004F27D6"/>
    <w:rsid w:val="004F3C6F"/>
    <w:rsid w:val="004F4271"/>
    <w:rsid w:val="00510280"/>
    <w:rsid w:val="00512C11"/>
    <w:rsid w:val="00513D73"/>
    <w:rsid w:val="00514A43"/>
    <w:rsid w:val="00516A0B"/>
    <w:rsid w:val="005174E5"/>
    <w:rsid w:val="00522393"/>
    <w:rsid w:val="00522620"/>
    <w:rsid w:val="005253B4"/>
    <w:rsid w:val="00525656"/>
    <w:rsid w:val="0053001D"/>
    <w:rsid w:val="00534C02"/>
    <w:rsid w:val="0053690F"/>
    <w:rsid w:val="00537EFB"/>
    <w:rsid w:val="00540DB6"/>
    <w:rsid w:val="0054264B"/>
    <w:rsid w:val="00543786"/>
    <w:rsid w:val="00545D4F"/>
    <w:rsid w:val="005533D7"/>
    <w:rsid w:val="00553953"/>
    <w:rsid w:val="005574B5"/>
    <w:rsid w:val="0056229D"/>
    <w:rsid w:val="00562C1B"/>
    <w:rsid w:val="0056444F"/>
    <w:rsid w:val="005703DE"/>
    <w:rsid w:val="00572E08"/>
    <w:rsid w:val="00576FC1"/>
    <w:rsid w:val="0057768E"/>
    <w:rsid w:val="00580141"/>
    <w:rsid w:val="0058464E"/>
    <w:rsid w:val="00584C64"/>
    <w:rsid w:val="00585938"/>
    <w:rsid w:val="005904D6"/>
    <w:rsid w:val="0059105C"/>
    <w:rsid w:val="00591E25"/>
    <w:rsid w:val="00595DC4"/>
    <w:rsid w:val="005A01CB"/>
    <w:rsid w:val="005A0FFA"/>
    <w:rsid w:val="005A1593"/>
    <w:rsid w:val="005A2733"/>
    <w:rsid w:val="005A2CB2"/>
    <w:rsid w:val="005A456A"/>
    <w:rsid w:val="005A49CE"/>
    <w:rsid w:val="005A58FF"/>
    <w:rsid w:val="005A5EAF"/>
    <w:rsid w:val="005A64C0"/>
    <w:rsid w:val="005A678C"/>
    <w:rsid w:val="005B3C11"/>
    <w:rsid w:val="005B67BD"/>
    <w:rsid w:val="005C1C28"/>
    <w:rsid w:val="005C3672"/>
    <w:rsid w:val="005C53CC"/>
    <w:rsid w:val="005C6DB5"/>
    <w:rsid w:val="005D215B"/>
    <w:rsid w:val="005E0F53"/>
    <w:rsid w:val="005E19E7"/>
    <w:rsid w:val="005E4387"/>
    <w:rsid w:val="006006AB"/>
    <w:rsid w:val="00600C15"/>
    <w:rsid w:val="00610C4A"/>
    <w:rsid w:val="00613267"/>
    <w:rsid w:val="006143BD"/>
    <w:rsid w:val="00616074"/>
    <w:rsid w:val="0061716C"/>
    <w:rsid w:val="00623C6D"/>
    <w:rsid w:val="006243A1"/>
    <w:rsid w:val="00632E56"/>
    <w:rsid w:val="00635CBA"/>
    <w:rsid w:val="006429A5"/>
    <w:rsid w:val="0064338B"/>
    <w:rsid w:val="00643BA8"/>
    <w:rsid w:val="006460C1"/>
    <w:rsid w:val="00646542"/>
    <w:rsid w:val="00646E7A"/>
    <w:rsid w:val="006504F4"/>
    <w:rsid w:val="00654BC9"/>
    <w:rsid w:val="006552FD"/>
    <w:rsid w:val="00663AF3"/>
    <w:rsid w:val="00666A85"/>
    <w:rsid w:val="00666B6C"/>
    <w:rsid w:val="00671C2F"/>
    <w:rsid w:val="00672678"/>
    <w:rsid w:val="00677008"/>
    <w:rsid w:val="00682682"/>
    <w:rsid w:val="00682702"/>
    <w:rsid w:val="00683E40"/>
    <w:rsid w:val="006844C9"/>
    <w:rsid w:val="0068638E"/>
    <w:rsid w:val="00686CDF"/>
    <w:rsid w:val="00692368"/>
    <w:rsid w:val="00692A19"/>
    <w:rsid w:val="0069581F"/>
    <w:rsid w:val="006A2EBC"/>
    <w:rsid w:val="006A5EA0"/>
    <w:rsid w:val="006A783B"/>
    <w:rsid w:val="006A7B33"/>
    <w:rsid w:val="006B1DE9"/>
    <w:rsid w:val="006B4E13"/>
    <w:rsid w:val="006B75DD"/>
    <w:rsid w:val="006C0926"/>
    <w:rsid w:val="006C25E4"/>
    <w:rsid w:val="006C5693"/>
    <w:rsid w:val="006C59B8"/>
    <w:rsid w:val="006C66D0"/>
    <w:rsid w:val="006C67E0"/>
    <w:rsid w:val="006C7ABA"/>
    <w:rsid w:val="006C7D3D"/>
    <w:rsid w:val="006D0D60"/>
    <w:rsid w:val="006D1122"/>
    <w:rsid w:val="006D3AAA"/>
    <w:rsid w:val="006D3C00"/>
    <w:rsid w:val="006D5394"/>
    <w:rsid w:val="006D65B8"/>
    <w:rsid w:val="006E0723"/>
    <w:rsid w:val="006E3675"/>
    <w:rsid w:val="006E4A7F"/>
    <w:rsid w:val="006F0693"/>
    <w:rsid w:val="006F2DB0"/>
    <w:rsid w:val="006F7D80"/>
    <w:rsid w:val="00700B1A"/>
    <w:rsid w:val="00700B42"/>
    <w:rsid w:val="0070216E"/>
    <w:rsid w:val="00704DF6"/>
    <w:rsid w:val="0070651C"/>
    <w:rsid w:val="00707397"/>
    <w:rsid w:val="00712476"/>
    <w:rsid w:val="007132A3"/>
    <w:rsid w:val="00714018"/>
    <w:rsid w:val="00714641"/>
    <w:rsid w:val="00716421"/>
    <w:rsid w:val="00716741"/>
    <w:rsid w:val="00717030"/>
    <w:rsid w:val="00722C66"/>
    <w:rsid w:val="00723123"/>
    <w:rsid w:val="00723CC4"/>
    <w:rsid w:val="00724EFB"/>
    <w:rsid w:val="007310EC"/>
    <w:rsid w:val="00740021"/>
    <w:rsid w:val="007419C3"/>
    <w:rsid w:val="00745009"/>
    <w:rsid w:val="00745B87"/>
    <w:rsid w:val="007467A7"/>
    <w:rsid w:val="007469DD"/>
    <w:rsid w:val="00746D5F"/>
    <w:rsid w:val="0074741B"/>
    <w:rsid w:val="0074759E"/>
    <w:rsid w:val="007478EA"/>
    <w:rsid w:val="00751256"/>
    <w:rsid w:val="00751C3C"/>
    <w:rsid w:val="00752871"/>
    <w:rsid w:val="00753BA1"/>
    <w:rsid w:val="0075415C"/>
    <w:rsid w:val="00760B63"/>
    <w:rsid w:val="00763502"/>
    <w:rsid w:val="00780B81"/>
    <w:rsid w:val="00781936"/>
    <w:rsid w:val="00782605"/>
    <w:rsid w:val="007828DB"/>
    <w:rsid w:val="007910C3"/>
    <w:rsid w:val="007913AB"/>
    <w:rsid w:val="007914F7"/>
    <w:rsid w:val="00793BDC"/>
    <w:rsid w:val="00794E14"/>
    <w:rsid w:val="007A177C"/>
    <w:rsid w:val="007B047E"/>
    <w:rsid w:val="007B0F72"/>
    <w:rsid w:val="007B1625"/>
    <w:rsid w:val="007B1B25"/>
    <w:rsid w:val="007B2E9E"/>
    <w:rsid w:val="007B5321"/>
    <w:rsid w:val="007B5A45"/>
    <w:rsid w:val="007B5FE0"/>
    <w:rsid w:val="007B706E"/>
    <w:rsid w:val="007B71EB"/>
    <w:rsid w:val="007C0585"/>
    <w:rsid w:val="007C6205"/>
    <w:rsid w:val="007C686A"/>
    <w:rsid w:val="007C728E"/>
    <w:rsid w:val="007C7BE1"/>
    <w:rsid w:val="007D0198"/>
    <w:rsid w:val="007D2C53"/>
    <w:rsid w:val="007D3D60"/>
    <w:rsid w:val="007D3EC7"/>
    <w:rsid w:val="007E1505"/>
    <w:rsid w:val="007E1980"/>
    <w:rsid w:val="007E3CC6"/>
    <w:rsid w:val="007E4B76"/>
    <w:rsid w:val="007E5EA8"/>
    <w:rsid w:val="007F0CF1"/>
    <w:rsid w:val="007F12A5"/>
    <w:rsid w:val="007F2C4A"/>
    <w:rsid w:val="007F3057"/>
    <w:rsid w:val="007F4CF1"/>
    <w:rsid w:val="007F537F"/>
    <w:rsid w:val="007F6BAD"/>
    <w:rsid w:val="007F758D"/>
    <w:rsid w:val="007F7D52"/>
    <w:rsid w:val="00802CF1"/>
    <w:rsid w:val="0080654C"/>
    <w:rsid w:val="008071C6"/>
    <w:rsid w:val="00811891"/>
    <w:rsid w:val="00811DC0"/>
    <w:rsid w:val="008120F6"/>
    <w:rsid w:val="00817A00"/>
    <w:rsid w:val="00820B4C"/>
    <w:rsid w:val="00823035"/>
    <w:rsid w:val="00833241"/>
    <w:rsid w:val="00835DB3"/>
    <w:rsid w:val="0083617B"/>
    <w:rsid w:val="008371BD"/>
    <w:rsid w:val="008417D8"/>
    <w:rsid w:val="00845E30"/>
    <w:rsid w:val="00846394"/>
    <w:rsid w:val="00847EDE"/>
    <w:rsid w:val="00850112"/>
    <w:rsid w:val="008504A8"/>
    <w:rsid w:val="0085282E"/>
    <w:rsid w:val="00857DB7"/>
    <w:rsid w:val="00861E66"/>
    <w:rsid w:val="0086336C"/>
    <w:rsid w:val="00863A3E"/>
    <w:rsid w:val="0087198C"/>
    <w:rsid w:val="00872C1F"/>
    <w:rsid w:val="00873B42"/>
    <w:rsid w:val="00874F9E"/>
    <w:rsid w:val="008856D8"/>
    <w:rsid w:val="00887247"/>
    <w:rsid w:val="0089239C"/>
    <w:rsid w:val="00892E82"/>
    <w:rsid w:val="0089340C"/>
    <w:rsid w:val="0089345C"/>
    <w:rsid w:val="00896065"/>
    <w:rsid w:val="00897098"/>
    <w:rsid w:val="008A69A5"/>
    <w:rsid w:val="008B2BFA"/>
    <w:rsid w:val="008B6270"/>
    <w:rsid w:val="008B6B0F"/>
    <w:rsid w:val="008B7617"/>
    <w:rsid w:val="008C05F2"/>
    <w:rsid w:val="008C1B58"/>
    <w:rsid w:val="008C39AE"/>
    <w:rsid w:val="008C590D"/>
    <w:rsid w:val="008C766C"/>
    <w:rsid w:val="008E031B"/>
    <w:rsid w:val="008E09E9"/>
    <w:rsid w:val="008E2E1E"/>
    <w:rsid w:val="008E5F5B"/>
    <w:rsid w:val="008E6986"/>
    <w:rsid w:val="008E7029"/>
    <w:rsid w:val="008E76FF"/>
    <w:rsid w:val="008E7EF6"/>
    <w:rsid w:val="008F058D"/>
    <w:rsid w:val="008F1F98"/>
    <w:rsid w:val="008F6758"/>
    <w:rsid w:val="009040DD"/>
    <w:rsid w:val="009055EE"/>
    <w:rsid w:val="00905B47"/>
    <w:rsid w:val="009070B8"/>
    <w:rsid w:val="009107F5"/>
    <w:rsid w:val="00910840"/>
    <w:rsid w:val="0091331C"/>
    <w:rsid w:val="00914DE6"/>
    <w:rsid w:val="0091604C"/>
    <w:rsid w:val="00916173"/>
    <w:rsid w:val="00920316"/>
    <w:rsid w:val="009279DE"/>
    <w:rsid w:val="00927FE6"/>
    <w:rsid w:val="00930116"/>
    <w:rsid w:val="009344EF"/>
    <w:rsid w:val="00937555"/>
    <w:rsid w:val="00937AF0"/>
    <w:rsid w:val="0094212C"/>
    <w:rsid w:val="00954689"/>
    <w:rsid w:val="009617C9"/>
    <w:rsid w:val="00961C93"/>
    <w:rsid w:val="0096263B"/>
    <w:rsid w:val="0096315F"/>
    <w:rsid w:val="00965324"/>
    <w:rsid w:val="0097091E"/>
    <w:rsid w:val="009725FC"/>
    <w:rsid w:val="009727AB"/>
    <w:rsid w:val="009760D3"/>
    <w:rsid w:val="00977132"/>
    <w:rsid w:val="00981A4B"/>
    <w:rsid w:val="00982501"/>
    <w:rsid w:val="00984E2E"/>
    <w:rsid w:val="009877D3"/>
    <w:rsid w:val="00991E20"/>
    <w:rsid w:val="009934D4"/>
    <w:rsid w:val="0099427D"/>
    <w:rsid w:val="00994E8F"/>
    <w:rsid w:val="009951DC"/>
    <w:rsid w:val="009959BB"/>
    <w:rsid w:val="00997158"/>
    <w:rsid w:val="009A1F3E"/>
    <w:rsid w:val="009A3A7C"/>
    <w:rsid w:val="009B2ADB"/>
    <w:rsid w:val="009B2D33"/>
    <w:rsid w:val="009B3A73"/>
    <w:rsid w:val="009B5F61"/>
    <w:rsid w:val="009B603A"/>
    <w:rsid w:val="009B6E07"/>
    <w:rsid w:val="009C1DF1"/>
    <w:rsid w:val="009C2D0E"/>
    <w:rsid w:val="009C3DAC"/>
    <w:rsid w:val="009C426D"/>
    <w:rsid w:val="009C42E0"/>
    <w:rsid w:val="009C4B60"/>
    <w:rsid w:val="009D5362"/>
    <w:rsid w:val="009D7A0E"/>
    <w:rsid w:val="009E12AE"/>
    <w:rsid w:val="009E1415"/>
    <w:rsid w:val="009E4953"/>
    <w:rsid w:val="009E4E5A"/>
    <w:rsid w:val="009E6116"/>
    <w:rsid w:val="009E659D"/>
    <w:rsid w:val="009E6D3F"/>
    <w:rsid w:val="009E7732"/>
    <w:rsid w:val="009F0016"/>
    <w:rsid w:val="009F2F66"/>
    <w:rsid w:val="009F5F7B"/>
    <w:rsid w:val="009F6B64"/>
    <w:rsid w:val="00A02E43"/>
    <w:rsid w:val="00A065F9"/>
    <w:rsid w:val="00A06C53"/>
    <w:rsid w:val="00A07F34"/>
    <w:rsid w:val="00A07F43"/>
    <w:rsid w:val="00A15809"/>
    <w:rsid w:val="00A15FFD"/>
    <w:rsid w:val="00A17F4E"/>
    <w:rsid w:val="00A22154"/>
    <w:rsid w:val="00A25C38"/>
    <w:rsid w:val="00A2766D"/>
    <w:rsid w:val="00A349D9"/>
    <w:rsid w:val="00A36BBE"/>
    <w:rsid w:val="00A406AF"/>
    <w:rsid w:val="00A4204B"/>
    <w:rsid w:val="00A4307A"/>
    <w:rsid w:val="00A44828"/>
    <w:rsid w:val="00A47EBB"/>
    <w:rsid w:val="00A51A7F"/>
    <w:rsid w:val="00A51CDD"/>
    <w:rsid w:val="00A546ED"/>
    <w:rsid w:val="00A55B6B"/>
    <w:rsid w:val="00A568E7"/>
    <w:rsid w:val="00A608CE"/>
    <w:rsid w:val="00A626A6"/>
    <w:rsid w:val="00A62C89"/>
    <w:rsid w:val="00A630FB"/>
    <w:rsid w:val="00A6730D"/>
    <w:rsid w:val="00A676B9"/>
    <w:rsid w:val="00A67CE4"/>
    <w:rsid w:val="00A71625"/>
    <w:rsid w:val="00A71B9B"/>
    <w:rsid w:val="00A751C7"/>
    <w:rsid w:val="00A76301"/>
    <w:rsid w:val="00A8054C"/>
    <w:rsid w:val="00A82CBF"/>
    <w:rsid w:val="00A867F4"/>
    <w:rsid w:val="00A87844"/>
    <w:rsid w:val="00A91140"/>
    <w:rsid w:val="00A9397B"/>
    <w:rsid w:val="00A9526E"/>
    <w:rsid w:val="00A95C6F"/>
    <w:rsid w:val="00AA038C"/>
    <w:rsid w:val="00AA5279"/>
    <w:rsid w:val="00AA7A09"/>
    <w:rsid w:val="00AB1B7B"/>
    <w:rsid w:val="00AB263B"/>
    <w:rsid w:val="00AB3B50"/>
    <w:rsid w:val="00AB725C"/>
    <w:rsid w:val="00AB7864"/>
    <w:rsid w:val="00AC05B1"/>
    <w:rsid w:val="00AD356C"/>
    <w:rsid w:val="00AE2914"/>
    <w:rsid w:val="00AE3E37"/>
    <w:rsid w:val="00AE6D15"/>
    <w:rsid w:val="00B01F2F"/>
    <w:rsid w:val="00B02AFA"/>
    <w:rsid w:val="00B02CB7"/>
    <w:rsid w:val="00B04182"/>
    <w:rsid w:val="00B04714"/>
    <w:rsid w:val="00B05CA6"/>
    <w:rsid w:val="00B06697"/>
    <w:rsid w:val="00B07AE3"/>
    <w:rsid w:val="00B10B7B"/>
    <w:rsid w:val="00B11430"/>
    <w:rsid w:val="00B11454"/>
    <w:rsid w:val="00B13BD0"/>
    <w:rsid w:val="00B168D2"/>
    <w:rsid w:val="00B2642A"/>
    <w:rsid w:val="00B32702"/>
    <w:rsid w:val="00B32ABC"/>
    <w:rsid w:val="00B353EB"/>
    <w:rsid w:val="00B36BF3"/>
    <w:rsid w:val="00B36C94"/>
    <w:rsid w:val="00B3767E"/>
    <w:rsid w:val="00B37A87"/>
    <w:rsid w:val="00B41563"/>
    <w:rsid w:val="00B423BF"/>
    <w:rsid w:val="00B42E42"/>
    <w:rsid w:val="00B439C4"/>
    <w:rsid w:val="00B4535E"/>
    <w:rsid w:val="00B459BE"/>
    <w:rsid w:val="00B46876"/>
    <w:rsid w:val="00B52A8C"/>
    <w:rsid w:val="00B54DDB"/>
    <w:rsid w:val="00B553A0"/>
    <w:rsid w:val="00B611D4"/>
    <w:rsid w:val="00B617E8"/>
    <w:rsid w:val="00B61C5D"/>
    <w:rsid w:val="00B636A8"/>
    <w:rsid w:val="00B6617F"/>
    <w:rsid w:val="00B662FF"/>
    <w:rsid w:val="00B665C6"/>
    <w:rsid w:val="00B70CD8"/>
    <w:rsid w:val="00B74567"/>
    <w:rsid w:val="00B805AF"/>
    <w:rsid w:val="00B810B8"/>
    <w:rsid w:val="00B869EC"/>
    <w:rsid w:val="00B86B98"/>
    <w:rsid w:val="00B909E3"/>
    <w:rsid w:val="00B91BD9"/>
    <w:rsid w:val="00B93516"/>
    <w:rsid w:val="00B9397A"/>
    <w:rsid w:val="00B9588C"/>
    <w:rsid w:val="00B9633D"/>
    <w:rsid w:val="00B9676C"/>
    <w:rsid w:val="00BA2EBE"/>
    <w:rsid w:val="00BA3EB2"/>
    <w:rsid w:val="00BA5A62"/>
    <w:rsid w:val="00BB0F28"/>
    <w:rsid w:val="00BB43E5"/>
    <w:rsid w:val="00BB458A"/>
    <w:rsid w:val="00BC1FAC"/>
    <w:rsid w:val="00BC2064"/>
    <w:rsid w:val="00BC2EF0"/>
    <w:rsid w:val="00BC5148"/>
    <w:rsid w:val="00BD00D3"/>
    <w:rsid w:val="00BD1659"/>
    <w:rsid w:val="00BD2288"/>
    <w:rsid w:val="00BD3A1F"/>
    <w:rsid w:val="00BD3A39"/>
    <w:rsid w:val="00BD3AA9"/>
    <w:rsid w:val="00BD4426"/>
    <w:rsid w:val="00BD4A18"/>
    <w:rsid w:val="00BD5205"/>
    <w:rsid w:val="00BD66BD"/>
    <w:rsid w:val="00BD6C74"/>
    <w:rsid w:val="00BD6DB2"/>
    <w:rsid w:val="00BE0F6B"/>
    <w:rsid w:val="00BE11CF"/>
    <w:rsid w:val="00BE21AB"/>
    <w:rsid w:val="00BE42D8"/>
    <w:rsid w:val="00BE546C"/>
    <w:rsid w:val="00BE55CB"/>
    <w:rsid w:val="00BE5692"/>
    <w:rsid w:val="00BF177F"/>
    <w:rsid w:val="00BF617A"/>
    <w:rsid w:val="00C00945"/>
    <w:rsid w:val="00C0379D"/>
    <w:rsid w:val="00C03931"/>
    <w:rsid w:val="00C05FE3"/>
    <w:rsid w:val="00C14648"/>
    <w:rsid w:val="00C2106B"/>
    <w:rsid w:val="00C2136D"/>
    <w:rsid w:val="00C214EE"/>
    <w:rsid w:val="00C22675"/>
    <w:rsid w:val="00C2314B"/>
    <w:rsid w:val="00C24971"/>
    <w:rsid w:val="00C257B3"/>
    <w:rsid w:val="00C26BE5"/>
    <w:rsid w:val="00C26E4D"/>
    <w:rsid w:val="00C27909"/>
    <w:rsid w:val="00C27B03"/>
    <w:rsid w:val="00C314E1"/>
    <w:rsid w:val="00C31AF5"/>
    <w:rsid w:val="00C32F16"/>
    <w:rsid w:val="00C33AD3"/>
    <w:rsid w:val="00C34397"/>
    <w:rsid w:val="00C3465F"/>
    <w:rsid w:val="00C4095D"/>
    <w:rsid w:val="00C4317D"/>
    <w:rsid w:val="00C5361C"/>
    <w:rsid w:val="00C57D9F"/>
    <w:rsid w:val="00C601D2"/>
    <w:rsid w:val="00C65BCC"/>
    <w:rsid w:val="00C66970"/>
    <w:rsid w:val="00C8691C"/>
    <w:rsid w:val="00C926DC"/>
    <w:rsid w:val="00C96137"/>
    <w:rsid w:val="00C96843"/>
    <w:rsid w:val="00CA168A"/>
    <w:rsid w:val="00CA357E"/>
    <w:rsid w:val="00CA44F9"/>
    <w:rsid w:val="00CA4A69"/>
    <w:rsid w:val="00CA569B"/>
    <w:rsid w:val="00CA7931"/>
    <w:rsid w:val="00CC0356"/>
    <w:rsid w:val="00CC0F83"/>
    <w:rsid w:val="00CC3E0C"/>
    <w:rsid w:val="00CC5132"/>
    <w:rsid w:val="00CC58D3"/>
    <w:rsid w:val="00CC5FB0"/>
    <w:rsid w:val="00CC784D"/>
    <w:rsid w:val="00CD01F4"/>
    <w:rsid w:val="00CD15E9"/>
    <w:rsid w:val="00CD7078"/>
    <w:rsid w:val="00CD7312"/>
    <w:rsid w:val="00CD79A7"/>
    <w:rsid w:val="00CE0698"/>
    <w:rsid w:val="00CE2A13"/>
    <w:rsid w:val="00CE5941"/>
    <w:rsid w:val="00CE6557"/>
    <w:rsid w:val="00CF0F58"/>
    <w:rsid w:val="00CF2F81"/>
    <w:rsid w:val="00CF7B5B"/>
    <w:rsid w:val="00D0337B"/>
    <w:rsid w:val="00D03709"/>
    <w:rsid w:val="00D04ED5"/>
    <w:rsid w:val="00D079B2"/>
    <w:rsid w:val="00D114E9"/>
    <w:rsid w:val="00D1222D"/>
    <w:rsid w:val="00D17678"/>
    <w:rsid w:val="00D17D06"/>
    <w:rsid w:val="00D23DC0"/>
    <w:rsid w:val="00D25803"/>
    <w:rsid w:val="00D26BAD"/>
    <w:rsid w:val="00D3723F"/>
    <w:rsid w:val="00D405E9"/>
    <w:rsid w:val="00D429C6"/>
    <w:rsid w:val="00D47748"/>
    <w:rsid w:val="00D507EF"/>
    <w:rsid w:val="00D54CC3"/>
    <w:rsid w:val="00D56960"/>
    <w:rsid w:val="00D57951"/>
    <w:rsid w:val="00D57B33"/>
    <w:rsid w:val="00D6041A"/>
    <w:rsid w:val="00D633EB"/>
    <w:rsid w:val="00D65397"/>
    <w:rsid w:val="00D71101"/>
    <w:rsid w:val="00D72DB6"/>
    <w:rsid w:val="00D730DB"/>
    <w:rsid w:val="00D733AF"/>
    <w:rsid w:val="00D75F71"/>
    <w:rsid w:val="00D80734"/>
    <w:rsid w:val="00D80F58"/>
    <w:rsid w:val="00D82FF7"/>
    <w:rsid w:val="00D83CD5"/>
    <w:rsid w:val="00D83F30"/>
    <w:rsid w:val="00D84643"/>
    <w:rsid w:val="00D847FE"/>
    <w:rsid w:val="00D867BF"/>
    <w:rsid w:val="00D964EA"/>
    <w:rsid w:val="00D966D0"/>
    <w:rsid w:val="00D97A68"/>
    <w:rsid w:val="00DA0C59"/>
    <w:rsid w:val="00DA38F5"/>
    <w:rsid w:val="00DA3991"/>
    <w:rsid w:val="00DA5F60"/>
    <w:rsid w:val="00DA78FC"/>
    <w:rsid w:val="00DB6546"/>
    <w:rsid w:val="00DB7E6C"/>
    <w:rsid w:val="00DC14C6"/>
    <w:rsid w:val="00DC62EC"/>
    <w:rsid w:val="00DD5190"/>
    <w:rsid w:val="00DD5A29"/>
    <w:rsid w:val="00DD5C58"/>
    <w:rsid w:val="00DD5D9D"/>
    <w:rsid w:val="00DE0E84"/>
    <w:rsid w:val="00DE3550"/>
    <w:rsid w:val="00DE35CB"/>
    <w:rsid w:val="00DE7B71"/>
    <w:rsid w:val="00DF21E9"/>
    <w:rsid w:val="00E00F14"/>
    <w:rsid w:val="00E06386"/>
    <w:rsid w:val="00E0649B"/>
    <w:rsid w:val="00E11ED1"/>
    <w:rsid w:val="00E12766"/>
    <w:rsid w:val="00E13598"/>
    <w:rsid w:val="00E15542"/>
    <w:rsid w:val="00E15E3C"/>
    <w:rsid w:val="00E17A9D"/>
    <w:rsid w:val="00E20A8E"/>
    <w:rsid w:val="00E24EB4"/>
    <w:rsid w:val="00E30913"/>
    <w:rsid w:val="00E320ED"/>
    <w:rsid w:val="00E3375A"/>
    <w:rsid w:val="00E33AFB"/>
    <w:rsid w:val="00E34218"/>
    <w:rsid w:val="00E40655"/>
    <w:rsid w:val="00E46282"/>
    <w:rsid w:val="00E50C8C"/>
    <w:rsid w:val="00E51DF5"/>
    <w:rsid w:val="00E5216E"/>
    <w:rsid w:val="00E548C1"/>
    <w:rsid w:val="00E56654"/>
    <w:rsid w:val="00E60441"/>
    <w:rsid w:val="00E7111A"/>
    <w:rsid w:val="00E72513"/>
    <w:rsid w:val="00E82344"/>
    <w:rsid w:val="00E82AE8"/>
    <w:rsid w:val="00E84C82"/>
    <w:rsid w:val="00E84D64"/>
    <w:rsid w:val="00E856A1"/>
    <w:rsid w:val="00E87408"/>
    <w:rsid w:val="00E914C4"/>
    <w:rsid w:val="00E91F2B"/>
    <w:rsid w:val="00E934F5"/>
    <w:rsid w:val="00E96961"/>
    <w:rsid w:val="00E96D01"/>
    <w:rsid w:val="00EA2E69"/>
    <w:rsid w:val="00EA72EC"/>
    <w:rsid w:val="00EB11CB"/>
    <w:rsid w:val="00EB275A"/>
    <w:rsid w:val="00EB786A"/>
    <w:rsid w:val="00EC099B"/>
    <w:rsid w:val="00EC1578"/>
    <w:rsid w:val="00EC1C72"/>
    <w:rsid w:val="00EC3CC9"/>
    <w:rsid w:val="00EC680A"/>
    <w:rsid w:val="00EC72C6"/>
    <w:rsid w:val="00EC7F83"/>
    <w:rsid w:val="00ED3CAB"/>
    <w:rsid w:val="00ED5271"/>
    <w:rsid w:val="00EE273C"/>
    <w:rsid w:val="00EE2BED"/>
    <w:rsid w:val="00EE374B"/>
    <w:rsid w:val="00EF7170"/>
    <w:rsid w:val="00F00588"/>
    <w:rsid w:val="00F04BF2"/>
    <w:rsid w:val="00F11BB5"/>
    <w:rsid w:val="00F133A6"/>
    <w:rsid w:val="00F1417B"/>
    <w:rsid w:val="00F16286"/>
    <w:rsid w:val="00F1765E"/>
    <w:rsid w:val="00F207FC"/>
    <w:rsid w:val="00F24C1A"/>
    <w:rsid w:val="00F338C3"/>
    <w:rsid w:val="00F34B99"/>
    <w:rsid w:val="00F34FC4"/>
    <w:rsid w:val="00F364AF"/>
    <w:rsid w:val="00F432DF"/>
    <w:rsid w:val="00F50DED"/>
    <w:rsid w:val="00F51E7E"/>
    <w:rsid w:val="00F52DAB"/>
    <w:rsid w:val="00F5430A"/>
    <w:rsid w:val="00F543F0"/>
    <w:rsid w:val="00F57695"/>
    <w:rsid w:val="00F60692"/>
    <w:rsid w:val="00F6333A"/>
    <w:rsid w:val="00F80904"/>
    <w:rsid w:val="00F81369"/>
    <w:rsid w:val="00F81D29"/>
    <w:rsid w:val="00F86CBC"/>
    <w:rsid w:val="00F87125"/>
    <w:rsid w:val="00F90A37"/>
    <w:rsid w:val="00F91C4D"/>
    <w:rsid w:val="00F92FD9"/>
    <w:rsid w:val="00F94DDE"/>
    <w:rsid w:val="00F94FFC"/>
    <w:rsid w:val="00F95A96"/>
    <w:rsid w:val="00F9782C"/>
    <w:rsid w:val="00FA12FA"/>
    <w:rsid w:val="00FA3A40"/>
    <w:rsid w:val="00FA6684"/>
    <w:rsid w:val="00FA731E"/>
    <w:rsid w:val="00FB2B38"/>
    <w:rsid w:val="00FC2EBF"/>
    <w:rsid w:val="00FC5389"/>
    <w:rsid w:val="00FC6358"/>
    <w:rsid w:val="00FC6B0E"/>
    <w:rsid w:val="00FD0608"/>
    <w:rsid w:val="00FD320D"/>
    <w:rsid w:val="00FD51AE"/>
    <w:rsid w:val="00FD5C7C"/>
    <w:rsid w:val="00FE23DE"/>
    <w:rsid w:val="00FF64BB"/>
    <w:rsid w:val="00FF7DAC"/>
    <w:rsid w:val="02CC3C0E"/>
    <w:rsid w:val="057706CE"/>
    <w:rsid w:val="05B15810"/>
    <w:rsid w:val="060F2843"/>
    <w:rsid w:val="0FD77F2D"/>
    <w:rsid w:val="10795489"/>
    <w:rsid w:val="11533D7C"/>
    <w:rsid w:val="14916AC5"/>
    <w:rsid w:val="177F471A"/>
    <w:rsid w:val="18867A97"/>
    <w:rsid w:val="1A865617"/>
    <w:rsid w:val="21C36564"/>
    <w:rsid w:val="23847EEF"/>
    <w:rsid w:val="28573406"/>
    <w:rsid w:val="2AF03D06"/>
    <w:rsid w:val="2CC12B6B"/>
    <w:rsid w:val="2DB93DC0"/>
    <w:rsid w:val="2DE53A94"/>
    <w:rsid w:val="2E2C6BA8"/>
    <w:rsid w:val="2E5E045E"/>
    <w:rsid w:val="2EA31B35"/>
    <w:rsid w:val="33342D2C"/>
    <w:rsid w:val="337D7CD6"/>
    <w:rsid w:val="35860E93"/>
    <w:rsid w:val="37626982"/>
    <w:rsid w:val="3786119B"/>
    <w:rsid w:val="3D0534C9"/>
    <w:rsid w:val="3D450EDB"/>
    <w:rsid w:val="457C2402"/>
    <w:rsid w:val="45837C34"/>
    <w:rsid w:val="48C11C65"/>
    <w:rsid w:val="53014346"/>
    <w:rsid w:val="57A44166"/>
    <w:rsid w:val="58DF6BBB"/>
    <w:rsid w:val="600348F2"/>
    <w:rsid w:val="606F2487"/>
    <w:rsid w:val="622E44B5"/>
    <w:rsid w:val="627D29A5"/>
    <w:rsid w:val="64A065AB"/>
    <w:rsid w:val="719E42C1"/>
    <w:rsid w:val="75865FC9"/>
    <w:rsid w:val="763E6F7C"/>
    <w:rsid w:val="79842014"/>
    <w:rsid w:val="7B1668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0"/>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15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52"/>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153"/>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154"/>
    <w:semiHidden/>
    <w:unhideWhenUsed/>
    <w:qFormat/>
    <w:uiPriority w:val="0"/>
    <w:pPr>
      <w:keepNext/>
      <w:keepLines/>
      <w:spacing w:before="240" w:after="64" w:line="320" w:lineRule="auto"/>
      <w:outlineLvl w:val="6"/>
    </w:pPr>
    <w:rPr>
      <w:b/>
      <w:bCs/>
      <w:sz w:val="24"/>
    </w:rPr>
  </w:style>
  <w:style w:type="paragraph" w:styleId="9">
    <w:name w:val="heading 8"/>
    <w:basedOn w:val="1"/>
    <w:next w:val="1"/>
    <w:link w:val="155"/>
    <w:semiHidden/>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156"/>
    <w:semiHidden/>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tabs>
        <w:tab w:val="right" w:leader="dot" w:pos="9241"/>
      </w:tabs>
      <w:ind w:firstLine="500"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qFormat/>
    <w:uiPriority w:val="0"/>
    <w:pPr>
      <w:ind w:left="1050" w:hanging="210"/>
      <w:jc w:val="left"/>
    </w:pPr>
    <w:rPr>
      <w:rFonts w:ascii="Calibri" w:hAnsi="Calibri"/>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145"/>
    <w:qFormat/>
    <w:uiPriority w:val="0"/>
    <w:pPr>
      <w:jc w:val="left"/>
    </w:pPr>
  </w:style>
  <w:style w:type="paragraph" w:styleId="17">
    <w:name w:val="index 6"/>
    <w:basedOn w:val="1"/>
    <w:next w:val="1"/>
    <w:qFormat/>
    <w:uiPriority w:val="0"/>
    <w:pPr>
      <w:ind w:left="1260" w:hanging="210"/>
      <w:jc w:val="left"/>
    </w:pPr>
    <w:rPr>
      <w:rFonts w:ascii="Calibri" w:hAnsi="Calibri"/>
      <w:sz w:val="20"/>
      <w:szCs w:val="20"/>
    </w:rPr>
  </w:style>
  <w:style w:type="paragraph" w:styleId="18">
    <w:name w:val="index 4"/>
    <w:basedOn w:val="1"/>
    <w:next w:val="1"/>
    <w:qFormat/>
    <w:uiPriority w:val="0"/>
    <w:pPr>
      <w:ind w:left="840" w:hanging="210"/>
      <w:jc w:val="left"/>
    </w:pPr>
    <w:rPr>
      <w:rFonts w:ascii="Calibri" w:hAnsi="Calibri"/>
      <w:sz w:val="20"/>
      <w:szCs w:val="20"/>
    </w:rPr>
  </w:style>
  <w:style w:type="paragraph" w:styleId="19">
    <w:name w:val="toc 5"/>
    <w:basedOn w:val="1"/>
    <w:next w:val="1"/>
    <w:semiHidden/>
    <w:qFormat/>
    <w:uiPriority w:val="0"/>
    <w:pPr>
      <w:tabs>
        <w:tab w:val="right" w:leader="dot" w:pos="9241"/>
      </w:tabs>
      <w:ind w:firstLine="300" w:firstLineChars="300"/>
      <w:jc w:val="left"/>
    </w:pPr>
    <w:rPr>
      <w:rFonts w:ascii="宋体"/>
      <w:szCs w:val="21"/>
    </w:rPr>
  </w:style>
  <w:style w:type="paragraph" w:styleId="20">
    <w:name w:val="toc 3"/>
    <w:basedOn w:val="1"/>
    <w:next w:val="1"/>
    <w:semiHidden/>
    <w:qFormat/>
    <w:uiPriority w:val="0"/>
    <w:pPr>
      <w:tabs>
        <w:tab w:val="right" w:leader="dot" w:pos="9241"/>
      </w:tabs>
      <w:ind w:firstLine="100" w:firstLineChars="100"/>
      <w:jc w:val="left"/>
    </w:pPr>
    <w:rPr>
      <w:rFonts w:ascii="宋体"/>
      <w:szCs w:val="21"/>
    </w:rPr>
  </w:style>
  <w:style w:type="paragraph" w:styleId="21">
    <w:name w:val="toc 8"/>
    <w:basedOn w:val="1"/>
    <w:next w:val="1"/>
    <w:semiHidden/>
    <w:qFormat/>
    <w:uiPriority w:val="0"/>
    <w:pPr>
      <w:tabs>
        <w:tab w:val="right" w:leader="dot" w:pos="9241"/>
      </w:tabs>
      <w:ind w:firstLine="607" w:firstLineChars="600"/>
      <w:jc w:val="left"/>
    </w:pPr>
    <w:rPr>
      <w:rFonts w:ascii="宋体"/>
      <w:szCs w:val="21"/>
    </w:rPr>
  </w:style>
  <w:style w:type="paragraph" w:styleId="22">
    <w:name w:val="index 3"/>
    <w:basedOn w:val="1"/>
    <w:next w:val="1"/>
    <w:qFormat/>
    <w:uiPriority w:val="0"/>
    <w:pPr>
      <w:ind w:left="630" w:hanging="210"/>
      <w:jc w:val="left"/>
    </w:pPr>
    <w:rPr>
      <w:rFonts w:ascii="Calibri" w:hAnsi="Calibri"/>
      <w:sz w:val="20"/>
      <w:szCs w:val="20"/>
    </w:rPr>
  </w:style>
  <w:style w:type="paragraph" w:styleId="23">
    <w:name w:val="endnote text"/>
    <w:basedOn w:val="1"/>
    <w:semiHidden/>
    <w:qFormat/>
    <w:uiPriority w:val="0"/>
    <w:pPr>
      <w:snapToGrid w:val="0"/>
      <w:jc w:val="left"/>
    </w:pPr>
  </w:style>
  <w:style w:type="paragraph" w:styleId="24">
    <w:name w:val="Balloon Text"/>
    <w:basedOn w:val="1"/>
    <w:semiHidden/>
    <w:qFormat/>
    <w:uiPriority w:val="0"/>
    <w:rPr>
      <w:sz w:val="18"/>
      <w:szCs w:val="18"/>
    </w:rPr>
  </w:style>
  <w:style w:type="paragraph" w:styleId="25">
    <w:name w:val="footer"/>
    <w:basedOn w:val="1"/>
    <w:link w:val="157"/>
    <w:qFormat/>
    <w:uiPriority w:val="99"/>
    <w:pPr>
      <w:snapToGrid w:val="0"/>
      <w:ind w:right="210" w:rightChars="100"/>
      <w:jc w:val="right"/>
    </w:pPr>
    <w:rPr>
      <w:sz w:val="18"/>
      <w:szCs w:val="18"/>
    </w:rPr>
  </w:style>
  <w:style w:type="paragraph" w:styleId="26">
    <w:name w:val="header"/>
    <w:basedOn w:val="1"/>
    <w:link w:val="147"/>
    <w:qFormat/>
    <w:uiPriority w:val="0"/>
    <w:pPr>
      <w:snapToGrid w:val="0"/>
      <w:jc w:val="left"/>
    </w:pPr>
    <w:rPr>
      <w:sz w:val="18"/>
      <w:szCs w:val="18"/>
    </w:rPr>
  </w:style>
  <w:style w:type="paragraph" w:styleId="27">
    <w:name w:val="toc 1"/>
    <w:basedOn w:val="1"/>
    <w:next w:val="1"/>
    <w:semiHidden/>
    <w:qFormat/>
    <w:uiPriority w:val="0"/>
    <w:pPr>
      <w:tabs>
        <w:tab w:val="right" w:leader="dot" w:pos="9242"/>
      </w:tabs>
      <w:spacing w:beforeLines="25" w:afterLines="25"/>
      <w:jc w:val="left"/>
    </w:pPr>
    <w:rPr>
      <w:rFonts w:ascii="宋体"/>
      <w:szCs w:val="21"/>
    </w:rPr>
  </w:style>
  <w:style w:type="paragraph" w:styleId="28">
    <w:name w:val="toc 4"/>
    <w:basedOn w:val="1"/>
    <w:next w:val="1"/>
    <w:semiHidden/>
    <w:qFormat/>
    <w:uiPriority w:val="0"/>
    <w:pPr>
      <w:tabs>
        <w:tab w:val="right" w:leader="dot" w:pos="9241"/>
      </w:tabs>
      <w:ind w:firstLine="200" w:firstLineChars="200"/>
      <w:jc w:val="left"/>
    </w:pPr>
    <w:rPr>
      <w:rFonts w:ascii="宋体"/>
      <w:szCs w:val="21"/>
    </w:rPr>
  </w:style>
  <w:style w:type="paragraph" w:styleId="29">
    <w:name w:val="index heading"/>
    <w:basedOn w:val="1"/>
    <w:next w:val="30"/>
    <w:qFormat/>
    <w:uiPriority w:val="0"/>
    <w:pPr>
      <w:spacing w:before="120" w:after="120"/>
      <w:jc w:val="center"/>
    </w:pPr>
    <w:rPr>
      <w:rFonts w:ascii="Calibri" w:hAnsi="Calibri"/>
      <w:b/>
      <w:bCs/>
      <w:iCs/>
      <w:szCs w:val="20"/>
    </w:rPr>
  </w:style>
  <w:style w:type="paragraph" w:styleId="30">
    <w:name w:val="index 1"/>
    <w:basedOn w:val="1"/>
    <w:next w:val="31"/>
    <w:qFormat/>
    <w:uiPriority w:val="0"/>
    <w:pPr>
      <w:tabs>
        <w:tab w:val="right" w:leader="dot" w:pos="9299"/>
      </w:tabs>
      <w:jc w:val="left"/>
    </w:pPr>
    <w:rPr>
      <w:rFonts w:ascii="宋体"/>
      <w:szCs w:val="21"/>
    </w:rPr>
  </w:style>
  <w:style w:type="paragraph" w:customStyle="1" w:styleId="31">
    <w:name w:val="段"/>
    <w:link w:val="4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2">
    <w:name w:val="footnote text"/>
    <w:basedOn w:val="1"/>
    <w:qFormat/>
    <w:uiPriority w:val="0"/>
    <w:pPr>
      <w:numPr>
        <w:ilvl w:val="0"/>
        <w:numId w:val="1"/>
      </w:numPr>
      <w:snapToGrid w:val="0"/>
      <w:jc w:val="left"/>
    </w:pPr>
    <w:rPr>
      <w:rFonts w:ascii="宋体"/>
      <w:sz w:val="18"/>
      <w:szCs w:val="18"/>
    </w:rPr>
  </w:style>
  <w:style w:type="paragraph" w:styleId="33">
    <w:name w:val="toc 6"/>
    <w:basedOn w:val="1"/>
    <w:next w:val="1"/>
    <w:semiHidden/>
    <w:qFormat/>
    <w:uiPriority w:val="0"/>
    <w:pPr>
      <w:tabs>
        <w:tab w:val="right" w:leader="dot" w:pos="9241"/>
      </w:tabs>
      <w:ind w:firstLine="400" w:firstLineChars="400"/>
      <w:jc w:val="left"/>
    </w:pPr>
    <w:rPr>
      <w:rFonts w:ascii="宋体"/>
      <w:szCs w:val="21"/>
    </w:rPr>
  </w:style>
  <w:style w:type="paragraph" w:styleId="34">
    <w:name w:val="index 7"/>
    <w:basedOn w:val="1"/>
    <w:next w:val="1"/>
    <w:qFormat/>
    <w:uiPriority w:val="0"/>
    <w:pPr>
      <w:ind w:left="1470" w:hanging="210"/>
      <w:jc w:val="left"/>
    </w:pPr>
    <w:rPr>
      <w:rFonts w:ascii="Calibri" w:hAnsi="Calibri"/>
      <w:sz w:val="20"/>
      <w:szCs w:val="20"/>
    </w:rPr>
  </w:style>
  <w:style w:type="paragraph" w:styleId="35">
    <w:name w:val="index 9"/>
    <w:basedOn w:val="1"/>
    <w:next w:val="1"/>
    <w:qFormat/>
    <w:uiPriority w:val="0"/>
    <w:pPr>
      <w:ind w:left="1890" w:hanging="210"/>
      <w:jc w:val="left"/>
    </w:pPr>
    <w:rPr>
      <w:rFonts w:ascii="Calibri" w:hAnsi="Calibri"/>
      <w:sz w:val="20"/>
      <w:szCs w:val="20"/>
    </w:rPr>
  </w:style>
  <w:style w:type="paragraph" w:styleId="36">
    <w:name w:val="toc 2"/>
    <w:basedOn w:val="1"/>
    <w:next w:val="1"/>
    <w:semiHidden/>
    <w:qFormat/>
    <w:uiPriority w:val="0"/>
    <w:pPr>
      <w:tabs>
        <w:tab w:val="right" w:leader="dot" w:pos="9242"/>
      </w:tabs>
    </w:pPr>
    <w:rPr>
      <w:rFonts w:ascii="宋体"/>
      <w:szCs w:val="21"/>
    </w:rPr>
  </w:style>
  <w:style w:type="paragraph" w:styleId="37">
    <w:name w:val="toc 9"/>
    <w:basedOn w:val="1"/>
    <w:next w:val="1"/>
    <w:semiHidden/>
    <w:qFormat/>
    <w:uiPriority w:val="0"/>
    <w:pPr>
      <w:ind w:left="1470"/>
      <w:jc w:val="left"/>
    </w:pPr>
    <w:rPr>
      <w:sz w:val="20"/>
      <w:szCs w:val="20"/>
    </w:rPr>
  </w:style>
  <w:style w:type="paragraph" w:styleId="38">
    <w:name w:val="Normal (Web)"/>
    <w:basedOn w:val="1"/>
    <w:qFormat/>
    <w:uiPriority w:val="0"/>
    <w:pPr>
      <w:widowControl/>
      <w:spacing w:line="300" w:lineRule="atLeast"/>
      <w:jc w:val="left"/>
    </w:pPr>
    <w:rPr>
      <w:rFonts w:ascii="宋体" w:hAnsi="宋体"/>
      <w:kern w:val="0"/>
      <w:sz w:val="24"/>
    </w:rPr>
  </w:style>
  <w:style w:type="paragraph" w:styleId="39">
    <w:name w:val="index 2"/>
    <w:basedOn w:val="1"/>
    <w:next w:val="1"/>
    <w:qFormat/>
    <w:uiPriority w:val="0"/>
    <w:pPr>
      <w:ind w:left="420" w:hanging="210"/>
      <w:jc w:val="left"/>
    </w:pPr>
    <w:rPr>
      <w:rFonts w:ascii="Calibri" w:hAnsi="Calibri"/>
      <w:sz w:val="20"/>
      <w:szCs w:val="20"/>
    </w:rPr>
  </w:style>
  <w:style w:type="table" w:styleId="41">
    <w:name w:val="Table Grid"/>
    <w:basedOn w:val="4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3">
    <w:name w:val="endnote reference"/>
    <w:semiHidden/>
    <w:qFormat/>
    <w:uiPriority w:val="0"/>
    <w:rPr>
      <w:vertAlign w:val="superscript"/>
    </w:rPr>
  </w:style>
  <w:style w:type="character" w:styleId="44">
    <w:name w:val="page number"/>
    <w:qFormat/>
    <w:uiPriority w:val="0"/>
    <w:rPr>
      <w:rFonts w:ascii="Times New Roman" w:hAnsi="Times New Roman" w:eastAsia="宋体"/>
      <w:sz w:val="18"/>
    </w:rPr>
  </w:style>
  <w:style w:type="character" w:styleId="45">
    <w:name w:val="FollowedHyperlink"/>
    <w:qFormat/>
    <w:uiPriority w:val="0"/>
    <w:rPr>
      <w:color w:val="800080"/>
      <w:u w:val="single"/>
    </w:rPr>
  </w:style>
  <w:style w:type="character" w:styleId="46">
    <w:name w:val="Hyperlink"/>
    <w:qFormat/>
    <w:uiPriority w:val="0"/>
    <w:rPr>
      <w:color w:val="0000FF"/>
      <w:spacing w:val="0"/>
      <w:w w:val="100"/>
      <w:szCs w:val="21"/>
      <w:u w:val="single"/>
    </w:rPr>
  </w:style>
  <w:style w:type="character" w:styleId="47">
    <w:name w:val="annotation reference"/>
    <w:qFormat/>
    <w:uiPriority w:val="0"/>
    <w:rPr>
      <w:sz w:val="21"/>
      <w:szCs w:val="21"/>
    </w:rPr>
  </w:style>
  <w:style w:type="character" w:styleId="48">
    <w:name w:val="footnote reference"/>
    <w:semiHidden/>
    <w:qFormat/>
    <w:uiPriority w:val="0"/>
    <w:rPr>
      <w:vertAlign w:val="superscript"/>
    </w:rPr>
  </w:style>
  <w:style w:type="character" w:customStyle="1" w:styleId="49">
    <w:name w:val="段 Char"/>
    <w:link w:val="31"/>
    <w:qFormat/>
    <w:uiPriority w:val="0"/>
    <w:rPr>
      <w:rFonts w:ascii="宋体"/>
      <w:sz w:val="21"/>
      <w:lang w:val="en-US" w:eastAsia="zh-CN" w:bidi="ar-SA"/>
    </w:rPr>
  </w:style>
  <w:style w:type="paragraph" w:customStyle="1" w:styleId="50">
    <w:name w:val="一级条标题"/>
    <w:next w:val="3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5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3">
    <w:name w:val="章标题"/>
    <w:next w:val="3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54">
    <w:name w:val="二级条标题"/>
    <w:basedOn w:val="50"/>
    <w:next w:val="31"/>
    <w:qFormat/>
    <w:uiPriority w:val="0"/>
    <w:pPr>
      <w:spacing w:before="50" w:after="50"/>
      <w:outlineLvl w:val="3"/>
    </w:pPr>
  </w:style>
  <w:style w:type="paragraph" w:customStyle="1" w:styleId="5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6">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57">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58">
    <w:name w:val="目次、标准名称标题"/>
    <w:basedOn w:val="1"/>
    <w:next w:val="3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三级条标题"/>
    <w:basedOn w:val="54"/>
    <w:next w:val="31"/>
    <w:qFormat/>
    <w:uiPriority w:val="0"/>
    <w:pPr>
      <w:outlineLvl w:val="4"/>
    </w:pPr>
  </w:style>
  <w:style w:type="paragraph" w:customStyle="1" w:styleId="60">
    <w:name w:val="示例"/>
    <w:next w:val="61"/>
    <w:qFormat/>
    <w:uiPriority w:val="0"/>
    <w:pPr>
      <w:widowControl w:val="0"/>
      <w:numPr>
        <w:ilvl w:val="0"/>
        <w:numId w:val="3"/>
      </w:numPr>
      <w:jc w:val="both"/>
    </w:pPr>
    <w:rPr>
      <w:rFonts w:ascii="宋体" w:hAnsi="Times New Roman" w:eastAsia="宋体" w:cs="Times New Roman"/>
      <w:sz w:val="18"/>
      <w:szCs w:val="18"/>
      <w:lang w:val="en-US" w:eastAsia="zh-CN" w:bidi="ar-SA"/>
    </w:rPr>
  </w:style>
  <w:style w:type="paragraph" w:customStyle="1" w:styleId="6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2">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63">
    <w:name w:val="四级条标题"/>
    <w:basedOn w:val="59"/>
    <w:next w:val="31"/>
    <w:qFormat/>
    <w:uiPriority w:val="0"/>
    <w:pPr>
      <w:outlineLvl w:val="5"/>
    </w:pPr>
  </w:style>
  <w:style w:type="paragraph" w:customStyle="1" w:styleId="64">
    <w:name w:val="五级条标题"/>
    <w:basedOn w:val="63"/>
    <w:next w:val="31"/>
    <w:qFormat/>
    <w:uiPriority w:val="0"/>
    <w:pPr>
      <w:outlineLvl w:val="6"/>
    </w:pPr>
  </w:style>
  <w:style w:type="paragraph" w:customStyle="1" w:styleId="65">
    <w:name w:val="注："/>
    <w:next w:val="31"/>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66">
    <w:name w:val="注×："/>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7">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8">
    <w:name w:val="列项◆（三级）"/>
    <w:basedOn w:val="1"/>
    <w:qFormat/>
    <w:uiPriority w:val="0"/>
    <w:pPr>
      <w:numPr>
        <w:ilvl w:val="2"/>
        <w:numId w:val="2"/>
      </w:numPr>
    </w:pPr>
    <w:rPr>
      <w:rFonts w:ascii="宋体"/>
      <w:szCs w:val="21"/>
    </w:rPr>
  </w:style>
  <w:style w:type="paragraph" w:customStyle="1" w:styleId="69">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70">
    <w:name w:val="示例×："/>
    <w:basedOn w:val="53"/>
    <w:qFormat/>
    <w:uiPriority w:val="0"/>
    <w:pPr>
      <w:numPr>
        <w:ilvl w:val="0"/>
        <w:numId w:val="7"/>
      </w:numPr>
      <w:spacing w:beforeLines="0" w:afterLines="0"/>
      <w:outlineLvl w:val="9"/>
    </w:pPr>
    <w:rPr>
      <w:rFonts w:ascii="宋体" w:eastAsia="宋体"/>
      <w:sz w:val="18"/>
      <w:szCs w:val="18"/>
    </w:rPr>
  </w:style>
  <w:style w:type="paragraph" w:customStyle="1" w:styleId="71">
    <w:name w:val="二级无"/>
    <w:basedOn w:val="54"/>
    <w:qFormat/>
    <w:uiPriority w:val="0"/>
    <w:pPr>
      <w:spacing w:beforeLines="0" w:afterLines="0"/>
    </w:pPr>
    <w:rPr>
      <w:rFonts w:ascii="宋体" w:eastAsia="宋体"/>
    </w:rPr>
  </w:style>
  <w:style w:type="paragraph" w:customStyle="1" w:styleId="72">
    <w:name w:val="注：（正文）"/>
    <w:basedOn w:val="65"/>
    <w:next w:val="31"/>
    <w:qFormat/>
    <w:uiPriority w:val="0"/>
  </w:style>
  <w:style w:type="paragraph" w:customStyle="1" w:styleId="73">
    <w:name w:val="注×：（正文）"/>
    <w:qFormat/>
    <w:uiPriority w:val="0"/>
    <w:pPr>
      <w:numPr>
        <w:ilvl w:val="0"/>
        <w:numId w:val="8"/>
      </w:numPr>
      <w:jc w:val="both"/>
    </w:pPr>
    <w:rPr>
      <w:rFonts w:ascii="宋体" w:hAnsi="Times New Roman" w:eastAsia="宋体" w:cs="Times New Roman"/>
      <w:sz w:val="18"/>
      <w:szCs w:val="18"/>
      <w:lang w:val="en-US" w:eastAsia="zh-CN" w:bidi="ar-SA"/>
    </w:rPr>
  </w:style>
  <w:style w:type="paragraph" w:customStyle="1" w:styleId="7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7">
    <w:name w:val="标准书眉_偶数页"/>
    <w:basedOn w:val="52"/>
    <w:next w:val="1"/>
    <w:qFormat/>
    <w:uiPriority w:val="0"/>
    <w:pPr>
      <w:jc w:val="left"/>
    </w:pPr>
  </w:style>
  <w:style w:type="paragraph" w:customStyle="1" w:styleId="78">
    <w:name w:val="标准书眉一"/>
    <w:qFormat/>
    <w:uiPriority w:val="0"/>
    <w:pPr>
      <w:jc w:val="both"/>
    </w:pPr>
    <w:rPr>
      <w:rFonts w:ascii="Times New Roman" w:hAnsi="Times New Roman" w:eastAsia="宋体" w:cs="Times New Roman"/>
      <w:lang w:val="en-US" w:eastAsia="zh-CN" w:bidi="ar-SA"/>
    </w:rPr>
  </w:style>
  <w:style w:type="paragraph" w:customStyle="1" w:styleId="79">
    <w:name w:val="参考文献"/>
    <w:basedOn w:val="1"/>
    <w:next w:val="3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0">
    <w:name w:val="参考文献、索引标题"/>
    <w:basedOn w:val="1"/>
    <w:next w:val="3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1">
    <w:name w:val="发布"/>
    <w:qFormat/>
    <w:uiPriority w:val="0"/>
    <w:rPr>
      <w:rFonts w:ascii="黑体" w:eastAsia="黑体"/>
      <w:spacing w:val="85"/>
      <w:w w:val="100"/>
      <w:position w:val="3"/>
      <w:sz w:val="28"/>
      <w:szCs w:val="28"/>
    </w:rPr>
  </w:style>
  <w:style w:type="paragraph" w:customStyle="1" w:styleId="82">
    <w:name w:val="发布部门"/>
    <w:next w:val="3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7">
    <w:name w:val="封面标准英文名称"/>
    <w:basedOn w:val="86"/>
    <w:qFormat/>
    <w:uiPriority w:val="0"/>
    <w:pPr>
      <w:spacing w:before="370" w:line="400" w:lineRule="exact"/>
    </w:pPr>
    <w:rPr>
      <w:rFonts w:ascii="Times New Roman"/>
      <w:sz w:val="28"/>
      <w:szCs w:val="28"/>
    </w:rPr>
  </w:style>
  <w:style w:type="paragraph" w:customStyle="1" w:styleId="88">
    <w:name w:val="封面一致性程度标识"/>
    <w:basedOn w:val="87"/>
    <w:qFormat/>
    <w:uiPriority w:val="0"/>
    <w:pPr>
      <w:spacing w:before="440"/>
    </w:pPr>
    <w:rPr>
      <w:rFonts w:ascii="宋体" w:eastAsia="宋体"/>
    </w:rPr>
  </w:style>
  <w:style w:type="paragraph" w:customStyle="1" w:styleId="89">
    <w:name w:val="封面标准文稿类别"/>
    <w:basedOn w:val="88"/>
    <w:qFormat/>
    <w:uiPriority w:val="0"/>
    <w:pPr>
      <w:spacing w:after="160" w:line="240" w:lineRule="auto"/>
    </w:pPr>
    <w:rPr>
      <w:sz w:val="24"/>
    </w:rPr>
  </w:style>
  <w:style w:type="paragraph" w:customStyle="1" w:styleId="90">
    <w:name w:val="封面标准文稿编辑信息"/>
    <w:basedOn w:val="89"/>
    <w:qFormat/>
    <w:uiPriority w:val="0"/>
    <w:pPr>
      <w:spacing w:before="180" w:line="180" w:lineRule="exact"/>
    </w:pPr>
    <w:rPr>
      <w:sz w:val="21"/>
    </w:rPr>
  </w:style>
  <w:style w:type="paragraph" w:customStyle="1" w:styleId="91">
    <w:name w:val="封面正文"/>
    <w:qFormat/>
    <w:uiPriority w:val="0"/>
    <w:pPr>
      <w:jc w:val="both"/>
    </w:pPr>
    <w:rPr>
      <w:rFonts w:ascii="Times New Roman" w:hAnsi="Times New Roman" w:eastAsia="宋体" w:cs="Times New Roman"/>
      <w:lang w:val="en-US" w:eastAsia="zh-CN" w:bidi="ar-SA"/>
    </w:rPr>
  </w:style>
  <w:style w:type="paragraph" w:customStyle="1" w:styleId="92">
    <w:name w:val="附录标识"/>
    <w:basedOn w:val="1"/>
    <w:next w:val="31"/>
    <w:qFormat/>
    <w:uiPriority w:val="0"/>
    <w:pPr>
      <w:keepNext/>
      <w:widowControl/>
      <w:numPr>
        <w:ilvl w:val="0"/>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3">
    <w:name w:val="附录标题"/>
    <w:basedOn w:val="31"/>
    <w:next w:val="31"/>
    <w:qFormat/>
    <w:uiPriority w:val="0"/>
    <w:pPr>
      <w:ind w:firstLine="0" w:firstLineChars="0"/>
      <w:jc w:val="center"/>
    </w:pPr>
    <w:rPr>
      <w:rFonts w:ascii="黑体" w:eastAsia="黑体"/>
    </w:rPr>
  </w:style>
  <w:style w:type="paragraph" w:customStyle="1" w:styleId="94">
    <w:name w:val="附录表标号"/>
    <w:basedOn w:val="1"/>
    <w:next w:val="31"/>
    <w:qFormat/>
    <w:uiPriority w:val="0"/>
    <w:pPr>
      <w:numPr>
        <w:ilvl w:val="0"/>
        <w:numId w:val="10"/>
      </w:numPr>
      <w:tabs>
        <w:tab w:val="clear" w:pos="0"/>
      </w:tabs>
      <w:spacing w:line="14" w:lineRule="exact"/>
      <w:ind w:left="811" w:hanging="448"/>
      <w:jc w:val="center"/>
      <w:outlineLvl w:val="0"/>
    </w:pPr>
    <w:rPr>
      <w:color w:val="FFFFFF"/>
    </w:rPr>
  </w:style>
  <w:style w:type="paragraph" w:customStyle="1" w:styleId="95">
    <w:name w:val="附录表标题"/>
    <w:basedOn w:val="1"/>
    <w:next w:val="31"/>
    <w:qFormat/>
    <w:uiPriority w:val="0"/>
    <w:pPr>
      <w:numPr>
        <w:ilvl w:val="1"/>
        <w:numId w:val="10"/>
      </w:numPr>
      <w:tabs>
        <w:tab w:val="left" w:pos="180"/>
      </w:tabs>
      <w:spacing w:beforeLines="50" w:afterLines="50"/>
      <w:ind w:left="0" w:firstLine="0"/>
      <w:jc w:val="center"/>
    </w:pPr>
    <w:rPr>
      <w:rFonts w:ascii="黑体" w:eastAsia="黑体"/>
      <w:szCs w:val="21"/>
    </w:rPr>
  </w:style>
  <w:style w:type="paragraph" w:customStyle="1" w:styleId="96">
    <w:name w:val="附录二级条标题"/>
    <w:basedOn w:val="1"/>
    <w:next w:val="31"/>
    <w:qFormat/>
    <w:uiPriority w:val="0"/>
    <w:pPr>
      <w:widowControl/>
      <w:numPr>
        <w:ilvl w:val="3"/>
        <w:numId w:val="9"/>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7">
    <w:name w:val="附录二级无"/>
    <w:basedOn w:val="96"/>
    <w:qFormat/>
    <w:uiPriority w:val="0"/>
    <w:pPr>
      <w:tabs>
        <w:tab w:val="clear" w:pos="360"/>
      </w:tabs>
      <w:spacing w:beforeLines="0" w:afterLines="0"/>
    </w:pPr>
    <w:rPr>
      <w:rFonts w:ascii="宋体" w:eastAsia="宋体"/>
      <w:szCs w:val="21"/>
    </w:rPr>
  </w:style>
  <w:style w:type="paragraph" w:customStyle="1" w:styleId="98">
    <w:name w:val="附录公式"/>
    <w:basedOn w:val="31"/>
    <w:next w:val="31"/>
    <w:link w:val="99"/>
    <w:qFormat/>
    <w:uiPriority w:val="0"/>
  </w:style>
  <w:style w:type="character" w:customStyle="1" w:styleId="99">
    <w:name w:val="附录公式 Char"/>
    <w:basedOn w:val="49"/>
    <w:link w:val="98"/>
    <w:qFormat/>
    <w:uiPriority w:val="0"/>
    <w:rPr>
      <w:rFonts w:ascii="宋体"/>
      <w:sz w:val="21"/>
      <w:lang w:val="en-US" w:eastAsia="zh-CN" w:bidi="ar-SA"/>
    </w:rPr>
  </w:style>
  <w:style w:type="paragraph" w:customStyle="1" w:styleId="100">
    <w:name w:val="附录公式编号制表符"/>
    <w:basedOn w:val="1"/>
    <w:next w:val="31"/>
    <w:qFormat/>
    <w:uiPriority w:val="0"/>
    <w:pPr>
      <w:widowControl/>
      <w:tabs>
        <w:tab w:val="center" w:pos="4201"/>
        <w:tab w:val="right" w:leader="dot" w:pos="9298"/>
      </w:tabs>
      <w:autoSpaceDE w:val="0"/>
      <w:autoSpaceDN w:val="0"/>
    </w:pPr>
    <w:rPr>
      <w:rFonts w:ascii="宋体"/>
      <w:kern w:val="0"/>
      <w:szCs w:val="20"/>
    </w:rPr>
  </w:style>
  <w:style w:type="paragraph" w:customStyle="1" w:styleId="101">
    <w:name w:val="附录三级条标题"/>
    <w:basedOn w:val="96"/>
    <w:next w:val="31"/>
    <w:qFormat/>
    <w:uiPriority w:val="0"/>
    <w:pPr>
      <w:numPr>
        <w:ilvl w:val="4"/>
      </w:numPr>
      <w:outlineLvl w:val="4"/>
    </w:pPr>
  </w:style>
  <w:style w:type="paragraph" w:customStyle="1" w:styleId="102">
    <w:name w:val="附录三级无"/>
    <w:basedOn w:val="101"/>
    <w:qFormat/>
    <w:uiPriority w:val="0"/>
    <w:pPr>
      <w:tabs>
        <w:tab w:val="clear" w:pos="360"/>
      </w:tabs>
      <w:spacing w:beforeLines="0" w:afterLines="0"/>
    </w:pPr>
    <w:rPr>
      <w:rFonts w:ascii="宋体" w:eastAsia="宋体"/>
      <w:szCs w:val="21"/>
    </w:rPr>
  </w:style>
  <w:style w:type="paragraph" w:customStyle="1" w:styleId="103">
    <w:name w:val="附录数字编号列项（二级）"/>
    <w:qFormat/>
    <w:uiPriority w:val="0"/>
    <w:pPr>
      <w:numPr>
        <w:ilvl w:val="1"/>
        <w:numId w:val="11"/>
      </w:numPr>
    </w:pPr>
    <w:rPr>
      <w:rFonts w:ascii="宋体" w:hAnsi="Times New Roman" w:eastAsia="宋体" w:cs="Times New Roman"/>
      <w:sz w:val="21"/>
      <w:lang w:val="en-US" w:eastAsia="zh-CN" w:bidi="ar-SA"/>
    </w:rPr>
  </w:style>
  <w:style w:type="paragraph" w:customStyle="1" w:styleId="104">
    <w:name w:val="附录四级条标题"/>
    <w:basedOn w:val="101"/>
    <w:next w:val="31"/>
    <w:qFormat/>
    <w:uiPriority w:val="0"/>
    <w:pPr>
      <w:numPr>
        <w:ilvl w:val="5"/>
      </w:numPr>
      <w:outlineLvl w:val="5"/>
    </w:pPr>
  </w:style>
  <w:style w:type="paragraph" w:customStyle="1" w:styleId="105">
    <w:name w:val="附录四级无"/>
    <w:basedOn w:val="104"/>
    <w:qFormat/>
    <w:uiPriority w:val="0"/>
    <w:pPr>
      <w:tabs>
        <w:tab w:val="clear" w:pos="360"/>
      </w:tabs>
      <w:spacing w:beforeLines="0" w:afterLines="0"/>
    </w:pPr>
    <w:rPr>
      <w:rFonts w:ascii="宋体" w:eastAsia="宋体"/>
      <w:szCs w:val="21"/>
    </w:rPr>
  </w:style>
  <w:style w:type="paragraph" w:customStyle="1" w:styleId="106">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07">
    <w:name w:val="附录图标题"/>
    <w:basedOn w:val="1"/>
    <w:next w:val="31"/>
    <w:qFormat/>
    <w:uiPriority w:val="0"/>
    <w:pPr>
      <w:numPr>
        <w:ilvl w:val="1"/>
        <w:numId w:val="12"/>
      </w:numPr>
      <w:tabs>
        <w:tab w:val="left" w:pos="363"/>
      </w:tabs>
      <w:spacing w:beforeLines="50" w:afterLines="50"/>
      <w:ind w:left="0" w:firstLine="0"/>
      <w:jc w:val="center"/>
    </w:pPr>
    <w:rPr>
      <w:rFonts w:ascii="黑体" w:eastAsia="黑体"/>
      <w:szCs w:val="21"/>
    </w:rPr>
  </w:style>
  <w:style w:type="paragraph" w:customStyle="1" w:styleId="108">
    <w:name w:val="附录五级条标题"/>
    <w:basedOn w:val="104"/>
    <w:next w:val="31"/>
    <w:qFormat/>
    <w:uiPriority w:val="0"/>
    <w:pPr>
      <w:numPr>
        <w:ilvl w:val="6"/>
      </w:numPr>
      <w:outlineLvl w:val="6"/>
    </w:pPr>
  </w:style>
  <w:style w:type="paragraph" w:customStyle="1" w:styleId="109">
    <w:name w:val="附录五级无"/>
    <w:basedOn w:val="108"/>
    <w:qFormat/>
    <w:uiPriority w:val="0"/>
    <w:pPr>
      <w:tabs>
        <w:tab w:val="clear" w:pos="360"/>
      </w:tabs>
      <w:spacing w:beforeLines="0" w:afterLines="0"/>
    </w:pPr>
    <w:rPr>
      <w:rFonts w:ascii="宋体" w:eastAsia="宋体"/>
      <w:szCs w:val="21"/>
    </w:rPr>
  </w:style>
  <w:style w:type="paragraph" w:customStyle="1" w:styleId="110">
    <w:name w:val="附录章标题"/>
    <w:next w:val="31"/>
    <w:qFormat/>
    <w:uiPriority w:val="0"/>
    <w:pPr>
      <w:numPr>
        <w:ilvl w:val="1"/>
        <w:numId w:val="9"/>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1">
    <w:name w:val="附录一级条标题"/>
    <w:basedOn w:val="110"/>
    <w:next w:val="31"/>
    <w:qFormat/>
    <w:uiPriority w:val="0"/>
    <w:pPr>
      <w:numPr>
        <w:ilvl w:val="2"/>
      </w:numPr>
      <w:autoSpaceDN w:val="0"/>
      <w:spacing w:beforeLines="50" w:afterLines="50"/>
      <w:outlineLvl w:val="2"/>
    </w:pPr>
  </w:style>
  <w:style w:type="paragraph" w:customStyle="1" w:styleId="112">
    <w:name w:val="附录一级无"/>
    <w:basedOn w:val="111"/>
    <w:qFormat/>
    <w:uiPriority w:val="0"/>
    <w:pPr>
      <w:tabs>
        <w:tab w:val="clear" w:pos="360"/>
      </w:tabs>
      <w:spacing w:beforeLines="0" w:afterLines="0"/>
    </w:pPr>
    <w:rPr>
      <w:rFonts w:ascii="宋体" w:eastAsia="宋体"/>
      <w:szCs w:val="21"/>
    </w:rPr>
  </w:style>
  <w:style w:type="paragraph" w:customStyle="1" w:styleId="113">
    <w:name w:val="附录字母编号列项（一级）"/>
    <w:qFormat/>
    <w:uiPriority w:val="0"/>
    <w:pPr>
      <w:numPr>
        <w:ilvl w:val="0"/>
        <w:numId w:val="11"/>
      </w:numPr>
    </w:pPr>
    <w:rPr>
      <w:rFonts w:ascii="宋体" w:hAnsi="Times New Roman" w:eastAsia="宋体" w:cs="Times New Roman"/>
      <w:sz w:val="21"/>
      <w:lang w:val="en-US" w:eastAsia="zh-CN" w:bidi="ar-SA"/>
    </w:rPr>
  </w:style>
  <w:style w:type="paragraph" w:customStyle="1" w:styleId="11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其他标准标志"/>
    <w:basedOn w:val="74"/>
    <w:qFormat/>
    <w:uiPriority w:val="0"/>
    <w:pPr>
      <w:framePr w:w="6101" w:vAnchor="page" w:hAnchor="page" w:x="4673" w:y="942"/>
    </w:pPr>
    <w:rPr>
      <w:w w:val="130"/>
    </w:rPr>
  </w:style>
  <w:style w:type="paragraph" w:customStyle="1" w:styleId="11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9">
    <w:name w:val="其他发布部门"/>
    <w:basedOn w:val="82"/>
    <w:qFormat/>
    <w:uiPriority w:val="0"/>
    <w:pPr>
      <w:framePr w:y="15310"/>
      <w:spacing w:line="0" w:lineRule="atLeast"/>
    </w:pPr>
    <w:rPr>
      <w:rFonts w:ascii="黑体" w:eastAsia="黑体"/>
      <w:b w:val="0"/>
    </w:rPr>
  </w:style>
  <w:style w:type="paragraph" w:customStyle="1" w:styleId="120">
    <w:name w:val="前言、引言标题"/>
    <w:next w:val="3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1">
    <w:name w:val="三级无"/>
    <w:basedOn w:val="59"/>
    <w:qFormat/>
    <w:uiPriority w:val="0"/>
    <w:pPr>
      <w:spacing w:beforeLines="0" w:afterLines="0"/>
    </w:pPr>
    <w:rPr>
      <w:rFonts w:ascii="宋体" w:eastAsia="宋体"/>
    </w:rPr>
  </w:style>
  <w:style w:type="paragraph" w:customStyle="1" w:styleId="122">
    <w:name w:val="实施日期"/>
    <w:basedOn w:val="83"/>
    <w:qFormat/>
    <w:uiPriority w:val="0"/>
    <w:pPr>
      <w:framePr w:vAnchor="page" w:hAnchor="text"/>
      <w:jc w:val="right"/>
    </w:pPr>
  </w:style>
  <w:style w:type="paragraph" w:customStyle="1" w:styleId="123">
    <w:name w:val="示例后文字"/>
    <w:basedOn w:val="31"/>
    <w:next w:val="31"/>
    <w:qFormat/>
    <w:uiPriority w:val="0"/>
    <w:pPr>
      <w:ind w:firstLine="360"/>
    </w:pPr>
    <w:rPr>
      <w:sz w:val="18"/>
    </w:rPr>
  </w:style>
  <w:style w:type="paragraph" w:customStyle="1" w:styleId="124">
    <w:name w:val="首示例"/>
    <w:next w:val="31"/>
    <w:link w:val="125"/>
    <w:qFormat/>
    <w:uiPriority w:val="0"/>
    <w:pPr>
      <w:numPr>
        <w:ilvl w:val="0"/>
        <w:numId w:val="13"/>
      </w:numPr>
      <w:tabs>
        <w:tab w:val="left" w:pos="360"/>
      </w:tabs>
      <w:ind w:firstLine="0"/>
    </w:pPr>
    <w:rPr>
      <w:rFonts w:ascii="宋体" w:hAnsi="宋体" w:eastAsia="宋体" w:cs="Times New Roman"/>
      <w:kern w:val="2"/>
      <w:sz w:val="18"/>
      <w:szCs w:val="18"/>
      <w:lang w:val="en-US" w:eastAsia="zh-CN" w:bidi="ar-SA"/>
    </w:rPr>
  </w:style>
  <w:style w:type="character" w:customStyle="1" w:styleId="125">
    <w:name w:val="首示例 Char"/>
    <w:link w:val="124"/>
    <w:qFormat/>
    <w:uiPriority w:val="0"/>
    <w:rPr>
      <w:rFonts w:ascii="宋体" w:hAnsi="宋体"/>
      <w:kern w:val="2"/>
      <w:sz w:val="18"/>
      <w:szCs w:val="18"/>
    </w:rPr>
  </w:style>
  <w:style w:type="paragraph" w:customStyle="1" w:styleId="126">
    <w:name w:val="四级无"/>
    <w:basedOn w:val="63"/>
    <w:qFormat/>
    <w:uiPriority w:val="0"/>
    <w:pPr>
      <w:spacing w:beforeLines="0" w:afterLines="0"/>
    </w:pPr>
    <w:rPr>
      <w:rFonts w:ascii="宋体" w:eastAsia="宋体"/>
    </w:rPr>
  </w:style>
  <w:style w:type="paragraph" w:customStyle="1" w:styleId="127">
    <w:name w:val="条文脚注"/>
    <w:basedOn w:val="32"/>
    <w:qFormat/>
    <w:uiPriority w:val="0"/>
    <w:pPr>
      <w:numPr>
        <w:numId w:val="0"/>
      </w:numPr>
      <w:jc w:val="both"/>
    </w:pPr>
  </w:style>
  <w:style w:type="paragraph" w:customStyle="1" w:styleId="128">
    <w:name w:val="图标脚注说明"/>
    <w:basedOn w:val="31"/>
    <w:qFormat/>
    <w:uiPriority w:val="0"/>
    <w:pPr>
      <w:ind w:left="840" w:hanging="420" w:firstLineChars="0"/>
    </w:pPr>
    <w:rPr>
      <w:sz w:val="18"/>
      <w:szCs w:val="18"/>
    </w:rPr>
  </w:style>
  <w:style w:type="paragraph" w:customStyle="1" w:styleId="129">
    <w:name w:val="图表脚注说明"/>
    <w:basedOn w:val="1"/>
    <w:qFormat/>
    <w:uiPriority w:val="0"/>
    <w:pPr>
      <w:numPr>
        <w:ilvl w:val="0"/>
        <w:numId w:val="14"/>
      </w:numPr>
    </w:pPr>
    <w:rPr>
      <w:rFonts w:ascii="宋体"/>
      <w:sz w:val="18"/>
      <w:szCs w:val="18"/>
    </w:rPr>
  </w:style>
  <w:style w:type="paragraph" w:customStyle="1" w:styleId="130">
    <w:name w:val="图的脚注"/>
    <w:next w:val="3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2">
    <w:name w:val="五级无"/>
    <w:basedOn w:val="64"/>
    <w:qFormat/>
    <w:uiPriority w:val="0"/>
    <w:pPr>
      <w:spacing w:beforeLines="0" w:afterLines="0"/>
    </w:pPr>
    <w:rPr>
      <w:rFonts w:ascii="宋体" w:eastAsia="宋体"/>
    </w:rPr>
  </w:style>
  <w:style w:type="paragraph" w:customStyle="1" w:styleId="133">
    <w:name w:val="一级无"/>
    <w:basedOn w:val="50"/>
    <w:qFormat/>
    <w:uiPriority w:val="0"/>
    <w:pPr>
      <w:spacing w:beforeLines="0" w:afterLines="0"/>
    </w:pPr>
    <w:rPr>
      <w:rFonts w:ascii="宋体" w:eastAsia="宋体"/>
    </w:rPr>
  </w:style>
  <w:style w:type="paragraph" w:customStyle="1" w:styleId="134">
    <w:name w:val="正文表标题"/>
    <w:next w:val="31"/>
    <w:qFormat/>
    <w:uiPriority w:val="0"/>
    <w:pPr>
      <w:numPr>
        <w:ilvl w:val="0"/>
        <w:numId w:val="15"/>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5">
    <w:name w:val="正文公式编号制表符"/>
    <w:basedOn w:val="31"/>
    <w:next w:val="31"/>
    <w:qFormat/>
    <w:uiPriority w:val="0"/>
    <w:pPr>
      <w:ind w:firstLine="0" w:firstLineChars="0"/>
    </w:pPr>
  </w:style>
  <w:style w:type="paragraph" w:customStyle="1" w:styleId="136">
    <w:name w:val="正文图标题"/>
    <w:next w:val="31"/>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7">
    <w:name w:val="终结线"/>
    <w:basedOn w:val="1"/>
    <w:qFormat/>
    <w:uiPriority w:val="0"/>
    <w:pPr>
      <w:framePr w:hSpace="181" w:vSpace="181" w:wrap="around" w:vAnchor="text" w:hAnchor="margin" w:xAlign="center" w:y="285"/>
    </w:pPr>
  </w:style>
  <w:style w:type="paragraph" w:customStyle="1" w:styleId="138">
    <w:name w:val="其他发布日期"/>
    <w:basedOn w:val="83"/>
    <w:qFormat/>
    <w:uiPriority w:val="0"/>
    <w:pPr>
      <w:framePr w:vAnchor="page" w:hAnchor="text" w:x="1419"/>
    </w:pPr>
  </w:style>
  <w:style w:type="paragraph" w:customStyle="1" w:styleId="139">
    <w:name w:val="其他实施日期"/>
    <w:basedOn w:val="122"/>
    <w:qFormat/>
    <w:uiPriority w:val="0"/>
  </w:style>
  <w:style w:type="paragraph" w:customStyle="1" w:styleId="140">
    <w:name w:val="封面标准名称2"/>
    <w:basedOn w:val="86"/>
    <w:qFormat/>
    <w:uiPriority w:val="0"/>
    <w:pPr>
      <w:framePr w:y="4469"/>
      <w:spacing w:beforeLines="630"/>
    </w:pPr>
  </w:style>
  <w:style w:type="paragraph" w:customStyle="1" w:styleId="141">
    <w:name w:val="封面标准英文名称2"/>
    <w:basedOn w:val="87"/>
    <w:qFormat/>
    <w:uiPriority w:val="0"/>
    <w:pPr>
      <w:framePr w:y="4469"/>
    </w:pPr>
  </w:style>
  <w:style w:type="paragraph" w:customStyle="1" w:styleId="142">
    <w:name w:val="封面一致性程度标识2"/>
    <w:basedOn w:val="88"/>
    <w:qFormat/>
    <w:uiPriority w:val="0"/>
    <w:pPr>
      <w:framePr w:y="4469"/>
    </w:pPr>
  </w:style>
  <w:style w:type="paragraph" w:customStyle="1" w:styleId="143">
    <w:name w:val="封面标准文稿类别2"/>
    <w:basedOn w:val="89"/>
    <w:qFormat/>
    <w:uiPriority w:val="0"/>
    <w:pPr>
      <w:framePr w:y="4469"/>
    </w:pPr>
  </w:style>
  <w:style w:type="paragraph" w:customStyle="1" w:styleId="144">
    <w:name w:val="封面标准文稿编辑信息2"/>
    <w:basedOn w:val="90"/>
    <w:qFormat/>
    <w:uiPriority w:val="0"/>
    <w:pPr>
      <w:framePr w:y="4469"/>
    </w:pPr>
  </w:style>
  <w:style w:type="character" w:customStyle="1" w:styleId="145">
    <w:name w:val="批注文字 Char"/>
    <w:link w:val="16"/>
    <w:qFormat/>
    <w:uiPriority w:val="0"/>
    <w:rPr>
      <w:rFonts w:eastAsia="宋体"/>
      <w:kern w:val="2"/>
      <w:sz w:val="21"/>
      <w:szCs w:val="24"/>
      <w:lang w:val="en-US" w:eastAsia="zh-CN" w:bidi="ar-SA"/>
    </w:rPr>
  </w:style>
  <w:style w:type="paragraph" w:customStyle="1" w:styleId="146">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7">
    <w:name w:val="页眉 Char"/>
    <w:basedOn w:val="42"/>
    <w:link w:val="26"/>
    <w:qFormat/>
    <w:uiPriority w:val="0"/>
    <w:rPr>
      <w:kern w:val="2"/>
      <w:sz w:val="18"/>
      <w:szCs w:val="18"/>
    </w:rPr>
  </w:style>
  <w:style w:type="character" w:customStyle="1" w:styleId="148">
    <w:name w:val="标题 1 Char"/>
    <w:basedOn w:val="42"/>
    <w:link w:val="2"/>
    <w:qFormat/>
    <w:uiPriority w:val="0"/>
    <w:rPr>
      <w:b/>
      <w:bCs/>
      <w:kern w:val="44"/>
      <w:sz w:val="44"/>
      <w:szCs w:val="44"/>
    </w:rPr>
  </w:style>
  <w:style w:type="character" w:customStyle="1" w:styleId="149">
    <w:name w:val="标题 2 Char"/>
    <w:basedOn w:val="42"/>
    <w:link w:val="3"/>
    <w:qFormat/>
    <w:uiPriority w:val="0"/>
    <w:rPr>
      <w:rFonts w:asciiTheme="majorHAnsi" w:hAnsiTheme="majorHAnsi" w:eastAsiaTheme="majorEastAsia" w:cstheme="majorBidi"/>
      <w:b/>
      <w:bCs/>
      <w:kern w:val="2"/>
      <w:sz w:val="32"/>
      <w:szCs w:val="32"/>
    </w:rPr>
  </w:style>
  <w:style w:type="character" w:customStyle="1" w:styleId="150">
    <w:name w:val="标题 3 Char"/>
    <w:basedOn w:val="42"/>
    <w:link w:val="4"/>
    <w:semiHidden/>
    <w:qFormat/>
    <w:uiPriority w:val="0"/>
    <w:rPr>
      <w:b/>
      <w:bCs/>
      <w:kern w:val="2"/>
      <w:sz w:val="32"/>
      <w:szCs w:val="32"/>
    </w:rPr>
  </w:style>
  <w:style w:type="character" w:customStyle="1" w:styleId="151">
    <w:name w:val="标题 4 Char"/>
    <w:basedOn w:val="42"/>
    <w:link w:val="5"/>
    <w:semiHidden/>
    <w:qFormat/>
    <w:uiPriority w:val="0"/>
    <w:rPr>
      <w:rFonts w:asciiTheme="majorHAnsi" w:hAnsiTheme="majorHAnsi" w:eastAsiaTheme="majorEastAsia" w:cstheme="majorBidi"/>
      <w:b/>
      <w:bCs/>
      <w:kern w:val="2"/>
      <w:sz w:val="28"/>
      <w:szCs w:val="28"/>
    </w:rPr>
  </w:style>
  <w:style w:type="character" w:customStyle="1" w:styleId="152">
    <w:name w:val="标题 5 Char"/>
    <w:basedOn w:val="42"/>
    <w:link w:val="6"/>
    <w:semiHidden/>
    <w:qFormat/>
    <w:uiPriority w:val="0"/>
    <w:rPr>
      <w:b/>
      <w:bCs/>
      <w:kern w:val="2"/>
      <w:sz w:val="28"/>
      <w:szCs w:val="28"/>
    </w:rPr>
  </w:style>
  <w:style w:type="character" w:customStyle="1" w:styleId="153">
    <w:name w:val="标题 6 Char"/>
    <w:basedOn w:val="42"/>
    <w:link w:val="7"/>
    <w:semiHidden/>
    <w:qFormat/>
    <w:uiPriority w:val="0"/>
    <w:rPr>
      <w:rFonts w:asciiTheme="majorHAnsi" w:hAnsiTheme="majorHAnsi" w:eastAsiaTheme="majorEastAsia" w:cstheme="majorBidi"/>
      <w:b/>
      <w:bCs/>
      <w:kern w:val="2"/>
      <w:sz w:val="24"/>
      <w:szCs w:val="24"/>
    </w:rPr>
  </w:style>
  <w:style w:type="character" w:customStyle="1" w:styleId="154">
    <w:name w:val="标题 7 Char"/>
    <w:basedOn w:val="42"/>
    <w:link w:val="8"/>
    <w:semiHidden/>
    <w:qFormat/>
    <w:uiPriority w:val="0"/>
    <w:rPr>
      <w:b/>
      <w:bCs/>
      <w:kern w:val="2"/>
      <w:sz w:val="24"/>
      <w:szCs w:val="24"/>
    </w:rPr>
  </w:style>
  <w:style w:type="character" w:customStyle="1" w:styleId="155">
    <w:name w:val="标题 8 Char"/>
    <w:basedOn w:val="42"/>
    <w:link w:val="9"/>
    <w:semiHidden/>
    <w:qFormat/>
    <w:uiPriority w:val="0"/>
    <w:rPr>
      <w:rFonts w:asciiTheme="majorHAnsi" w:hAnsiTheme="majorHAnsi" w:eastAsiaTheme="majorEastAsia" w:cstheme="majorBidi"/>
      <w:kern w:val="2"/>
      <w:sz w:val="24"/>
      <w:szCs w:val="24"/>
    </w:rPr>
  </w:style>
  <w:style w:type="character" w:customStyle="1" w:styleId="156">
    <w:name w:val="标题 9 Char"/>
    <w:basedOn w:val="42"/>
    <w:link w:val="10"/>
    <w:semiHidden/>
    <w:qFormat/>
    <w:uiPriority w:val="0"/>
    <w:rPr>
      <w:rFonts w:asciiTheme="majorHAnsi" w:hAnsiTheme="majorHAnsi" w:eastAsiaTheme="majorEastAsia" w:cstheme="majorBidi"/>
      <w:kern w:val="2"/>
      <w:sz w:val="21"/>
      <w:szCs w:val="21"/>
    </w:rPr>
  </w:style>
  <w:style w:type="character" w:customStyle="1" w:styleId="157">
    <w:name w:val="页脚 Char"/>
    <w:basedOn w:val="42"/>
    <w:link w:val="25"/>
    <w:qFormat/>
    <w:locked/>
    <w:uiPriority w:val="99"/>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E22B3-2D2D-4FD2-AF42-5C19956AC461}">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9</Pages>
  <Words>3995</Words>
  <Characters>4741</Characters>
  <Lines>38</Lines>
  <Paragraphs>10</Paragraphs>
  <TotalTime>8</TotalTime>
  <ScaleCrop>false</ScaleCrop>
  <LinksUpToDate>false</LinksUpToDate>
  <CharactersWithSpaces>4946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2020-08-23T04:01:00Z</dcterms:created>
  <dc:creator>CNIS</dc:creator>
  <cp:lastModifiedBy>亿知青</cp:lastModifiedBy>
  <cp:lastPrinted>2022-03-21T02:56:00Z</cp:lastPrinted>
  <dcterms:modified xsi:type="dcterms:W3CDTF">2024-07-26T10:16:50Z</dcterms:modified>
  <dc:title>标准名称</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9B82237E219F45D7BA1CC9C55E6169BA</vt:lpwstr>
  </property>
</Properties>
</file>