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cs="Times New Roman"/>
          <w:b/>
          <w:bCs/>
          <w:sz w:val="36"/>
          <w:szCs w:val="36"/>
        </w:rPr>
      </w:pPr>
      <w:bookmarkStart w:id="0" w:name="_Hlk121683003"/>
    </w:p>
    <w:p>
      <w:pPr>
        <w:spacing w:line="720" w:lineRule="auto"/>
        <w:ind w:firstLine="0" w:firstLineChars="0"/>
        <w:jc w:val="center"/>
        <w:rPr>
          <w:rFonts w:ascii="黑体" w:hAnsi="黑体" w:eastAsia="黑体"/>
          <w:kern w:val="0"/>
          <w:sz w:val="44"/>
          <w:szCs w:val="44"/>
        </w:rPr>
      </w:pPr>
    </w:p>
    <w:p>
      <w:pPr>
        <w:spacing w:line="720" w:lineRule="auto"/>
        <w:ind w:firstLine="0" w:firstLineChars="0"/>
        <w:jc w:val="center"/>
      </w:pPr>
      <w:r>
        <w:rPr>
          <w:rFonts w:hint="eastAsia" w:ascii="黑体" w:hAnsi="黑体" w:eastAsia="黑体"/>
          <w:kern w:val="0"/>
          <w:sz w:val="44"/>
          <w:szCs w:val="44"/>
        </w:rPr>
        <w:t>沙地灌木树种平茬复壮技术规程</w:t>
      </w:r>
    </w:p>
    <w:bookmarkEnd w:id="0"/>
    <w:p>
      <w:pPr>
        <w:spacing w:line="720" w:lineRule="auto"/>
        <w:ind w:firstLine="0" w:firstLineChars="0"/>
        <w:jc w:val="center"/>
        <w:rPr>
          <w:rFonts w:ascii="黑体" w:hAnsi="黑体" w:eastAsia="黑体" w:cs="Times New Roman"/>
          <w:bCs/>
          <w:sz w:val="40"/>
          <w:szCs w:val="40"/>
        </w:rPr>
      </w:pPr>
      <w:r>
        <w:rPr>
          <w:rFonts w:hint="eastAsia" w:ascii="黑体" w:hAnsi="黑体" w:eastAsia="黑体" w:cs="Times New Roman"/>
          <w:bCs/>
          <w:sz w:val="40"/>
          <w:szCs w:val="40"/>
        </w:rPr>
        <w:t>编制说明</w:t>
      </w:r>
    </w:p>
    <w:p>
      <w:pPr>
        <w:spacing w:line="360" w:lineRule="auto"/>
        <w:ind w:firstLine="560"/>
        <w:jc w:val="center"/>
        <w:rPr>
          <w:rFonts w:cs="Times New Roman"/>
          <w:szCs w:val="28"/>
        </w:rPr>
      </w:pPr>
      <w:r>
        <w:rPr>
          <w:rFonts w:cs="Times New Roman"/>
          <w:szCs w:val="28"/>
        </w:rPr>
        <w:t xml:space="preserve"> </w:t>
      </w:r>
    </w:p>
    <w:p>
      <w:pPr>
        <w:spacing w:line="360" w:lineRule="auto"/>
        <w:ind w:firstLine="560"/>
        <w:jc w:val="center"/>
        <w:rPr>
          <w:rFonts w:cs="Times New Roman"/>
          <w:szCs w:val="28"/>
        </w:rPr>
      </w:pPr>
    </w:p>
    <w:p>
      <w:pPr>
        <w:spacing w:line="360" w:lineRule="auto"/>
        <w:ind w:firstLine="560"/>
        <w:jc w:val="center"/>
        <w:rPr>
          <w:rFonts w:cs="Times New Roman"/>
          <w:szCs w:val="28"/>
        </w:rPr>
      </w:pPr>
    </w:p>
    <w:p>
      <w:pPr>
        <w:spacing w:line="360" w:lineRule="auto"/>
        <w:ind w:firstLine="560"/>
        <w:jc w:val="center"/>
        <w:rPr>
          <w:rFonts w:cs="Times New Roman"/>
          <w:szCs w:val="28"/>
        </w:rPr>
      </w:pPr>
    </w:p>
    <w:tbl>
      <w:tblPr>
        <w:tblStyle w:val="6"/>
        <w:tblW w:w="0" w:type="auto"/>
        <w:jc w:val="right"/>
        <w:tblLayout w:type="autofit"/>
        <w:tblCellMar>
          <w:top w:w="0" w:type="dxa"/>
          <w:left w:w="108" w:type="dxa"/>
          <w:bottom w:w="0" w:type="dxa"/>
          <w:right w:w="108" w:type="dxa"/>
        </w:tblCellMar>
      </w:tblPr>
      <w:tblGrid>
        <w:gridCol w:w="2724"/>
        <w:gridCol w:w="538"/>
        <w:gridCol w:w="5260"/>
      </w:tblGrid>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项目编号</w:t>
            </w:r>
          </w:p>
        </w:tc>
        <w:tc>
          <w:tcPr>
            <w:tcW w:w="425" w:type="dxa"/>
          </w:tcPr>
          <w:p>
            <w:pPr>
              <w:spacing w:line="720" w:lineRule="auto"/>
              <w:ind w:firstLine="0" w:firstLineChars="0"/>
              <w:rPr>
                <w:b/>
                <w:bCs/>
                <w:sz w:val="32"/>
                <w:szCs w:val="32"/>
              </w:rPr>
            </w:pPr>
            <w:r>
              <w:rPr>
                <w:b/>
                <w:bCs/>
                <w:sz w:val="32"/>
                <w:szCs w:val="32"/>
              </w:rPr>
              <w:t>：</w:t>
            </w:r>
          </w:p>
        </w:tc>
        <w:tc>
          <w:tcPr>
            <w:tcW w:w="5776" w:type="dxa"/>
            <w:vAlign w:val="bottom"/>
          </w:tcPr>
          <w:p>
            <w:pPr>
              <w:spacing w:line="720" w:lineRule="auto"/>
              <w:ind w:firstLine="0" w:firstLineChars="0"/>
              <w:jc w:val="center"/>
              <w:rPr>
                <w:b/>
                <w:bCs/>
                <w:sz w:val="32"/>
                <w:szCs w:val="32"/>
              </w:rPr>
            </w:pPr>
            <w:r>
              <w:rPr>
                <w:rFonts w:hint="eastAsia"/>
                <w:b/>
                <w:bCs/>
                <w:sz w:val="32"/>
                <w:szCs w:val="32"/>
              </w:rPr>
              <w:t>SDBXM239-2023</w:t>
            </w:r>
          </w:p>
        </w:tc>
      </w:tr>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项目名称</w:t>
            </w:r>
          </w:p>
        </w:tc>
        <w:tc>
          <w:tcPr>
            <w:tcW w:w="425" w:type="dxa"/>
          </w:tcPr>
          <w:p>
            <w:pPr>
              <w:spacing w:line="720" w:lineRule="auto"/>
              <w:ind w:firstLine="0" w:firstLineChars="0"/>
              <w:rPr>
                <w:b/>
                <w:bCs/>
                <w:sz w:val="32"/>
                <w:szCs w:val="32"/>
              </w:rPr>
            </w:pPr>
            <w:r>
              <w:rPr>
                <w:b/>
                <w:bCs/>
                <w:sz w:val="32"/>
                <w:szCs w:val="32"/>
              </w:rPr>
              <w:t>：</w:t>
            </w:r>
          </w:p>
        </w:tc>
        <w:tc>
          <w:tcPr>
            <w:tcW w:w="5776" w:type="dxa"/>
            <w:vAlign w:val="center"/>
          </w:tcPr>
          <w:p>
            <w:pPr>
              <w:spacing w:line="360" w:lineRule="auto"/>
              <w:ind w:firstLine="0" w:firstLineChars="0"/>
              <w:jc w:val="center"/>
              <w:rPr>
                <w:b/>
                <w:bCs/>
                <w:sz w:val="32"/>
                <w:szCs w:val="32"/>
              </w:rPr>
            </w:pPr>
            <w:r>
              <w:rPr>
                <w:rFonts w:hint="eastAsia"/>
                <w:b/>
                <w:bCs/>
                <w:sz w:val="32"/>
                <w:szCs w:val="32"/>
              </w:rPr>
              <w:t>沙地灌木树种平茬复壮技术规程</w:t>
            </w:r>
          </w:p>
        </w:tc>
      </w:tr>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委托单位（甲方）</w:t>
            </w:r>
          </w:p>
        </w:tc>
        <w:tc>
          <w:tcPr>
            <w:tcW w:w="425" w:type="dxa"/>
          </w:tcPr>
          <w:p>
            <w:pPr>
              <w:spacing w:line="720" w:lineRule="auto"/>
              <w:ind w:firstLine="0" w:firstLineChars="0"/>
              <w:rPr>
                <w:b/>
                <w:bCs/>
                <w:sz w:val="32"/>
                <w:szCs w:val="32"/>
              </w:rPr>
            </w:pPr>
            <w:r>
              <w:rPr>
                <w:b/>
                <w:bCs/>
                <w:sz w:val="32"/>
                <w:szCs w:val="32"/>
              </w:rPr>
              <w:t>：</w:t>
            </w:r>
          </w:p>
        </w:tc>
        <w:tc>
          <w:tcPr>
            <w:tcW w:w="5776" w:type="dxa"/>
            <w:vAlign w:val="bottom"/>
          </w:tcPr>
          <w:p>
            <w:pPr>
              <w:spacing w:line="720" w:lineRule="auto"/>
              <w:ind w:firstLine="0" w:firstLineChars="0"/>
              <w:jc w:val="center"/>
              <w:rPr>
                <w:b/>
                <w:bCs/>
                <w:sz w:val="32"/>
                <w:szCs w:val="32"/>
              </w:rPr>
            </w:pPr>
            <w:r>
              <w:rPr>
                <w:b/>
                <w:bCs/>
                <w:sz w:val="32"/>
                <w:szCs w:val="32"/>
              </w:rPr>
              <w:t>陕西省市场监督管理局</w:t>
            </w:r>
          </w:p>
        </w:tc>
      </w:tr>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承担单位（乙方）</w:t>
            </w:r>
          </w:p>
        </w:tc>
        <w:tc>
          <w:tcPr>
            <w:tcW w:w="425" w:type="dxa"/>
          </w:tcPr>
          <w:p>
            <w:pPr>
              <w:spacing w:line="720" w:lineRule="auto"/>
              <w:ind w:firstLine="0" w:firstLineChars="0"/>
              <w:rPr>
                <w:b/>
                <w:bCs/>
                <w:sz w:val="32"/>
                <w:szCs w:val="32"/>
              </w:rPr>
            </w:pPr>
            <w:r>
              <w:rPr>
                <w:b/>
                <w:bCs/>
                <w:sz w:val="32"/>
                <w:szCs w:val="32"/>
              </w:rPr>
              <w:t>：</w:t>
            </w:r>
          </w:p>
        </w:tc>
        <w:tc>
          <w:tcPr>
            <w:tcW w:w="5776" w:type="dxa"/>
            <w:vAlign w:val="bottom"/>
          </w:tcPr>
          <w:p>
            <w:pPr>
              <w:spacing w:line="720" w:lineRule="auto"/>
              <w:ind w:firstLine="0" w:firstLineChars="0"/>
              <w:jc w:val="center"/>
              <w:rPr>
                <w:b/>
                <w:bCs/>
                <w:sz w:val="32"/>
                <w:szCs w:val="32"/>
              </w:rPr>
            </w:pPr>
            <w:r>
              <w:rPr>
                <w:b/>
                <w:bCs/>
                <w:sz w:val="32"/>
                <w:szCs w:val="32"/>
              </w:rPr>
              <w:t>陕西省林业科学院</w:t>
            </w:r>
          </w:p>
        </w:tc>
      </w:tr>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保证单位（丙方）</w:t>
            </w:r>
          </w:p>
        </w:tc>
        <w:tc>
          <w:tcPr>
            <w:tcW w:w="425" w:type="dxa"/>
          </w:tcPr>
          <w:p>
            <w:pPr>
              <w:spacing w:line="720" w:lineRule="auto"/>
              <w:ind w:firstLine="0" w:firstLineChars="0"/>
              <w:rPr>
                <w:b/>
                <w:bCs/>
                <w:sz w:val="32"/>
                <w:szCs w:val="32"/>
              </w:rPr>
            </w:pPr>
            <w:r>
              <w:rPr>
                <w:b/>
                <w:bCs/>
                <w:sz w:val="32"/>
                <w:szCs w:val="32"/>
              </w:rPr>
              <w:t>：</w:t>
            </w:r>
          </w:p>
        </w:tc>
        <w:tc>
          <w:tcPr>
            <w:tcW w:w="5776" w:type="dxa"/>
            <w:vAlign w:val="bottom"/>
          </w:tcPr>
          <w:p>
            <w:pPr>
              <w:spacing w:line="720" w:lineRule="auto"/>
              <w:ind w:firstLine="0" w:firstLineChars="0"/>
              <w:jc w:val="center"/>
              <w:rPr>
                <w:b/>
                <w:bCs/>
                <w:sz w:val="32"/>
                <w:szCs w:val="32"/>
              </w:rPr>
            </w:pPr>
            <w:r>
              <w:rPr>
                <w:b/>
                <w:bCs/>
                <w:sz w:val="32"/>
                <w:szCs w:val="32"/>
              </w:rPr>
              <w:t>陕西省林业局</w:t>
            </w:r>
          </w:p>
        </w:tc>
      </w:tr>
      <w:tr>
        <w:tblPrEx>
          <w:tblCellMar>
            <w:top w:w="0" w:type="dxa"/>
            <w:left w:w="108" w:type="dxa"/>
            <w:bottom w:w="0" w:type="dxa"/>
            <w:right w:w="108" w:type="dxa"/>
          </w:tblCellMar>
        </w:tblPrEx>
        <w:trPr>
          <w:jc w:val="right"/>
        </w:trPr>
        <w:tc>
          <w:tcPr>
            <w:tcW w:w="3085" w:type="dxa"/>
            <w:vAlign w:val="bottom"/>
          </w:tcPr>
          <w:p>
            <w:pPr>
              <w:spacing w:line="720" w:lineRule="auto"/>
              <w:ind w:firstLine="0" w:firstLineChars="0"/>
              <w:jc w:val="both"/>
              <w:rPr>
                <w:b/>
                <w:bCs/>
                <w:sz w:val="32"/>
                <w:szCs w:val="32"/>
              </w:rPr>
            </w:pPr>
            <w:r>
              <w:rPr>
                <w:b/>
                <w:bCs/>
                <w:sz w:val="32"/>
                <w:szCs w:val="32"/>
              </w:rPr>
              <w:t>起止年限</w:t>
            </w:r>
          </w:p>
        </w:tc>
        <w:tc>
          <w:tcPr>
            <w:tcW w:w="425" w:type="dxa"/>
          </w:tcPr>
          <w:p>
            <w:pPr>
              <w:spacing w:line="720" w:lineRule="auto"/>
              <w:ind w:firstLine="0" w:firstLineChars="0"/>
              <w:rPr>
                <w:b/>
                <w:bCs/>
                <w:sz w:val="32"/>
                <w:szCs w:val="32"/>
              </w:rPr>
            </w:pPr>
            <w:r>
              <w:rPr>
                <w:b/>
                <w:bCs/>
                <w:sz w:val="32"/>
                <w:szCs w:val="32"/>
              </w:rPr>
              <w:t>：</w:t>
            </w:r>
          </w:p>
        </w:tc>
        <w:tc>
          <w:tcPr>
            <w:tcW w:w="5776" w:type="dxa"/>
            <w:vAlign w:val="bottom"/>
          </w:tcPr>
          <w:p>
            <w:pPr>
              <w:spacing w:line="720" w:lineRule="auto"/>
              <w:ind w:firstLine="0" w:firstLineChars="0"/>
              <w:jc w:val="center"/>
              <w:rPr>
                <w:b/>
                <w:bCs/>
                <w:sz w:val="32"/>
                <w:szCs w:val="32"/>
              </w:rPr>
            </w:pPr>
            <w:r>
              <w:rPr>
                <w:b/>
                <w:bCs/>
                <w:sz w:val="32"/>
                <w:szCs w:val="32"/>
              </w:rPr>
              <w:t>202</w:t>
            </w:r>
            <w:r>
              <w:rPr>
                <w:rFonts w:hint="eastAsia"/>
                <w:b/>
                <w:bCs/>
                <w:sz w:val="32"/>
                <w:szCs w:val="32"/>
                <w:lang w:val="en-US" w:eastAsia="zh-CN"/>
              </w:rPr>
              <w:t>3</w:t>
            </w:r>
            <w:r>
              <w:rPr>
                <w:b/>
                <w:bCs/>
                <w:sz w:val="32"/>
                <w:szCs w:val="32"/>
              </w:rPr>
              <w:t>年 1月-202</w:t>
            </w:r>
            <w:r>
              <w:rPr>
                <w:rFonts w:hint="eastAsia"/>
                <w:b/>
                <w:bCs/>
                <w:sz w:val="32"/>
                <w:szCs w:val="32"/>
                <w:lang w:val="en-US" w:eastAsia="zh-CN"/>
              </w:rPr>
              <w:t>4</w:t>
            </w:r>
            <w:r>
              <w:rPr>
                <w:b/>
                <w:bCs/>
                <w:sz w:val="32"/>
                <w:szCs w:val="32"/>
              </w:rPr>
              <w:t>年 12 月</w:t>
            </w:r>
          </w:p>
        </w:tc>
      </w:tr>
    </w:tbl>
    <w:p>
      <w:pPr>
        <w:widowControl/>
        <w:ind w:firstLine="643"/>
        <w:rPr>
          <w:rFonts w:cs="Times New Roman"/>
          <w:b/>
          <w:bCs/>
          <w:sz w:val="32"/>
          <w:szCs w:val="32"/>
        </w:rPr>
      </w:pPr>
      <w:r>
        <w:rPr>
          <w:rFonts w:cs="Times New Roman"/>
          <w:b/>
          <w:bCs/>
          <w:sz w:val="32"/>
          <w:szCs w:val="32"/>
        </w:rPr>
        <w:br w:type="page"/>
      </w:r>
    </w:p>
    <w:p>
      <w:pPr>
        <w:spacing w:line="360" w:lineRule="auto"/>
        <w:ind w:firstLine="0" w:firstLineChars="0"/>
        <w:jc w:val="center"/>
        <w:rPr>
          <w:rFonts w:hint="eastAsia" w:cs="Times New Roman"/>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cs="Times New Roman"/>
          <w:b/>
          <w:bCs/>
          <w:sz w:val="32"/>
          <w:szCs w:val="32"/>
        </w:rPr>
      </w:pPr>
      <w:r>
        <w:rPr>
          <w:rFonts w:hint="eastAsia" w:cs="Times New Roman"/>
          <w:b/>
          <w:bCs/>
          <w:sz w:val="32"/>
          <w:szCs w:val="32"/>
        </w:rPr>
        <w:t>沙地灌木树种平茬复壮技术规程</w:t>
      </w:r>
    </w:p>
    <w:p>
      <w:pPr>
        <w:spacing w:line="360" w:lineRule="auto"/>
        <w:ind w:firstLine="643"/>
        <w:jc w:val="center"/>
        <w:rPr>
          <w:rFonts w:cs="Times New Roman"/>
          <w:b/>
          <w:bCs/>
          <w:sz w:val="32"/>
          <w:szCs w:val="32"/>
        </w:rPr>
      </w:pPr>
      <w:r>
        <w:rPr>
          <w:rFonts w:cs="Times New Roman"/>
          <w:b/>
          <w:bCs/>
          <w:sz w:val="32"/>
          <w:szCs w:val="32"/>
        </w:rPr>
        <w:t>编制说明</w:t>
      </w:r>
    </w:p>
    <w:p>
      <w:pPr>
        <w:ind w:firstLine="562"/>
        <w:rPr>
          <w:rFonts w:cs="Times New Roman"/>
          <w:b/>
          <w:bCs/>
          <w:szCs w:val="28"/>
        </w:rPr>
      </w:pPr>
      <w:r>
        <w:rPr>
          <w:rFonts w:cs="Times New Roman"/>
          <w:b/>
          <w:bCs/>
          <w:szCs w:val="28"/>
        </w:rPr>
        <w:t>1  工作概况</w:t>
      </w:r>
    </w:p>
    <w:p>
      <w:pPr>
        <w:ind w:firstLine="562"/>
        <w:rPr>
          <w:rFonts w:cs="Times New Roman"/>
          <w:b/>
          <w:bCs/>
          <w:szCs w:val="28"/>
        </w:rPr>
      </w:pPr>
      <w:r>
        <w:rPr>
          <w:rFonts w:cs="Times New Roman"/>
          <w:b/>
          <w:bCs/>
          <w:szCs w:val="28"/>
        </w:rPr>
        <w:t>1</w:t>
      </w:r>
      <w:r>
        <w:rPr>
          <w:rFonts w:hint="eastAsia" w:cs="Times New Roman"/>
          <w:b/>
          <w:bCs/>
          <w:szCs w:val="28"/>
        </w:rPr>
        <w:t>.</w:t>
      </w:r>
      <w:r>
        <w:rPr>
          <w:rFonts w:cs="Times New Roman"/>
          <w:b/>
          <w:bCs/>
          <w:szCs w:val="28"/>
        </w:rPr>
        <w:t>1 任务来源</w:t>
      </w:r>
    </w:p>
    <w:p>
      <w:pPr>
        <w:ind w:firstLine="560"/>
        <w:jc w:val="both"/>
        <w:rPr>
          <w:rFonts w:cs="Times New Roman"/>
          <w:szCs w:val="28"/>
        </w:rPr>
      </w:pPr>
      <w:r>
        <w:rPr>
          <w:rFonts w:cs="Times New Roman"/>
          <w:szCs w:val="28"/>
        </w:rPr>
        <w:t>根据陕西省市场监督管理局《</w:t>
      </w:r>
      <w:r>
        <w:rPr>
          <w:rFonts w:hint="eastAsia" w:cs="Times New Roman"/>
          <w:szCs w:val="28"/>
        </w:rPr>
        <w:t>陕西省市场监督管理局关于下达2023年度陕西省地方标准制修订项目计划的通知</w:t>
      </w:r>
      <w:r>
        <w:rPr>
          <w:rFonts w:cs="Times New Roman"/>
          <w:szCs w:val="28"/>
        </w:rPr>
        <w:t>》（陕市监函〔202</w:t>
      </w:r>
      <w:r>
        <w:rPr>
          <w:rFonts w:hint="eastAsia" w:cs="Times New Roman"/>
          <w:szCs w:val="28"/>
          <w:lang w:val="en-US" w:eastAsia="zh-CN"/>
        </w:rPr>
        <w:t>3</w:t>
      </w:r>
      <w:r>
        <w:rPr>
          <w:rFonts w:cs="Times New Roman"/>
          <w:szCs w:val="28"/>
        </w:rPr>
        <w:t>〕</w:t>
      </w:r>
      <w:r>
        <w:rPr>
          <w:rFonts w:hint="eastAsia" w:cs="Times New Roman"/>
          <w:szCs w:val="28"/>
          <w:lang w:val="en-US" w:eastAsia="zh-CN"/>
        </w:rPr>
        <w:t>410</w:t>
      </w:r>
      <w:r>
        <w:rPr>
          <w:rFonts w:cs="Times New Roman"/>
          <w:szCs w:val="28"/>
        </w:rPr>
        <w:t>号）文件，《</w:t>
      </w:r>
      <w:r>
        <w:rPr>
          <w:rFonts w:hint="eastAsia" w:cs="Times New Roman"/>
          <w:szCs w:val="28"/>
        </w:rPr>
        <w:t>沙地灌木树种平茬复壮技术规程</w:t>
      </w:r>
      <w:r>
        <w:rPr>
          <w:rFonts w:cs="Times New Roman"/>
          <w:szCs w:val="28"/>
        </w:rPr>
        <w:t>》（项目计划号：</w:t>
      </w:r>
      <w:r>
        <w:rPr>
          <w:rFonts w:hint="eastAsia" w:cs="Times New Roman"/>
          <w:szCs w:val="28"/>
        </w:rPr>
        <w:t>SDBXM239-2023</w:t>
      </w:r>
      <w:r>
        <w:rPr>
          <w:rFonts w:cs="Times New Roman"/>
          <w:szCs w:val="28"/>
        </w:rPr>
        <w:t>），被列为202</w:t>
      </w:r>
      <w:r>
        <w:rPr>
          <w:rFonts w:hint="eastAsia" w:cs="Times New Roman"/>
          <w:szCs w:val="28"/>
          <w:lang w:val="en-US" w:eastAsia="zh-CN"/>
        </w:rPr>
        <w:t>3</w:t>
      </w:r>
      <w:r>
        <w:rPr>
          <w:rFonts w:cs="Times New Roman"/>
          <w:szCs w:val="28"/>
        </w:rPr>
        <w:t>年林业行业标准制定计划。本标准为推荐性涉林地方标准，由陕西省林业局提出并归口管理，</w:t>
      </w:r>
      <w:r>
        <w:rPr>
          <w:rFonts w:hint="eastAsia" w:cs="Times New Roman"/>
          <w:szCs w:val="28"/>
        </w:rPr>
        <w:t>榆林市林木种苗工作站、榆林市林业科学研究所</w:t>
      </w:r>
      <w:r>
        <w:rPr>
          <w:rFonts w:cs="Times New Roman"/>
          <w:szCs w:val="28"/>
        </w:rPr>
        <w:t>联合申报，并共同编制完成。</w:t>
      </w:r>
    </w:p>
    <w:p>
      <w:pPr>
        <w:ind w:firstLine="562"/>
        <w:jc w:val="both"/>
        <w:rPr>
          <w:rFonts w:cs="Times New Roman"/>
          <w:b/>
          <w:szCs w:val="28"/>
        </w:rPr>
      </w:pPr>
      <w:r>
        <w:rPr>
          <w:rFonts w:cs="Times New Roman"/>
          <w:b/>
          <w:szCs w:val="28"/>
        </w:rPr>
        <w:t>1.2 起草单位、协作单位：</w:t>
      </w:r>
    </w:p>
    <w:p>
      <w:pPr>
        <w:ind w:firstLine="560"/>
        <w:jc w:val="both"/>
        <w:rPr>
          <w:bCs/>
          <w:szCs w:val="28"/>
        </w:rPr>
      </w:pPr>
      <w:r>
        <w:rPr>
          <w:rFonts w:hint="eastAsia"/>
          <w:bCs/>
          <w:szCs w:val="28"/>
        </w:rPr>
        <w:t>起草单位：</w:t>
      </w:r>
      <w:r>
        <w:rPr>
          <w:bCs/>
          <w:szCs w:val="28"/>
        </w:rPr>
        <w:t>陕西省林业科学院</w:t>
      </w:r>
    </w:p>
    <w:p>
      <w:pPr>
        <w:ind w:firstLine="560"/>
        <w:jc w:val="both"/>
        <w:rPr>
          <w:bCs/>
          <w:szCs w:val="28"/>
        </w:rPr>
      </w:pPr>
      <w:r>
        <w:rPr>
          <w:rFonts w:hint="eastAsia"/>
          <w:bCs/>
          <w:szCs w:val="28"/>
        </w:rPr>
        <w:t>参与单位：</w:t>
      </w:r>
      <w:r>
        <w:rPr>
          <w:rFonts w:hint="eastAsia" w:cs="Times New Roman"/>
          <w:szCs w:val="28"/>
        </w:rPr>
        <w:t>榆林市林木种苗工作站、榆林市林业科学研究所</w:t>
      </w:r>
    </w:p>
    <w:p>
      <w:pPr>
        <w:ind w:firstLine="562"/>
        <w:rPr>
          <w:rFonts w:cs="Times New Roman"/>
          <w:b/>
          <w:bCs/>
          <w:szCs w:val="28"/>
        </w:rPr>
      </w:pPr>
      <w:r>
        <w:rPr>
          <w:rFonts w:cs="Times New Roman"/>
          <w:b/>
          <w:bCs/>
          <w:szCs w:val="28"/>
        </w:rPr>
        <w:t>1</w:t>
      </w:r>
      <w:r>
        <w:rPr>
          <w:rFonts w:hint="eastAsia" w:cs="Times New Roman"/>
          <w:b/>
          <w:bCs/>
          <w:szCs w:val="28"/>
        </w:rPr>
        <w:t>.</w:t>
      </w:r>
      <w:r>
        <w:rPr>
          <w:rFonts w:cs="Times New Roman"/>
          <w:b/>
          <w:bCs/>
          <w:szCs w:val="28"/>
        </w:rPr>
        <w:t>3 技术支撑条件</w:t>
      </w:r>
    </w:p>
    <w:p>
      <w:pPr>
        <w:ind w:firstLine="560"/>
        <w:jc w:val="both"/>
      </w:pPr>
      <w:r>
        <w:rPr>
          <w:rFonts w:hint="eastAsia"/>
        </w:rPr>
        <w:t>本项目由陕西省林业科学院承担实施。该院是专门从事林木良种繁育、林业生态治理、荒漠化治理、林业技术研究和推广应用单位。以林业基础研究与应用研究为主的多学科、综合性研究机构，具有林学、生态、治沙、水保、地理、土壤、园艺、森保等专业学科的各类技术人员204人，其中：正高16人、副高64人，博士后3名，博士8名，硕士43名；国家级突出贡献专家1名，省级突出贡献专家2名，地级突出贡献的拔尖人才4名，享受政府特殊津贴5名，陕西省中青年创新领军人才1人，陕西省科技新星2人，“西部之光”学者4人。该院现拥有陕西榆林毛乌素沙地生态系统国家定位观测研究站、国家林业和草原局长柄扁桃工程技术研究中心、</w:t>
      </w:r>
      <w:r>
        <w:rPr>
          <w:rFonts w:hint="eastAsia"/>
          <w:color w:val="000000"/>
          <w:szCs w:val="28"/>
        </w:rPr>
        <w:t>国家</w:t>
      </w:r>
      <w:r>
        <w:rPr>
          <w:rFonts w:hint="eastAsia"/>
        </w:rPr>
        <w:t>林业和草原局长柄扁桃国家创新联盟、国家林业和草原局樟子松工程技术研究中心、国家林业和草原局黄土高原水土保持与生态修复重点实验室、陕西省樟子松良种繁育基地、陕西榆林珍稀沙生植物保护基地、沙区特色经济植物试验示范基地等12个科研平台和科研试验基地。目前，与国内多家科研院所建立了良好的合作关系，在行业内具有较强的示范作用和影响力。截止2021年，该院已获得46多项科技成果奖励，其中国家级3项、省（部）级16项；发表学术论文500多篇，出版专著29余部。研究成果已辐射到内蒙、甘肃、宁夏、山西、西藏等省区。</w:t>
      </w:r>
    </w:p>
    <w:p>
      <w:pPr>
        <w:ind w:firstLine="560"/>
        <w:jc w:val="both"/>
        <w:rPr>
          <w:rFonts w:cs="Times New Roman"/>
          <w:color w:val="000000"/>
          <w:szCs w:val="28"/>
        </w:rPr>
      </w:pPr>
      <w:r>
        <w:rPr>
          <w:rFonts w:hint="eastAsia"/>
        </w:rPr>
        <w:t>先后承担完成了多项国家林业科技攻关课题，在</w:t>
      </w:r>
      <w:r>
        <w:rPr>
          <w:rFonts w:hint="eastAsia"/>
          <w:lang w:val="en-US" w:eastAsia="zh-CN"/>
        </w:rPr>
        <w:t>沙地灌木树种平茬</w:t>
      </w:r>
      <w:r>
        <w:rPr>
          <w:rFonts w:hint="eastAsia"/>
          <w:highlight w:val="none"/>
          <w:lang w:val="en-US" w:eastAsia="zh-CN"/>
        </w:rPr>
        <w:t>与利用</w:t>
      </w:r>
      <w:r>
        <w:rPr>
          <w:rFonts w:hint="eastAsia"/>
          <w:highlight w:val="none"/>
        </w:rPr>
        <w:t>等方面取得了丰硕科研成果，本</w:t>
      </w:r>
      <w:r>
        <w:rPr>
          <w:rFonts w:cs="Times New Roman"/>
          <w:color w:val="000000"/>
          <w:szCs w:val="28"/>
          <w:highlight w:val="none"/>
        </w:rPr>
        <w:t>编制主要是依托</w:t>
      </w:r>
      <w:r>
        <w:rPr>
          <w:rFonts w:hint="eastAsia" w:cs="Times New Roman"/>
          <w:color w:val="000000"/>
          <w:szCs w:val="28"/>
          <w:highlight w:val="none"/>
        </w:rPr>
        <w:t>毛乌素沙地退化植被修复与灌木资源培育技术研发及产业化示范，编号2016YFC050080503（国家重点研发项目2016-2020）</w:t>
      </w:r>
      <w:r>
        <w:rPr>
          <w:rFonts w:hint="eastAsia" w:cs="Times New Roman"/>
          <w:color w:val="000000"/>
          <w:szCs w:val="28"/>
          <w:highlight w:val="none"/>
          <w:lang w:eastAsia="zh-CN"/>
        </w:rPr>
        <w:t>、榆林荒漠化地类低效防护林飞播更新技术研究与示范（编号2015KTCL02-28）</w:t>
      </w:r>
      <w:r>
        <w:rPr>
          <w:rFonts w:hint="eastAsia" w:cs="Times New Roman"/>
          <w:color w:val="000000"/>
          <w:szCs w:val="28"/>
          <w:highlight w:val="none"/>
          <w:lang w:val="en-US" w:eastAsia="zh-CN"/>
        </w:rPr>
        <w:t>项目</w:t>
      </w:r>
      <w:r>
        <w:rPr>
          <w:rFonts w:hint="eastAsia" w:cs="Times New Roman"/>
          <w:color w:val="000000"/>
          <w:szCs w:val="28"/>
          <w:highlight w:val="none"/>
        </w:rPr>
        <w:t>应用实施情况，</w:t>
      </w:r>
      <w:r>
        <w:rPr>
          <w:rFonts w:hint="eastAsia" w:cs="Times New Roman"/>
          <w:color w:val="000000"/>
          <w:szCs w:val="28"/>
          <w:highlight w:val="none"/>
          <w:lang w:val="en-US" w:eastAsia="zh-CN"/>
        </w:rPr>
        <w:t>在</w:t>
      </w:r>
      <w:r>
        <w:rPr>
          <w:rFonts w:cs="Times New Roman"/>
          <w:color w:val="000000"/>
          <w:szCs w:val="28"/>
          <w:highlight w:val="none"/>
        </w:rPr>
        <w:t>收集、查阅并整理有关</w:t>
      </w:r>
      <w:r>
        <w:rPr>
          <w:rFonts w:hint="eastAsia" w:cs="Times New Roman"/>
          <w:color w:val="000000"/>
          <w:szCs w:val="28"/>
          <w:highlight w:val="none"/>
        </w:rPr>
        <w:t>灌木树种的平茬复壮经营的技术标准</w:t>
      </w:r>
      <w:r>
        <w:rPr>
          <w:rFonts w:hint="eastAsia" w:cs="Times New Roman"/>
          <w:color w:val="000000"/>
          <w:szCs w:val="28"/>
          <w:highlight w:val="none"/>
          <w:lang w:val="en-US" w:eastAsia="zh-CN"/>
        </w:rPr>
        <w:t>等</w:t>
      </w:r>
      <w:r>
        <w:rPr>
          <w:rFonts w:hint="eastAsia" w:cs="Times New Roman"/>
          <w:color w:val="000000"/>
          <w:szCs w:val="28"/>
          <w:highlight w:val="none"/>
        </w:rPr>
        <w:t>方面资料</w:t>
      </w:r>
      <w:r>
        <w:rPr>
          <w:rFonts w:hint="eastAsia" w:cs="Times New Roman"/>
          <w:color w:val="000000"/>
          <w:szCs w:val="28"/>
          <w:highlight w:val="none"/>
          <w:lang w:val="en-US" w:eastAsia="zh-CN"/>
        </w:rPr>
        <w:t>的基础上</w:t>
      </w:r>
      <w:r>
        <w:rPr>
          <w:rFonts w:hint="eastAsia" w:cs="Times New Roman"/>
          <w:color w:val="000000"/>
          <w:szCs w:val="28"/>
          <w:highlight w:val="none"/>
        </w:rPr>
        <w:t>，系统总结针对</w:t>
      </w:r>
      <w:r>
        <w:rPr>
          <w:rFonts w:hint="eastAsia" w:cs="Times New Roman"/>
          <w:color w:val="000000"/>
          <w:szCs w:val="28"/>
          <w:highlight w:val="none"/>
          <w:lang w:val="en-US" w:eastAsia="zh-CN"/>
        </w:rPr>
        <w:t>沙区</w:t>
      </w:r>
      <w:r>
        <w:rPr>
          <w:rFonts w:hint="eastAsia" w:cs="Times New Roman"/>
          <w:color w:val="000000"/>
          <w:szCs w:val="28"/>
          <w:highlight w:val="none"/>
        </w:rPr>
        <w:t>飞播林地的灌木平茬</w:t>
      </w:r>
      <w:r>
        <w:rPr>
          <w:rFonts w:hint="eastAsia" w:cs="Times New Roman"/>
          <w:color w:val="000000"/>
          <w:szCs w:val="28"/>
          <w:highlight w:val="none"/>
          <w:lang w:val="en-US" w:eastAsia="zh-CN"/>
        </w:rPr>
        <w:t>标准</w:t>
      </w:r>
      <w:r>
        <w:rPr>
          <w:rFonts w:cs="Times New Roman"/>
          <w:color w:val="000000"/>
          <w:szCs w:val="28"/>
          <w:highlight w:val="none"/>
        </w:rPr>
        <w:t>。</w:t>
      </w:r>
    </w:p>
    <w:p>
      <w:pPr>
        <w:ind w:firstLine="560"/>
        <w:jc w:val="both"/>
        <w:rPr>
          <w:rFonts w:cs="Times New Roman"/>
          <w:color w:val="000000"/>
          <w:szCs w:val="28"/>
        </w:rPr>
      </w:pPr>
      <w:r>
        <w:rPr>
          <w:rFonts w:cs="Times New Roman"/>
          <w:color w:val="000000"/>
          <w:szCs w:val="28"/>
        </w:rPr>
        <w:t>本规程编制组有正高工</w:t>
      </w:r>
      <w:r>
        <w:rPr>
          <w:rFonts w:hint="eastAsia" w:cs="Times New Roman"/>
          <w:color w:val="000000"/>
          <w:szCs w:val="28"/>
          <w:lang w:val="en-US" w:eastAsia="zh-CN"/>
        </w:rPr>
        <w:t>1</w:t>
      </w:r>
      <w:r>
        <w:rPr>
          <w:rFonts w:cs="Times New Roman"/>
          <w:color w:val="000000"/>
          <w:szCs w:val="28"/>
        </w:rPr>
        <w:t>名，高级工程师</w:t>
      </w:r>
      <w:r>
        <w:rPr>
          <w:rFonts w:hint="eastAsia" w:cs="Times New Roman"/>
          <w:color w:val="000000"/>
          <w:szCs w:val="28"/>
          <w:lang w:val="en-US" w:eastAsia="zh-CN"/>
        </w:rPr>
        <w:t>3</w:t>
      </w:r>
      <w:r>
        <w:rPr>
          <w:rFonts w:cs="Times New Roman"/>
          <w:color w:val="000000"/>
          <w:szCs w:val="28"/>
        </w:rPr>
        <w:t>名</w:t>
      </w:r>
      <w:r>
        <w:rPr>
          <w:rFonts w:hint="eastAsia" w:cs="Times New Roman"/>
          <w:color w:val="000000"/>
          <w:szCs w:val="28"/>
        </w:rPr>
        <w:t>，工程师</w:t>
      </w:r>
      <w:r>
        <w:rPr>
          <w:rFonts w:hint="eastAsia" w:cs="Times New Roman"/>
          <w:color w:val="000000"/>
          <w:szCs w:val="28"/>
          <w:lang w:val="en-US" w:eastAsia="zh-CN"/>
        </w:rPr>
        <w:t>7</w:t>
      </w:r>
      <w:r>
        <w:rPr>
          <w:rFonts w:hint="eastAsia" w:cs="Times New Roman"/>
          <w:color w:val="000000"/>
          <w:szCs w:val="28"/>
        </w:rPr>
        <w:t>名，</w:t>
      </w:r>
      <w:bookmarkStart w:id="1" w:name="_GoBack"/>
      <w:r>
        <w:rPr>
          <w:rFonts w:hint="eastAsia" w:ascii="宋体" w:hAnsi="宋体"/>
          <w:color w:val="000000"/>
          <w:szCs w:val="28"/>
        </w:rPr>
        <w:t>人员由省级单位（陕西省林业科学院）、市区级单位（榆林市林木种苗工作站、榆林市林业科学研究所）一线科技</w:t>
      </w:r>
      <w:r>
        <w:rPr>
          <w:rFonts w:hint="eastAsia" w:hAnsi="宋体"/>
          <w:color w:val="000000"/>
          <w:szCs w:val="28"/>
        </w:rPr>
        <w:t>和生产</w:t>
      </w:r>
      <w:r>
        <w:rPr>
          <w:rFonts w:hint="eastAsia" w:ascii="宋体" w:hAnsi="宋体"/>
          <w:color w:val="000000"/>
          <w:szCs w:val="28"/>
        </w:rPr>
        <w:t>人员组成，</w:t>
      </w:r>
      <w:bookmarkEnd w:id="1"/>
      <w:r>
        <w:rPr>
          <w:rFonts w:hint="eastAsia" w:ascii="宋体" w:hAnsi="宋体"/>
          <w:color w:val="000000"/>
          <w:szCs w:val="28"/>
        </w:rPr>
        <w:t>既有生产经验、又有理论基础，真正体现了科研与生产的紧密结合，为编制出更符合生产实际，更有利于指导生产，更具可操作性技术标准提供了保证。</w:t>
      </w:r>
    </w:p>
    <w:p>
      <w:pPr>
        <w:ind w:firstLine="562"/>
        <w:jc w:val="both"/>
        <w:rPr>
          <w:b/>
          <w:szCs w:val="28"/>
        </w:rPr>
      </w:pPr>
      <w:r>
        <w:rPr>
          <w:b/>
          <w:szCs w:val="28"/>
        </w:rPr>
        <w:t>1.</w:t>
      </w:r>
      <w:r>
        <w:rPr>
          <w:rFonts w:hint="eastAsia"/>
          <w:b/>
          <w:szCs w:val="28"/>
        </w:rPr>
        <w:t>4</w:t>
      </w:r>
      <w:r>
        <w:rPr>
          <w:b/>
          <w:szCs w:val="28"/>
        </w:rPr>
        <w:t xml:space="preserve"> 标准的制定目的与意义</w:t>
      </w:r>
    </w:p>
    <w:p>
      <w:pPr>
        <w:ind w:firstLine="560"/>
        <w:jc w:val="both"/>
        <w:rPr>
          <w:rFonts w:hint="eastAsia"/>
          <w:bCs/>
          <w:szCs w:val="28"/>
        </w:rPr>
      </w:pPr>
      <w:r>
        <w:rPr>
          <w:rFonts w:hint="eastAsia"/>
          <w:bCs/>
          <w:szCs w:val="28"/>
        </w:rPr>
        <w:t>毛乌素沙地总面积4.22万平方公里，主要分布在内蒙古鄂尔多斯、陕西榆林和宁夏盐池等区域，建国后，通过人工植树造林，飞播造林，等各种改造措施，毛乌素沙地面貌已发生变化。其中通过飞播造林所形成的飞播林地在毛乌素沙地中占有很大面积比例，形成了以花棒、扬柴、沙蒿、紫穗槐等灌草植被生态系统。这些灌木具有耐干旱、抗风沙、耐瘠薄、天然更新好、萌蘖能力强、根系发达等特性、是防沙治沙的优良树种，根据灌木生物学特性和生长规律，多数灌木生长到一定年限后，随着木质化增强，输送水分和养分的能力逐渐减弱，开始出现干枯甚至全株死亡现象，直接导致灌木生态系统的逆向演替，更有甚者将导致二次沙化，直接影响沙地生态系统的稳定性。</w:t>
      </w:r>
    </w:p>
    <w:p>
      <w:pPr>
        <w:ind w:firstLine="560"/>
        <w:jc w:val="both"/>
        <w:rPr>
          <w:rFonts w:hint="eastAsia"/>
          <w:bCs/>
          <w:szCs w:val="28"/>
        </w:rPr>
      </w:pPr>
      <w:r>
        <w:rPr>
          <w:rFonts w:hint="eastAsia"/>
          <w:bCs/>
          <w:szCs w:val="28"/>
        </w:rPr>
        <w:t>然而，这些灌木根系发达，萌蘖能力强，自我繁殖快，具有多次平茬，多次复壮的能力，适时开展灌木平茬复壮，不仅可以促进更新，形成更为强大的灌丛，还可以保持灌木林旺盛的生命力。</w:t>
      </w:r>
    </w:p>
    <w:p>
      <w:pPr>
        <w:ind w:firstLine="560"/>
        <w:jc w:val="both"/>
        <w:rPr>
          <w:rFonts w:hint="eastAsia"/>
          <w:bCs/>
          <w:szCs w:val="28"/>
        </w:rPr>
      </w:pPr>
      <w:r>
        <w:rPr>
          <w:rFonts w:hint="eastAsia"/>
          <w:bCs/>
          <w:szCs w:val="28"/>
        </w:rPr>
        <w:t>毛乌素沙地飞播造林已有60多年的历史，随着沙区植被盖度的增加和灌木植物的老化死亡，出现了植被严重退化的趋势，直接造成了防护效益的下降，为了改善飞播灌木林生长状况和生态结构，必须通过人为改造，提高林分质量，增加灌木植物的生长量和寿命，恢复其防护效益。主要技术措施有：平茬复壮、人工补植、封育等抚育管理，为了提高人工抚育的科学技术含量，制定地方标准显得尤为必要。</w:t>
      </w:r>
    </w:p>
    <w:p>
      <w:pPr>
        <w:ind w:firstLine="560"/>
        <w:jc w:val="both"/>
        <w:rPr>
          <w:rFonts w:hint="eastAsia"/>
          <w:bCs/>
          <w:szCs w:val="28"/>
        </w:rPr>
      </w:pPr>
      <w:r>
        <w:rPr>
          <w:rFonts w:hint="eastAsia"/>
          <w:bCs/>
          <w:szCs w:val="28"/>
        </w:rPr>
        <w:t>毛乌素沙地现有灌木林800多万亩，一旦退化严重会引起第二次沙化的发生，平茬复壮是灌木林抚育的主要技术措施，近年来，林业工作者已经根据多年的工作经验和相关文件的指导下进行着平茬工作。如：林造发【2012】191号国家林业局关于印发《森林抚育作业设计规定》的通知。但是针对毛乌素沙地飞播林地内具体的平茬技术和指标没有个文字性的标准，可平茬复壮工作又要积极稳妥的开展，借此，为平茬复壮工作认真总结经验，整理出一套科学、合理的平茬技术规程是一项很必要的任务，凭借此技术规程，可以为以后的平茬工作提供理论依据和科学指导，使得平茬复壮工作顺利的开展。</w:t>
      </w:r>
    </w:p>
    <w:p>
      <w:pPr>
        <w:ind w:firstLine="560"/>
        <w:jc w:val="both"/>
        <w:rPr>
          <w:rFonts w:hint="eastAsia"/>
          <w:bCs/>
          <w:szCs w:val="28"/>
        </w:rPr>
      </w:pPr>
      <w:r>
        <w:rPr>
          <w:rFonts w:hint="eastAsia"/>
          <w:bCs/>
          <w:szCs w:val="28"/>
        </w:rPr>
        <w:t>本项目根据灌木树种的生物生态学特性，有10-20年的生命周期，现今毛乌素沙区飞播的灌木林已经进入了成熟期和过熟期，好多灌树种生长状况开始衰退，依据灌木根系发达，萌蘖能力强的特点，可进行多次平茬，达到复壮的目的，适时、适量进行灌木平茬，不仅可以促进其健康生长发育，更能有效防治生物病虫害发生，这样可以使灌木林健康、有序、高效、持续发展。</w:t>
      </w:r>
    </w:p>
    <w:p>
      <w:pPr>
        <w:ind w:firstLine="562"/>
        <w:jc w:val="both"/>
        <w:rPr>
          <w:rFonts w:cs="Times New Roman"/>
          <w:b/>
          <w:szCs w:val="28"/>
        </w:rPr>
      </w:pPr>
      <w:r>
        <w:rPr>
          <w:rFonts w:cs="Times New Roman"/>
          <w:b/>
          <w:szCs w:val="28"/>
        </w:rPr>
        <w:t>1.</w:t>
      </w:r>
      <w:r>
        <w:rPr>
          <w:rFonts w:hint="eastAsia" w:cs="Times New Roman"/>
          <w:b/>
          <w:szCs w:val="28"/>
        </w:rPr>
        <w:t>5</w:t>
      </w:r>
      <w:r>
        <w:rPr>
          <w:rFonts w:cs="Times New Roman"/>
          <w:b/>
          <w:szCs w:val="28"/>
        </w:rPr>
        <w:t xml:space="preserve"> 主要制定过程</w:t>
      </w:r>
    </w:p>
    <w:p>
      <w:pPr>
        <w:ind w:firstLine="560"/>
        <w:jc w:val="both"/>
        <w:rPr>
          <w:rFonts w:cs="Times New Roman"/>
          <w:szCs w:val="28"/>
        </w:rPr>
      </w:pPr>
      <w:r>
        <w:rPr>
          <w:rFonts w:cs="Times New Roman"/>
          <w:color w:val="000000"/>
          <w:szCs w:val="28"/>
        </w:rPr>
        <w:t>本标准计划下达后，编写组认真制定实施方案，并收集、查阅并整理了</w:t>
      </w:r>
      <w:r>
        <w:rPr>
          <w:rFonts w:hint="eastAsia" w:cs="Times New Roman"/>
          <w:color w:val="000000"/>
          <w:szCs w:val="28"/>
          <w:lang w:val="en-US" w:eastAsia="zh-CN"/>
        </w:rPr>
        <w:t>相关</w:t>
      </w:r>
      <w:r>
        <w:rPr>
          <w:rFonts w:hint="eastAsia" w:cs="Times New Roman"/>
          <w:szCs w:val="28"/>
        </w:rPr>
        <w:t>资料，</w:t>
      </w:r>
      <w:r>
        <w:rPr>
          <w:rFonts w:cs="Times New Roman"/>
          <w:szCs w:val="28"/>
        </w:rPr>
        <w:t>先后组织科技</w:t>
      </w:r>
      <w:r>
        <w:rPr>
          <w:rFonts w:cs="Times New Roman"/>
          <w:color w:val="000000"/>
          <w:szCs w:val="28"/>
        </w:rPr>
        <w:t>人员学习了陕西省市场监督管理局地方技术标准编写要求内容，为本标准的编制奠定了稳固的基础。本标准的制作过程大至分成以下四个步骤：</w:t>
      </w:r>
    </w:p>
    <w:p>
      <w:pPr>
        <w:adjustRightInd w:val="0"/>
        <w:ind w:firstLine="562"/>
        <w:jc w:val="both"/>
        <w:rPr>
          <w:b/>
          <w:bCs/>
          <w:szCs w:val="28"/>
        </w:rPr>
      </w:pPr>
      <w:r>
        <w:rPr>
          <w:b/>
          <w:bCs/>
          <w:szCs w:val="28"/>
        </w:rPr>
        <w:t>（1）明确标准起草人员分工</w:t>
      </w:r>
    </w:p>
    <w:p>
      <w:pPr>
        <w:adjustRightInd w:val="0"/>
        <w:snapToGrid w:val="0"/>
        <w:ind w:firstLine="560"/>
        <w:jc w:val="both"/>
        <w:rPr>
          <w:szCs w:val="28"/>
        </w:rPr>
      </w:pPr>
      <w:r>
        <w:rPr>
          <w:rFonts w:hint="eastAsia"/>
          <w:szCs w:val="28"/>
          <w:lang w:val="en-US" w:eastAsia="zh-CN"/>
        </w:rPr>
        <w:t>2022年2月</w:t>
      </w:r>
      <w:r>
        <w:rPr>
          <w:szCs w:val="28"/>
        </w:rPr>
        <w:t>，</w:t>
      </w:r>
      <w:r>
        <w:rPr>
          <w:rFonts w:hint="eastAsia"/>
          <w:szCs w:val="28"/>
          <w:lang w:val="en-US" w:eastAsia="zh-CN"/>
        </w:rPr>
        <w:t>结合项目资料，查询沙区不同林种灌木平茬的相关资料与数据，系统总结灌木平茬的技术指标与要求</w:t>
      </w:r>
      <w:r>
        <w:rPr>
          <w:rFonts w:hint="eastAsia"/>
          <w:szCs w:val="28"/>
        </w:rPr>
        <w:t>。202</w:t>
      </w:r>
      <w:r>
        <w:rPr>
          <w:rFonts w:hint="eastAsia"/>
          <w:szCs w:val="28"/>
          <w:lang w:val="en-US" w:eastAsia="zh-CN"/>
        </w:rPr>
        <w:t>2</w:t>
      </w:r>
      <w:r>
        <w:rPr>
          <w:rFonts w:hint="eastAsia"/>
          <w:szCs w:val="28"/>
        </w:rPr>
        <w:t>年</w:t>
      </w:r>
      <w:r>
        <w:rPr>
          <w:rFonts w:hint="eastAsia"/>
          <w:szCs w:val="28"/>
          <w:lang w:val="en-US" w:eastAsia="zh-CN"/>
        </w:rPr>
        <w:t>9</w:t>
      </w:r>
      <w:r>
        <w:rPr>
          <w:szCs w:val="28"/>
        </w:rPr>
        <w:t>月</w:t>
      </w:r>
      <w:r>
        <w:rPr>
          <w:rFonts w:hint="eastAsia"/>
          <w:szCs w:val="28"/>
        </w:rPr>
        <w:t>，</w:t>
      </w:r>
      <w:r>
        <w:rPr>
          <w:szCs w:val="28"/>
        </w:rPr>
        <w:t>项目组组织了标准起草小组召开了首次</w:t>
      </w:r>
      <w:r>
        <w:rPr>
          <w:rFonts w:hint="eastAsia"/>
          <w:szCs w:val="28"/>
        </w:rPr>
        <w:t>标准编制</w:t>
      </w:r>
      <w:r>
        <w:rPr>
          <w:szCs w:val="28"/>
        </w:rPr>
        <w:t>会议，</w:t>
      </w:r>
      <w:r>
        <w:rPr>
          <w:rFonts w:hint="eastAsia"/>
          <w:szCs w:val="28"/>
        </w:rPr>
        <w:t>对编制的专业人员、任务分工、编制计划等做了落实，制定了切实可行的编制方案。202</w:t>
      </w:r>
      <w:r>
        <w:rPr>
          <w:rFonts w:hint="eastAsia"/>
          <w:szCs w:val="28"/>
          <w:lang w:val="en-US" w:eastAsia="zh-CN"/>
        </w:rPr>
        <w:t>3</w:t>
      </w:r>
      <w:r>
        <w:rPr>
          <w:rFonts w:hint="eastAsia"/>
          <w:szCs w:val="28"/>
        </w:rPr>
        <w:t>年</w:t>
      </w:r>
      <w:r>
        <w:rPr>
          <w:rFonts w:hint="eastAsia"/>
          <w:szCs w:val="28"/>
          <w:lang w:val="en-US" w:eastAsia="zh-CN"/>
        </w:rPr>
        <w:t>5</w:t>
      </w:r>
      <w:r>
        <w:rPr>
          <w:rFonts w:hint="eastAsia"/>
          <w:szCs w:val="28"/>
        </w:rPr>
        <w:t>月，陕西省市场监督管理局经筛选论证，委托陕西省林业科学院承担本标准编制项目，双方对标准编制原则、标准内容、具体要求等事项进行了多次沟通协商，并达成一致。</w:t>
      </w:r>
    </w:p>
    <w:p>
      <w:pPr>
        <w:adjustRightInd w:val="0"/>
        <w:ind w:firstLine="562"/>
        <w:jc w:val="both"/>
        <w:rPr>
          <w:b/>
          <w:bCs/>
          <w:szCs w:val="28"/>
        </w:rPr>
      </w:pPr>
      <w:r>
        <w:rPr>
          <w:b/>
          <w:bCs/>
          <w:szCs w:val="28"/>
        </w:rPr>
        <w:t>（2）资料收集与调研</w:t>
      </w:r>
    </w:p>
    <w:p>
      <w:pPr>
        <w:adjustRightInd w:val="0"/>
        <w:snapToGrid w:val="0"/>
        <w:ind w:firstLine="560"/>
        <w:jc w:val="both"/>
        <w:rPr>
          <w:szCs w:val="28"/>
        </w:rPr>
      </w:pPr>
      <w:r>
        <w:rPr>
          <w:szCs w:val="28"/>
        </w:rPr>
        <w:t>202</w:t>
      </w:r>
      <w:r>
        <w:rPr>
          <w:rFonts w:hint="eastAsia"/>
          <w:szCs w:val="28"/>
          <w:lang w:val="en-US" w:eastAsia="zh-CN"/>
        </w:rPr>
        <w:t>2</w:t>
      </w:r>
      <w:r>
        <w:rPr>
          <w:szCs w:val="28"/>
        </w:rPr>
        <w:t>年</w:t>
      </w:r>
      <w:r>
        <w:rPr>
          <w:rFonts w:hint="eastAsia"/>
          <w:szCs w:val="28"/>
          <w:lang w:val="en-US" w:eastAsia="zh-CN"/>
        </w:rPr>
        <w:t>5</w:t>
      </w:r>
      <w:r>
        <w:rPr>
          <w:rFonts w:hint="eastAsia"/>
          <w:szCs w:val="28"/>
        </w:rPr>
        <w:t>月</w:t>
      </w:r>
      <w:r>
        <w:rPr>
          <w:szCs w:val="28"/>
        </w:rPr>
        <w:t>-</w:t>
      </w:r>
      <w:r>
        <w:rPr>
          <w:rFonts w:hint="eastAsia"/>
          <w:szCs w:val="28"/>
        </w:rPr>
        <w:t>202</w:t>
      </w:r>
      <w:r>
        <w:rPr>
          <w:rFonts w:hint="eastAsia"/>
          <w:szCs w:val="28"/>
          <w:lang w:val="en-US" w:eastAsia="zh-CN"/>
        </w:rPr>
        <w:t>3</w:t>
      </w:r>
      <w:r>
        <w:rPr>
          <w:rFonts w:hint="eastAsia"/>
          <w:szCs w:val="28"/>
        </w:rPr>
        <w:t>年</w:t>
      </w:r>
      <w:r>
        <w:rPr>
          <w:rFonts w:hint="eastAsia"/>
          <w:szCs w:val="28"/>
          <w:lang w:val="en-US" w:eastAsia="zh-CN"/>
        </w:rPr>
        <w:t>1</w:t>
      </w:r>
      <w:r>
        <w:rPr>
          <w:szCs w:val="28"/>
        </w:rPr>
        <w:t>月，</w:t>
      </w:r>
      <w:r>
        <w:rPr>
          <w:rFonts w:hint="eastAsia"/>
          <w:szCs w:val="28"/>
        </w:rPr>
        <w:t>广泛查阅相关国家标准、其他相关省市地方标准和相关文献资料的基础上，经系统整理、分类汇总、分析研判，检索目前国内现有的同类标准、规范和规程，收集整理相关科技论文和技术资料，系统整理飞播灌木林沙柳、柠条、杨柴、花棒、紫穗槐等灌木树种的平茬复壮经营的技术</w:t>
      </w:r>
      <w:r>
        <w:rPr>
          <w:rFonts w:hint="eastAsia"/>
          <w:szCs w:val="28"/>
          <w:lang w:val="en-US" w:eastAsia="zh-CN"/>
        </w:rPr>
        <w:t>指标</w:t>
      </w:r>
      <w:r>
        <w:rPr>
          <w:rFonts w:hint="eastAsia"/>
          <w:szCs w:val="28"/>
        </w:rPr>
        <w:t>。</w:t>
      </w:r>
    </w:p>
    <w:p>
      <w:pPr>
        <w:adjustRightInd w:val="0"/>
        <w:ind w:firstLine="562"/>
        <w:jc w:val="both"/>
        <w:rPr>
          <w:b/>
          <w:bCs/>
          <w:szCs w:val="28"/>
        </w:rPr>
      </w:pPr>
      <w:r>
        <w:rPr>
          <w:b/>
          <w:bCs/>
          <w:szCs w:val="28"/>
        </w:rPr>
        <w:t>（</w:t>
      </w:r>
      <w:r>
        <w:rPr>
          <w:rFonts w:hint="eastAsia"/>
          <w:b/>
          <w:bCs/>
          <w:szCs w:val="28"/>
        </w:rPr>
        <w:t>3</w:t>
      </w:r>
      <w:r>
        <w:rPr>
          <w:b/>
          <w:bCs/>
          <w:szCs w:val="28"/>
        </w:rPr>
        <w:t>）</w:t>
      </w:r>
      <w:r>
        <w:rPr>
          <w:rFonts w:hint="eastAsia"/>
          <w:b/>
          <w:bCs/>
          <w:szCs w:val="28"/>
        </w:rPr>
        <w:t>试验与示范</w:t>
      </w:r>
    </w:p>
    <w:p>
      <w:pPr>
        <w:adjustRightInd w:val="0"/>
        <w:snapToGrid w:val="0"/>
        <w:ind w:firstLine="560"/>
        <w:jc w:val="both"/>
        <w:rPr>
          <w:szCs w:val="28"/>
        </w:rPr>
      </w:pPr>
      <w:r>
        <w:rPr>
          <w:rFonts w:hint="eastAsia"/>
          <w:szCs w:val="28"/>
        </w:rPr>
        <w:t>自2015年开始，分别对榆阳区和横山区飞播区过熟低效灌木林的进行平茬复壮更新试验，平茬树种以飞播林地内主要灌木树种花棒、羊柴、沙柳、柠条、沙蒿和紫穗槐等为主。进行不同立地条件、不同留茬高度、不同恢复年限、不同季节平茬及不同平茬方式的对比试验。</w:t>
      </w:r>
    </w:p>
    <w:p>
      <w:pPr>
        <w:adjustRightInd w:val="0"/>
        <w:ind w:firstLine="562"/>
        <w:jc w:val="both"/>
        <w:rPr>
          <w:b/>
          <w:bCs/>
          <w:szCs w:val="28"/>
        </w:rPr>
      </w:pPr>
      <w:r>
        <w:rPr>
          <w:b/>
          <w:bCs/>
          <w:szCs w:val="28"/>
        </w:rPr>
        <w:t>（</w:t>
      </w:r>
      <w:r>
        <w:rPr>
          <w:rFonts w:hint="eastAsia"/>
          <w:b/>
          <w:bCs/>
          <w:szCs w:val="28"/>
        </w:rPr>
        <w:t>4</w:t>
      </w:r>
      <w:r>
        <w:rPr>
          <w:b/>
          <w:bCs/>
          <w:szCs w:val="28"/>
        </w:rPr>
        <w:t>）标准文本起草</w:t>
      </w:r>
    </w:p>
    <w:p>
      <w:pPr>
        <w:adjustRightInd w:val="0"/>
        <w:snapToGrid w:val="0"/>
        <w:ind w:firstLine="560"/>
        <w:jc w:val="both"/>
        <w:rPr>
          <w:szCs w:val="28"/>
        </w:rPr>
      </w:pPr>
      <w:r>
        <w:rPr>
          <w:szCs w:val="28"/>
        </w:rPr>
        <w:t>202</w:t>
      </w:r>
      <w:r>
        <w:rPr>
          <w:rFonts w:hint="eastAsia"/>
          <w:szCs w:val="28"/>
          <w:lang w:val="en-US" w:eastAsia="zh-CN"/>
        </w:rPr>
        <w:t>3</w:t>
      </w:r>
      <w:r>
        <w:rPr>
          <w:szCs w:val="28"/>
        </w:rPr>
        <w:t>年</w:t>
      </w:r>
      <w:r>
        <w:rPr>
          <w:rFonts w:hint="eastAsia"/>
          <w:szCs w:val="28"/>
          <w:lang w:val="en-US" w:eastAsia="zh-CN"/>
        </w:rPr>
        <w:t>1</w:t>
      </w:r>
      <w:r>
        <w:rPr>
          <w:rFonts w:hint="eastAsia"/>
          <w:szCs w:val="28"/>
        </w:rPr>
        <w:t>月</w:t>
      </w:r>
      <w:r>
        <w:rPr>
          <w:szCs w:val="28"/>
        </w:rPr>
        <w:t>-202</w:t>
      </w:r>
      <w:r>
        <w:rPr>
          <w:rFonts w:hint="eastAsia"/>
          <w:szCs w:val="28"/>
          <w:lang w:val="en-US" w:eastAsia="zh-CN"/>
        </w:rPr>
        <w:t>3</w:t>
      </w:r>
      <w:r>
        <w:rPr>
          <w:rFonts w:hint="eastAsia"/>
          <w:szCs w:val="28"/>
        </w:rPr>
        <w:t>年</w:t>
      </w:r>
      <w:r>
        <w:rPr>
          <w:rFonts w:hint="eastAsia"/>
          <w:szCs w:val="28"/>
          <w:lang w:val="en-US" w:eastAsia="zh-CN"/>
        </w:rPr>
        <w:t>3</w:t>
      </w:r>
      <w:r>
        <w:rPr>
          <w:szCs w:val="28"/>
        </w:rPr>
        <w:t>月，标准起草小组依据《标准化工作导则 第1部分：标准的结构和编写》</w:t>
      </w:r>
      <w:r>
        <w:rPr>
          <w:rFonts w:hint="eastAsia"/>
          <w:szCs w:val="28"/>
        </w:rPr>
        <w:t>（</w:t>
      </w:r>
      <w:r>
        <w:rPr>
          <w:szCs w:val="28"/>
        </w:rPr>
        <w:t>GB/T 1.1</w:t>
      </w:r>
      <w:r>
        <w:rPr>
          <w:rFonts w:hint="eastAsia"/>
          <w:szCs w:val="28"/>
        </w:rPr>
        <w:t>）</w:t>
      </w:r>
      <w:r>
        <w:rPr>
          <w:szCs w:val="28"/>
        </w:rPr>
        <w:t>和《标准化工作导则 第2部分：标准中规范性技术要素内容的确定方法》</w:t>
      </w:r>
      <w:r>
        <w:rPr>
          <w:rFonts w:hint="eastAsia"/>
          <w:szCs w:val="28"/>
        </w:rPr>
        <w:t>（</w:t>
      </w:r>
      <w:r>
        <w:rPr>
          <w:szCs w:val="28"/>
        </w:rPr>
        <w:t>GB/T 1.2</w:t>
      </w:r>
      <w:r>
        <w:rPr>
          <w:rFonts w:hint="eastAsia"/>
          <w:szCs w:val="28"/>
        </w:rPr>
        <w:t>）</w:t>
      </w:r>
      <w:r>
        <w:rPr>
          <w:szCs w:val="28"/>
        </w:rPr>
        <w:t>与国家有关标准化法律、法规要求，起草了本标准草案。</w:t>
      </w:r>
    </w:p>
    <w:p>
      <w:pPr>
        <w:adjustRightInd w:val="0"/>
        <w:ind w:firstLine="562"/>
        <w:jc w:val="both"/>
        <w:rPr>
          <w:b/>
          <w:bCs/>
          <w:szCs w:val="28"/>
        </w:rPr>
      </w:pPr>
      <w:r>
        <w:rPr>
          <w:b/>
          <w:bCs/>
          <w:szCs w:val="28"/>
        </w:rPr>
        <w:t>（</w:t>
      </w:r>
      <w:r>
        <w:rPr>
          <w:rFonts w:hint="eastAsia"/>
          <w:b/>
          <w:bCs/>
          <w:szCs w:val="28"/>
        </w:rPr>
        <w:t>5</w:t>
      </w:r>
      <w:r>
        <w:rPr>
          <w:b/>
          <w:bCs/>
          <w:szCs w:val="28"/>
        </w:rPr>
        <w:t>）讨论与修改</w:t>
      </w:r>
    </w:p>
    <w:p>
      <w:pPr>
        <w:adjustRightInd w:val="0"/>
        <w:snapToGrid w:val="0"/>
        <w:ind w:firstLine="560"/>
        <w:jc w:val="both"/>
        <w:rPr>
          <w:szCs w:val="28"/>
        </w:rPr>
      </w:pPr>
      <w:r>
        <w:rPr>
          <w:rFonts w:hint="eastAsia"/>
          <w:szCs w:val="28"/>
          <w:lang w:val="en-US" w:eastAsia="zh-CN"/>
        </w:rPr>
        <w:t>2023年12月-2024年1月起，</w:t>
      </w:r>
      <w:r>
        <w:rPr>
          <w:szCs w:val="28"/>
        </w:rPr>
        <w:t>标准起草小组</w:t>
      </w:r>
      <w:r>
        <w:rPr>
          <w:rFonts w:hint="eastAsia"/>
          <w:szCs w:val="28"/>
        </w:rPr>
        <w:t>总结凝练成果</w:t>
      </w:r>
      <w:r>
        <w:rPr>
          <w:rFonts w:hint="eastAsia"/>
          <w:szCs w:val="28"/>
          <w:lang w:eastAsia="zh-CN"/>
        </w:rPr>
        <w:t>，</w:t>
      </w:r>
      <w:r>
        <w:rPr>
          <w:szCs w:val="28"/>
        </w:rPr>
        <w:t>经过多次交流、讨论与修改，完成本标准的征求意见稿</w:t>
      </w:r>
      <w:r>
        <w:rPr>
          <w:rFonts w:hint="eastAsia"/>
          <w:szCs w:val="28"/>
          <w:lang w:eastAsia="zh-CN"/>
        </w:rPr>
        <w:t>，</w:t>
      </w:r>
      <w:r>
        <w:rPr>
          <w:szCs w:val="28"/>
        </w:rPr>
        <w:t>征求相关单位意见。</w:t>
      </w:r>
    </w:p>
    <w:p>
      <w:pPr>
        <w:adjustRightInd w:val="0"/>
        <w:snapToGrid w:val="0"/>
        <w:ind w:firstLine="562"/>
        <w:jc w:val="both"/>
        <w:rPr>
          <w:b/>
          <w:bCs/>
          <w:kern w:val="0"/>
          <w:szCs w:val="28"/>
        </w:rPr>
      </w:pPr>
      <w:r>
        <w:rPr>
          <w:b/>
          <w:bCs/>
          <w:kern w:val="0"/>
          <w:szCs w:val="28"/>
        </w:rPr>
        <w:t>2. 标准的编制原则和主要内容</w:t>
      </w:r>
    </w:p>
    <w:p>
      <w:pPr>
        <w:adjustRightInd w:val="0"/>
        <w:snapToGrid w:val="0"/>
        <w:ind w:firstLine="562"/>
        <w:jc w:val="both"/>
        <w:rPr>
          <w:b/>
          <w:bCs/>
          <w:kern w:val="0"/>
          <w:szCs w:val="28"/>
        </w:rPr>
      </w:pPr>
      <w:r>
        <w:rPr>
          <w:b/>
          <w:bCs/>
          <w:kern w:val="0"/>
          <w:szCs w:val="28"/>
        </w:rPr>
        <w:t>2.1 编制原则</w:t>
      </w:r>
    </w:p>
    <w:p>
      <w:pPr>
        <w:adjustRightInd w:val="0"/>
        <w:snapToGrid w:val="0"/>
        <w:ind w:firstLine="560"/>
        <w:jc w:val="both"/>
        <w:rPr>
          <w:rFonts w:cs="Times New Roman"/>
          <w:szCs w:val="28"/>
        </w:rPr>
      </w:pPr>
      <w:r>
        <w:rPr>
          <w:rFonts w:cs="Times New Roman"/>
          <w:szCs w:val="28"/>
        </w:rPr>
        <w:t>编写格式按照中华人民共和国《标准化工作导则 第1部分：标准的结构和编写》</w:t>
      </w:r>
      <w:r>
        <w:rPr>
          <w:rFonts w:hint="eastAsia" w:cs="Times New Roman"/>
          <w:szCs w:val="28"/>
        </w:rPr>
        <w:t>（</w:t>
      </w:r>
      <w:r>
        <w:rPr>
          <w:rFonts w:cs="Times New Roman"/>
          <w:szCs w:val="28"/>
        </w:rPr>
        <w:t>GB/T 1.1</w:t>
      </w:r>
      <w:r>
        <w:rPr>
          <w:rFonts w:hint="eastAsia" w:cs="Times New Roman"/>
          <w:szCs w:val="28"/>
        </w:rPr>
        <w:t>）</w:t>
      </w:r>
      <w:r>
        <w:rPr>
          <w:rFonts w:cs="Times New Roman"/>
          <w:szCs w:val="28"/>
        </w:rPr>
        <w:t>和《标准化工作导则 第2部分：标准中规范性技术要素内容的确定方法》</w:t>
      </w:r>
      <w:r>
        <w:rPr>
          <w:rFonts w:hint="eastAsia" w:cs="Times New Roman"/>
          <w:szCs w:val="28"/>
        </w:rPr>
        <w:t>（</w:t>
      </w:r>
      <w:r>
        <w:rPr>
          <w:rFonts w:cs="Times New Roman"/>
          <w:szCs w:val="28"/>
        </w:rPr>
        <w:t>GB/T 1.2</w:t>
      </w:r>
      <w:r>
        <w:rPr>
          <w:rFonts w:hint="eastAsia" w:cs="Times New Roman"/>
          <w:szCs w:val="28"/>
        </w:rPr>
        <w:t>）</w:t>
      </w:r>
      <w:r>
        <w:rPr>
          <w:rFonts w:cs="Times New Roman"/>
          <w:szCs w:val="28"/>
        </w:rPr>
        <w:t>与国家有关标准化法律、法规要求。</w:t>
      </w:r>
    </w:p>
    <w:p>
      <w:pPr>
        <w:adjustRightInd w:val="0"/>
        <w:snapToGrid w:val="0"/>
        <w:ind w:firstLine="560"/>
        <w:jc w:val="both"/>
        <w:rPr>
          <w:szCs w:val="28"/>
        </w:rPr>
      </w:pPr>
      <w:r>
        <w:rPr>
          <w:rFonts w:hint="eastAsia"/>
          <w:szCs w:val="28"/>
        </w:rPr>
        <w:t>本标准围绕飞播灌木林沙柳、柠条、羊柴、花棒、紫穗槐等灌木树种在平茬过程中的指标与要</w:t>
      </w:r>
      <w:r>
        <w:rPr>
          <w:rFonts w:hint="eastAsia"/>
          <w:szCs w:val="28"/>
          <w:lang w:val="en-US" w:eastAsia="zh-CN"/>
        </w:rPr>
        <w:t>求</w:t>
      </w:r>
      <w:r>
        <w:rPr>
          <w:rFonts w:hint="eastAsia"/>
          <w:szCs w:val="28"/>
        </w:rPr>
        <w:t>等进行规范，包括平茬时间、平茬强度、平茬周期、留茬高度、平茬方式、平茬工具、平茬注意事项、平茬后期管理等内容。立足毛乌素沙地榆林沙区飞播灌木林退化现状，积极借鉴国内先进技术，使本标准更科学、更具体、更实用，为今后灌木林平茬复壮技术的推广与应用起到示范作用。</w:t>
      </w:r>
    </w:p>
    <w:p>
      <w:pPr>
        <w:adjustRightInd w:val="0"/>
        <w:snapToGrid w:val="0"/>
        <w:ind w:firstLine="562"/>
        <w:jc w:val="both"/>
        <w:rPr>
          <w:b/>
          <w:kern w:val="0"/>
          <w:szCs w:val="28"/>
        </w:rPr>
      </w:pPr>
      <w:r>
        <w:rPr>
          <w:b/>
          <w:kern w:val="0"/>
          <w:szCs w:val="28"/>
        </w:rPr>
        <w:t>2.2 主要内容</w:t>
      </w:r>
    </w:p>
    <w:p>
      <w:pPr>
        <w:ind w:firstLine="560"/>
        <w:rPr>
          <w:szCs w:val="28"/>
        </w:rPr>
      </w:pPr>
      <w:r>
        <w:rPr>
          <w:szCs w:val="28"/>
        </w:rPr>
        <w:t>标准主要内容从</w:t>
      </w:r>
      <w:r>
        <w:rPr>
          <w:rFonts w:hint="eastAsia"/>
          <w:szCs w:val="28"/>
        </w:rPr>
        <w:t>术语和定义、平茬技术指标与要求</w:t>
      </w:r>
      <w:r>
        <w:rPr>
          <w:rFonts w:hint="eastAsia"/>
          <w:szCs w:val="28"/>
          <w:lang w:eastAsia="zh-CN"/>
        </w:rPr>
        <w:t>、</w:t>
      </w:r>
      <w:r>
        <w:rPr>
          <w:rFonts w:hint="eastAsia" w:hAnsi="Times New Roman" w:cs="Times New Roman"/>
          <w:lang w:val="en-US" w:eastAsia="zh-CN"/>
        </w:rPr>
        <w:t>档案资料管理、验收</w:t>
      </w:r>
      <w:r>
        <w:rPr>
          <w:rFonts w:hint="eastAsia"/>
          <w:szCs w:val="28"/>
        </w:rPr>
        <w:t>等规定了飞播灌木林沙柳、柠条、杨柴、花棒、紫穗槐等树种的平茬复壮经营的技术标准。</w:t>
      </w:r>
    </w:p>
    <w:p>
      <w:pPr>
        <w:adjustRightInd w:val="0"/>
        <w:snapToGrid w:val="0"/>
        <w:ind w:firstLine="562"/>
        <w:jc w:val="both"/>
        <w:rPr>
          <w:rFonts w:cs="Times New Roman"/>
          <w:b/>
          <w:kern w:val="0"/>
          <w:szCs w:val="28"/>
        </w:rPr>
      </w:pPr>
      <w:r>
        <w:rPr>
          <w:rFonts w:cs="Times New Roman"/>
          <w:b/>
          <w:kern w:val="0"/>
          <w:szCs w:val="28"/>
        </w:rPr>
        <w:t>3 主要试验及验证结果的总结分析</w:t>
      </w:r>
    </w:p>
    <w:p>
      <w:pPr>
        <w:adjustRightInd w:val="0"/>
        <w:snapToGrid w:val="0"/>
        <w:ind w:firstLine="562"/>
        <w:jc w:val="both"/>
        <w:rPr>
          <w:rFonts w:hint="eastAsia" w:ascii="Times New Roman" w:hAnsi="Times New Roman"/>
          <w:b/>
          <w:kern w:val="0"/>
          <w:szCs w:val="28"/>
        </w:rPr>
      </w:pPr>
      <w:r>
        <w:rPr>
          <w:rFonts w:hint="eastAsia" w:ascii="Times New Roman" w:hAnsi="Times New Roman"/>
          <w:b/>
          <w:kern w:val="0"/>
          <w:szCs w:val="28"/>
          <w:lang w:val="en-US" w:eastAsia="zh-CN"/>
        </w:rPr>
        <w:t xml:space="preserve">3.1 </w:t>
      </w:r>
      <w:r>
        <w:rPr>
          <w:rFonts w:hint="eastAsia" w:ascii="Times New Roman" w:hAnsi="Times New Roman"/>
          <w:b/>
          <w:kern w:val="0"/>
          <w:szCs w:val="28"/>
        </w:rPr>
        <w:t>飞播区灌木林健康评价</w:t>
      </w:r>
    </w:p>
    <w:p>
      <w:pPr>
        <w:adjustRightInd w:val="0"/>
        <w:ind w:firstLine="560"/>
        <w:jc w:val="both"/>
        <w:rPr>
          <w:rFonts w:hint="eastAsia" w:cs="Times New Roman"/>
          <w:bCs/>
          <w:color w:val="000000"/>
          <w:szCs w:val="28"/>
        </w:rPr>
      </w:pPr>
      <w:r>
        <w:rPr>
          <w:rFonts w:hint="eastAsia" w:cs="Times New Roman"/>
          <w:bCs/>
          <w:color w:val="000000"/>
          <w:szCs w:val="28"/>
        </w:rPr>
        <w:t>以榆阳区飞播灌木林为研究实例，验证防护林健康评价指标体系的合理性和实用性。按照所采取的指标量化标准，将所调查的指标数据量化值求平均值。</w:t>
      </w:r>
      <w:r>
        <w:rPr>
          <w:rFonts w:hint="eastAsia" w:cs="Times New Roman"/>
          <w:bCs/>
          <w:color w:val="000000"/>
          <w:szCs w:val="28"/>
          <w:lang w:val="en-US" w:eastAsia="zh-CN"/>
        </w:rPr>
        <w:t>结果表明，</w:t>
      </w:r>
      <w:r>
        <w:rPr>
          <w:rFonts w:hint="eastAsia" w:cs="Times New Roman"/>
          <w:bCs/>
          <w:color w:val="000000"/>
          <w:szCs w:val="28"/>
        </w:rPr>
        <w:t>调查地的灌木林防护林综合指数差距不大，各样地灌木林健康指数总体偏低，介于0.4841~0.6767之间，表明飞播区灌木林健康状态总体不佳，属于轻度退化。调查样地灌木林的评定结果基本与实地情况相符。在实地调研中哈兔湾和牙石兔样地的灌木林生长势差，枯死枝的数量相对较多，同时也存在管理粗放、更新缓慢等问题。</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cs="Times New Roman"/>
          <w:bCs/>
          <w:color w:val="000000"/>
          <w:szCs w:val="28"/>
        </w:rPr>
      </w:pPr>
      <w:r>
        <w:rPr>
          <w:rFonts w:hint="eastAsia" w:cs="Times New Roman"/>
          <w:bCs/>
          <w:color w:val="000000"/>
          <w:szCs w:val="28"/>
          <w:lang w:val="en-US" w:eastAsia="zh-CN"/>
        </w:rPr>
        <w:t xml:space="preserve">表1 </w:t>
      </w:r>
      <w:r>
        <w:rPr>
          <w:rFonts w:hint="eastAsia" w:cs="Times New Roman"/>
          <w:bCs/>
          <w:color w:val="000000"/>
          <w:szCs w:val="28"/>
        </w:rPr>
        <w:t>样地评价指标量化均值</w:t>
      </w:r>
    </w:p>
    <w:tbl>
      <w:tblPr>
        <w:tblStyle w:val="6"/>
        <w:tblW w:w="97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1"/>
        <w:gridCol w:w="701"/>
        <w:gridCol w:w="701"/>
        <w:gridCol w:w="701"/>
        <w:gridCol w:w="742"/>
        <w:gridCol w:w="742"/>
        <w:gridCol w:w="701"/>
        <w:gridCol w:w="621"/>
        <w:gridCol w:w="641"/>
        <w:gridCol w:w="701"/>
        <w:gridCol w:w="682"/>
        <w:gridCol w:w="702"/>
        <w:gridCol w:w="702"/>
        <w:gridCol w:w="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Header/>
          <w:tblCellSpacing w:w="0" w:type="dxa"/>
          <w:jc w:val="center"/>
        </w:trPr>
        <w:tc>
          <w:tcPr>
            <w:tcW w:w="701" w:type="dxa"/>
            <w:vMerge w:val="restart"/>
            <w:tcBorders>
              <w:top w:val="single" w:color="000000" w:sz="12" w:space="0"/>
              <w:left w:val="nil"/>
              <w:bottom w:val="single" w:color="000000" w:sz="4" w:space="0"/>
              <w:right w:val="nil"/>
              <w:tl2br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样地号</w:t>
            </w:r>
          </w:p>
        </w:tc>
        <w:tc>
          <w:tcPr>
            <w:tcW w:w="2103" w:type="dxa"/>
            <w:gridSpan w:val="3"/>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林分结构</w:t>
            </w:r>
          </w:p>
        </w:tc>
        <w:tc>
          <w:tcPr>
            <w:tcW w:w="3447" w:type="dxa"/>
            <w:gridSpan w:val="5"/>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林分活力</w:t>
            </w:r>
          </w:p>
        </w:tc>
        <w:tc>
          <w:tcPr>
            <w:tcW w:w="1383" w:type="dxa"/>
            <w:gridSpan w:val="2"/>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立地条件</w:t>
            </w:r>
          </w:p>
        </w:tc>
        <w:tc>
          <w:tcPr>
            <w:tcW w:w="2106" w:type="dxa"/>
            <w:gridSpan w:val="3"/>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干扰因子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Header/>
          <w:tblCellSpacing w:w="0" w:type="dxa"/>
          <w:jc w:val="center"/>
        </w:trPr>
        <w:tc>
          <w:tcPr>
            <w:tcW w:w="701" w:type="dxa"/>
            <w:vMerge w:val="continue"/>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jc w:val="center"/>
              <w:rPr>
                <w:rFonts w:hint="eastAsia" w:ascii="宋体"/>
                <w:b w:val="0"/>
                <w:color w:val="000000"/>
                <w:sz w:val="24"/>
                <w:szCs w:val="24"/>
              </w:rPr>
            </w:pPr>
          </w:p>
        </w:tc>
        <w:tc>
          <w:tcPr>
            <w:tcW w:w="70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灌木盖度</w:t>
            </w:r>
          </w:p>
        </w:tc>
        <w:tc>
          <w:tcPr>
            <w:tcW w:w="70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冠幅</w:t>
            </w:r>
          </w:p>
        </w:tc>
        <w:tc>
          <w:tcPr>
            <w:tcW w:w="70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草本盖度</w:t>
            </w:r>
          </w:p>
        </w:tc>
        <w:tc>
          <w:tcPr>
            <w:tcW w:w="74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生物量</w:t>
            </w:r>
          </w:p>
        </w:tc>
        <w:tc>
          <w:tcPr>
            <w:tcW w:w="74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生物多样性</w:t>
            </w:r>
          </w:p>
        </w:tc>
        <w:tc>
          <w:tcPr>
            <w:tcW w:w="70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枯活枝比</w:t>
            </w:r>
          </w:p>
        </w:tc>
        <w:tc>
          <w:tcPr>
            <w:tcW w:w="62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树高</w:t>
            </w:r>
          </w:p>
        </w:tc>
        <w:tc>
          <w:tcPr>
            <w:tcW w:w="64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地径</w:t>
            </w:r>
          </w:p>
        </w:tc>
        <w:tc>
          <w:tcPr>
            <w:tcW w:w="701"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含水量</w:t>
            </w:r>
          </w:p>
        </w:tc>
        <w:tc>
          <w:tcPr>
            <w:tcW w:w="68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土壤质地</w:t>
            </w:r>
          </w:p>
        </w:tc>
        <w:tc>
          <w:tcPr>
            <w:tcW w:w="70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病虫害</w:t>
            </w:r>
          </w:p>
        </w:tc>
        <w:tc>
          <w:tcPr>
            <w:tcW w:w="70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人畜干扰</w:t>
            </w:r>
          </w:p>
        </w:tc>
        <w:tc>
          <w:tcPr>
            <w:tcW w:w="702" w:type="dxa"/>
            <w:tcBorders>
              <w:top w:val="single" w:color="000000" w:sz="4" w:space="0"/>
              <w:left w:val="nil"/>
              <w:bottom w:val="single" w:color="auto"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管理方式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jc w:val="center"/>
        </w:trPr>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Ⅰ</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0.54</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0.89</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0.54</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0.85</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0.57</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0.60</w:t>
            </w:r>
          </w:p>
        </w:tc>
        <w:tc>
          <w:tcPr>
            <w:tcW w:w="62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0.85</w:t>
            </w:r>
          </w:p>
        </w:tc>
        <w:tc>
          <w:tcPr>
            <w:tcW w:w="64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0.98</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0.86</w:t>
            </w:r>
          </w:p>
        </w:tc>
        <w:tc>
          <w:tcPr>
            <w:tcW w:w="68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jc w:val="center"/>
        </w:trPr>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Ⅱ</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0.66</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0.47</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0.60</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0.44</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0.72</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0.83</w:t>
            </w:r>
          </w:p>
        </w:tc>
        <w:tc>
          <w:tcPr>
            <w:tcW w:w="62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64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0.63</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0.72</w:t>
            </w:r>
          </w:p>
        </w:tc>
        <w:tc>
          <w:tcPr>
            <w:tcW w:w="68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jc w:val="center"/>
        </w:trPr>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Ⅲ</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0.65</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0.67</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0.45</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0.75</w:t>
            </w:r>
          </w:p>
        </w:tc>
        <w:tc>
          <w:tcPr>
            <w:tcW w:w="62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0.79</w:t>
            </w:r>
          </w:p>
        </w:tc>
        <w:tc>
          <w:tcPr>
            <w:tcW w:w="64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0.57</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0.71</w:t>
            </w:r>
          </w:p>
        </w:tc>
        <w:tc>
          <w:tcPr>
            <w:tcW w:w="68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jc w:val="center"/>
        </w:trPr>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Ⅳ</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0.46</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w:t>
            </w:r>
          </w:p>
        </w:tc>
        <w:tc>
          <w:tcPr>
            <w:tcW w:w="74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0.67</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62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0.67</w:t>
            </w:r>
          </w:p>
        </w:tc>
        <w:tc>
          <w:tcPr>
            <w:tcW w:w="64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0.46</w:t>
            </w:r>
          </w:p>
        </w:tc>
        <w:tc>
          <w:tcPr>
            <w:tcW w:w="70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0.67</w:t>
            </w:r>
          </w:p>
        </w:tc>
        <w:tc>
          <w:tcPr>
            <w:tcW w:w="68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w:t>
            </w:r>
          </w:p>
        </w:tc>
        <w:tc>
          <w:tcPr>
            <w:tcW w:w="70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jc w:val="center"/>
        </w:trPr>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Ⅴ</w:t>
            </w:r>
          </w:p>
        </w:tc>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0.69</w:t>
            </w:r>
          </w:p>
        </w:tc>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0.43</w:t>
            </w:r>
          </w:p>
        </w:tc>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4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0.56</w:t>
            </w:r>
          </w:p>
        </w:tc>
        <w:tc>
          <w:tcPr>
            <w:tcW w:w="74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0.61</w:t>
            </w:r>
          </w:p>
        </w:tc>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0.63</w:t>
            </w:r>
          </w:p>
        </w:tc>
        <w:tc>
          <w:tcPr>
            <w:tcW w:w="62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0.56</w:t>
            </w:r>
          </w:p>
        </w:tc>
        <w:tc>
          <w:tcPr>
            <w:tcW w:w="64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0.66</w:t>
            </w:r>
          </w:p>
        </w:tc>
        <w:tc>
          <w:tcPr>
            <w:tcW w:w="70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0.52</w:t>
            </w:r>
          </w:p>
        </w:tc>
        <w:tc>
          <w:tcPr>
            <w:tcW w:w="68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c>
          <w:tcPr>
            <w:tcW w:w="70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0.62</w:t>
            </w:r>
          </w:p>
        </w:tc>
        <w:tc>
          <w:tcPr>
            <w:tcW w:w="70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0.38</w:t>
            </w:r>
          </w:p>
        </w:tc>
      </w:tr>
    </w:tbl>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表2 综合评价结果</w:t>
      </w:r>
    </w:p>
    <w:tbl>
      <w:tblPr>
        <w:tblStyle w:val="6"/>
        <w:tblW w:w="8399"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26"/>
        <w:gridCol w:w="2210"/>
        <w:gridCol w:w="2652"/>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1326" w:type="dxa"/>
            <w:tcBorders>
              <w:top w:val="single" w:color="000000" w:sz="12" w:space="0"/>
              <w:left w:val="nil"/>
              <w:bottom w:val="single" w:color="000000" w:sz="4" w:space="0"/>
              <w:right w:val="nil"/>
              <w:tl2br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序号</w:t>
            </w:r>
          </w:p>
        </w:tc>
        <w:tc>
          <w:tcPr>
            <w:tcW w:w="221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样地</w:t>
            </w:r>
          </w:p>
        </w:tc>
        <w:tc>
          <w:tcPr>
            <w:tcW w:w="2652"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综合指数值</w:t>
            </w:r>
          </w:p>
        </w:tc>
        <w:tc>
          <w:tcPr>
            <w:tcW w:w="2211"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评价等级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1326"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8"/>
                <w:szCs w:val="28"/>
              </w:rPr>
              <w:t>Ⅰ</w:t>
            </w:r>
          </w:p>
        </w:tc>
        <w:tc>
          <w:tcPr>
            <w:tcW w:w="221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红枣基地</w:t>
            </w:r>
          </w:p>
        </w:tc>
        <w:tc>
          <w:tcPr>
            <w:tcW w:w="2652"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0.5949</w:t>
            </w:r>
          </w:p>
        </w:tc>
        <w:tc>
          <w:tcPr>
            <w:tcW w:w="2211"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轻度退化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1326"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Ⅱ</w:t>
            </w:r>
          </w:p>
        </w:tc>
        <w:tc>
          <w:tcPr>
            <w:tcW w:w="221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机场路西</w:t>
            </w:r>
          </w:p>
        </w:tc>
        <w:tc>
          <w:tcPr>
            <w:tcW w:w="265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0.5547</w:t>
            </w:r>
          </w:p>
        </w:tc>
        <w:tc>
          <w:tcPr>
            <w:tcW w:w="221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轻度退化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1326"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Ⅲ</w:t>
            </w:r>
          </w:p>
        </w:tc>
        <w:tc>
          <w:tcPr>
            <w:tcW w:w="221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牙石兔</w:t>
            </w:r>
          </w:p>
        </w:tc>
        <w:tc>
          <w:tcPr>
            <w:tcW w:w="265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0.4835</w:t>
            </w:r>
          </w:p>
        </w:tc>
        <w:tc>
          <w:tcPr>
            <w:tcW w:w="221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中度退化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26"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Ⅳ</w:t>
            </w:r>
          </w:p>
        </w:tc>
        <w:tc>
          <w:tcPr>
            <w:tcW w:w="221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植物园</w:t>
            </w:r>
          </w:p>
        </w:tc>
        <w:tc>
          <w:tcPr>
            <w:tcW w:w="2652"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0.6767</w:t>
            </w:r>
          </w:p>
        </w:tc>
        <w:tc>
          <w:tcPr>
            <w:tcW w:w="2211"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微度退化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jc w:val="center"/>
        </w:trPr>
        <w:tc>
          <w:tcPr>
            <w:tcW w:w="1326"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Ⅴ</w:t>
            </w:r>
          </w:p>
        </w:tc>
        <w:tc>
          <w:tcPr>
            <w:tcW w:w="221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哈兔湾</w:t>
            </w:r>
          </w:p>
        </w:tc>
        <w:tc>
          <w:tcPr>
            <w:tcW w:w="2652"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0.4841</w:t>
            </w:r>
          </w:p>
        </w:tc>
        <w:tc>
          <w:tcPr>
            <w:tcW w:w="2211"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jc w:val="center"/>
              <w:textAlignment w:val="auto"/>
              <w:rPr>
                <w:b w:val="0"/>
                <w:color w:val="000000"/>
              </w:rPr>
            </w:pPr>
            <w:r>
              <w:rPr>
                <w:rFonts w:hint="default" w:ascii="Times New Roman" w:hAnsi="Times New Roman" w:cs="Times New Roman"/>
                <w:b w:val="0"/>
                <w:color w:val="000000"/>
                <w:sz w:val="22"/>
                <w:szCs w:val="22"/>
              </w:rPr>
              <w:t>中度退化</w:t>
            </w:r>
          </w:p>
        </w:tc>
      </w:tr>
    </w:tbl>
    <w:p>
      <w:pPr>
        <w:adjustRightInd w:val="0"/>
        <w:snapToGrid w:val="0"/>
        <w:ind w:firstLine="562"/>
        <w:jc w:val="both"/>
        <w:rPr>
          <w:rFonts w:hint="eastAsia" w:ascii="Times New Roman" w:hAnsi="Times New Roman"/>
          <w:b/>
          <w:kern w:val="0"/>
          <w:szCs w:val="28"/>
          <w:lang w:val="en-US" w:eastAsia="zh-CN"/>
        </w:rPr>
      </w:pPr>
      <w:r>
        <w:rPr>
          <w:rFonts w:hint="eastAsia" w:ascii="Times New Roman" w:hAnsi="Times New Roman"/>
          <w:b/>
          <w:kern w:val="0"/>
          <w:szCs w:val="28"/>
          <w:lang w:val="en-US" w:eastAsia="zh-CN"/>
        </w:rPr>
        <w:t>3.2 退化灌木林更新复壮</w:t>
      </w:r>
    </w:p>
    <w:p>
      <w:pPr>
        <w:adjustRightInd w:val="0"/>
        <w:snapToGrid w:val="0"/>
        <w:ind w:firstLine="562"/>
        <w:jc w:val="both"/>
        <w:rPr>
          <w:rFonts w:hint="eastAsia" w:ascii="Times New Roman" w:hAnsi="Times New Roman"/>
          <w:b/>
          <w:kern w:val="0"/>
          <w:szCs w:val="28"/>
          <w:lang w:val="en-US" w:eastAsia="zh-CN"/>
        </w:rPr>
      </w:pPr>
      <w:r>
        <w:rPr>
          <w:rFonts w:hint="eastAsia" w:ascii="Times New Roman" w:hAnsi="Times New Roman"/>
          <w:b/>
          <w:kern w:val="0"/>
          <w:szCs w:val="28"/>
          <w:lang w:val="en-US" w:eastAsia="zh-CN"/>
        </w:rPr>
        <w:t>3.2.1 不同平茬方式对灌木生长影响</w:t>
      </w:r>
    </w:p>
    <w:p>
      <w:pPr>
        <w:adjustRightInd w:val="0"/>
        <w:ind w:firstLine="560"/>
        <w:jc w:val="both"/>
        <w:rPr>
          <w:rFonts w:hint="eastAsia" w:cs="Times New Roman"/>
          <w:bCs/>
          <w:color w:val="000000"/>
          <w:szCs w:val="28"/>
        </w:rPr>
      </w:pPr>
      <w:r>
        <w:rPr>
          <w:rFonts w:hint="eastAsia" w:cs="Times New Roman"/>
          <w:bCs/>
          <w:color w:val="000000"/>
          <w:szCs w:val="28"/>
        </w:rPr>
        <w:t>为探究不同平茬类型对灌木生长影响，寻找三片长势相近灌木林，分别进行带状平茬、片状平茬和块状平茬，在2019年8月进行生物量调查，调查结果</w:t>
      </w:r>
      <w:r>
        <w:rPr>
          <w:rFonts w:hint="eastAsia" w:cs="Times New Roman"/>
          <w:bCs/>
          <w:color w:val="000000"/>
          <w:szCs w:val="28"/>
          <w:lang w:val="en-US" w:eastAsia="zh-CN"/>
        </w:rPr>
        <w:t>表明，冠幅生长规律与高度、地径规律有一定差异性，高度最低的带状平茬，冠幅远远高于其余两种平茬方式，新长出活枝数呈现出和冠幅一样的规律性。平茬一年后，带状平茬地块的覆盖度最高，达到了87%，片状平茬和块状平茬林地没有体现出显著差异性，因此，带状平茬更有助于林分的发育和郁闭，块状平茬次之。</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表3 不同平茬类型对灌木生长影响</w:t>
      </w:r>
    </w:p>
    <w:tbl>
      <w:tblPr>
        <w:tblStyle w:val="6"/>
        <w:tblW w:w="870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2"/>
        <w:gridCol w:w="1243"/>
        <w:gridCol w:w="1243"/>
        <w:gridCol w:w="1243"/>
        <w:gridCol w:w="1243"/>
        <w:gridCol w:w="1243"/>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blHeader/>
          <w:tblCellSpacing w:w="0" w:type="dxa"/>
        </w:trPr>
        <w:tc>
          <w:tcPr>
            <w:tcW w:w="1240" w:type="dxa"/>
            <w:tcBorders>
              <w:top w:val="single" w:color="000000" w:sz="12" w:space="0"/>
              <w:left w:val="nil"/>
              <w:bottom w:val="single" w:color="000000" w:sz="4" w:space="0"/>
              <w:right w:val="nil"/>
              <w:tl2br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平茬方式</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地径/cm</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高度/cm</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冠幅/cm</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活枝数/枝</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枯枝数/枝</w:t>
            </w:r>
          </w:p>
        </w:tc>
        <w:tc>
          <w:tcPr>
            <w:tcW w:w="1240" w:type="dxa"/>
            <w:tcBorders>
              <w:top w:val="single" w:color="000000" w:sz="12" w:space="0"/>
              <w:left w:val="nil"/>
              <w:bottom w:val="single" w:color="000000" w:sz="4"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覆盖度/%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blCellSpacing w:w="0" w:type="dxa"/>
        </w:trPr>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带状平茬</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5.77</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94.75</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bCs/>
                <w:color w:val="000000"/>
                <w:sz w:val="20"/>
                <w:szCs w:val="20"/>
              </w:rPr>
              <w:t>93.77</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bCs/>
                <w:color w:val="000000"/>
                <w:sz w:val="20"/>
                <w:szCs w:val="20"/>
              </w:rPr>
              <w:t>2.67</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bCs/>
                <w:color w:val="000000"/>
                <w:sz w:val="20"/>
                <w:szCs w:val="20"/>
              </w:rPr>
              <w:t>3.89</w:t>
            </w:r>
          </w:p>
        </w:tc>
        <w:tc>
          <w:tcPr>
            <w:tcW w:w="1240" w:type="dxa"/>
            <w:tcBorders>
              <w:top w:val="single" w:color="000000" w:sz="4" w:space="0"/>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bCs/>
                <w:color w:val="000000"/>
                <w:sz w:val="20"/>
                <w:szCs w:val="20"/>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blCellSpacing w:w="0" w:type="dxa"/>
        </w:trPr>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片状平茬</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5.66</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109.19</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58.63</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1.94</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2.65</w:t>
            </w:r>
          </w:p>
        </w:tc>
        <w:tc>
          <w:tcPr>
            <w:tcW w:w="1240" w:type="dxa"/>
            <w:tcBorders>
              <w:top w:val="nil"/>
              <w:left w:val="nil"/>
              <w:bottom w:val="nil"/>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blCellSpacing w:w="0" w:type="dxa"/>
        </w:trPr>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块状平茬</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6.23</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127.73</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62.04</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1.67</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1.67</w:t>
            </w:r>
          </w:p>
        </w:tc>
        <w:tc>
          <w:tcPr>
            <w:tcW w:w="1240" w:type="dxa"/>
            <w:tcBorders>
              <w:top w:val="nil"/>
              <w:left w:val="nil"/>
              <w:bottom w:val="single" w:color="000000" w:sz="12" w:space="0"/>
              <w:right w:val="nil"/>
            </w:tcBorders>
            <w:shd w:val="clear" w:color="auto" w:fill="FFFFFF"/>
            <w:tcMar>
              <w:top w:w="72" w:type="dxa"/>
              <w:left w:w="108" w:type="dxa"/>
              <w:bottom w:w="72" w:type="dxa"/>
              <w:right w:w="108" w:type="dxa"/>
            </w:tcMar>
            <w:vAlign w:val="center"/>
          </w:tcPr>
          <w:p>
            <w:pPr>
              <w:pStyle w:val="5"/>
              <w:keepNext w:val="0"/>
              <w:keepLines w:val="0"/>
              <w:widowControl/>
              <w:suppressLineNumbers w:val="0"/>
              <w:jc w:val="center"/>
              <w:rPr>
                <w:b w:val="0"/>
                <w:color w:val="000000"/>
              </w:rPr>
            </w:pPr>
            <w:r>
              <w:rPr>
                <w:rFonts w:hint="default" w:ascii="Times New Roman" w:hAnsi="Times New Roman" w:cs="Times New Roman"/>
                <w:b w:val="0"/>
                <w:color w:val="000000"/>
                <w:sz w:val="20"/>
                <w:szCs w:val="20"/>
              </w:rPr>
              <w:t>70</w:t>
            </w:r>
          </w:p>
        </w:tc>
      </w:tr>
    </w:tbl>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pPr>
      <w:r>
        <w:rPr>
          <w:rFonts w:hint="eastAsia"/>
        </w:rPr>
        <w:t>由图</w:t>
      </w:r>
      <w:r>
        <w:rPr>
          <w:rFonts w:hint="eastAsia"/>
          <w:lang w:val="en-US" w:eastAsia="zh-CN"/>
        </w:rPr>
        <w:t>1</w:t>
      </w:r>
      <w:r>
        <w:rPr>
          <w:rFonts w:hint="eastAsia"/>
        </w:rPr>
        <w:t>可知，不同平茬方式对样地植物的生物多样性及生物量增加量也有很大影响。从生物多样性的角度来看，带状平茬更有助于灌木林各种植被的恢复，块状平茬次之，平均一年内每个样方内生长出了294.13株草本植物，远远大于片状平茬和块状平茬，相比于片状平茬和块状平茬增加。</w:t>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pPr>
      <w:r>
        <w:drawing>
          <wp:inline distT="0" distB="0" distL="114300" distR="114300">
            <wp:extent cx="4457065" cy="2538095"/>
            <wp:effectExtent l="0" t="0" r="635" b="190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57267" cy="2538576"/>
                    </a:xfrm>
                    <a:prstGeom prst="rect">
                      <a:avLst/>
                    </a:prstGeom>
                    <a:noFill/>
                  </pic:spPr>
                </pic:pic>
              </a:graphicData>
            </a:graphic>
          </wp:inline>
        </w:drawing>
      </w:r>
    </w:p>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pPr>
      <w:r>
        <w:rPr>
          <w:rFonts w:hint="eastAsia"/>
          <w:lang w:val="en-US" w:eastAsia="zh-CN"/>
        </w:rPr>
        <w:t xml:space="preserve">图1 </w:t>
      </w:r>
      <w:r>
        <w:rPr>
          <w:rFonts w:hint="eastAsia"/>
        </w:rPr>
        <w:t>不同平茬类型对生物多样性影响</w:t>
      </w:r>
    </w:p>
    <w:p>
      <w:pPr>
        <w:adjustRightInd w:val="0"/>
        <w:snapToGrid w:val="0"/>
        <w:ind w:firstLine="562"/>
        <w:jc w:val="both"/>
        <w:rPr>
          <w:rFonts w:hint="eastAsia" w:ascii="Times New Roman" w:hAnsi="Times New Roman"/>
          <w:b/>
          <w:kern w:val="0"/>
          <w:szCs w:val="28"/>
          <w:lang w:val="en-US" w:eastAsia="zh-CN"/>
        </w:rPr>
      </w:pPr>
      <w:r>
        <w:rPr>
          <w:rFonts w:hint="eastAsia"/>
          <w:b/>
          <w:kern w:val="0"/>
          <w:szCs w:val="28"/>
          <w:lang w:val="en-US" w:eastAsia="zh-CN"/>
        </w:rPr>
        <w:t xml:space="preserve">3.2.2 </w:t>
      </w:r>
      <w:r>
        <w:rPr>
          <w:rFonts w:hint="eastAsia" w:ascii="Times New Roman" w:hAnsi="Times New Roman"/>
          <w:b/>
          <w:kern w:val="0"/>
          <w:szCs w:val="28"/>
          <w:lang w:val="en-US" w:eastAsia="zh-CN"/>
        </w:rPr>
        <w:t>平茬高度与平茬强度对灌木生长影响</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rPr>
      </w:pPr>
      <w:r>
        <w:rPr>
          <w:rFonts w:hint="eastAsia"/>
          <w:lang w:val="en-US" w:eastAsia="zh-CN"/>
        </w:rPr>
        <w:t>由</w:t>
      </w:r>
      <w:r>
        <w:rPr>
          <w:rFonts w:hint="eastAsia"/>
        </w:rPr>
        <w:t>表</w:t>
      </w:r>
      <w:r>
        <w:rPr>
          <w:rFonts w:hint="eastAsia"/>
          <w:lang w:val="en-US" w:eastAsia="zh-CN"/>
        </w:rPr>
        <w:t>4</w:t>
      </w:r>
      <w:r>
        <w:rPr>
          <w:rFonts w:hint="eastAsia"/>
        </w:rPr>
        <w:t>可</w:t>
      </w:r>
      <w:r>
        <w:rPr>
          <w:rFonts w:hint="eastAsia"/>
          <w:lang w:val="en-US" w:eastAsia="zh-CN"/>
        </w:rPr>
        <w:t>知</w:t>
      </w:r>
      <w:r>
        <w:rPr>
          <w:rFonts w:hint="eastAsia"/>
        </w:rPr>
        <w:t xml:space="preserve">，沙柳春季平茬，次年平均新生高度1.64m，平均冠面积0.45 </w:t>
      </w:r>
      <w:r>
        <w:rPr>
          <w:rFonts w:hint="eastAsia"/>
          <w:lang w:val="en-US" w:eastAsia="zh-CN"/>
        </w:rPr>
        <w:t>m</w:t>
      </w:r>
      <w:r>
        <w:rPr>
          <w:rFonts w:hint="eastAsia"/>
          <w:vertAlign w:val="superscript"/>
          <w:lang w:val="en-US" w:eastAsia="zh-CN"/>
        </w:rPr>
        <w:t>2</w:t>
      </w:r>
      <w:r>
        <w:rPr>
          <w:rFonts w:hint="eastAsia"/>
        </w:rPr>
        <w:t xml:space="preserve">，平均分枝条数10.8条，分别比原来多年平均生长高度1.52m高出0.12m，冠幅0.41 </w:t>
      </w:r>
      <w:r>
        <w:rPr>
          <w:rFonts w:hint="eastAsia"/>
          <w:lang w:val="en-US" w:eastAsia="zh-CN"/>
        </w:rPr>
        <w:t>m</w:t>
      </w:r>
      <w:r>
        <w:rPr>
          <w:rFonts w:hint="eastAsia"/>
          <w:vertAlign w:val="superscript"/>
          <w:lang w:val="en-US" w:eastAsia="zh-CN"/>
        </w:rPr>
        <w:t>2</w:t>
      </w:r>
      <w:r>
        <w:rPr>
          <w:rFonts w:hint="eastAsia"/>
        </w:rPr>
        <w:t xml:space="preserve">增加0.04 </w:t>
      </w:r>
      <w:r>
        <w:rPr>
          <w:rFonts w:hint="eastAsia"/>
          <w:lang w:val="en-US" w:eastAsia="zh-CN"/>
        </w:rPr>
        <w:t>m</w:t>
      </w:r>
      <w:r>
        <w:rPr>
          <w:rFonts w:hint="eastAsia"/>
          <w:vertAlign w:val="superscript"/>
          <w:lang w:val="en-US" w:eastAsia="zh-CN"/>
        </w:rPr>
        <w:t>2</w:t>
      </w:r>
      <w:r>
        <w:rPr>
          <w:rFonts w:hint="eastAsia"/>
        </w:rPr>
        <w:t>，平均分枝条数8.02条多出了2.78条。</w:t>
      </w:r>
      <w:r>
        <w:rPr>
          <w:rFonts w:hint="eastAsia"/>
          <w:lang w:val="en-US" w:eastAsia="zh-CN"/>
        </w:rPr>
        <w:t>由</w:t>
      </w:r>
      <w:r>
        <w:rPr>
          <w:rFonts w:hint="eastAsia"/>
        </w:rPr>
        <w:t>表</w:t>
      </w:r>
      <w:r>
        <w:rPr>
          <w:rFonts w:hint="eastAsia"/>
          <w:lang w:val="en-US" w:eastAsia="zh-CN"/>
        </w:rPr>
        <w:t>5</w:t>
      </w:r>
      <w:r>
        <w:rPr>
          <w:rFonts w:hint="eastAsia"/>
        </w:rPr>
        <w:t>可</w:t>
      </w:r>
      <w:r>
        <w:rPr>
          <w:rFonts w:hint="eastAsia"/>
          <w:lang w:val="en-US" w:eastAsia="zh-CN"/>
        </w:rPr>
        <w:t>知</w:t>
      </w:r>
      <w:r>
        <w:rPr>
          <w:rFonts w:hint="eastAsia"/>
        </w:rPr>
        <w:t>，花棒平茬后，当年高生长非常迅速，特别是分支数量的增加能够快速提高林地郁闭度，同时提高防风固沙效益。</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rPr>
      </w:pPr>
      <w:r>
        <w:rPr>
          <w:rFonts w:hint="eastAsia"/>
          <w:lang w:val="en-US" w:eastAsia="zh-CN"/>
        </w:rPr>
        <w:t>由</w:t>
      </w:r>
      <w:r>
        <w:rPr>
          <w:rFonts w:hint="eastAsia"/>
        </w:rPr>
        <w:t>表</w:t>
      </w:r>
      <w:r>
        <w:rPr>
          <w:rFonts w:hint="eastAsia"/>
          <w:lang w:val="en-US" w:eastAsia="zh-CN"/>
        </w:rPr>
        <w:t>6</w:t>
      </w:r>
      <w:r>
        <w:rPr>
          <w:rFonts w:hint="eastAsia"/>
        </w:rPr>
        <w:t>可</w:t>
      </w:r>
      <w:r>
        <w:rPr>
          <w:rFonts w:hint="eastAsia"/>
          <w:lang w:val="en-US" w:eastAsia="zh-CN"/>
        </w:rPr>
        <w:t>知</w:t>
      </w:r>
      <w:r>
        <w:rPr>
          <w:rFonts w:hint="eastAsia"/>
        </w:rPr>
        <w:t>，羊柴平茬后高生长和枝条数明显增加，充分说明灌木林适当平茬能够促进再生长。</w:t>
      </w:r>
    </w:p>
    <w:p>
      <w:pPr>
        <w:keepNext w:val="0"/>
        <w:keepLines w:val="0"/>
        <w:pageBreakBefore w:val="0"/>
        <w:widowControl w:val="0"/>
        <w:kinsoku/>
        <w:wordWrap/>
        <w:overflowPunct/>
        <w:topLinePunct w:val="0"/>
        <w:autoSpaceDE/>
        <w:autoSpaceDN/>
        <w:bidi w:val="0"/>
        <w:adjustRightInd w:val="0"/>
        <w:snapToGrid/>
        <w:spacing w:line="240" w:lineRule="auto"/>
        <w:ind w:firstLine="560" w:firstLineChars="200"/>
        <w:jc w:val="both"/>
        <w:textAlignment w:val="auto"/>
        <w:rPr>
          <w:rFonts w:hint="eastAsia"/>
        </w:rPr>
      </w:pPr>
      <w:r>
        <w:rPr>
          <w:rFonts w:hint="eastAsia"/>
          <w:lang w:val="en-US" w:eastAsia="zh-CN"/>
        </w:rPr>
        <w:t>由</w:t>
      </w:r>
      <w:r>
        <w:rPr>
          <w:rFonts w:hint="eastAsia"/>
        </w:rPr>
        <w:t>表</w:t>
      </w:r>
      <w:r>
        <w:rPr>
          <w:rFonts w:hint="eastAsia"/>
          <w:lang w:val="en-US" w:eastAsia="zh-CN"/>
        </w:rPr>
        <w:t>7</w:t>
      </w:r>
      <w:r>
        <w:rPr>
          <w:rFonts w:hint="eastAsia"/>
        </w:rPr>
        <w:t>可</w:t>
      </w:r>
      <w:r>
        <w:rPr>
          <w:rFonts w:hint="eastAsia"/>
          <w:lang w:val="en-US" w:eastAsia="zh-CN"/>
        </w:rPr>
        <w:t>知</w:t>
      </w:r>
      <w:r>
        <w:rPr>
          <w:rFonts w:hint="eastAsia"/>
        </w:rPr>
        <w:t>，柠条平茬后高生长和枝条数明显增加，特别是分支数量增加近一倍，充分说明柠条适当平茬更能够促进其分蘖。</w:t>
      </w:r>
    </w:p>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表4 沙柳春季平茬复壮试验调查（留茬0-5cm）</w:t>
      </w:r>
    </w:p>
    <w:tbl>
      <w:tblPr>
        <w:tblW w:w="83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02"/>
        <w:gridCol w:w="1183"/>
        <w:gridCol w:w="1103"/>
        <w:gridCol w:w="1283"/>
        <w:gridCol w:w="1263"/>
        <w:gridCol w:w="1283"/>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jc w:val="center"/>
        </w:trPr>
        <w:tc>
          <w:tcPr>
            <w:tcW w:w="900" w:type="dxa"/>
            <w:vMerge w:val="restart"/>
            <w:tcBorders>
              <w:top w:val="single" w:color="000000" w:sz="12" w:space="0"/>
              <w:bottom w:val="single" w:color="000000" w:sz="4" w:space="0"/>
              <w:tl2br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标准地号</w:t>
            </w:r>
          </w:p>
        </w:tc>
        <w:tc>
          <w:tcPr>
            <w:tcW w:w="356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平茬以前 </w:t>
            </w:r>
          </w:p>
        </w:tc>
        <w:tc>
          <w:tcPr>
            <w:tcW w:w="382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平茬以后（次年）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blCellSpacing w:w="0" w:type="dxa"/>
          <w:jc w:val="center"/>
        </w:trPr>
        <w:tc>
          <w:tcPr>
            <w:tcW w:w="900" w:type="dxa"/>
            <w:vMerge w:val="continue"/>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eastAsia" w:ascii="Times New Roman" w:hAnsi="Times New Roman" w:cs="Times New Roman"/>
                <w:b w:val="0"/>
                <w:color w:val="000000"/>
                <w:sz w:val="20"/>
                <w:szCs w:val="20"/>
              </w:rPr>
            </w:pPr>
          </w:p>
        </w:tc>
        <w:tc>
          <w:tcPr>
            <w:tcW w:w="118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平均高度（m）</w:t>
            </w:r>
          </w:p>
        </w:tc>
        <w:tc>
          <w:tcPr>
            <w:tcW w:w="110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平均冠面积（ ㎡）</w:t>
            </w:r>
          </w:p>
        </w:tc>
        <w:tc>
          <w:tcPr>
            <w:tcW w:w="128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平均分枝条数（条）</w:t>
            </w:r>
          </w:p>
        </w:tc>
        <w:tc>
          <w:tcPr>
            <w:tcW w:w="126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平均新生高度（m）</w:t>
            </w:r>
          </w:p>
        </w:tc>
        <w:tc>
          <w:tcPr>
            <w:tcW w:w="128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平均冠面积（㎡）</w:t>
            </w:r>
          </w:p>
        </w:tc>
        <w:tc>
          <w:tcPr>
            <w:tcW w:w="128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平均分枝条数（条）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1.58 </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0.43</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12.3</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1.65</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0.45</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2</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1.50 </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0.30</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1.72</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0.34</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3</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1.49 </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0.15</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5.8</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1.60</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0.23</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4</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1.64</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8</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1.72</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0.98</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5</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1.51</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0.20</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6.8</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1.56</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0.33</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9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w:t>
            </w:r>
          </w:p>
        </w:tc>
        <w:tc>
          <w:tcPr>
            <w:tcW w:w="11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1.38 </w:t>
            </w:r>
          </w:p>
        </w:tc>
        <w:tc>
          <w:tcPr>
            <w:tcW w:w="11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0.30</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9.2</w:t>
            </w:r>
          </w:p>
        </w:tc>
        <w:tc>
          <w:tcPr>
            <w:tcW w:w="12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1.58</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0.35</w:t>
            </w:r>
          </w:p>
        </w:tc>
        <w:tc>
          <w:tcPr>
            <w:tcW w:w="128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blCellSpacing w:w="0" w:type="dxa"/>
          <w:jc w:val="center"/>
        </w:trPr>
        <w:tc>
          <w:tcPr>
            <w:tcW w:w="9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w:t>
            </w:r>
          </w:p>
        </w:tc>
        <w:tc>
          <w:tcPr>
            <w:tcW w:w="118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1.52</w:t>
            </w:r>
          </w:p>
        </w:tc>
        <w:tc>
          <w:tcPr>
            <w:tcW w:w="11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0.41</w:t>
            </w:r>
          </w:p>
        </w:tc>
        <w:tc>
          <w:tcPr>
            <w:tcW w:w="128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8.02</w:t>
            </w:r>
          </w:p>
        </w:tc>
        <w:tc>
          <w:tcPr>
            <w:tcW w:w="126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1.64</w:t>
            </w:r>
          </w:p>
        </w:tc>
        <w:tc>
          <w:tcPr>
            <w:tcW w:w="128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0.45 </w:t>
            </w:r>
          </w:p>
        </w:tc>
        <w:tc>
          <w:tcPr>
            <w:tcW w:w="128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10.8</w:t>
            </w:r>
          </w:p>
        </w:tc>
      </w:tr>
    </w:tbl>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表5 花棒春季平茬复壮试验调查（留茬5-10cm）</w:t>
      </w:r>
    </w:p>
    <w:tbl>
      <w:tblPr>
        <w:tblW w:w="81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4"/>
        <w:gridCol w:w="1166"/>
        <w:gridCol w:w="1226"/>
        <w:gridCol w:w="1226"/>
        <w:gridCol w:w="1226"/>
        <w:gridCol w:w="1226"/>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blCellSpacing w:w="0" w:type="dxa"/>
          <w:jc w:val="center"/>
        </w:trPr>
        <w:tc>
          <w:tcPr>
            <w:tcW w:w="840" w:type="dxa"/>
            <w:vMerge w:val="restart"/>
            <w:tcBorders>
              <w:top w:val="single" w:color="000000" w:sz="12" w:space="0"/>
              <w:bottom w:val="single" w:color="000000" w:sz="4" w:space="0"/>
              <w:tl2br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标准地</w:t>
            </w:r>
            <w:r>
              <w:rPr>
                <w:rFonts w:hint="eastAsia" w:ascii="Times New Roman" w:hAnsi="Times New Roman" w:cs="Times New Roman"/>
                <w:b w:val="0"/>
                <w:color w:val="000000"/>
                <w:sz w:val="20"/>
                <w:szCs w:val="20"/>
              </w:rPr>
              <w:t>号</w:t>
            </w:r>
          </w:p>
        </w:tc>
        <w:tc>
          <w:tcPr>
            <w:tcW w:w="360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平茬以前 </w:t>
            </w:r>
          </w:p>
        </w:tc>
        <w:tc>
          <w:tcPr>
            <w:tcW w:w="366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平茬以后（次年）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jc w:val="center"/>
        </w:trPr>
        <w:tc>
          <w:tcPr>
            <w:tcW w:w="840" w:type="dxa"/>
            <w:vMerge w:val="continue"/>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eastAsia" w:ascii="Times New Roman" w:hAnsi="Times New Roman" w:cs="Times New Roman"/>
                <w:b w:val="0"/>
                <w:color w:val="000000"/>
                <w:sz w:val="20"/>
                <w:szCs w:val="20"/>
              </w:rPr>
            </w:pPr>
          </w:p>
        </w:tc>
        <w:tc>
          <w:tcPr>
            <w:tcW w:w="116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平均高度（m）</w:t>
            </w:r>
          </w:p>
        </w:tc>
        <w:tc>
          <w:tcPr>
            <w:tcW w:w="122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平均冠面积（ ㎡）</w:t>
            </w:r>
          </w:p>
        </w:tc>
        <w:tc>
          <w:tcPr>
            <w:tcW w:w="122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平均分枝条数（条）</w:t>
            </w:r>
          </w:p>
        </w:tc>
        <w:tc>
          <w:tcPr>
            <w:tcW w:w="122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平均新生高度（m）</w:t>
            </w:r>
          </w:p>
        </w:tc>
        <w:tc>
          <w:tcPr>
            <w:tcW w:w="122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平均冠面积（㎡）</w:t>
            </w:r>
          </w:p>
        </w:tc>
        <w:tc>
          <w:tcPr>
            <w:tcW w:w="1220"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平均分枝条数（条）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1.65 </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1.20</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3.8</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1.15</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0.82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2</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1.55 </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1.30</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4.6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1.23</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0.76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3</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1.67 </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3.6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1.35</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0.56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4</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1.72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1.42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4.0</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0.63</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5</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1.75</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1.46</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5.2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1.21</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0.72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blCellSpacing w:w="0" w:type="dxa"/>
          <w:jc w:val="center"/>
        </w:trPr>
        <w:tc>
          <w:tcPr>
            <w:tcW w:w="84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w:t>
            </w:r>
          </w:p>
        </w:tc>
        <w:tc>
          <w:tcPr>
            <w:tcW w:w="116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 xml:space="preserve">1.45 </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1.10</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1.12</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0.54</w:t>
            </w:r>
          </w:p>
        </w:tc>
        <w:tc>
          <w:tcPr>
            <w:tcW w:w="122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blCellSpacing w:w="0" w:type="dxa"/>
          <w:jc w:val="center"/>
        </w:trPr>
        <w:tc>
          <w:tcPr>
            <w:tcW w:w="84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平均</w:t>
            </w:r>
          </w:p>
        </w:tc>
        <w:tc>
          <w:tcPr>
            <w:tcW w:w="116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1.63</w:t>
            </w:r>
          </w:p>
        </w:tc>
        <w:tc>
          <w:tcPr>
            <w:tcW w:w="122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1.29</w:t>
            </w:r>
          </w:p>
        </w:tc>
        <w:tc>
          <w:tcPr>
            <w:tcW w:w="122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4.57</w:t>
            </w:r>
          </w:p>
        </w:tc>
        <w:tc>
          <w:tcPr>
            <w:tcW w:w="122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1.2</w:t>
            </w:r>
          </w:p>
        </w:tc>
        <w:tc>
          <w:tcPr>
            <w:tcW w:w="122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0.67</w:t>
            </w:r>
          </w:p>
        </w:tc>
        <w:tc>
          <w:tcPr>
            <w:tcW w:w="122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eastAsia" w:ascii="Times New Roman" w:hAnsi="Times New Roman" w:cs="Times New Roman"/>
                <w:b w:val="0"/>
                <w:color w:val="000000"/>
                <w:sz w:val="20"/>
                <w:szCs w:val="20"/>
              </w:rPr>
              <w:t>6.93</w:t>
            </w:r>
          </w:p>
        </w:tc>
      </w:tr>
    </w:tbl>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表6 羊柴春季平茬复壮试验调查（留茬0-5cm）</w:t>
      </w:r>
    </w:p>
    <w:tbl>
      <w:tblPr>
        <w:tblW w:w="860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2"/>
        <w:gridCol w:w="1283"/>
        <w:gridCol w:w="1323"/>
        <w:gridCol w:w="1343"/>
        <w:gridCol w:w="1323"/>
        <w:gridCol w:w="1323"/>
        <w:gridCol w:w="13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Header/>
          <w:tblCellSpacing w:w="0" w:type="dxa"/>
        </w:trPr>
        <w:tc>
          <w:tcPr>
            <w:tcW w:w="682" w:type="dxa"/>
            <w:vMerge w:val="restart"/>
            <w:tcBorders>
              <w:top w:val="single" w:color="000000" w:sz="12" w:space="0"/>
              <w:bottom w:val="single" w:color="000000" w:sz="4" w:space="0"/>
              <w:tl2br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标准地号</w:t>
            </w:r>
          </w:p>
        </w:tc>
        <w:tc>
          <w:tcPr>
            <w:tcW w:w="3949"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平茬以前 </w:t>
            </w:r>
          </w:p>
        </w:tc>
        <w:tc>
          <w:tcPr>
            <w:tcW w:w="3969"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平茬以后（次年）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blHeader/>
          <w:tblCellSpacing w:w="0" w:type="dxa"/>
        </w:trPr>
        <w:tc>
          <w:tcPr>
            <w:tcW w:w="682" w:type="dxa"/>
            <w:vMerge w:val="continue"/>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eastAsia" w:ascii="Times New Roman" w:hAnsi="Times New Roman" w:cs="Times New Roman"/>
                <w:b w:val="0"/>
                <w:color w:val="000000"/>
                <w:sz w:val="20"/>
                <w:szCs w:val="20"/>
              </w:rPr>
            </w:pPr>
          </w:p>
        </w:tc>
        <w:tc>
          <w:tcPr>
            <w:tcW w:w="128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平均高度（m）</w:t>
            </w:r>
          </w:p>
        </w:tc>
        <w:tc>
          <w:tcPr>
            <w:tcW w:w="132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平均冠面积（ ㎡）</w:t>
            </w:r>
          </w:p>
        </w:tc>
        <w:tc>
          <w:tcPr>
            <w:tcW w:w="134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平均分枝条数（条）</w:t>
            </w:r>
          </w:p>
        </w:tc>
        <w:tc>
          <w:tcPr>
            <w:tcW w:w="132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平均新生高度（m）</w:t>
            </w:r>
          </w:p>
        </w:tc>
        <w:tc>
          <w:tcPr>
            <w:tcW w:w="132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平均冠面积（㎡）</w:t>
            </w:r>
          </w:p>
        </w:tc>
        <w:tc>
          <w:tcPr>
            <w:tcW w:w="1323" w:type="dxa"/>
            <w:tcBorders>
              <w:top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平均分枝条数（条）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blCellSpacing w:w="0" w:type="dxa"/>
        </w:trPr>
        <w:tc>
          <w:tcPr>
            <w:tcW w:w="682"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w:t>
            </w:r>
          </w:p>
        </w:tc>
        <w:tc>
          <w:tcPr>
            <w:tcW w:w="128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1.32 </w:t>
            </w:r>
          </w:p>
        </w:tc>
        <w:tc>
          <w:tcPr>
            <w:tcW w:w="132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1.13</w:t>
            </w:r>
          </w:p>
        </w:tc>
        <w:tc>
          <w:tcPr>
            <w:tcW w:w="134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6.8</w:t>
            </w:r>
          </w:p>
        </w:tc>
        <w:tc>
          <w:tcPr>
            <w:tcW w:w="132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1.35</w:t>
            </w:r>
          </w:p>
        </w:tc>
        <w:tc>
          <w:tcPr>
            <w:tcW w:w="132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0.88</w:t>
            </w:r>
          </w:p>
        </w:tc>
        <w:tc>
          <w:tcPr>
            <w:tcW w:w="1323" w:type="dxa"/>
            <w:tcBorders>
              <w:top w:val="single" w:color="auto"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trPr>
        <w:tc>
          <w:tcPr>
            <w:tcW w:w="682"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2</w:t>
            </w:r>
          </w:p>
        </w:tc>
        <w:tc>
          <w:tcPr>
            <w:tcW w:w="128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1.12 </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1.05</w:t>
            </w:r>
          </w:p>
        </w:tc>
        <w:tc>
          <w:tcPr>
            <w:tcW w:w="134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5.6</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1.31</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0.68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trPr>
        <w:tc>
          <w:tcPr>
            <w:tcW w:w="682"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3</w:t>
            </w:r>
          </w:p>
        </w:tc>
        <w:tc>
          <w:tcPr>
            <w:tcW w:w="128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1.56 </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1.12</w:t>
            </w:r>
          </w:p>
        </w:tc>
        <w:tc>
          <w:tcPr>
            <w:tcW w:w="134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4.8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1.43</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1.02</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trPr>
        <w:tc>
          <w:tcPr>
            <w:tcW w:w="682"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4</w:t>
            </w:r>
          </w:p>
        </w:tc>
        <w:tc>
          <w:tcPr>
            <w:tcW w:w="128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1.21</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w:t>
            </w:r>
          </w:p>
        </w:tc>
        <w:tc>
          <w:tcPr>
            <w:tcW w:w="134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6.5</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0.76</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trPr>
        <w:tc>
          <w:tcPr>
            <w:tcW w:w="682"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5</w:t>
            </w:r>
          </w:p>
        </w:tc>
        <w:tc>
          <w:tcPr>
            <w:tcW w:w="128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1.55</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1.20</w:t>
            </w:r>
          </w:p>
        </w:tc>
        <w:tc>
          <w:tcPr>
            <w:tcW w:w="134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6.1</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0.68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blCellSpacing w:w="0" w:type="dxa"/>
        </w:trPr>
        <w:tc>
          <w:tcPr>
            <w:tcW w:w="682"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w:t>
            </w:r>
          </w:p>
        </w:tc>
        <w:tc>
          <w:tcPr>
            <w:tcW w:w="128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1.48 </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0.98</w:t>
            </w:r>
          </w:p>
        </w:tc>
        <w:tc>
          <w:tcPr>
            <w:tcW w:w="134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7.2</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1.44</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0.98</w:t>
            </w:r>
          </w:p>
        </w:tc>
        <w:tc>
          <w:tcPr>
            <w:tcW w:w="1323"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blCellSpacing w:w="0" w:type="dxa"/>
        </w:trPr>
        <w:tc>
          <w:tcPr>
            <w:tcW w:w="682"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w:t>
            </w:r>
          </w:p>
        </w:tc>
        <w:tc>
          <w:tcPr>
            <w:tcW w:w="128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1.37</w:t>
            </w:r>
          </w:p>
        </w:tc>
        <w:tc>
          <w:tcPr>
            <w:tcW w:w="132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w:t>
            </w:r>
          </w:p>
        </w:tc>
        <w:tc>
          <w:tcPr>
            <w:tcW w:w="134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6.17</w:t>
            </w:r>
          </w:p>
        </w:tc>
        <w:tc>
          <w:tcPr>
            <w:tcW w:w="132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1.37</w:t>
            </w:r>
          </w:p>
        </w:tc>
        <w:tc>
          <w:tcPr>
            <w:tcW w:w="132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0.83</w:t>
            </w:r>
          </w:p>
        </w:tc>
        <w:tc>
          <w:tcPr>
            <w:tcW w:w="1323"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9.45</w:t>
            </w:r>
          </w:p>
        </w:tc>
      </w:tr>
    </w:tbl>
    <w:p>
      <w:pPr>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Times New Roman" w:hAnsi="Times New Roman" w:cs="Times New Roman"/>
          <w:bCs/>
          <w:color w:val="000000"/>
          <w:szCs w:val="28"/>
          <w:lang w:val="en-US" w:eastAsia="zh-CN"/>
        </w:rPr>
      </w:pPr>
      <w:r>
        <w:rPr>
          <w:rFonts w:hint="eastAsia" w:ascii="Times New Roman" w:hAnsi="Times New Roman" w:cs="Times New Roman"/>
          <w:bCs/>
          <w:color w:val="000000"/>
          <w:szCs w:val="28"/>
          <w:lang w:val="en-US" w:eastAsia="zh-CN"/>
        </w:rPr>
        <w:t>表7 柠条冬季平茬复壮试验调查（留茬0-5cm）</w:t>
      </w:r>
    </w:p>
    <w:tbl>
      <w:tblPr>
        <w:tblW w:w="788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1200"/>
        <w:gridCol w:w="1200"/>
        <w:gridCol w:w="1240"/>
        <w:gridCol w:w="1200"/>
        <w:gridCol w:w="120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0" w:hRule="atLeast"/>
          <w:tblCellSpacing w:w="0" w:type="dxa"/>
          <w:jc w:val="center"/>
        </w:trPr>
        <w:tc>
          <w:tcPr>
            <w:tcW w:w="600" w:type="dxa"/>
            <w:vMerge w:val="restart"/>
            <w:tcBorders>
              <w:top w:val="single" w:color="000000" w:sz="12" w:space="0"/>
              <w:bottom w:val="single" w:color="000000" w:sz="4" w:space="0"/>
              <w:tl2br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标准地号</w:t>
            </w:r>
          </w:p>
        </w:tc>
        <w:tc>
          <w:tcPr>
            <w:tcW w:w="364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平茬以前 </w:t>
            </w:r>
          </w:p>
        </w:tc>
        <w:tc>
          <w:tcPr>
            <w:tcW w:w="3640" w:type="dxa"/>
            <w:gridSpan w:val="3"/>
            <w:tcBorders>
              <w:top w:val="single" w:color="000000" w:sz="12" w:space="0"/>
              <w:bottom w:val="single" w:color="000000" w:sz="4"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平茬以后（次年）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0" w:hRule="atLeast"/>
          <w:tblCellSpacing w:w="0" w:type="dxa"/>
          <w:jc w:val="center"/>
        </w:trPr>
        <w:tc>
          <w:tcPr>
            <w:tcW w:w="600" w:type="dxa"/>
            <w:vMerge w:val="continue"/>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eastAsia" w:ascii="Times New Roman" w:hAnsi="Times New Roman" w:cs="Times New Roman"/>
                <w:b w:val="0"/>
                <w:color w:val="000000"/>
                <w:sz w:val="20"/>
                <w:szCs w:val="20"/>
              </w:rPr>
            </w:pP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平均高度（m）</w:t>
            </w: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平均冠面积（ ㎡）</w:t>
            </w: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平均分枝条数（条）</w:t>
            </w: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平均新生高度（m）</w:t>
            </w: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平均冠面积（㎡）</w:t>
            </w:r>
          </w:p>
        </w:tc>
        <w:tc>
          <w:tcPr>
            <w:tcW w:w="1200" w:type="dxa"/>
            <w:tcBorders>
              <w:top w:val="single" w:color="000000" w:sz="4" w:space="0"/>
              <w:bottom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平均分枝条数（条）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1.02 </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12.8</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1.08</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1.32 </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1.03</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13.6</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1.34</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1.23</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3</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1.36 </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1.10</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4</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1.41</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1.10</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1.48</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1.31</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1.39</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blCellSpacing w:w="0" w:type="dxa"/>
          <w:jc w:val="center"/>
        </w:trPr>
        <w:tc>
          <w:tcPr>
            <w:tcW w:w="6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6</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 xml:space="preserve">1.40 </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0.90</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9.2</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1.45</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1.20</w:t>
            </w:r>
          </w:p>
        </w:tc>
        <w:tc>
          <w:tcPr>
            <w:tcW w:w="1200" w:type="dxa"/>
            <w:tcBorders>
              <w:top w:val="nil"/>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0" w:hRule="atLeast"/>
          <w:tblCellSpacing w:w="0" w:type="dxa"/>
          <w:jc w:val="center"/>
        </w:trPr>
        <w:tc>
          <w:tcPr>
            <w:tcW w:w="6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平均</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1.31</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1.03</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11.58</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1.39</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1.18</w:t>
            </w:r>
          </w:p>
        </w:tc>
        <w:tc>
          <w:tcPr>
            <w:tcW w:w="1200" w:type="dxa"/>
            <w:tcBorders>
              <w:top w:val="nil"/>
              <w:bottom w:val="single" w:color="000000" w:sz="12" w:space="0"/>
            </w:tcBorders>
            <w:shd w:val="clear" w:color="auto" w:fill="FFFFFF"/>
            <w:tcMar>
              <w:left w:w="108" w:type="dxa"/>
              <w:right w:w="108" w:type="dxa"/>
            </w:tcMar>
            <w:vAlign w:val="center"/>
          </w:tcPr>
          <w:p>
            <w:pPr>
              <w:pStyle w:val="5"/>
              <w:keepNext w:val="0"/>
              <w:keepLines w:val="0"/>
              <w:widowControl/>
              <w:suppressLineNumbers w:val="0"/>
              <w:jc w:val="center"/>
              <w:rPr>
                <w:rFonts w:hint="default" w:ascii="Times New Roman" w:hAnsi="Times New Roman" w:cs="Times New Roman"/>
                <w:b w:val="0"/>
                <w:color w:val="000000"/>
                <w:sz w:val="20"/>
                <w:szCs w:val="20"/>
              </w:rPr>
            </w:pPr>
            <w:r>
              <w:rPr>
                <w:rFonts w:hint="default" w:ascii="Times New Roman" w:hAnsi="Times New Roman" w:cs="Times New Roman"/>
                <w:b w:val="0"/>
                <w:color w:val="000000"/>
                <w:sz w:val="20"/>
                <w:szCs w:val="20"/>
              </w:rPr>
              <w:t>19.65</w:t>
            </w:r>
          </w:p>
        </w:tc>
      </w:tr>
    </w:tbl>
    <w:p>
      <w:pPr>
        <w:adjustRightInd w:val="0"/>
        <w:ind w:firstLine="562"/>
        <w:jc w:val="both"/>
        <w:rPr>
          <w:rFonts w:cs="Times New Roman"/>
          <w:b/>
          <w:color w:val="000000"/>
          <w:szCs w:val="28"/>
        </w:rPr>
      </w:pPr>
      <w:r>
        <w:rPr>
          <w:rFonts w:cs="Times New Roman"/>
          <w:b/>
          <w:color w:val="000000"/>
          <w:szCs w:val="28"/>
        </w:rPr>
        <w:t>4 与有关现行法律、法规和强制性国家标准、行业标准的关系</w:t>
      </w:r>
    </w:p>
    <w:p>
      <w:pPr>
        <w:adjustRightInd w:val="0"/>
        <w:ind w:firstLine="560"/>
        <w:jc w:val="both"/>
        <w:rPr>
          <w:rFonts w:hint="eastAsia" w:eastAsia="宋体" w:cs="Times New Roman"/>
          <w:szCs w:val="28"/>
          <w:lang w:eastAsia="zh-CN"/>
        </w:rPr>
      </w:pPr>
      <w:r>
        <w:rPr>
          <w:rFonts w:hint="eastAsia" w:cs="Times New Roman"/>
          <w:szCs w:val="28"/>
        </w:rPr>
        <w:t>查阅国内外现行法律、法规及标准发现</w:t>
      </w:r>
      <w:r>
        <w:rPr>
          <w:rFonts w:hint="eastAsia" w:cs="Times New Roman"/>
          <w:szCs w:val="28"/>
          <w:lang w:eastAsia="zh-CN"/>
        </w:rPr>
        <w:t>：</w:t>
      </w:r>
    </w:p>
    <w:p>
      <w:pPr>
        <w:numPr>
          <w:ilvl w:val="0"/>
          <w:numId w:val="1"/>
        </w:numPr>
        <w:adjustRightInd w:val="0"/>
        <w:ind w:firstLine="560" w:firstLineChars="200"/>
        <w:jc w:val="both"/>
        <w:rPr>
          <w:rFonts w:hint="eastAsia" w:cs="Times New Roman"/>
          <w:szCs w:val="28"/>
        </w:rPr>
      </w:pPr>
      <w:r>
        <w:rPr>
          <w:rFonts w:hint="eastAsia" w:cs="Times New Roman"/>
          <w:szCs w:val="28"/>
        </w:rPr>
        <w:t>内蒙古自治区地方标准《人工灌木林主要树种平茬复壮技术规程》（DB15/T557-2013），由内蒙古自治区2013-7-20发布。该标准规定了沙柳、黄柳、柠条、羊柴和沙棘人工灌木林平茬复壮经营的技术标准。</w:t>
      </w:r>
    </w:p>
    <w:p>
      <w:pPr>
        <w:numPr>
          <w:ilvl w:val="0"/>
          <w:numId w:val="1"/>
        </w:numPr>
        <w:adjustRightInd w:val="0"/>
        <w:ind w:firstLine="560" w:firstLineChars="200"/>
        <w:jc w:val="both"/>
        <w:rPr>
          <w:rFonts w:hint="eastAsia" w:cs="Times New Roman"/>
          <w:szCs w:val="28"/>
        </w:rPr>
      </w:pPr>
      <w:r>
        <w:rPr>
          <w:rFonts w:hint="eastAsia" w:cs="Times New Roman"/>
          <w:szCs w:val="28"/>
        </w:rPr>
        <w:t>国家林业行业标准《柠条锦鸡儿平茬技术规程》（LY/T 2458-2015），由国家林业局2015-01-27发布。该标准规定了柠条锦鸡儿平茬作业设计、技术指标、平茬作业等技术要求。</w:t>
      </w:r>
    </w:p>
    <w:p>
      <w:pPr>
        <w:numPr>
          <w:ilvl w:val="0"/>
          <w:numId w:val="1"/>
        </w:numPr>
        <w:adjustRightInd w:val="0"/>
        <w:ind w:firstLine="560" w:firstLineChars="200"/>
        <w:jc w:val="both"/>
        <w:rPr>
          <w:rFonts w:hint="eastAsia" w:cs="Times New Roman"/>
          <w:szCs w:val="28"/>
        </w:rPr>
      </w:pPr>
      <w:r>
        <w:rPr>
          <w:rFonts w:hint="eastAsia" w:cs="Times New Roman"/>
          <w:szCs w:val="28"/>
        </w:rPr>
        <w:t>国家林业行业标准《沙冬青平茬技术规范》（LY/T 2627-2016），由国家林业局2016-01-18发布。该标准规定了沙冬青平茬复壮技术的内容和要求。</w:t>
      </w:r>
    </w:p>
    <w:p>
      <w:pPr>
        <w:numPr>
          <w:ilvl w:val="0"/>
          <w:numId w:val="1"/>
        </w:numPr>
        <w:adjustRightInd w:val="0"/>
        <w:ind w:firstLine="560" w:firstLineChars="200"/>
        <w:jc w:val="both"/>
        <w:rPr>
          <w:rFonts w:hint="eastAsia" w:cs="Times New Roman"/>
          <w:szCs w:val="28"/>
        </w:rPr>
      </w:pPr>
      <w:r>
        <w:rPr>
          <w:rFonts w:hint="eastAsia" w:cs="Times New Roman"/>
          <w:szCs w:val="28"/>
        </w:rPr>
        <w:t>国家林业行业标准《半干旱地区灌木林平茬与复壮技术规范》（LY/2676-2016），由国家林业局2016-07-27发布。该标准规定了全国半干旱地区沙棘、沙拐枣、柠条、沙柳、羊柴、胡枝子、沙木蓼、驼绒藜、紫穗槐等主要灌木树种人工林平茬复壮条件、平茬复壮技术（初始年龄、平茬方式、平茬方法、作业季节、茬口形状及高度、平茬间隔期、作业管理）、平茬复壮后管理及档案管理等方面的技术要求。</w:t>
      </w:r>
    </w:p>
    <w:p>
      <w:pPr>
        <w:adjustRightInd w:val="0"/>
        <w:ind w:firstLine="560"/>
        <w:jc w:val="both"/>
        <w:rPr>
          <w:rFonts w:hint="eastAsia" w:cs="Times New Roman"/>
          <w:szCs w:val="28"/>
        </w:rPr>
      </w:pPr>
      <w:r>
        <w:rPr>
          <w:rFonts w:hint="eastAsia" w:cs="Times New Roman"/>
          <w:szCs w:val="28"/>
        </w:rPr>
        <w:t>国内现有灌木平茬标准实用范围受限，针对榆林沙区退化飞播林地的灌木平茬标准仍然是个空白，亟需研究制定。</w:t>
      </w:r>
    </w:p>
    <w:p>
      <w:pPr>
        <w:adjustRightInd w:val="0"/>
        <w:ind w:firstLine="562"/>
        <w:jc w:val="both"/>
        <w:rPr>
          <w:rFonts w:cs="Times New Roman"/>
          <w:b/>
          <w:color w:val="000000"/>
          <w:szCs w:val="28"/>
        </w:rPr>
      </w:pPr>
      <w:r>
        <w:rPr>
          <w:rFonts w:cs="Times New Roman"/>
          <w:b/>
          <w:color w:val="000000"/>
          <w:szCs w:val="28"/>
        </w:rPr>
        <w:t>5. 重大分歧意见的处理经过和依据</w:t>
      </w:r>
    </w:p>
    <w:p>
      <w:pPr>
        <w:adjustRightInd w:val="0"/>
        <w:ind w:firstLine="560"/>
        <w:rPr>
          <w:rFonts w:cs="Times New Roman"/>
          <w:color w:val="000000"/>
          <w:szCs w:val="28"/>
        </w:rPr>
      </w:pPr>
      <w:r>
        <w:rPr>
          <w:rFonts w:cs="Times New Roman"/>
          <w:color w:val="000000"/>
          <w:szCs w:val="28"/>
        </w:rPr>
        <w:t>本标准现处于征求意见阶段，欢迎有关科研、管理和生产单位提出修改意见。同时本标准属于推荐性省级地方标准，所规定的技术内容和要求具有普遍指导作用，建议使用单位结合自身的实际情况，灵活加以应用，有不同意见时欢迎与标准起草人员进行讨论与沟通，在沟通无果的情况下，可本着求同存异的理念加以应用，或修订、研发、执行新的适用技术标准。</w:t>
      </w:r>
    </w:p>
    <w:p>
      <w:pPr>
        <w:adjustRightInd w:val="0"/>
        <w:ind w:firstLine="562"/>
        <w:jc w:val="both"/>
        <w:rPr>
          <w:rFonts w:cs="Times New Roman"/>
          <w:b/>
          <w:color w:val="000000"/>
          <w:szCs w:val="28"/>
        </w:rPr>
      </w:pPr>
      <w:r>
        <w:rPr>
          <w:rFonts w:cs="Times New Roman"/>
          <w:b/>
          <w:color w:val="000000"/>
          <w:szCs w:val="28"/>
        </w:rPr>
        <w:t>6. 作为强制性标准或者推荐性标准的建议</w:t>
      </w:r>
    </w:p>
    <w:p>
      <w:pPr>
        <w:ind w:firstLine="560"/>
        <w:jc w:val="both"/>
      </w:pPr>
      <w:r>
        <w:rPr>
          <w:rFonts w:hint="eastAsia"/>
        </w:rPr>
        <w:t>建议本标准作为推荐性省级地方标准执行。</w:t>
      </w:r>
    </w:p>
    <w:p>
      <w:pPr>
        <w:adjustRightInd w:val="0"/>
        <w:ind w:firstLine="562"/>
        <w:jc w:val="both"/>
        <w:rPr>
          <w:b/>
          <w:color w:val="000000"/>
          <w:szCs w:val="28"/>
        </w:rPr>
      </w:pPr>
      <w:r>
        <w:rPr>
          <w:b/>
          <w:color w:val="000000"/>
          <w:szCs w:val="28"/>
        </w:rPr>
        <w:t>7. 贯彻标准的要求、措施和建议，包括组织措施、技术措施、过渡办法等内容</w:t>
      </w:r>
    </w:p>
    <w:p>
      <w:pPr>
        <w:adjustRightInd w:val="0"/>
        <w:ind w:firstLine="560"/>
        <w:jc w:val="both"/>
        <w:rPr>
          <w:rFonts w:cs="Times New Roman"/>
          <w:color w:val="000000"/>
          <w:szCs w:val="28"/>
        </w:rPr>
      </w:pPr>
      <w:r>
        <w:rPr>
          <w:rFonts w:cs="Times New Roman"/>
          <w:color w:val="000000"/>
          <w:szCs w:val="28"/>
        </w:rPr>
        <w:t>建议本省各级林业单位以项目的形式对本标准进行推广应用，通过建立示范点（示范片）进行辐射推广，同时，加强对标准使用指导与培训，让标准发挥应有的作用。</w:t>
      </w:r>
    </w:p>
    <w:p>
      <w:pPr>
        <w:adjustRightInd w:val="0"/>
        <w:ind w:firstLine="562"/>
        <w:jc w:val="both"/>
        <w:rPr>
          <w:rFonts w:cs="Times New Roman"/>
          <w:b/>
          <w:color w:val="000000"/>
          <w:szCs w:val="28"/>
        </w:rPr>
      </w:pPr>
      <w:r>
        <w:rPr>
          <w:rFonts w:cs="Times New Roman"/>
          <w:b/>
          <w:color w:val="000000"/>
          <w:szCs w:val="28"/>
        </w:rPr>
        <w:t>8. 废止现行有关标准的建议</w:t>
      </w:r>
    </w:p>
    <w:p>
      <w:pPr>
        <w:adjustRightInd w:val="0"/>
        <w:ind w:firstLine="560"/>
        <w:jc w:val="both"/>
        <w:rPr>
          <w:rFonts w:cs="Times New Roman"/>
          <w:color w:val="000000"/>
          <w:szCs w:val="28"/>
        </w:rPr>
      </w:pPr>
      <w:r>
        <w:rPr>
          <w:rFonts w:cs="Times New Roman"/>
          <w:color w:val="000000"/>
          <w:szCs w:val="28"/>
        </w:rPr>
        <w:t>无</w:t>
      </w:r>
    </w:p>
    <w:p>
      <w:pPr>
        <w:adjustRightInd w:val="0"/>
        <w:ind w:firstLine="562"/>
        <w:jc w:val="both"/>
        <w:rPr>
          <w:rFonts w:cs="Times New Roman"/>
          <w:b/>
          <w:color w:val="000000"/>
          <w:szCs w:val="28"/>
        </w:rPr>
      </w:pPr>
      <w:r>
        <w:rPr>
          <w:rFonts w:cs="Times New Roman"/>
          <w:b/>
          <w:color w:val="000000"/>
          <w:szCs w:val="28"/>
        </w:rPr>
        <w:t>9. 其他应予说明的事项</w:t>
      </w:r>
    </w:p>
    <w:p>
      <w:pPr>
        <w:adjustRightInd w:val="0"/>
        <w:ind w:firstLine="560"/>
        <w:jc w:val="both"/>
        <w:rPr>
          <w:rFonts w:cs="Times New Roman"/>
          <w:color w:val="000000"/>
          <w:szCs w:val="28"/>
        </w:rPr>
      </w:pPr>
      <w:r>
        <w:rPr>
          <w:rFonts w:cs="Times New Roman"/>
          <w:color w:val="000000"/>
          <w:szCs w:val="28"/>
        </w:rPr>
        <w:t>无</w:t>
      </w:r>
    </w:p>
    <w:p>
      <w:pPr>
        <w:adjustRightInd w:val="0"/>
        <w:spacing w:line="240" w:lineRule="auto"/>
        <w:ind w:firstLine="562"/>
        <w:jc w:val="both"/>
        <w:rPr>
          <w:rFonts w:cs="Times New Roman"/>
          <w:b/>
          <w:color w:val="000000"/>
          <w:szCs w:val="28"/>
        </w:rPr>
      </w:pPr>
      <w:r>
        <w:rPr>
          <w:rFonts w:cs="Times New Roman"/>
          <w:b/>
          <w:color w:val="000000"/>
          <w:szCs w:val="28"/>
        </w:rPr>
        <w:t xml:space="preserve">10. </w:t>
      </w:r>
      <w:r>
        <w:rPr>
          <w:rFonts w:hint="eastAsia" w:cs="Times New Roman"/>
          <w:b/>
          <w:color w:val="000000"/>
          <w:szCs w:val="28"/>
        </w:rPr>
        <w:t>采用国内外先进标准对比</w:t>
      </w:r>
    </w:p>
    <w:p>
      <w:pPr>
        <w:adjustRightInd w:val="0"/>
        <w:ind w:firstLine="560"/>
        <w:jc w:val="both"/>
        <w:rPr>
          <w:rFonts w:cs="Times New Roman"/>
          <w:bCs/>
          <w:color w:val="000000"/>
          <w:szCs w:val="28"/>
        </w:rPr>
      </w:pPr>
      <w:r>
        <w:rPr>
          <w:rFonts w:hint="eastAsia" w:cs="Times New Roman"/>
          <w:bCs/>
          <w:color w:val="000000"/>
          <w:szCs w:val="28"/>
        </w:rPr>
        <w:t>通过查阅资料发现，国内现有灌木平茬标准实用范围受限，针对沙漠飞播林地的灌木平茬标准仍然是个空白，亟需研究制定。</w:t>
      </w:r>
    </w:p>
    <w:p>
      <w:pPr>
        <w:adjustRightInd w:val="0"/>
        <w:ind w:firstLine="0" w:firstLineChars="0"/>
        <w:jc w:val="both"/>
        <w:rPr>
          <w:rFonts w:ascii="宋体" w:hAnsi="宋体"/>
          <w:color w:val="000000"/>
          <w:szCs w:val="28"/>
        </w:rPr>
      </w:pPr>
    </w:p>
    <w:p>
      <w:pPr>
        <w:adjustRightInd w:val="0"/>
        <w:ind w:firstLine="560"/>
        <w:jc w:val="right"/>
        <w:rPr>
          <w:rFonts w:cs="Times New Roman"/>
          <w:bCs/>
          <w:color w:val="000000"/>
          <w:szCs w:val="28"/>
        </w:rPr>
      </w:pPr>
      <w:r>
        <w:rPr>
          <w:rFonts w:hint="eastAsia" w:ascii="宋体" w:hAnsi="宋体"/>
          <w:color w:val="000000"/>
          <w:szCs w:val="28"/>
        </w:rPr>
        <w:t>《沙地灌木树种平茬复壮技术规程》</w:t>
      </w:r>
    </w:p>
    <w:p>
      <w:pPr>
        <w:adjustRightInd w:val="0"/>
        <w:ind w:firstLine="560"/>
        <w:jc w:val="right"/>
        <w:rPr>
          <w:rFonts w:cs="Times New Roman"/>
          <w:bCs/>
          <w:color w:val="000000"/>
          <w:szCs w:val="28"/>
        </w:rPr>
      </w:pPr>
      <w:r>
        <w:rPr>
          <w:rFonts w:hint="eastAsia" w:ascii="宋体" w:hAnsi="宋体"/>
          <w:color w:val="000000"/>
          <w:szCs w:val="28"/>
        </w:rPr>
        <w:t>陕西省地方标准起草组</w:t>
      </w:r>
    </w:p>
    <w:p>
      <w:pPr>
        <w:adjustRightInd w:val="0"/>
        <w:ind w:firstLine="560"/>
        <w:jc w:val="right"/>
      </w:pPr>
      <w:r>
        <w:rPr>
          <w:rFonts w:hint="eastAsia" w:ascii="宋体" w:hAnsi="宋体"/>
          <w:color w:val="000000"/>
          <w:szCs w:val="28"/>
        </w:rPr>
        <w:t>二</w:t>
      </w:r>
      <w:r>
        <w:rPr>
          <w:rFonts w:hint="eastAsia" w:ascii="宋体" w:hAnsi="宋体" w:cs="微软雅黑"/>
          <w:color w:val="000000"/>
          <w:szCs w:val="28"/>
        </w:rPr>
        <w:t>〇</w:t>
      </w:r>
      <w:r>
        <w:rPr>
          <w:rFonts w:hint="eastAsia" w:ascii="宋体" w:hAnsi="宋体"/>
          <w:color w:val="000000"/>
          <w:szCs w:val="28"/>
        </w:rPr>
        <w:t>二</w:t>
      </w:r>
      <w:r>
        <w:rPr>
          <w:rFonts w:hint="eastAsia" w:ascii="宋体" w:hAnsi="宋体"/>
          <w:color w:val="000000"/>
          <w:szCs w:val="28"/>
          <w:lang w:val="en-US" w:eastAsia="zh-CN"/>
        </w:rPr>
        <w:t>四</w:t>
      </w:r>
      <w:r>
        <w:rPr>
          <w:rFonts w:hint="eastAsia" w:ascii="宋体" w:hAnsi="宋体"/>
          <w:color w:val="000000"/>
          <w:szCs w:val="28"/>
        </w:rPr>
        <w:t>年</w:t>
      </w:r>
      <w:r>
        <w:rPr>
          <w:rFonts w:hint="eastAsia" w:ascii="宋体" w:hAnsi="宋体"/>
          <w:color w:val="000000"/>
          <w:szCs w:val="28"/>
          <w:lang w:val="en-US" w:eastAsia="zh-CN"/>
        </w:rPr>
        <w:t>一</w:t>
      </w:r>
      <w:r>
        <w:rPr>
          <w:rFonts w:hint="eastAsia" w:ascii="宋体" w:hAnsi="宋体"/>
          <w:color w:val="000000"/>
          <w:szCs w:val="28"/>
        </w:rPr>
        <w:t>月</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9F229"/>
    <w:multiLevelType w:val="singleLevel"/>
    <w:tmpl w:val="9699F2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lMTkxNWJkM2E4ZDBjNDI2ZDhlYmM1MWI4MTc3MjgifQ=="/>
  </w:docVars>
  <w:rsids>
    <w:rsidRoot w:val="00050DD2"/>
    <w:rsid w:val="00050DD2"/>
    <w:rsid w:val="0006224D"/>
    <w:rsid w:val="00092849"/>
    <w:rsid w:val="0011769E"/>
    <w:rsid w:val="00121B05"/>
    <w:rsid w:val="001364C0"/>
    <w:rsid w:val="001C650C"/>
    <w:rsid w:val="00220247"/>
    <w:rsid w:val="0024195C"/>
    <w:rsid w:val="00277BCE"/>
    <w:rsid w:val="002F3749"/>
    <w:rsid w:val="003604B0"/>
    <w:rsid w:val="003B001B"/>
    <w:rsid w:val="00401F39"/>
    <w:rsid w:val="00432670"/>
    <w:rsid w:val="00483833"/>
    <w:rsid w:val="004D7571"/>
    <w:rsid w:val="004D7CB2"/>
    <w:rsid w:val="00507D3B"/>
    <w:rsid w:val="005303C5"/>
    <w:rsid w:val="005B2354"/>
    <w:rsid w:val="005F0283"/>
    <w:rsid w:val="00667968"/>
    <w:rsid w:val="006D2E2F"/>
    <w:rsid w:val="00734048"/>
    <w:rsid w:val="00751390"/>
    <w:rsid w:val="0078020D"/>
    <w:rsid w:val="007A6B17"/>
    <w:rsid w:val="007F63D5"/>
    <w:rsid w:val="00830A02"/>
    <w:rsid w:val="00832F97"/>
    <w:rsid w:val="008A0FCC"/>
    <w:rsid w:val="008D61ED"/>
    <w:rsid w:val="00917FCD"/>
    <w:rsid w:val="0092639E"/>
    <w:rsid w:val="009835E8"/>
    <w:rsid w:val="009F22D9"/>
    <w:rsid w:val="00A003BC"/>
    <w:rsid w:val="00BC6822"/>
    <w:rsid w:val="00C96B58"/>
    <w:rsid w:val="00CB3033"/>
    <w:rsid w:val="00D5334F"/>
    <w:rsid w:val="00E86C01"/>
    <w:rsid w:val="00EB5F76"/>
    <w:rsid w:val="00F21DFA"/>
    <w:rsid w:val="00F44999"/>
    <w:rsid w:val="00FE77C9"/>
    <w:rsid w:val="05EF3F4F"/>
    <w:rsid w:val="06904423"/>
    <w:rsid w:val="06D25D4A"/>
    <w:rsid w:val="07A16B22"/>
    <w:rsid w:val="08515945"/>
    <w:rsid w:val="0A9A0D15"/>
    <w:rsid w:val="1A4F3AD7"/>
    <w:rsid w:val="1D756FD8"/>
    <w:rsid w:val="1FB83034"/>
    <w:rsid w:val="244D0366"/>
    <w:rsid w:val="2C2440A3"/>
    <w:rsid w:val="2F837332"/>
    <w:rsid w:val="36EF34FF"/>
    <w:rsid w:val="3A331955"/>
    <w:rsid w:val="3CCB2319"/>
    <w:rsid w:val="41F24B6C"/>
    <w:rsid w:val="43B34232"/>
    <w:rsid w:val="4484172B"/>
    <w:rsid w:val="44B02520"/>
    <w:rsid w:val="45440EBA"/>
    <w:rsid w:val="47B73BC5"/>
    <w:rsid w:val="4BA679C0"/>
    <w:rsid w:val="4D216351"/>
    <w:rsid w:val="50EE68AA"/>
    <w:rsid w:val="598D29D8"/>
    <w:rsid w:val="5CB95936"/>
    <w:rsid w:val="61556B13"/>
    <w:rsid w:val="61ED21A0"/>
    <w:rsid w:val="67582877"/>
    <w:rsid w:val="7AFD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pPr>
    <w:rPr>
      <w:rFonts w:ascii="Times New Roman" w:hAnsi="Times New Roman" w:eastAsia="宋体" w:cs="宋体"/>
      <w:kern w:val="2"/>
      <w:sz w:val="28"/>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11"/>
    <w:autoRedefine/>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line="240" w:lineRule="auto"/>
      <w:ind w:firstLine="0" w:firstLineChars="0"/>
    </w:pPr>
    <w:rPr>
      <w:rFonts w:ascii="宋体" w:hAnsi="宋体"/>
      <w:kern w:val="0"/>
      <w:sz w:val="24"/>
      <w:szCs w:val="24"/>
    </w:rPr>
  </w:style>
  <w:style w:type="paragraph" w:customStyle="1" w:styleId="8">
    <w:name w:val="Char Char Char Char Char Char1 Char"/>
    <w:basedOn w:val="1"/>
    <w:autoRedefine/>
    <w:semiHidden/>
    <w:qFormat/>
    <w:uiPriority w:val="0"/>
    <w:pPr>
      <w:jc w:val="both"/>
    </w:pPr>
    <w:rPr>
      <w:rFonts w:cs="Times New Roman"/>
      <w:szCs w:val="24"/>
    </w:rPr>
  </w:style>
  <w:style w:type="paragraph" w:customStyle="1" w:styleId="9">
    <w:name w:val="Char Char Char Char Char Char1 Char1"/>
    <w:basedOn w:val="1"/>
    <w:autoRedefine/>
    <w:semiHidden/>
    <w:qFormat/>
    <w:uiPriority w:val="0"/>
    <w:pPr>
      <w:spacing w:line="240" w:lineRule="auto"/>
      <w:ind w:firstLine="0" w:firstLineChars="0"/>
      <w:jc w:val="both"/>
    </w:pPr>
    <w:rPr>
      <w:rFonts w:cs="Times New Roman"/>
      <w:sz w:val="21"/>
      <w:szCs w:val="24"/>
    </w:rPr>
  </w:style>
  <w:style w:type="character" w:customStyle="1" w:styleId="10">
    <w:name w:val="页眉 字符"/>
    <w:basedOn w:val="7"/>
    <w:link w:val="4"/>
    <w:autoRedefine/>
    <w:qFormat/>
    <w:uiPriority w:val="99"/>
    <w:rPr>
      <w:rFonts w:ascii="Times New Roman" w:hAnsi="Times New Roman" w:eastAsia="宋体" w:cs="宋体"/>
      <w:kern w:val="2"/>
      <w:sz w:val="18"/>
      <w:szCs w:val="18"/>
    </w:rPr>
  </w:style>
  <w:style w:type="character" w:customStyle="1" w:styleId="11">
    <w:name w:val="页脚 字符"/>
    <w:basedOn w:val="7"/>
    <w:link w:val="3"/>
    <w:autoRedefine/>
    <w:qFormat/>
    <w:uiPriority w:val="99"/>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5430</Words>
  <Characters>5912</Characters>
  <Lines>43</Lines>
  <Paragraphs>12</Paragraphs>
  <TotalTime>5</TotalTime>
  <ScaleCrop>false</ScaleCrop>
  <LinksUpToDate>false</LinksUpToDate>
  <CharactersWithSpaces>5979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2022-12-10T08:39:00Z</dcterms:created>
  <dc:creator>A36766</dc:creator>
  <cp:lastModifiedBy>L</cp:lastModifiedBy>
  <cp:lastPrinted>2023-02-21T02:17:00Z</cp:lastPrinted>
  <dcterms:modified xsi:type="dcterms:W3CDTF">2024-01-27T02:01:44Z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051CC7412FC44029B11E1AB5E931F23A</vt:lpwstr>
  </property>
</Properties>
</file>