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jc w:val="center"/>
        <w:textAlignment w:val="auto"/>
        <w:rPr>
          <w:rFonts w:ascii="Times New Roman" w:hAnsi="Times New Roman" w:eastAsia="黑体"/>
          <w:b/>
          <w:color w:val="auto"/>
          <w:sz w:val="44"/>
          <w:szCs w:val="44"/>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eastAsia="黑体"/>
          <w:b/>
          <w:sz w:val="44"/>
          <w:szCs w:val="44"/>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陕西省地方标准</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w:t>
      </w:r>
      <w:r>
        <w:rPr>
          <w:rFonts w:hint="eastAsia" w:ascii="方正小标宋简体" w:hAnsi="方正小标宋简体" w:eastAsia="方正小标宋简体" w:cs="方正小标宋简体"/>
          <w:b w:val="0"/>
          <w:bCs/>
          <w:color w:val="auto"/>
          <w:sz w:val="44"/>
          <w:szCs w:val="44"/>
          <w:lang w:val="en-US" w:eastAsia="zh-CN"/>
        </w:rPr>
        <w:t>生鲜食品监督抽检工作规范</w:t>
      </w:r>
      <w:r>
        <w:rPr>
          <w:rFonts w:hint="eastAsia" w:ascii="方正小标宋简体" w:hAnsi="方正小标宋简体" w:eastAsia="方正小标宋简体" w:cs="方正小标宋简体"/>
          <w:b w:val="0"/>
          <w:bCs/>
          <w:color w:val="auto"/>
          <w:sz w:val="44"/>
          <w:szCs w:val="44"/>
        </w:rPr>
        <w:t>》</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编制说明</w:t>
      </w: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rPr>
      </w:pP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6"/>
          <w:szCs w:val="36"/>
        </w:rPr>
      </w:pPr>
      <w:r>
        <w:rPr>
          <w:rFonts w:hint="eastAsia" w:ascii="黑体" w:hAnsi="黑体" w:eastAsia="黑体" w:cs="黑体"/>
          <w:sz w:val="32"/>
          <w:szCs w:val="32"/>
          <w:lang w:val="en-US" w:eastAsia="zh-CN"/>
        </w:rPr>
        <w:t xml:space="preserve"> </w:t>
      </w:r>
      <w:r>
        <w:rPr>
          <w:rFonts w:hint="eastAsia" w:ascii="黑体" w:hAnsi="黑体" w:eastAsia="黑体" w:cs="黑体"/>
          <w:sz w:val="36"/>
          <w:szCs w:val="36"/>
        </w:rPr>
        <w:t>标准起草组</w:t>
      </w: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6"/>
          <w:szCs w:val="36"/>
          <w:lang w:val="en-US" w:eastAsia="zh-CN"/>
        </w:rPr>
      </w:pP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6"/>
          <w:szCs w:val="36"/>
          <w:highlight w:val="none"/>
          <w:lang w:val="en-US" w:eastAsia="zh-CN"/>
        </w:rPr>
      </w:pPr>
      <w:r>
        <w:rPr>
          <w:rFonts w:hint="eastAsia" w:ascii="黑体" w:hAnsi="黑体" w:eastAsia="黑体" w:cs="黑体"/>
          <w:sz w:val="36"/>
          <w:szCs w:val="36"/>
          <w:highlight w:val="none"/>
          <w:lang w:val="en-US" w:eastAsia="zh-CN"/>
        </w:rPr>
        <w:t xml:space="preserve">  </w:t>
      </w:r>
      <w:r>
        <w:rPr>
          <w:rFonts w:hint="eastAsia" w:ascii="黑体" w:hAnsi="黑体" w:eastAsia="黑体" w:cs="黑体"/>
          <w:sz w:val="36"/>
          <w:szCs w:val="36"/>
          <w:highlight w:val="none"/>
        </w:rPr>
        <w:t>二〇二</w:t>
      </w:r>
      <w:r>
        <w:rPr>
          <w:rFonts w:hint="eastAsia" w:ascii="黑体" w:hAnsi="黑体" w:eastAsia="黑体" w:cs="黑体"/>
          <w:sz w:val="36"/>
          <w:szCs w:val="36"/>
          <w:highlight w:val="none"/>
          <w:lang w:eastAsia="zh-CN"/>
        </w:rPr>
        <w:t>四</w:t>
      </w:r>
      <w:r>
        <w:rPr>
          <w:rFonts w:hint="eastAsia" w:ascii="黑体" w:hAnsi="黑体" w:eastAsia="黑体" w:cs="黑体"/>
          <w:sz w:val="36"/>
          <w:szCs w:val="36"/>
          <w:highlight w:val="none"/>
        </w:rPr>
        <w:t>年</w:t>
      </w:r>
      <w:r>
        <w:rPr>
          <w:rFonts w:hint="eastAsia" w:ascii="黑体" w:hAnsi="黑体" w:eastAsia="黑体" w:cs="黑体"/>
          <w:sz w:val="36"/>
          <w:szCs w:val="36"/>
          <w:highlight w:val="none"/>
          <w:lang w:val="en-US" w:eastAsia="zh-CN"/>
        </w:rPr>
        <w:t>九</w:t>
      </w:r>
      <w:r>
        <w:rPr>
          <w:rFonts w:hint="eastAsia" w:ascii="黑体" w:hAnsi="黑体" w:eastAsia="黑体" w:cs="黑体"/>
          <w:sz w:val="36"/>
          <w:szCs w:val="36"/>
          <w:highlight w:val="none"/>
        </w:rPr>
        <w:t>月</w:t>
      </w:r>
      <w:r>
        <w:rPr>
          <w:rFonts w:hint="eastAsia" w:ascii="黑体" w:hAnsi="黑体" w:eastAsia="黑体" w:cs="黑体"/>
          <w:sz w:val="36"/>
          <w:szCs w:val="36"/>
          <w:lang w:val="en-US" w:eastAsia="zh-CN"/>
        </w:rPr>
        <w:t>二十三</w:t>
      </w:r>
      <w:bookmarkStart w:id="7" w:name="_GoBack"/>
      <w:bookmarkEnd w:id="7"/>
      <w:r>
        <w:rPr>
          <w:rFonts w:hint="eastAsia" w:ascii="黑体" w:hAnsi="黑体" w:eastAsia="黑体" w:cs="黑体"/>
          <w:sz w:val="36"/>
          <w:szCs w:val="36"/>
          <w:highlight w:val="none"/>
          <w:lang w:val="en-US" w:eastAsia="zh-CN"/>
        </w:rPr>
        <w:t>日</w:t>
      </w:r>
    </w:p>
    <w:p>
      <w:pPr>
        <w:keepNext w:val="0"/>
        <w:keepLines w:val="0"/>
        <w:pageBreakBefore w:val="0"/>
        <w:widowControl w:val="0"/>
        <w:kinsoku/>
        <w:wordWrap/>
        <w:overflowPunct/>
        <w:topLinePunct w:val="0"/>
        <w:bidi w:val="0"/>
        <w:adjustRightInd/>
        <w:snapToGrid/>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sz w:val="32"/>
          <w:szCs w:val="32"/>
        </w:rPr>
      </w:pPr>
    </w:p>
    <w:p>
      <w:pPr>
        <w:keepNext w:val="0"/>
        <w:keepLines w:val="0"/>
        <w:pageBreakBefore w:val="0"/>
        <w:widowControl w:val="0"/>
        <w:kinsoku/>
        <w:wordWrap/>
        <w:overflowPunct/>
        <w:topLinePunct w:val="0"/>
        <w:bidi w:val="0"/>
        <w:adjustRightInd/>
        <w:snapToGrid/>
        <w:jc w:val="center"/>
        <w:textAlignment w:val="auto"/>
        <w:rPr>
          <w:rFonts w:ascii="Times New Roman" w:hAnsi="Times New Roman"/>
          <w:sz w:val="32"/>
          <w:szCs w:val="32"/>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36"/>
          <w:szCs w:val="36"/>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36"/>
          <w:szCs w:val="36"/>
        </w:rPr>
      </w:pP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陕西省地方标准</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w:t>
      </w:r>
      <w:r>
        <w:rPr>
          <w:rFonts w:hint="eastAsia" w:ascii="方正小标宋简体" w:hAnsi="方正小标宋简体" w:eastAsia="方正小标宋简体" w:cs="方正小标宋简体"/>
          <w:b w:val="0"/>
          <w:bCs/>
          <w:color w:val="auto"/>
          <w:sz w:val="44"/>
          <w:szCs w:val="44"/>
          <w:lang w:val="en-US" w:eastAsia="zh-CN"/>
        </w:rPr>
        <w:t>生鲜食品监督抽检工作规范</w:t>
      </w:r>
      <w:r>
        <w:rPr>
          <w:rFonts w:hint="eastAsia" w:ascii="方正小标宋简体" w:hAnsi="方正小标宋简体" w:eastAsia="方正小标宋简体" w:cs="方正小标宋简体"/>
          <w:b w:val="0"/>
          <w:bCs/>
          <w:color w:val="auto"/>
          <w:sz w:val="44"/>
          <w:szCs w:val="44"/>
        </w:rPr>
        <w:t>》</w:t>
      </w:r>
    </w:p>
    <w:p>
      <w:pPr>
        <w:keepNext w:val="0"/>
        <w:keepLines w:val="0"/>
        <w:pageBreakBefore w:val="0"/>
        <w:widowControl w:val="0"/>
        <w:kinsoku/>
        <w:wordWrap/>
        <w:overflowPunct/>
        <w:topLinePunct w:val="0"/>
        <w:bidi w:val="0"/>
        <w:adjustRightInd/>
        <w:snapToGrid/>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color w:val="auto"/>
          <w:sz w:val="44"/>
          <w:szCs w:val="44"/>
        </w:rPr>
        <w:t>编制说明</w:t>
      </w:r>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仿宋_GB2312" w:hAnsi="仿宋_GB2312" w:eastAsia="仿宋_GB2312" w:cs="仿宋_GB2312"/>
          <w:color w:val="auto"/>
          <w:sz w:val="32"/>
          <w:szCs w:val="32"/>
          <w:lang w:val="en-US" w:eastAsia="zh-CN"/>
        </w:rPr>
      </w:pPr>
    </w:p>
    <w:p>
      <w:pPr>
        <w:keepNext w:val="0"/>
        <w:keepLines w:val="0"/>
        <w:pageBreakBefore w:val="0"/>
        <w:widowControl w:val="0"/>
        <w:kinsoku/>
        <w:wordWrap/>
        <w:overflowPunct/>
        <w:topLinePunct w:val="0"/>
        <w:bidi w:val="0"/>
        <w:adjustRightInd/>
        <w:snapToGrid/>
        <w:ind w:firstLine="640" w:firstLineChars="200"/>
        <w:jc w:val="left"/>
        <w:textAlignment w:val="auto"/>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随着人们生活水平的提高，对于食品的品质和安全要求也越来越高。而生鲜食品作为人们餐桌上不可或缺的一部分，其安全和品质问题也越来越受到人们的关注。因此，建立生鲜食品检验绿色通道具有重要的必要性。现就编制《生鲜食品监督抽检工作规范》陕西省地方标准做如下说明：</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一、</w:t>
      </w:r>
      <w:r>
        <w:rPr>
          <w:rFonts w:hint="eastAsia" w:ascii="黑体" w:hAnsi="黑体" w:eastAsia="黑体" w:cs="黑体"/>
          <w:b w:val="0"/>
          <w:bCs/>
          <w:sz w:val="32"/>
          <w:szCs w:val="32"/>
          <w:highlight w:val="none"/>
        </w:rPr>
        <w:t>任务来源</w:t>
      </w:r>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中华人民共和国食品安全法》规定，食品安全监管工作中可以采用国家规定的快速检测方法对食品进行抽查检测，近年来，食品快速检测（以下简称食品快检）应用广泛，已经成为食用农产品进场查验等食品安全监管工作常用检测技术</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国务院印发的《“十四五”市场监管现代化规划》明确提出“规范食品快速检测的使用”要求。为推动食品快检产品市场合理竞争、优胜劣汰，充分发挥食品快检排查食品安全风险隐患、保护消费者作用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bidi w:val="0"/>
        <w:adjustRightInd/>
        <w:snapToGrid/>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场监管总局制定发布《市场监管总局关于规范食品快速检测使用的意见》意见指出，食品快检可用于对食用农产品、散装食品、餐饮食品、现场制售食品等的食品安全抽查检测，并在较短时间内显示检测结果。进一步加强</w:t>
      </w:r>
      <w:r>
        <w:rPr>
          <w:rFonts w:hint="eastAsia" w:ascii="仿宋_GB2312" w:hAnsi="仿宋_GB2312" w:eastAsia="仿宋_GB2312" w:cs="仿宋_GB2312"/>
          <w:color w:val="auto"/>
          <w:sz w:val="32"/>
          <w:szCs w:val="32"/>
          <w:lang w:eastAsia="zh-CN"/>
        </w:rPr>
        <w:t>了</w:t>
      </w:r>
      <w:r>
        <w:rPr>
          <w:rFonts w:hint="eastAsia" w:ascii="仿宋_GB2312" w:hAnsi="仿宋_GB2312" w:eastAsia="仿宋_GB2312" w:cs="仿宋_GB2312"/>
          <w:color w:val="auto"/>
          <w:sz w:val="32"/>
          <w:szCs w:val="32"/>
        </w:rPr>
        <w:t>食品生产安全监督管理，切实保障人民群众食品安全，确保</w:t>
      </w:r>
      <w:r>
        <w:rPr>
          <w:rFonts w:hint="eastAsia" w:ascii="仿宋_GB2312" w:hAnsi="仿宋_GB2312" w:eastAsia="仿宋_GB2312" w:cs="仿宋_GB2312"/>
          <w:color w:val="auto"/>
          <w:sz w:val="32"/>
          <w:szCs w:val="32"/>
          <w:lang w:eastAsia="zh-CN"/>
        </w:rPr>
        <w:t>生鲜</w:t>
      </w:r>
      <w:r>
        <w:rPr>
          <w:rFonts w:hint="eastAsia" w:ascii="仿宋_GB2312" w:hAnsi="仿宋_GB2312" w:eastAsia="仿宋_GB2312" w:cs="仿宋_GB2312"/>
          <w:color w:val="auto"/>
          <w:sz w:val="32"/>
          <w:szCs w:val="32"/>
        </w:rPr>
        <w:t>食品</w:t>
      </w:r>
      <w:r>
        <w:rPr>
          <w:rFonts w:hint="eastAsia" w:ascii="仿宋_GB2312" w:hAnsi="仿宋_GB2312" w:eastAsia="仿宋_GB2312" w:cs="仿宋_GB2312"/>
          <w:color w:val="auto"/>
          <w:sz w:val="32"/>
          <w:szCs w:val="32"/>
          <w:lang w:eastAsia="zh-CN"/>
        </w:rPr>
        <w:t>抽检效率</w:t>
      </w:r>
      <w:r>
        <w:rPr>
          <w:rFonts w:hint="eastAsia" w:ascii="仿宋_GB2312" w:hAnsi="仿宋_GB2312" w:eastAsia="仿宋_GB2312" w:cs="仿宋_GB2312"/>
          <w:color w:val="auto"/>
          <w:sz w:val="32"/>
          <w:szCs w:val="32"/>
        </w:rPr>
        <w:t>。</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二、目的意义</w:t>
      </w:r>
    </w:p>
    <w:p>
      <w:pPr>
        <w:pStyle w:val="6"/>
        <w:keepNext w:val="0"/>
        <w:keepLines w:val="0"/>
        <w:pageBreakBefore w:val="0"/>
        <w:widowControl w:val="0"/>
        <w:numPr>
          <w:ilvl w:val="0"/>
          <w:numId w:val="0"/>
        </w:numPr>
        <w:kinsoku/>
        <w:wordWrap/>
        <w:overflowPunct/>
        <w:topLinePunct w:val="0"/>
        <w:bidi w:val="0"/>
        <w:adjustRightInd/>
        <w:snapToGrid/>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（一） 保障农产品质量与安全</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通过设立检验检测绿色通道，可以对运输中的鲜活农产品进行快速而有效的检查，确保符合食品安全标准，防止有问题的农产品流入市场，保护消费者的健康安全。</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（二）提高流通效率</w:t>
      </w:r>
    </w:p>
    <w:p>
      <w:pPr>
        <w:pStyle w:val="6"/>
        <w:keepNext w:val="0"/>
        <w:keepLines w:val="0"/>
        <w:pageBreakBefore w:val="0"/>
        <w:widowControl w:val="0"/>
        <w:numPr>
          <w:ilvl w:val="0"/>
          <w:numId w:val="0"/>
        </w:numPr>
        <w:kinsoku/>
        <w:wordWrap/>
        <w:overflowPunct/>
        <w:topLinePunct w:val="0"/>
        <w:bidi w:val="0"/>
        <w:adjustRightInd/>
        <w:snapToGrid/>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传统的检验流程可能较为繁琐，耗时较长，而绿色通道采用高效检测技术和智能化手段，能够迅速完成检验工作，减少了鲜活农产品在运输过程中的等待时间，保证农产品的新鲜度和减少损耗。</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（三）促进农产品贸易</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高效的检验检测流程有助于增强农产品供应链的稳定性，加快农产品从生产地到市场的速度，促进地区间乃至国际间的农产品贸易，对农业经济发展有积极的推动作用。</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（四）支持农业产业发展</w:t>
      </w:r>
    </w:p>
    <w:p>
      <w:pPr>
        <w:pStyle w:val="6"/>
        <w:keepNext w:val="0"/>
        <w:keepLines w:val="0"/>
        <w:pageBreakBefore w:val="0"/>
        <w:widowControl w:val="0"/>
        <w:numPr>
          <w:ilvl w:val="0"/>
          <w:numId w:val="0"/>
        </w:numPr>
        <w:kinsoku/>
        <w:wordWrap/>
        <w:overflowPunct/>
        <w:topLinePunct w:val="0"/>
        <w:bidi w:val="0"/>
        <w:adjustRightInd/>
        <w:snapToGrid/>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鲜活农产品通常对时间和保鲜条件要求较高，绿色通道的设立减少了物流障碍，降低了因检验延误造成的经济损失，支持了农业产业的持续健康发展，特别是对于季节性强、易腐烂的农产品尤为重要。</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（五）增强消费者信心</w:t>
      </w:r>
    </w:p>
    <w:p>
      <w:pPr>
        <w:pStyle w:val="6"/>
        <w:keepNext w:val="0"/>
        <w:keepLines w:val="0"/>
        <w:pageBreakBefore w:val="0"/>
        <w:widowControl w:val="0"/>
        <w:numPr>
          <w:ilvl w:val="0"/>
          <w:numId w:val="0"/>
        </w:numPr>
        <w:kinsoku/>
        <w:wordWrap/>
        <w:overflowPunct/>
        <w:topLinePunct w:val="0"/>
        <w:bidi w:val="0"/>
        <w:adjustRightInd/>
        <w:snapToGrid/>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及时、准确的检验检测并公开透明的结果，可以增强消费者对食品安全体系的信心，提升对鲜活农产品的消费意愿，进一步扩大市场需求。</w:t>
      </w:r>
    </w:p>
    <w:p>
      <w:pPr>
        <w:pStyle w:val="6"/>
        <w:keepNext w:val="0"/>
        <w:keepLines w:val="0"/>
        <w:pageBreakBefore w:val="0"/>
        <w:widowControl w:val="0"/>
        <w:numPr>
          <w:ilvl w:val="0"/>
          <w:numId w:val="0"/>
        </w:numPr>
        <w:kinsoku/>
        <w:wordWrap/>
        <w:overflowPunct/>
        <w:topLinePunct w:val="0"/>
        <w:bidi w:val="0"/>
        <w:adjustRightInd/>
        <w:snapToGrid/>
        <w:ind w:firstLine="643" w:firstLineChars="200"/>
        <w:textAlignment w:val="auto"/>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（六）优化资源配置</w:t>
      </w:r>
    </w:p>
    <w:p>
      <w:pPr>
        <w:pStyle w:val="6"/>
        <w:keepNext w:val="0"/>
        <w:keepLines w:val="0"/>
        <w:pageBreakBefore w:val="0"/>
        <w:widowControl w:val="0"/>
        <w:numPr>
          <w:ilvl w:val="0"/>
          <w:numId w:val="0"/>
        </w:numPr>
        <w:kinsoku/>
        <w:wordWrap/>
        <w:overflowPunct/>
        <w:topLinePunct w:val="0"/>
        <w:bidi w:val="0"/>
        <w:adjustRightInd/>
        <w:snapToGrid/>
        <w:ind w:leftChars="200"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检验检测绿色通道利用现代信息技术和智能检测设备，优化了检验资源的分配，使得检验工作更加精准高效，同时也减轻了相关部门的工作负担，提升了整体监管效能</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提高食品检验部门对食品检测的效率，一方面可以确保市场流行食物的安全性，另一方面可以维持社会上的稳定。同样的，只有严格把握食品卫生质量，才能更好为国家社会经济提供物质上的保证，可以进一步提高我国产品质量水平奠定基础。</w:t>
      </w:r>
    </w:p>
    <w:p>
      <w:pPr>
        <w:pStyle w:val="6"/>
        <w:keepNext w:val="0"/>
        <w:keepLines w:val="0"/>
        <w:pageBreakBefore w:val="0"/>
        <w:widowControl w:val="0"/>
        <w:kinsoku/>
        <w:wordWrap/>
        <w:overflowPunct/>
        <w:topLinePunct w:val="0"/>
        <w:bidi w:val="0"/>
        <w:adjustRightInd/>
        <w:snapToGrid/>
        <w:ind w:firstLine="64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综上所述，鲜活农产品运输绿色通道的建立具有重要的必要性。在建立绿色通道的过程中，需要政府、企业和社会各界的共同努力，通过制定相关政策、投入相关资金和引导相关行业的发展，推动鲜活农产品运输绿色通道的建立和发展，从而促进农业的现代化和可持续发展。</w:t>
      </w:r>
    </w:p>
    <w:p>
      <w:pPr>
        <w:pStyle w:val="6"/>
        <w:keepNext w:val="0"/>
        <w:keepLines w:val="0"/>
        <w:pageBreakBefore w:val="0"/>
        <w:widowControl w:val="0"/>
        <w:kinsoku/>
        <w:wordWrap/>
        <w:overflowPunct/>
        <w:topLinePunct w:val="0"/>
        <w:bidi w:val="0"/>
        <w:adjustRightInd/>
        <w:snapToGrid/>
        <w:ind w:firstLine="64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三、标准制定原则</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本标准的编制遵循以下原则：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适用性原则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本文件规定了生鲜食品等保质期在一个月内的食品品种实验室检测的流程。</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本文件适用于陕西省承担国、省、市、县四级食品安全抽检检测机构。</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规范性原则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本标准的制定符合</w:t>
      </w:r>
      <w:r>
        <w:rPr>
          <w:rFonts w:hint="eastAsia" w:ascii="仿宋_GB2312" w:hAnsi="仿宋_GB2312" w:eastAsia="仿宋_GB2312" w:cs="仿宋_GB2312"/>
          <w:sz w:val="32"/>
          <w:szCs w:val="32"/>
          <w:lang w:val="en-US" w:eastAsia="zh-CN"/>
        </w:rPr>
        <w:t>知识产权服务</w:t>
      </w:r>
      <w:r>
        <w:rPr>
          <w:rFonts w:hint="eastAsia" w:ascii="仿宋_GB2312" w:hAnsi="仿宋_GB2312" w:eastAsia="仿宋_GB2312" w:cs="仿宋_GB2312"/>
          <w:sz w:val="32"/>
          <w:szCs w:val="32"/>
        </w:rPr>
        <w:t>工作要求，标准的结构和编写符合《标准化工作导则第1部分：标准的结构和编写规则》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GB/T</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1.1-2020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的规范性要求。</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先进性原则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本标准制定先于国家标准而制定，标准编</w:t>
      </w:r>
      <w:r>
        <w:rPr>
          <w:rFonts w:hint="eastAsia" w:ascii="仿宋_GB2312" w:hAnsi="仿宋_GB2312" w:eastAsia="仿宋_GB2312" w:cs="仿宋_GB2312"/>
          <w:sz w:val="32"/>
          <w:szCs w:val="32"/>
          <w:lang w:val="en-US" w:eastAsia="zh-CN"/>
        </w:rPr>
        <w:t>写</w:t>
      </w:r>
      <w:r>
        <w:rPr>
          <w:rFonts w:hint="eastAsia" w:ascii="仿宋_GB2312" w:hAnsi="仿宋_GB2312" w:eastAsia="仿宋_GB2312" w:cs="仿宋_GB2312"/>
          <w:sz w:val="32"/>
          <w:szCs w:val="32"/>
        </w:rPr>
        <w:t>组在制定时瞄准我省</w:t>
      </w:r>
      <w:r>
        <w:rPr>
          <w:rFonts w:hint="eastAsia" w:ascii="仿宋_GB2312" w:hAnsi="仿宋_GB2312" w:eastAsia="仿宋_GB2312" w:cs="仿宋_GB2312"/>
          <w:sz w:val="32"/>
          <w:szCs w:val="32"/>
          <w:lang w:val="en-US" w:eastAsia="zh-CN"/>
        </w:rPr>
        <w:t>生鲜食品检验检测行业</w:t>
      </w:r>
      <w:r>
        <w:rPr>
          <w:rFonts w:hint="eastAsia" w:ascii="仿宋_GB2312" w:hAnsi="仿宋_GB2312" w:eastAsia="仿宋_GB2312" w:cs="仿宋_GB2312"/>
          <w:sz w:val="32"/>
          <w:szCs w:val="32"/>
        </w:rPr>
        <w:t>，充分考虑</w:t>
      </w:r>
      <w:r>
        <w:rPr>
          <w:rFonts w:hint="eastAsia" w:ascii="仿宋_GB2312" w:hAnsi="仿宋_GB2312" w:eastAsia="仿宋_GB2312" w:cs="仿宋_GB2312"/>
          <w:sz w:val="32"/>
          <w:szCs w:val="32"/>
          <w:lang w:val="en-US" w:eastAsia="zh-CN"/>
        </w:rPr>
        <w:t>我省实际的</w:t>
      </w:r>
      <w:r>
        <w:rPr>
          <w:rFonts w:hint="eastAsia" w:ascii="仿宋_GB2312" w:hAnsi="仿宋_GB2312" w:eastAsia="仿宋_GB2312" w:cs="仿宋_GB2312"/>
          <w:sz w:val="32"/>
          <w:szCs w:val="32"/>
        </w:rPr>
        <w:t>需求、趋势</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sz w:val="32"/>
          <w:szCs w:val="32"/>
        </w:rPr>
        <w:t>特点，具有一定的前瞻性、先进性。</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协调性原则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本标准在参考国家、行业相关标准的基础上，根据我省</w:t>
      </w:r>
      <w:r>
        <w:rPr>
          <w:rFonts w:hint="eastAsia" w:ascii="仿宋_GB2312" w:hAnsi="仿宋_GB2312" w:eastAsia="仿宋_GB2312" w:cs="仿宋_GB2312"/>
          <w:sz w:val="32"/>
          <w:szCs w:val="32"/>
          <w:lang w:val="en-US" w:eastAsia="zh-CN"/>
        </w:rPr>
        <w:t>知识产权工作</w:t>
      </w:r>
      <w:r>
        <w:rPr>
          <w:rFonts w:hint="eastAsia" w:ascii="仿宋_GB2312" w:hAnsi="仿宋_GB2312" w:eastAsia="仿宋_GB2312" w:cs="仿宋_GB2312"/>
          <w:sz w:val="32"/>
          <w:szCs w:val="32"/>
        </w:rPr>
        <w:t>发展现状</w:t>
      </w:r>
      <w:r>
        <w:rPr>
          <w:rFonts w:hint="eastAsia" w:ascii="仿宋_GB2312" w:hAnsi="仿宋_GB2312" w:eastAsia="仿宋_GB2312" w:cs="仿宋_GB2312"/>
          <w:sz w:val="32"/>
          <w:szCs w:val="32"/>
          <w:lang w:val="en-US" w:eastAsia="zh-CN"/>
        </w:rPr>
        <w:t>和企业发展实际进行编写</w:t>
      </w:r>
      <w:r>
        <w:rPr>
          <w:rFonts w:hint="eastAsia" w:ascii="仿宋_GB2312" w:hAnsi="仿宋_GB2312" w:eastAsia="仿宋_GB2312" w:cs="仿宋_GB2312"/>
          <w:sz w:val="32"/>
          <w:szCs w:val="32"/>
        </w:rPr>
        <w:t>，标准中的相关要求与国家、行业标准规范协调一致，同时符合我省实际。</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5.改进性原则</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本标准的制定具有持续改进的理念。随着技术的发展、市场的变化以及食品抽检政策法规的不断完善，将及时进行修订和更新，以保持其有效性和适用性。</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四、参考依据</w:t>
      </w:r>
    </w:p>
    <w:p>
      <w:pPr>
        <w:keepNext w:val="0"/>
        <w:keepLines w:val="0"/>
        <w:pageBreakBefore w:val="0"/>
        <w:widowControl w:val="0"/>
        <w:kinsoku/>
        <w:wordWrap/>
        <w:overflowPunct/>
        <w:topLinePunct w:val="0"/>
        <w:bidi w:val="0"/>
        <w:adjustRightInd/>
        <w:snapToGrid/>
        <w:spacing w:line="300" w:lineRule="auto"/>
        <w:ind w:firstLine="48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GB/T 1.1-2020  标准化工作导则第1部分：标准的结构和编写规则。</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五、编制工作过程</w:t>
      </w:r>
    </w:p>
    <w:p>
      <w:pPr>
        <w:pStyle w:val="6"/>
        <w:keepNext w:val="0"/>
        <w:keepLines w:val="0"/>
        <w:pageBreakBefore w:val="0"/>
        <w:widowControl w:val="0"/>
        <w:kinsoku/>
        <w:wordWrap/>
        <w:overflowPunct/>
        <w:topLinePunct w:val="0"/>
        <w:bidi w:val="0"/>
        <w:adjustRightInd/>
        <w:snapToGrid/>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1、调研、验证、起草阶段（2024年1月1日到2024年7月31日）</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（1）成立标准编制小组。拟定工作方案，召开项目工作会议，明确编制组成员及任务分工，制定详细的标准编制工作计划，编制小组应在规定的时间内按计划进度开展各项工作。</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（2）开展资料收集。收集了解国家、外省生鲜食品抽检绿色通道的相关标准或文件资料，深入学习，作为本标准的主要编写依据。</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3）组织实地调研。编制小组赴市场监督管理局以及省内典型的检验机构、企业等进行调研，掌握省内食品抽检服务内容和流程、服务模式和制度建设、“绿色通道”建设情况的难点、重点等问题。在实地调研的基础上，通过资料收集、座谈沟通等形式，初步明确标准的框架结构及技术内容。</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（4）形成标准初稿。在充分调研的基础上，编制小组参考省内食品检验机构的建设情况、拟定标准主要内容，起草形成标准初稿。</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（5）完成工作组讨论稿。编制组召开标准讨论会，对初稿内容进行完善，形成工作组讨论稿。</w:t>
      </w:r>
    </w:p>
    <w:p>
      <w:pPr>
        <w:pStyle w:val="6"/>
        <w:keepNext w:val="0"/>
        <w:keepLines w:val="0"/>
        <w:pageBreakBefore w:val="0"/>
        <w:widowControl w:val="0"/>
        <w:kinsoku/>
        <w:wordWrap/>
        <w:overflowPunct/>
        <w:topLinePunct w:val="0"/>
        <w:bidi w:val="0"/>
        <w:adjustRightInd/>
        <w:snapToGrid/>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2、征求意见阶段（2024年8月1日到2024年8月31日）</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标准编制小组召集专家对标准的框架和主要内容进行论证，根据收集到的反馈意见，对标准讨论稿进行修改完善，形成标准征求意见稿。</w:t>
      </w:r>
    </w:p>
    <w:p>
      <w:pPr>
        <w:pStyle w:val="6"/>
        <w:keepNext w:val="0"/>
        <w:keepLines w:val="0"/>
        <w:pageBreakBefore w:val="0"/>
        <w:widowControl w:val="0"/>
        <w:kinsoku/>
        <w:wordWrap/>
        <w:overflowPunct/>
        <w:topLinePunct w:val="0"/>
        <w:bidi w:val="0"/>
        <w:adjustRightInd/>
        <w:snapToGrid/>
        <w:ind w:left="0" w:leftChars="0" w:firstLine="643" w:firstLineChars="200"/>
        <w:textAlignment w:val="auto"/>
        <w:rPr>
          <w:rFonts w:hint="eastAsia" w:ascii="仿宋_GB2312" w:hAnsi="仿宋_GB2312" w:eastAsia="仿宋_GB2312" w:cs="仿宋_GB2312"/>
          <w:b/>
          <w:bCs/>
          <w:kern w:val="2"/>
          <w:sz w:val="32"/>
          <w:szCs w:val="32"/>
          <w:lang w:val="en-US" w:eastAsia="zh-CN" w:bidi="ar-SA"/>
        </w:rPr>
      </w:pPr>
      <w:r>
        <w:rPr>
          <w:rFonts w:hint="eastAsia" w:ascii="仿宋_GB2312" w:hAnsi="仿宋_GB2312" w:eastAsia="仿宋_GB2312" w:cs="仿宋_GB2312"/>
          <w:b/>
          <w:bCs/>
          <w:kern w:val="2"/>
          <w:sz w:val="32"/>
          <w:szCs w:val="32"/>
          <w:lang w:val="en-US" w:eastAsia="zh-CN" w:bidi="ar-SA"/>
        </w:rPr>
        <w:t>3、送审阶段（2024年9月1日到2024年9月30日）</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标准征求意见稿按要求进行公示，根据公示后收到的反馈内容进一步对标准进行修改完善，形成送审稿并及时送审，组织召开项目评审会。</w:t>
      </w:r>
    </w:p>
    <w:p>
      <w:pPr>
        <w:pStyle w:val="6"/>
        <w:keepNext w:val="0"/>
        <w:keepLines w:val="0"/>
        <w:pageBreakBefore w:val="0"/>
        <w:widowControl w:val="0"/>
        <w:kinsoku/>
        <w:wordWrap/>
        <w:overflowPunct/>
        <w:topLinePunct w:val="0"/>
        <w:bidi w:val="0"/>
        <w:adjustRightInd/>
        <w:snapToGrid/>
        <w:ind w:left="0" w:leftChars="0" w:firstLine="640" w:firstLineChars="200"/>
        <w:textAlignment w:val="auto"/>
        <w:rPr>
          <w:rFonts w:hint="eastAsia" w:ascii="黑体" w:hAnsi="黑体" w:eastAsia="黑体" w:cs="黑体"/>
          <w:b w:val="0"/>
          <w:bCs/>
          <w:kern w:val="2"/>
          <w:sz w:val="32"/>
          <w:szCs w:val="32"/>
          <w:lang w:val="en-US" w:eastAsia="zh-CN" w:bidi="ar-SA"/>
        </w:rPr>
      </w:pPr>
      <w:r>
        <w:rPr>
          <w:rFonts w:hint="eastAsia" w:ascii="黑体" w:hAnsi="黑体" w:eastAsia="黑体" w:cs="黑体"/>
          <w:b w:val="0"/>
          <w:bCs/>
          <w:kern w:val="2"/>
          <w:sz w:val="32"/>
          <w:szCs w:val="32"/>
          <w:lang w:val="en-US" w:eastAsia="zh-CN" w:bidi="ar-SA"/>
        </w:rPr>
        <w:t>六、标准主要内容的确定</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该标准主要包括了以下内容：</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范围。</w:t>
      </w:r>
      <w:r>
        <w:rPr>
          <w:rFonts w:hint="eastAsia" w:ascii="仿宋_GB2312" w:hAnsi="仿宋_GB2312" w:eastAsia="仿宋_GB2312" w:cs="仿宋_GB2312"/>
          <w:sz w:val="32"/>
          <w:szCs w:val="32"/>
          <w:lang w:eastAsia="zh-CN"/>
        </w:rPr>
        <w:t>本文件规定了生鲜食品等保质期在一个月内的食品品种实验室检测的流程。</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本文件适用于陕西省承担国、省、市、县四级食品安全抽检检测机构。</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规范性引用文件。</w:t>
      </w:r>
      <w:r>
        <w:rPr>
          <w:rFonts w:hint="eastAsia" w:ascii="仿宋_GB2312" w:hAnsi="仿宋_GB2312" w:eastAsia="仿宋_GB2312" w:cs="仿宋_GB2312"/>
          <w:sz w:val="32"/>
          <w:szCs w:val="32"/>
          <w:lang w:eastAsia="zh-CN"/>
        </w:rPr>
        <w:t>本文件没有规范性引用文件</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术语和定义。本部分界定了本标准适用的术语与定义。</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总体要求。</w:t>
      </w:r>
      <w:r>
        <w:rPr>
          <w:rFonts w:hint="eastAsia" w:ascii="仿宋_GB2312" w:hAnsi="仿宋_GB2312" w:eastAsia="仿宋_GB2312" w:cs="仿宋_GB2312"/>
          <w:sz w:val="32"/>
          <w:szCs w:val="32"/>
          <w:lang w:eastAsia="zh-CN"/>
        </w:rPr>
        <w:t>本部分规定了管理部门应重视生鲜食品检验时效问题以及</w:t>
      </w:r>
      <w:r>
        <w:rPr>
          <w:rFonts w:hint="eastAsia" w:ascii="仿宋_GB2312" w:hAnsi="仿宋_GB2312" w:eastAsia="仿宋_GB2312" w:cs="仿宋_GB2312"/>
          <w:sz w:val="32"/>
          <w:szCs w:val="32"/>
          <w:lang w:val="en-US" w:eastAsia="zh-CN"/>
        </w:rPr>
        <w:t>生鲜食品实验室检测应遵循六个优先原则，确保不合格报告最短时间内送达当事人。</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bookmarkStart w:id="0" w:name="_Toc22946"/>
      <w:bookmarkStart w:id="1" w:name="_Toc27157"/>
      <w:bookmarkStart w:id="2" w:name="_Toc4709"/>
      <w:bookmarkStart w:id="3" w:name="_Toc10220"/>
      <w:bookmarkStart w:id="4" w:name="_Toc26226"/>
      <w:bookmarkStart w:id="5" w:name="_Toc148338965"/>
      <w:bookmarkStart w:id="6" w:name="_Toc17393"/>
      <w:r>
        <w:rPr>
          <w:rFonts w:hint="eastAsia" w:ascii="仿宋_GB2312" w:hAnsi="仿宋_GB2312" w:eastAsia="仿宋_GB2312" w:cs="仿宋_GB2312"/>
          <w:sz w:val="32"/>
          <w:szCs w:val="32"/>
          <w:lang w:val="en-US" w:eastAsia="zh-CN"/>
        </w:rPr>
        <w:t>.</w:t>
      </w:r>
      <w:bookmarkEnd w:id="0"/>
      <w:bookmarkEnd w:id="1"/>
      <w:bookmarkEnd w:id="2"/>
      <w:bookmarkEnd w:id="3"/>
      <w:bookmarkEnd w:id="4"/>
      <w:bookmarkEnd w:id="5"/>
      <w:bookmarkEnd w:id="6"/>
      <w:r>
        <w:rPr>
          <w:rFonts w:hint="eastAsia" w:ascii="仿宋_GB2312" w:hAnsi="仿宋_GB2312" w:eastAsia="仿宋_GB2312" w:cs="仿宋_GB2312"/>
          <w:sz w:val="32"/>
          <w:szCs w:val="32"/>
          <w:lang w:val="en-US" w:eastAsia="zh-CN"/>
        </w:rPr>
        <w:t>检测流程。本部分规定了抽样、样品的接收、制备、分发、检验以及结果上报的要求。</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七、</w:t>
      </w:r>
      <w:r>
        <w:rPr>
          <w:rFonts w:hint="eastAsia" w:ascii="黑体" w:hAnsi="黑体" w:eastAsia="黑体" w:cs="黑体"/>
          <w:b w:val="0"/>
          <w:bCs/>
          <w:sz w:val="32"/>
          <w:szCs w:val="32"/>
        </w:rPr>
        <w:t>内容创新性</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该标准在以下方面具有创新性：</w:t>
      </w:r>
    </w:p>
    <w:p>
      <w:pPr>
        <w:pStyle w:val="12"/>
        <w:keepNext w:val="0"/>
        <w:keepLines w:val="0"/>
        <w:pageBreakBefore w:val="0"/>
        <w:widowControl w:val="0"/>
        <w:kinsoku/>
        <w:wordWrap/>
        <w:overflowPunct/>
        <w:topLinePunct w:val="0"/>
        <w:bidi w:val="0"/>
        <w:adjustRightInd/>
        <w:snapToGrid/>
        <w:ind w:firstLine="640" w:firstLineChars="200"/>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rPr>
        <w:t>本标准首次面向</w:t>
      </w:r>
      <w:r>
        <w:rPr>
          <w:rFonts w:hint="eastAsia" w:ascii="仿宋_GB2312" w:hAnsi="仿宋_GB2312" w:eastAsia="仿宋_GB2312" w:cs="仿宋_GB2312"/>
          <w:bCs/>
          <w:sz w:val="32"/>
          <w:szCs w:val="32"/>
          <w:lang w:val="en-US" w:eastAsia="zh-CN"/>
        </w:rPr>
        <w:t>生鲜食品提出了高时效性的检验检测需要遵循的原则以及流程。充分发挥实验室检测效力，对保障生鲜食品安全性、促进生鲜食品流通和销售有着重要意义。</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八、</w:t>
      </w:r>
      <w:r>
        <w:rPr>
          <w:rFonts w:hint="eastAsia" w:ascii="黑体" w:hAnsi="黑体" w:eastAsia="黑体" w:cs="黑体"/>
          <w:b w:val="0"/>
          <w:bCs/>
          <w:sz w:val="32"/>
          <w:szCs w:val="32"/>
        </w:rPr>
        <w:t>知识产权说明</w:t>
      </w:r>
    </w:p>
    <w:p>
      <w:pPr>
        <w:keepNext w:val="0"/>
        <w:keepLines w:val="0"/>
        <w:pageBreakBefore w:val="0"/>
        <w:widowControl w:val="0"/>
        <w:kinsoku/>
        <w:wordWrap/>
        <w:overflowPunct/>
        <w:topLinePunct w:val="0"/>
        <w:bidi w:val="0"/>
        <w:adjustRightInd/>
        <w:snapToGrid/>
        <w:ind w:left="72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本标准不涉及知识产权问题。</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九、重大意见分歧的处理</w:t>
      </w:r>
    </w:p>
    <w:p>
      <w:pPr>
        <w:keepNext w:val="0"/>
        <w:keepLines w:val="0"/>
        <w:pageBreakBefore w:val="0"/>
        <w:widowControl w:val="0"/>
        <w:kinsoku/>
        <w:wordWrap/>
        <w:overflowPunct/>
        <w:topLinePunct w:val="0"/>
        <w:bidi w:val="0"/>
        <w:adjustRightInd/>
        <w:snapToGrid/>
        <w:ind w:firstLine="640" w:firstLineChars="20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本标准在编写过程中没有重大意见分歧。</w:t>
      </w:r>
    </w:p>
    <w:p>
      <w:pPr>
        <w:keepNext w:val="0"/>
        <w:keepLines w:val="0"/>
        <w:pageBreakBefore w:val="0"/>
        <w:widowControl w:val="0"/>
        <w:numPr>
          <w:ilvl w:val="0"/>
          <w:numId w:val="0"/>
        </w:numPr>
        <w:kinsoku/>
        <w:wordWrap/>
        <w:overflowPunct/>
        <w:topLinePunct w:val="0"/>
        <w:bidi w:val="0"/>
        <w:adjustRightInd/>
        <w:snapToGrid/>
        <w:ind w:leftChars="0"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十、</w:t>
      </w:r>
      <w:r>
        <w:rPr>
          <w:rFonts w:hint="eastAsia" w:ascii="黑体" w:hAnsi="黑体" w:eastAsia="黑体" w:cs="黑体"/>
          <w:b w:val="0"/>
          <w:bCs/>
          <w:sz w:val="32"/>
          <w:szCs w:val="32"/>
        </w:rPr>
        <w:t>标准性质的建议说明</w:t>
      </w:r>
    </w:p>
    <w:p>
      <w:pPr>
        <w:keepNext w:val="0"/>
        <w:keepLines w:val="0"/>
        <w:pageBreakBefore w:val="0"/>
        <w:widowControl w:val="0"/>
        <w:kinsoku/>
        <w:wordWrap/>
        <w:overflowPunct/>
        <w:topLinePunct w:val="0"/>
        <w:bidi w:val="0"/>
        <w:adjustRightInd/>
        <w:snapToGrid/>
        <w:ind w:firstLine="630"/>
        <w:textAlignment w:val="auto"/>
        <w:rPr>
          <w:rFonts w:hint="eastAsia" w:ascii="仿宋_GB2312" w:hAnsi="仿宋_GB2312" w:eastAsia="仿宋_GB2312" w:cs="仿宋_GB2312"/>
          <w:bCs/>
          <w:kern w:val="0"/>
          <w:sz w:val="32"/>
          <w:szCs w:val="32"/>
          <w:lang w:val="en-US" w:eastAsia="zh-CN" w:bidi="ar-SA"/>
        </w:rPr>
      </w:pPr>
      <w:r>
        <w:rPr>
          <w:rFonts w:hint="eastAsia" w:ascii="仿宋_GB2312" w:hAnsi="仿宋_GB2312" w:eastAsia="仿宋_GB2312" w:cs="仿宋_GB2312"/>
          <w:bCs/>
          <w:kern w:val="0"/>
          <w:sz w:val="32"/>
          <w:szCs w:val="32"/>
          <w:lang w:val="en-US" w:eastAsia="zh-CN" w:bidi="ar-SA"/>
        </w:rPr>
        <w:t>建议本标准审批发布为推荐性地方标准。</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C91163"/>
    <w:multiLevelType w:val="multilevel"/>
    <w:tmpl w:val="1FC91163"/>
    <w:lvl w:ilvl="0" w:tentative="0">
      <w:start w:val="1"/>
      <w:numFmt w:val="decimal"/>
      <w:pStyle w:val="5"/>
      <w:suff w:val="nothing"/>
      <w:lvlText w:val="%1　"/>
      <w:lvlJc w:val="left"/>
      <w:pPr>
        <w:ind w:left="0" w:firstLine="0"/>
      </w:pPr>
      <w:rPr>
        <w:rFonts w:hint="eastAsia" w:ascii="黑体" w:hAnsi="Times New Roman" w:eastAsia="黑体"/>
        <w:b w:val="0"/>
        <w:i w:val="0"/>
        <w:sz w:val="21"/>
        <w:szCs w:val="21"/>
      </w:rPr>
    </w:lvl>
    <w:lvl w:ilvl="1" w:tentative="0">
      <w:start w:val="1"/>
      <w:numFmt w:val="decimal"/>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suff w:val="nothing"/>
      <w:lvlText w:val="%1.%2.%3　"/>
      <w:lvlJc w:val="left"/>
      <w:pPr>
        <w:ind w:left="567"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4Mjk1Y2VmMzE0ZmI3YzRmOGQ0MzAyYjRkYTJlNmUifQ=="/>
  </w:docVars>
  <w:rsids>
    <w:rsidRoot w:val="00EF6917"/>
    <w:rsid w:val="0004011E"/>
    <w:rsid w:val="00042AFC"/>
    <w:rsid w:val="00057958"/>
    <w:rsid w:val="00067A22"/>
    <w:rsid w:val="00083CDC"/>
    <w:rsid w:val="00091429"/>
    <w:rsid w:val="00092696"/>
    <w:rsid w:val="00094181"/>
    <w:rsid w:val="00132099"/>
    <w:rsid w:val="00156AD2"/>
    <w:rsid w:val="0015793E"/>
    <w:rsid w:val="00162E78"/>
    <w:rsid w:val="00193E79"/>
    <w:rsid w:val="001B7EFF"/>
    <w:rsid w:val="001C3DCB"/>
    <w:rsid w:val="001C7547"/>
    <w:rsid w:val="001E0DE6"/>
    <w:rsid w:val="001E6EBB"/>
    <w:rsid w:val="00213894"/>
    <w:rsid w:val="00225D39"/>
    <w:rsid w:val="00252843"/>
    <w:rsid w:val="002540BF"/>
    <w:rsid w:val="00260526"/>
    <w:rsid w:val="0027622C"/>
    <w:rsid w:val="002848AC"/>
    <w:rsid w:val="002905D3"/>
    <w:rsid w:val="002A394D"/>
    <w:rsid w:val="002C16D0"/>
    <w:rsid w:val="002F40D9"/>
    <w:rsid w:val="0033036A"/>
    <w:rsid w:val="00330E17"/>
    <w:rsid w:val="00347DD1"/>
    <w:rsid w:val="003525D9"/>
    <w:rsid w:val="003658F1"/>
    <w:rsid w:val="00371054"/>
    <w:rsid w:val="00373D92"/>
    <w:rsid w:val="00384E2D"/>
    <w:rsid w:val="003937EE"/>
    <w:rsid w:val="003A7C0C"/>
    <w:rsid w:val="003B005C"/>
    <w:rsid w:val="003B093A"/>
    <w:rsid w:val="003D6EE6"/>
    <w:rsid w:val="003F41FD"/>
    <w:rsid w:val="00402C73"/>
    <w:rsid w:val="004664EB"/>
    <w:rsid w:val="004B5E27"/>
    <w:rsid w:val="004F3039"/>
    <w:rsid w:val="00502920"/>
    <w:rsid w:val="00544590"/>
    <w:rsid w:val="00564620"/>
    <w:rsid w:val="00573832"/>
    <w:rsid w:val="00581F06"/>
    <w:rsid w:val="0058239C"/>
    <w:rsid w:val="005D0000"/>
    <w:rsid w:val="005D1BEC"/>
    <w:rsid w:val="005F708C"/>
    <w:rsid w:val="006178C9"/>
    <w:rsid w:val="0062693F"/>
    <w:rsid w:val="0062758C"/>
    <w:rsid w:val="006342F7"/>
    <w:rsid w:val="006818AF"/>
    <w:rsid w:val="00682778"/>
    <w:rsid w:val="00693A34"/>
    <w:rsid w:val="006D1FAD"/>
    <w:rsid w:val="006F0979"/>
    <w:rsid w:val="00720D26"/>
    <w:rsid w:val="00721F9C"/>
    <w:rsid w:val="00724040"/>
    <w:rsid w:val="00731693"/>
    <w:rsid w:val="00755924"/>
    <w:rsid w:val="0077187F"/>
    <w:rsid w:val="00776CFE"/>
    <w:rsid w:val="007867DA"/>
    <w:rsid w:val="007B4541"/>
    <w:rsid w:val="007D7FCC"/>
    <w:rsid w:val="007E78BB"/>
    <w:rsid w:val="007F1904"/>
    <w:rsid w:val="007F19FC"/>
    <w:rsid w:val="008103C9"/>
    <w:rsid w:val="0081325A"/>
    <w:rsid w:val="00816001"/>
    <w:rsid w:val="00820413"/>
    <w:rsid w:val="008336DD"/>
    <w:rsid w:val="00843F9A"/>
    <w:rsid w:val="00847296"/>
    <w:rsid w:val="00847ED2"/>
    <w:rsid w:val="00895C47"/>
    <w:rsid w:val="008A7FBC"/>
    <w:rsid w:val="008B6E80"/>
    <w:rsid w:val="008E0E26"/>
    <w:rsid w:val="009507CF"/>
    <w:rsid w:val="00952475"/>
    <w:rsid w:val="00974DF6"/>
    <w:rsid w:val="00985C79"/>
    <w:rsid w:val="009953B1"/>
    <w:rsid w:val="009976CC"/>
    <w:rsid w:val="009B157D"/>
    <w:rsid w:val="009C26AB"/>
    <w:rsid w:val="00A14DC2"/>
    <w:rsid w:val="00A32CBB"/>
    <w:rsid w:val="00A36EE8"/>
    <w:rsid w:val="00A551A9"/>
    <w:rsid w:val="00A85A5D"/>
    <w:rsid w:val="00A9742F"/>
    <w:rsid w:val="00AB2103"/>
    <w:rsid w:val="00B04355"/>
    <w:rsid w:val="00B07DD3"/>
    <w:rsid w:val="00B10A93"/>
    <w:rsid w:val="00B42987"/>
    <w:rsid w:val="00B4305F"/>
    <w:rsid w:val="00B434C0"/>
    <w:rsid w:val="00B62EF8"/>
    <w:rsid w:val="00B90CCA"/>
    <w:rsid w:val="00BB1358"/>
    <w:rsid w:val="00BB6A9B"/>
    <w:rsid w:val="00BE03CA"/>
    <w:rsid w:val="00BE0B86"/>
    <w:rsid w:val="00BE6629"/>
    <w:rsid w:val="00C0214F"/>
    <w:rsid w:val="00C11137"/>
    <w:rsid w:val="00C552DC"/>
    <w:rsid w:val="00C55809"/>
    <w:rsid w:val="00C56FEA"/>
    <w:rsid w:val="00C678E8"/>
    <w:rsid w:val="00C9045A"/>
    <w:rsid w:val="00CA4921"/>
    <w:rsid w:val="00D1118C"/>
    <w:rsid w:val="00D1189C"/>
    <w:rsid w:val="00D33A04"/>
    <w:rsid w:val="00D408DB"/>
    <w:rsid w:val="00D72358"/>
    <w:rsid w:val="00D74AA3"/>
    <w:rsid w:val="00DA71E6"/>
    <w:rsid w:val="00E425D5"/>
    <w:rsid w:val="00E57BA3"/>
    <w:rsid w:val="00E57FAA"/>
    <w:rsid w:val="00EA5172"/>
    <w:rsid w:val="00EB3954"/>
    <w:rsid w:val="00EF22AA"/>
    <w:rsid w:val="00EF6917"/>
    <w:rsid w:val="00F03662"/>
    <w:rsid w:val="00F04A70"/>
    <w:rsid w:val="00F41814"/>
    <w:rsid w:val="00F454F7"/>
    <w:rsid w:val="00F45A54"/>
    <w:rsid w:val="00F51587"/>
    <w:rsid w:val="00FA4BD4"/>
    <w:rsid w:val="00FA6E9F"/>
    <w:rsid w:val="00FC009A"/>
    <w:rsid w:val="00FF20BB"/>
    <w:rsid w:val="018E507E"/>
    <w:rsid w:val="01AB556A"/>
    <w:rsid w:val="01FB20C8"/>
    <w:rsid w:val="03C55E5C"/>
    <w:rsid w:val="03EB3D55"/>
    <w:rsid w:val="04593A42"/>
    <w:rsid w:val="050F6813"/>
    <w:rsid w:val="06552E6E"/>
    <w:rsid w:val="0743137F"/>
    <w:rsid w:val="08324A39"/>
    <w:rsid w:val="08A30709"/>
    <w:rsid w:val="09B637B7"/>
    <w:rsid w:val="0A0E5C8F"/>
    <w:rsid w:val="0A577EA6"/>
    <w:rsid w:val="0A6B1808"/>
    <w:rsid w:val="0B492353"/>
    <w:rsid w:val="0BC343FB"/>
    <w:rsid w:val="0BFB2F87"/>
    <w:rsid w:val="0BFF4EFC"/>
    <w:rsid w:val="0E5E16A1"/>
    <w:rsid w:val="0F491C79"/>
    <w:rsid w:val="0F4E6C29"/>
    <w:rsid w:val="0FB96D88"/>
    <w:rsid w:val="106214FC"/>
    <w:rsid w:val="10E3796F"/>
    <w:rsid w:val="10F46BA2"/>
    <w:rsid w:val="11C75D80"/>
    <w:rsid w:val="11F83DD7"/>
    <w:rsid w:val="12E80675"/>
    <w:rsid w:val="14373B44"/>
    <w:rsid w:val="14870713"/>
    <w:rsid w:val="14B0205A"/>
    <w:rsid w:val="15CB433F"/>
    <w:rsid w:val="1740285C"/>
    <w:rsid w:val="174165D4"/>
    <w:rsid w:val="17626D36"/>
    <w:rsid w:val="17716EB9"/>
    <w:rsid w:val="17CA06D5"/>
    <w:rsid w:val="1844012A"/>
    <w:rsid w:val="189638C3"/>
    <w:rsid w:val="19A035EE"/>
    <w:rsid w:val="1A156440"/>
    <w:rsid w:val="1A30175F"/>
    <w:rsid w:val="1A9D0510"/>
    <w:rsid w:val="1B07682A"/>
    <w:rsid w:val="1BC15F4A"/>
    <w:rsid w:val="1CD42A5A"/>
    <w:rsid w:val="1D024B05"/>
    <w:rsid w:val="1D026E06"/>
    <w:rsid w:val="1D272432"/>
    <w:rsid w:val="1D7B6F53"/>
    <w:rsid w:val="1D8639EE"/>
    <w:rsid w:val="1D962BCE"/>
    <w:rsid w:val="1D9C4564"/>
    <w:rsid w:val="1EAB7C68"/>
    <w:rsid w:val="1F982BA3"/>
    <w:rsid w:val="1F9870B8"/>
    <w:rsid w:val="1FE52AE8"/>
    <w:rsid w:val="209537C9"/>
    <w:rsid w:val="21021FF6"/>
    <w:rsid w:val="21C2643E"/>
    <w:rsid w:val="22590C76"/>
    <w:rsid w:val="233D40F4"/>
    <w:rsid w:val="235C0A1E"/>
    <w:rsid w:val="237A2748"/>
    <w:rsid w:val="244D0EA5"/>
    <w:rsid w:val="247B33E6"/>
    <w:rsid w:val="248E5155"/>
    <w:rsid w:val="251C54CD"/>
    <w:rsid w:val="25D43FEF"/>
    <w:rsid w:val="26887489"/>
    <w:rsid w:val="27351FD4"/>
    <w:rsid w:val="275428D9"/>
    <w:rsid w:val="284B4A0A"/>
    <w:rsid w:val="28A91B9F"/>
    <w:rsid w:val="295201CD"/>
    <w:rsid w:val="298731E1"/>
    <w:rsid w:val="29A0718A"/>
    <w:rsid w:val="2A0F41EA"/>
    <w:rsid w:val="2A4C41D9"/>
    <w:rsid w:val="2B3A54C4"/>
    <w:rsid w:val="2BA61558"/>
    <w:rsid w:val="2CEF381C"/>
    <w:rsid w:val="2D7054BD"/>
    <w:rsid w:val="2E10616D"/>
    <w:rsid w:val="2E4D6B60"/>
    <w:rsid w:val="2EA73A3B"/>
    <w:rsid w:val="2EB931C8"/>
    <w:rsid w:val="2EC43D22"/>
    <w:rsid w:val="2F2A04E6"/>
    <w:rsid w:val="2FA17993"/>
    <w:rsid w:val="3053093D"/>
    <w:rsid w:val="30FB140A"/>
    <w:rsid w:val="31114289"/>
    <w:rsid w:val="32332F2E"/>
    <w:rsid w:val="3348124B"/>
    <w:rsid w:val="337E1556"/>
    <w:rsid w:val="34410FA0"/>
    <w:rsid w:val="346C36CF"/>
    <w:rsid w:val="34FB1EDA"/>
    <w:rsid w:val="36005D93"/>
    <w:rsid w:val="368A2B5A"/>
    <w:rsid w:val="37A30818"/>
    <w:rsid w:val="37FD285C"/>
    <w:rsid w:val="38E8140D"/>
    <w:rsid w:val="3A8659CE"/>
    <w:rsid w:val="3AA372CD"/>
    <w:rsid w:val="3B69104C"/>
    <w:rsid w:val="3B6C511E"/>
    <w:rsid w:val="3C5A1F80"/>
    <w:rsid w:val="3CA82386"/>
    <w:rsid w:val="3D1F717C"/>
    <w:rsid w:val="3D5C6828"/>
    <w:rsid w:val="3E4827C7"/>
    <w:rsid w:val="3F2B6A4D"/>
    <w:rsid w:val="3F7D5CE5"/>
    <w:rsid w:val="3FC306F2"/>
    <w:rsid w:val="3FCF4BA7"/>
    <w:rsid w:val="3FD66265"/>
    <w:rsid w:val="40AB0497"/>
    <w:rsid w:val="42A03FA0"/>
    <w:rsid w:val="42B76AA9"/>
    <w:rsid w:val="430A3C72"/>
    <w:rsid w:val="432E1593"/>
    <w:rsid w:val="44FB5498"/>
    <w:rsid w:val="45C72A9B"/>
    <w:rsid w:val="472D4DA7"/>
    <w:rsid w:val="479F462F"/>
    <w:rsid w:val="48242BB8"/>
    <w:rsid w:val="489E2D6C"/>
    <w:rsid w:val="4A0E2E49"/>
    <w:rsid w:val="4AA54270"/>
    <w:rsid w:val="4AFD6FAE"/>
    <w:rsid w:val="4B8B0DA5"/>
    <w:rsid w:val="4B9139F8"/>
    <w:rsid w:val="4C2702EB"/>
    <w:rsid w:val="4CA87FCD"/>
    <w:rsid w:val="4D401F2A"/>
    <w:rsid w:val="4D765C6A"/>
    <w:rsid w:val="4F934F1E"/>
    <w:rsid w:val="514E7192"/>
    <w:rsid w:val="52127E85"/>
    <w:rsid w:val="523310B4"/>
    <w:rsid w:val="533235D7"/>
    <w:rsid w:val="53D3104A"/>
    <w:rsid w:val="53F42A19"/>
    <w:rsid w:val="543763F1"/>
    <w:rsid w:val="54771836"/>
    <w:rsid w:val="5567366E"/>
    <w:rsid w:val="5621188B"/>
    <w:rsid w:val="56831D28"/>
    <w:rsid w:val="58014E0A"/>
    <w:rsid w:val="585835BC"/>
    <w:rsid w:val="599A70AD"/>
    <w:rsid w:val="59D52E71"/>
    <w:rsid w:val="5A61633E"/>
    <w:rsid w:val="5AAD7921"/>
    <w:rsid w:val="5AEE5D40"/>
    <w:rsid w:val="5AFC4EE0"/>
    <w:rsid w:val="5CCC4C5A"/>
    <w:rsid w:val="5CFC34F7"/>
    <w:rsid w:val="5E412E49"/>
    <w:rsid w:val="5E603752"/>
    <w:rsid w:val="5EB36DEA"/>
    <w:rsid w:val="5ED0775E"/>
    <w:rsid w:val="613545B9"/>
    <w:rsid w:val="61BF66B1"/>
    <w:rsid w:val="61F832D5"/>
    <w:rsid w:val="62B47C66"/>
    <w:rsid w:val="63334363"/>
    <w:rsid w:val="640D0186"/>
    <w:rsid w:val="645A795A"/>
    <w:rsid w:val="64AB50DC"/>
    <w:rsid w:val="64D771FD"/>
    <w:rsid w:val="65816F97"/>
    <w:rsid w:val="65860657"/>
    <w:rsid w:val="659A6B77"/>
    <w:rsid w:val="65B116C2"/>
    <w:rsid w:val="66080F13"/>
    <w:rsid w:val="66617B47"/>
    <w:rsid w:val="66C118E4"/>
    <w:rsid w:val="66F96BF5"/>
    <w:rsid w:val="673030DE"/>
    <w:rsid w:val="675D7E8D"/>
    <w:rsid w:val="67C16F6B"/>
    <w:rsid w:val="687E4A55"/>
    <w:rsid w:val="68D35393"/>
    <w:rsid w:val="69C037B8"/>
    <w:rsid w:val="6B232E83"/>
    <w:rsid w:val="6B8F0831"/>
    <w:rsid w:val="6BB34F40"/>
    <w:rsid w:val="6C9B7BBF"/>
    <w:rsid w:val="6CC67436"/>
    <w:rsid w:val="6DD6573A"/>
    <w:rsid w:val="6DDF5CF3"/>
    <w:rsid w:val="6E051D41"/>
    <w:rsid w:val="6ED20C37"/>
    <w:rsid w:val="6F910F5E"/>
    <w:rsid w:val="703118D9"/>
    <w:rsid w:val="72712A3F"/>
    <w:rsid w:val="72A51015"/>
    <w:rsid w:val="73002800"/>
    <w:rsid w:val="73372599"/>
    <w:rsid w:val="7350131E"/>
    <w:rsid w:val="73572D10"/>
    <w:rsid w:val="74BE7A92"/>
    <w:rsid w:val="76167F18"/>
    <w:rsid w:val="767F31A9"/>
    <w:rsid w:val="76CC773F"/>
    <w:rsid w:val="770E6AAE"/>
    <w:rsid w:val="77126703"/>
    <w:rsid w:val="786D02C3"/>
    <w:rsid w:val="78864F20"/>
    <w:rsid w:val="79F65EAE"/>
    <w:rsid w:val="7A5274B6"/>
    <w:rsid w:val="7ADF03C6"/>
    <w:rsid w:val="7B7819E2"/>
    <w:rsid w:val="7D602ABC"/>
    <w:rsid w:val="7DA96E2E"/>
    <w:rsid w:val="7DCF0E47"/>
    <w:rsid w:val="7EF01C70"/>
    <w:rsid w:val="7F002FBB"/>
    <w:rsid w:val="7F390D49"/>
    <w:rsid w:val="7F8B548F"/>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5"/>
    <w:next w:val="1"/>
    <w:qFormat/>
    <w:uiPriority w:val="0"/>
    <w:pPr>
      <w:spacing w:before="156" w:beforeLines="50" w:after="156" w:afterLines="50"/>
      <w:outlineLvl w:val="0"/>
    </w:pPr>
    <w:rPr>
      <w:sz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1"/>
    <w:qFormat/>
    <w:uiPriority w:val="0"/>
    <w:pPr>
      <w:ind w:firstLine="630"/>
    </w:pPr>
    <w:rPr>
      <w:rFonts w:ascii="Calibri" w:hAnsi="Calibri" w:eastAsia="宋体" w:cs="Times New Roman"/>
    </w:rPr>
  </w:style>
  <w:style w:type="paragraph" w:customStyle="1" w:styleId="5">
    <w:name w:val="章标题"/>
    <w:next w:val="6"/>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6">
    <w:name w:val="段"/>
    <w:link w:val="2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2"/>
      <w:lang w:val="en-US" w:eastAsia="zh-CN" w:bidi="ar-SA"/>
    </w:rPr>
  </w:style>
  <w:style w:type="paragraph" w:styleId="7">
    <w:name w:val="annotation text"/>
    <w:basedOn w:val="1"/>
    <w:link w:val="25"/>
    <w:semiHidden/>
    <w:unhideWhenUsed/>
    <w:qFormat/>
    <w:uiPriority w:val="99"/>
    <w:pPr>
      <w:jc w:val="left"/>
    </w:pPr>
  </w:style>
  <w:style w:type="paragraph" w:styleId="8">
    <w:name w:val="Date"/>
    <w:basedOn w:val="1"/>
    <w:next w:val="1"/>
    <w:link w:val="20"/>
    <w:semiHidden/>
    <w:unhideWhenUsed/>
    <w:qFormat/>
    <w:uiPriority w:val="99"/>
    <w:pPr>
      <w:ind w:left="100" w:leftChars="2500"/>
    </w:pPr>
  </w:style>
  <w:style w:type="paragraph" w:styleId="9">
    <w:name w:val="Balloon Text"/>
    <w:basedOn w:val="1"/>
    <w:link w:val="27"/>
    <w:semiHidden/>
    <w:unhideWhenUsed/>
    <w:qFormat/>
    <w:uiPriority w:val="99"/>
    <w:rPr>
      <w:sz w:val="18"/>
      <w:szCs w:val="18"/>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HTML Preformatted"/>
    <w:basedOn w:val="1"/>
    <w:link w:val="21"/>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3">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4">
    <w:name w:val="annotation subject"/>
    <w:basedOn w:val="7"/>
    <w:next w:val="7"/>
    <w:link w:val="26"/>
    <w:semiHidden/>
    <w:unhideWhenUsed/>
    <w:qFormat/>
    <w:uiPriority w:val="99"/>
    <w:rPr>
      <w:b/>
      <w:bCs/>
    </w:rPr>
  </w:style>
  <w:style w:type="character" w:styleId="17">
    <w:name w:val="Strong"/>
    <w:basedOn w:val="16"/>
    <w:qFormat/>
    <w:uiPriority w:val="22"/>
    <w:rPr>
      <w:b/>
    </w:rPr>
  </w:style>
  <w:style w:type="character" w:styleId="18">
    <w:name w:val="Emphasis"/>
    <w:basedOn w:val="16"/>
    <w:qFormat/>
    <w:uiPriority w:val="20"/>
    <w:rPr>
      <w:i/>
    </w:rPr>
  </w:style>
  <w:style w:type="character" w:styleId="19">
    <w:name w:val="annotation reference"/>
    <w:basedOn w:val="16"/>
    <w:semiHidden/>
    <w:unhideWhenUsed/>
    <w:qFormat/>
    <w:uiPriority w:val="99"/>
    <w:rPr>
      <w:sz w:val="21"/>
      <w:szCs w:val="21"/>
    </w:rPr>
  </w:style>
  <w:style w:type="character" w:customStyle="1" w:styleId="20">
    <w:name w:val="日期 Char"/>
    <w:basedOn w:val="16"/>
    <w:link w:val="8"/>
    <w:semiHidden/>
    <w:qFormat/>
    <w:uiPriority w:val="99"/>
  </w:style>
  <w:style w:type="character" w:customStyle="1" w:styleId="21">
    <w:name w:val="HTML 预设格式 Char"/>
    <w:basedOn w:val="16"/>
    <w:link w:val="12"/>
    <w:qFormat/>
    <w:uiPriority w:val="99"/>
    <w:rPr>
      <w:rFonts w:ascii="宋体" w:hAnsi="宋体" w:eastAsia="宋体" w:cs="宋体"/>
      <w:kern w:val="0"/>
      <w:sz w:val="24"/>
      <w:szCs w:val="24"/>
    </w:rPr>
  </w:style>
  <w:style w:type="character" w:customStyle="1" w:styleId="22">
    <w:name w:val="段 Char"/>
    <w:link w:val="6"/>
    <w:qFormat/>
    <w:uiPriority w:val="0"/>
    <w:rPr>
      <w:rFonts w:ascii="宋体" w:hAnsi="Times New Roman" w:eastAsia="宋体" w:cs="Times New Roman"/>
      <w:kern w:val="0"/>
    </w:rPr>
  </w:style>
  <w:style w:type="character" w:customStyle="1" w:styleId="23">
    <w:name w:val="页眉 Char"/>
    <w:basedOn w:val="16"/>
    <w:link w:val="11"/>
    <w:qFormat/>
    <w:uiPriority w:val="99"/>
    <w:rPr>
      <w:sz w:val="18"/>
      <w:szCs w:val="18"/>
    </w:rPr>
  </w:style>
  <w:style w:type="character" w:customStyle="1" w:styleId="24">
    <w:name w:val="页脚 Char"/>
    <w:basedOn w:val="16"/>
    <w:link w:val="10"/>
    <w:qFormat/>
    <w:uiPriority w:val="99"/>
    <w:rPr>
      <w:sz w:val="18"/>
      <w:szCs w:val="18"/>
    </w:rPr>
  </w:style>
  <w:style w:type="character" w:customStyle="1" w:styleId="25">
    <w:name w:val="批注文字 Char"/>
    <w:basedOn w:val="16"/>
    <w:link w:val="7"/>
    <w:semiHidden/>
    <w:qFormat/>
    <w:uiPriority w:val="99"/>
  </w:style>
  <w:style w:type="character" w:customStyle="1" w:styleId="26">
    <w:name w:val="批注主题 Char"/>
    <w:basedOn w:val="25"/>
    <w:link w:val="14"/>
    <w:semiHidden/>
    <w:qFormat/>
    <w:uiPriority w:val="99"/>
    <w:rPr>
      <w:b/>
      <w:bCs/>
    </w:rPr>
  </w:style>
  <w:style w:type="character" w:customStyle="1" w:styleId="27">
    <w:name w:val="批注框文本 Char"/>
    <w:basedOn w:val="16"/>
    <w:link w:val="9"/>
    <w:semiHidden/>
    <w:qFormat/>
    <w:uiPriority w:val="99"/>
    <w:rPr>
      <w:sz w:val="18"/>
      <w:szCs w:val="18"/>
    </w:rPr>
  </w:style>
  <w:style w:type="paragraph" w:styleId="28">
    <w:name w:val="List Paragraph"/>
    <w:basedOn w:val="1"/>
    <w:link w:val="29"/>
    <w:qFormat/>
    <w:uiPriority w:val="34"/>
    <w:pPr>
      <w:ind w:firstLine="420" w:firstLineChars="200"/>
    </w:pPr>
    <w:rPr>
      <w:rFonts w:ascii="Calibri" w:hAnsi="Calibri" w:eastAsia="宋体" w:cs="Times New Roman"/>
    </w:rPr>
  </w:style>
  <w:style w:type="character" w:customStyle="1" w:styleId="29">
    <w:name w:val="列出段落 Char"/>
    <w:link w:val="28"/>
    <w:qFormat/>
    <w:uiPriority w:val="34"/>
    <w:rPr>
      <w:rFonts w:ascii="Calibri" w:hAnsi="Calibri" w:eastAsia="宋体" w:cs="Times New Roman"/>
    </w:rPr>
  </w:style>
  <w:style w:type="paragraph" w:customStyle="1" w:styleId="30">
    <w:name w:val="目次、标准名称标题"/>
    <w:basedOn w:val="1"/>
    <w:next w:val="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31">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32">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4890A5C-4934-49EF-96ED-6E56054F7AE2}">
  <ds:schemaRefs/>
</ds:datastoreItem>
</file>

<file path=docProps/app.xml><?xml version="1.0" encoding="utf-8"?>
<Properties xmlns="http://schemas.openxmlformats.org/officeDocument/2006/extended-properties" xmlns:vt="http://schemas.openxmlformats.org/officeDocument/2006/docPropsVTypes">
  <Template>Normal.dotm</Template>
  <Pages>8</Pages>
  <Words>2691</Words>
  <Characters>2742</Characters>
  <Lines>25</Lines>
  <Paragraphs>7</Paragraphs>
  <TotalTime>0</TotalTime>
  <ScaleCrop>false</ScaleCrop>
  <LinksUpToDate>false</LinksUpToDate>
  <CharactersWithSpaces>2750</CharactersWithSpaces>
  <Application>WPS Office_11.8.2.12195_F1E327BC-269C-435d-A152-05C5408002CA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2020-12-01T09:00:00Z</dcterms:created>
  <dc:creator>AAA</dc:creator>
  <cp:lastModifiedBy>lenovo</cp:lastModifiedBy>
  <cp:lastPrinted>2018-08-08T07:53:00Z</cp:lastPrinted>
  <dcterms:modified xsi:type="dcterms:W3CDTF">2024-09-26T01:53:22Z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2052-11.8.2.12195</vt:lpwstr>
  </property>
  <property fmtid="{D5CDD505-2E9C-101B-9397-08002B2CF9AE}" pid="3" name="ICV">
    <vt:lpwstr>F77A0B543C0446168192BFF2D2F6E71B</vt:lpwstr>
  </property>
</Properties>
</file>