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F6F71">
      <w:pPr>
        <w:jc w:val="center"/>
        <w:rPr>
          <w:rFonts w:hint="eastAsia"/>
          <w:b/>
          <w:sz w:val="48"/>
          <w:szCs w:val="48"/>
          <w:lang w:val="en-US" w:eastAsia="zh-CN"/>
        </w:rPr>
      </w:pPr>
    </w:p>
    <w:p w14:paraId="46756DC7">
      <w:pPr>
        <w:jc w:val="center"/>
        <w:rPr>
          <w:rFonts w:hint="eastAsia"/>
          <w:b/>
          <w:sz w:val="48"/>
          <w:szCs w:val="48"/>
          <w:lang w:val="en-US" w:eastAsia="zh-CN"/>
        </w:rPr>
      </w:pPr>
    </w:p>
    <w:p w14:paraId="2D26B61C">
      <w:pPr>
        <w:jc w:val="center"/>
        <w:rPr>
          <w:rFonts w:hint="eastAsia"/>
          <w:b/>
          <w:sz w:val="48"/>
          <w:szCs w:val="48"/>
          <w:lang w:val="en-US" w:eastAsia="zh-CN"/>
        </w:rPr>
      </w:pPr>
    </w:p>
    <w:p w14:paraId="7D2756CC">
      <w:pPr>
        <w:jc w:val="center"/>
        <w:rPr>
          <w:rFonts w:hint="eastAsia"/>
          <w:b/>
          <w:sz w:val="48"/>
          <w:szCs w:val="48"/>
          <w:lang w:val="en-US" w:eastAsia="zh-CN"/>
        </w:rPr>
      </w:pPr>
    </w:p>
    <w:p w14:paraId="15E609D4">
      <w:pPr>
        <w:jc w:val="center"/>
        <w:rPr>
          <w:rFonts w:hint="eastAsia"/>
          <w:b/>
          <w:sz w:val="48"/>
          <w:szCs w:val="48"/>
          <w:lang w:val="en-US" w:eastAsia="zh-CN"/>
        </w:rPr>
      </w:pPr>
    </w:p>
    <w:p w14:paraId="177D7161">
      <w:pPr>
        <w:jc w:val="center"/>
        <w:rPr>
          <w:rFonts w:hint="eastAsia"/>
          <w:b/>
          <w:sz w:val="48"/>
          <w:szCs w:val="48"/>
          <w:lang w:val="en-US" w:eastAsia="zh-CN"/>
        </w:rPr>
      </w:pPr>
    </w:p>
    <w:p w14:paraId="4D04C029">
      <w:pPr>
        <w:jc w:val="center"/>
        <w:rPr>
          <w:rFonts w:hint="eastAsia"/>
          <w:b/>
          <w:sz w:val="48"/>
          <w:szCs w:val="48"/>
          <w:lang w:eastAsia="zh-CN"/>
        </w:rPr>
      </w:pPr>
      <w:r>
        <w:rPr>
          <w:rFonts w:hint="eastAsia"/>
          <w:b/>
          <w:sz w:val="48"/>
          <w:szCs w:val="48"/>
          <w:lang w:val="en-US" w:eastAsia="zh-CN"/>
        </w:rPr>
        <w:t>果园箭筈豌豆种植技术规程</w:t>
      </w:r>
    </w:p>
    <w:p w14:paraId="1551D4E4">
      <w:pPr>
        <w:jc w:val="center"/>
        <w:rPr>
          <w:rFonts w:hint="default"/>
          <w:b w:val="0"/>
          <w:bCs/>
          <w:sz w:val="36"/>
          <w:szCs w:val="36"/>
          <w:lang w:val="en-US" w:eastAsia="zh-CN"/>
        </w:rPr>
      </w:pPr>
      <w:r>
        <w:rPr>
          <w:rFonts w:hint="eastAsia"/>
          <w:b w:val="0"/>
          <w:bCs/>
          <w:sz w:val="36"/>
          <w:szCs w:val="36"/>
          <w:lang w:val="en-US" w:eastAsia="zh-CN"/>
        </w:rPr>
        <w:t>(征求意见稿)</w:t>
      </w:r>
    </w:p>
    <w:p w14:paraId="3A0FC6B0">
      <w:pPr>
        <w:jc w:val="center"/>
        <w:rPr>
          <w:b/>
          <w:sz w:val="32"/>
          <w:szCs w:val="32"/>
        </w:rPr>
      </w:pPr>
    </w:p>
    <w:p w14:paraId="6DCFD94F">
      <w:pPr>
        <w:jc w:val="center"/>
        <w:rPr>
          <w:b/>
          <w:sz w:val="32"/>
          <w:szCs w:val="32"/>
        </w:rPr>
      </w:pPr>
    </w:p>
    <w:p w14:paraId="22F7C93F">
      <w:pPr>
        <w:jc w:val="center"/>
        <w:rPr>
          <w:rFonts w:hint="eastAsia"/>
          <w:b/>
          <w:sz w:val="36"/>
          <w:szCs w:val="36"/>
        </w:rPr>
      </w:pPr>
    </w:p>
    <w:p w14:paraId="5217F95C">
      <w:pPr>
        <w:jc w:val="center"/>
        <w:rPr>
          <w:b/>
          <w:sz w:val="36"/>
          <w:szCs w:val="36"/>
        </w:rPr>
      </w:pPr>
      <w:r>
        <w:rPr>
          <w:rFonts w:hint="eastAsia"/>
          <w:b/>
          <w:sz w:val="36"/>
          <w:szCs w:val="36"/>
        </w:rPr>
        <w:t>编</w:t>
      </w:r>
      <w:r>
        <w:rPr>
          <w:b/>
          <w:sz w:val="36"/>
          <w:szCs w:val="36"/>
        </w:rPr>
        <w:t xml:space="preserve"> </w:t>
      </w:r>
      <w:r>
        <w:rPr>
          <w:rFonts w:hint="eastAsia"/>
          <w:b/>
          <w:sz w:val="36"/>
          <w:szCs w:val="36"/>
        </w:rPr>
        <w:t>制</w:t>
      </w:r>
      <w:r>
        <w:rPr>
          <w:b/>
          <w:sz w:val="36"/>
          <w:szCs w:val="36"/>
        </w:rPr>
        <w:t xml:space="preserve"> </w:t>
      </w:r>
      <w:r>
        <w:rPr>
          <w:rFonts w:hint="eastAsia"/>
          <w:b/>
          <w:sz w:val="36"/>
          <w:szCs w:val="36"/>
        </w:rPr>
        <w:t>说</w:t>
      </w:r>
      <w:r>
        <w:rPr>
          <w:b/>
          <w:sz w:val="36"/>
          <w:szCs w:val="36"/>
        </w:rPr>
        <w:t xml:space="preserve"> </w:t>
      </w:r>
      <w:r>
        <w:rPr>
          <w:rFonts w:hint="eastAsia"/>
          <w:b/>
          <w:sz w:val="36"/>
          <w:szCs w:val="36"/>
        </w:rPr>
        <w:t>明</w:t>
      </w:r>
    </w:p>
    <w:p w14:paraId="16F26B4F">
      <w:pPr>
        <w:rPr>
          <w:b/>
          <w:sz w:val="36"/>
          <w:szCs w:val="36"/>
        </w:rPr>
      </w:pPr>
    </w:p>
    <w:p w14:paraId="15B28911">
      <w:pPr>
        <w:rPr>
          <w:sz w:val="24"/>
        </w:rPr>
      </w:pPr>
    </w:p>
    <w:p w14:paraId="5C4366FF">
      <w:pPr>
        <w:rPr>
          <w:sz w:val="24"/>
        </w:rPr>
      </w:pPr>
    </w:p>
    <w:p w14:paraId="6DCB91A5">
      <w:pPr>
        <w:rPr>
          <w:sz w:val="24"/>
        </w:rPr>
      </w:pPr>
    </w:p>
    <w:p w14:paraId="2ACFDED7">
      <w:pPr>
        <w:rPr>
          <w:sz w:val="24"/>
        </w:rPr>
      </w:pPr>
    </w:p>
    <w:p w14:paraId="1E4E17E5">
      <w:pPr>
        <w:rPr>
          <w:sz w:val="24"/>
        </w:rPr>
      </w:pPr>
    </w:p>
    <w:p w14:paraId="4AABC9B3">
      <w:pPr>
        <w:rPr>
          <w:sz w:val="24"/>
        </w:rPr>
      </w:pPr>
    </w:p>
    <w:p w14:paraId="0DDE26C8">
      <w:pPr>
        <w:rPr>
          <w:sz w:val="24"/>
        </w:rPr>
      </w:pPr>
    </w:p>
    <w:p w14:paraId="730B3CE7">
      <w:pPr>
        <w:rPr>
          <w:sz w:val="24"/>
        </w:rPr>
      </w:pPr>
    </w:p>
    <w:p w14:paraId="5CD6AAC2">
      <w:pPr>
        <w:rPr>
          <w:sz w:val="24"/>
        </w:rPr>
      </w:pPr>
    </w:p>
    <w:p w14:paraId="23FDEBDF">
      <w:pPr>
        <w:spacing w:line="360" w:lineRule="auto"/>
        <w:rPr>
          <w:rFonts w:hint="eastAsia"/>
          <w:sz w:val="24"/>
        </w:rPr>
      </w:pPr>
    </w:p>
    <w:p w14:paraId="343727DF">
      <w:pPr>
        <w:spacing w:line="360" w:lineRule="auto"/>
        <w:jc w:val="center"/>
        <w:rPr>
          <w:rFonts w:hint="eastAsia" w:ascii="宋体" w:hAnsi="宋体"/>
          <w:b/>
          <w:sz w:val="30"/>
          <w:szCs w:val="30"/>
        </w:rPr>
      </w:pPr>
    </w:p>
    <w:p w14:paraId="61126E36">
      <w:pPr>
        <w:spacing w:line="360" w:lineRule="auto"/>
        <w:jc w:val="center"/>
        <w:rPr>
          <w:rFonts w:hint="eastAsia" w:ascii="宋体" w:hAnsi="宋体"/>
          <w:b/>
          <w:sz w:val="30"/>
          <w:szCs w:val="30"/>
        </w:rPr>
      </w:pPr>
    </w:p>
    <w:p w14:paraId="38F9DAD3">
      <w:pPr>
        <w:spacing w:line="360" w:lineRule="auto"/>
        <w:jc w:val="center"/>
        <w:rPr>
          <w:b/>
          <w:sz w:val="30"/>
          <w:szCs w:val="30"/>
        </w:rPr>
      </w:pPr>
      <w:r>
        <w:rPr>
          <w:rFonts w:hint="eastAsia" w:ascii="宋体" w:hAnsi="宋体"/>
          <w:b/>
          <w:sz w:val="30"/>
          <w:szCs w:val="30"/>
        </w:rPr>
        <w:t>地方</w:t>
      </w:r>
      <w:r>
        <w:rPr>
          <w:rFonts w:hint="eastAsia"/>
          <w:b/>
          <w:sz w:val="30"/>
          <w:szCs w:val="30"/>
        </w:rPr>
        <w:t>标准编制组</w:t>
      </w:r>
    </w:p>
    <w:p w14:paraId="54C4269E">
      <w:pPr>
        <w:spacing w:line="360" w:lineRule="auto"/>
        <w:jc w:val="center"/>
        <w:rPr>
          <w:rFonts w:hint="eastAsia" w:ascii="黑体" w:hAnsi="黑体" w:eastAsia="黑体" w:cs="黑体"/>
          <w:sz w:val="52"/>
          <w:szCs w:val="52"/>
          <w:lang w:eastAsia="zh-CN"/>
        </w:rPr>
      </w:pPr>
      <w:r>
        <w:rPr>
          <w:rFonts w:hint="eastAsia"/>
          <w:b/>
          <w:sz w:val="30"/>
          <w:szCs w:val="30"/>
        </w:rPr>
        <w:t>二○</w:t>
      </w:r>
      <w:r>
        <w:rPr>
          <w:rFonts w:hint="eastAsia"/>
          <w:b/>
          <w:sz w:val="30"/>
          <w:szCs w:val="30"/>
          <w:lang w:val="en-US" w:eastAsia="zh-CN"/>
        </w:rPr>
        <w:t>二四</w:t>
      </w:r>
      <w:r>
        <w:rPr>
          <w:rFonts w:hint="eastAsia"/>
          <w:b/>
          <w:sz w:val="30"/>
          <w:szCs w:val="30"/>
        </w:rPr>
        <w:t>年</w:t>
      </w:r>
      <w:r>
        <w:rPr>
          <w:rFonts w:hint="eastAsia"/>
          <w:b/>
          <w:sz w:val="30"/>
          <w:szCs w:val="30"/>
          <w:lang w:val="en-US" w:eastAsia="zh-CN"/>
        </w:rPr>
        <w:t>九</w:t>
      </w:r>
      <w:r>
        <w:rPr>
          <w:rFonts w:hint="eastAsia"/>
          <w:b/>
          <w:sz w:val="30"/>
          <w:szCs w:val="30"/>
        </w:rPr>
        <w:t>月</w:t>
      </w:r>
    </w:p>
    <w:p w14:paraId="4F2A00C0">
      <w:pPr>
        <w:jc w:val="both"/>
        <w:rPr>
          <w:rFonts w:hint="eastAsia" w:eastAsia="宋体"/>
          <w:b/>
          <w:sz w:val="48"/>
          <w:szCs w:val="48"/>
          <w:lang w:eastAsia="zh-CN"/>
        </w:rPr>
        <w:sectPr>
          <w:pgSz w:w="11906" w:h="16838"/>
          <w:pgMar w:top="1440" w:right="1800" w:bottom="1440" w:left="1800" w:header="851" w:footer="992" w:gutter="0"/>
          <w:cols w:space="720" w:num="1"/>
          <w:docGrid w:type="lines" w:linePitch="312" w:charSpace="0"/>
        </w:sectPr>
      </w:pPr>
    </w:p>
    <w:p w14:paraId="59A6F391">
      <w:pPr>
        <w:jc w:val="center"/>
        <w:rPr>
          <w:rFonts w:hint="eastAsia" w:ascii="黑体" w:hAnsi="黑体" w:eastAsia="黑体" w:cs="黑体"/>
          <w:b/>
          <w:sz w:val="36"/>
          <w:szCs w:val="36"/>
          <w:lang w:eastAsia="zh-CN"/>
        </w:rPr>
      </w:pPr>
      <w:r>
        <w:rPr>
          <w:rFonts w:hint="eastAsia" w:ascii="黑体" w:hAnsi="黑体" w:eastAsia="黑体" w:cs="黑体"/>
          <w:b/>
          <w:sz w:val="36"/>
          <w:szCs w:val="36"/>
          <w:lang w:val="en-US" w:eastAsia="zh-CN"/>
        </w:rPr>
        <w:t>苹果园箭筈豌豆技术规程</w:t>
      </w:r>
    </w:p>
    <w:p w14:paraId="05E779E7">
      <w:pPr>
        <w:jc w:val="center"/>
        <w:rPr>
          <w:rFonts w:hint="eastAsia" w:eastAsia="宋体"/>
          <w:b/>
          <w:sz w:val="48"/>
          <w:szCs w:val="48"/>
          <w:lang w:eastAsia="zh-CN"/>
        </w:rPr>
      </w:pPr>
      <w:r>
        <w:rPr>
          <w:rFonts w:hint="eastAsia"/>
          <w:b w:val="0"/>
          <w:bCs/>
          <w:sz w:val="36"/>
          <w:szCs w:val="36"/>
          <w:lang w:val="en-US" w:eastAsia="zh-CN"/>
        </w:rPr>
        <w:t>(征求意见稿)</w:t>
      </w:r>
    </w:p>
    <w:p w14:paraId="4A1BCAEC">
      <w:pPr>
        <w:jc w:val="center"/>
        <w:rPr>
          <w:rFonts w:hint="eastAsia"/>
          <w:b/>
          <w:sz w:val="30"/>
          <w:szCs w:val="30"/>
        </w:rPr>
      </w:pPr>
      <w:r>
        <w:rPr>
          <w:rFonts w:hint="eastAsia"/>
          <w:sz w:val="30"/>
          <w:szCs w:val="30"/>
          <w:lang w:val="en-US" w:eastAsia="zh-CN"/>
        </w:rPr>
        <w:t xml:space="preserve"> </w:t>
      </w:r>
      <w:r>
        <w:rPr>
          <w:rFonts w:hint="eastAsia"/>
          <w:sz w:val="30"/>
          <w:szCs w:val="30"/>
        </w:rPr>
        <w:t>编</w:t>
      </w:r>
      <w:r>
        <w:rPr>
          <w:sz w:val="30"/>
          <w:szCs w:val="30"/>
        </w:rPr>
        <w:t xml:space="preserve"> </w:t>
      </w:r>
      <w:r>
        <w:rPr>
          <w:rFonts w:hint="eastAsia"/>
          <w:sz w:val="30"/>
          <w:szCs w:val="30"/>
        </w:rPr>
        <w:t>制</w:t>
      </w:r>
      <w:r>
        <w:rPr>
          <w:sz w:val="30"/>
          <w:szCs w:val="30"/>
        </w:rPr>
        <w:t xml:space="preserve"> </w:t>
      </w:r>
      <w:r>
        <w:rPr>
          <w:rFonts w:hint="eastAsia"/>
          <w:sz w:val="30"/>
          <w:szCs w:val="30"/>
        </w:rPr>
        <w:t>说</w:t>
      </w:r>
      <w:r>
        <w:rPr>
          <w:sz w:val="30"/>
          <w:szCs w:val="30"/>
        </w:rPr>
        <w:t xml:space="preserve"> </w:t>
      </w:r>
      <w:r>
        <w:rPr>
          <w:rFonts w:hint="eastAsia"/>
          <w:sz w:val="30"/>
          <w:szCs w:val="30"/>
        </w:rPr>
        <w:t>明</w:t>
      </w:r>
    </w:p>
    <w:p w14:paraId="4F3C98ED">
      <w:pPr>
        <w:numPr>
          <w:ilvl w:val="0"/>
          <w:numId w:val="2"/>
        </w:numPr>
        <w:spacing w:line="360" w:lineRule="auto"/>
        <w:jc w:val="left"/>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制定（修订）标准的必要性和意义</w:t>
      </w:r>
    </w:p>
    <w:p w14:paraId="740B40E8">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随着我国全面推进乡村振兴，加快建设农业强国战略不断深入，围绕农业增效，农民增收，农村增绿，农业高质量发展需求，大力发展生态化农业新模式，加快传统农业生态化改造，促进农业向绿色低碳转型发展。土壤健康问题成为当前高质量发展的主要阻力，土壤过度施用化学肥料造成土壤污染严重，有机肥源补充不足，地力水平不断下降，造成土壤板结、土壤酸化等诸多问题，通过绿肥种植增加土壤有机质的补充，既可以添加土壤地表覆盖、减少水土流失，又可以蓄水保墒增加微生物寄主地。箭筈豌豆为一年生或越年生豆科巢菜属草本植物，是肥饲粮兼用的绿肥作物之一。又名大巢菜、春巢菜、普通巢菜、野豌豆等。箭筈豌豆主根明显，茎柔嫩，半攀缘性，分枝性较强。早发，速生。适应性广。耐寒喜凉，耐旱耐瘠。不耐盐、不耐渍。在pH值6.5～8.5土壤上均能生长。一般干草中氮（N）、磷（P2O5）、钾（K2O）平均含量约为3.56%、0.73%、3.22%。以初花到盛花期养分含量最高。茎叶和种子中营养成分较高。种植箭筈豌豆在陕南翌春4月每公顷可产鲜草22.5～37.5吨/公顷。作冬麦底肥或果园绿肥，压青应不迟于8月中旬。压青先将茎叶耙断，完全掩埋入土。旱地压青，必须掩埋完全。箭筈豌豆鲜草产量高，压青后土壤有机质、全氮量增加，改善了土壤理化性状，土壤酶的活性增强。是当前理想短期补充绿肥，目前我省是粮食和苹果最大，急需制定果园箭筈豌豆种植技术规程，方便广大群众在生产实践中按照技术规程操作，对我省果园绿肥的应用和推广具有重要意义。</w:t>
      </w:r>
    </w:p>
    <w:p w14:paraId="27E900AD">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楷体_GB2312" w:hAnsi="楷体_GB2312" w:eastAsia="楷体_GB2312" w:cs="楷体_GB2312"/>
          <w:b/>
          <w:bCs/>
          <w:sz w:val="28"/>
          <w:szCs w:val="28"/>
          <w:lang w:eastAsia="zh-CN"/>
        </w:rPr>
      </w:pPr>
      <w:r>
        <w:rPr>
          <w:rFonts w:hint="eastAsia" w:ascii="黑体" w:hAnsi="黑体" w:eastAsia="黑体" w:cs="黑体"/>
          <w:b/>
          <w:bCs/>
          <w:sz w:val="28"/>
          <w:szCs w:val="28"/>
          <w:lang w:val="en-US" w:eastAsia="zh-CN"/>
        </w:rPr>
        <w:t>二、</w:t>
      </w:r>
      <w:r>
        <w:rPr>
          <w:rFonts w:hint="eastAsia" w:ascii="黑体" w:hAnsi="黑体" w:eastAsia="黑体" w:cs="黑体"/>
          <w:b/>
          <w:bCs/>
          <w:sz w:val="28"/>
          <w:szCs w:val="28"/>
          <w:lang w:eastAsia="zh-CN"/>
        </w:rPr>
        <w:t>工作简况</w:t>
      </w:r>
    </w:p>
    <w:p w14:paraId="4AE66B22">
      <w:pPr>
        <w:keepNext w:val="0"/>
        <w:keepLines w:val="0"/>
        <w:pageBreakBefore w:val="0"/>
        <w:numPr>
          <w:ilvl w:val="0"/>
          <w:numId w:val="3"/>
        </w:numPr>
        <w:kinsoku/>
        <w:wordWrap/>
        <w:overflowPunct/>
        <w:topLinePunct w:val="0"/>
        <w:bidi w:val="0"/>
        <w:adjustRightInd/>
        <w:snapToGrid/>
        <w:spacing w:line="560" w:lineRule="exact"/>
        <w:jc w:val="both"/>
        <w:textAlignment w:val="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起草单位</w:t>
      </w:r>
    </w:p>
    <w:p w14:paraId="645FBFD7">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主导单位：延安市农业科学研究院</w:t>
      </w:r>
    </w:p>
    <w:p w14:paraId="2A78F2B1">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参与单位：延安市土壤肥料工作站</w:t>
      </w:r>
    </w:p>
    <w:p w14:paraId="3C3C9D0B">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西安市农业技术推广中心</w:t>
      </w:r>
    </w:p>
    <w:p w14:paraId="0C3FA95D">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sz w:val="28"/>
          <w:szCs w:val="28"/>
          <w:lang w:val="en-US" w:eastAsia="zh-CN"/>
        </w:rPr>
        <w:t>　　　　　淳化县园艺站</w:t>
      </w:r>
    </w:p>
    <w:p w14:paraId="76D9C394">
      <w:pPr>
        <w:keepNext w:val="0"/>
        <w:keepLines w:val="0"/>
        <w:pageBreakBefore w:val="0"/>
        <w:numPr>
          <w:ilvl w:val="0"/>
          <w:numId w:val="3"/>
        </w:numPr>
        <w:kinsoku/>
        <w:wordWrap/>
        <w:overflowPunct/>
        <w:topLinePunct w:val="0"/>
        <w:bidi w:val="0"/>
        <w:adjustRightInd/>
        <w:snapToGrid/>
        <w:spacing w:line="560" w:lineRule="exact"/>
        <w:jc w:val="both"/>
        <w:textAlignment w:val="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主要起草人</w:t>
      </w:r>
    </w:p>
    <w:tbl>
      <w:tblPr>
        <w:tblStyle w:val="5"/>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696"/>
        <w:gridCol w:w="1296"/>
        <w:gridCol w:w="3148"/>
        <w:gridCol w:w="2542"/>
      </w:tblGrid>
      <w:tr w14:paraId="7705C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0F456A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姓名</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9D20D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性别</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61F297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职称/职务</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159C4E4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工作单位</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5D74D14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任务分工</w:t>
            </w:r>
          </w:p>
        </w:tc>
      </w:tr>
      <w:tr w14:paraId="7A78A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5119DEB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段志龙</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7D41D8F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0CFB7B5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正高级</w:t>
            </w:r>
          </w:p>
          <w:p w14:paraId="6F35FA1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农艺师</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610E533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延安市农业科学研究院</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6CB48B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标准编制总体负责</w:t>
            </w:r>
          </w:p>
        </w:tc>
      </w:tr>
      <w:tr w14:paraId="16B10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78E3D09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周 军</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F612C2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601F44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高农</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0D5A51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延安市农业科学研究院</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20E9AA6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标准编制、调研、试验</w:t>
            </w:r>
          </w:p>
        </w:tc>
      </w:tr>
      <w:tr w14:paraId="0524E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3E4B815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王晨光</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E17E2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12340BB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正高级</w:t>
            </w:r>
          </w:p>
          <w:p w14:paraId="7D85C61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农艺师</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15B9AD4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陕西省耕地质量与农业环境保护工作站</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4F6E49C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调研、验证、征求意见</w:t>
            </w:r>
          </w:p>
        </w:tc>
      </w:tr>
      <w:tr w14:paraId="6B6D8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6CA1F0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李会科</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A9BF42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1981716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研究员</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1BC1F6F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西北农林科技大学</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7375FA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负责标准规划</w:t>
            </w:r>
          </w:p>
        </w:tc>
      </w:tr>
      <w:tr w14:paraId="31290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0CF2FF1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易可可</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6D935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6B151C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研究员</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7448DD7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中国农业科学院农业资源与农业区划研究所</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6D1741E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负责标准调研</w:t>
            </w:r>
          </w:p>
        </w:tc>
      </w:tr>
      <w:tr w14:paraId="31D9F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050062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常小箭</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4D08638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女</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3C8E082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高农</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399656E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西安市农业技术推广中心</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33FEF60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负责标准调研</w:t>
            </w:r>
          </w:p>
        </w:tc>
      </w:tr>
      <w:tr w14:paraId="749C7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1111EFC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高 鑫</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2E8F41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5121A4D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高农</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109C14B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延安市土壤肥料工作站</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23B1855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调研、校对</w:t>
            </w:r>
          </w:p>
        </w:tc>
      </w:tr>
      <w:tr w14:paraId="413D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36C1DCD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Times New Roman"/>
              </w:rPr>
              <w:t>赵小弟</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6B120E0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3CEF7BB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高农</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71B8221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淳化县园艺站</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37ECF52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调研、验证、征求意见</w:t>
            </w:r>
          </w:p>
        </w:tc>
      </w:tr>
      <w:tr w14:paraId="1A3B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1D7D73E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王元基</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9E8347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default"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274A59D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副教授</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7789D90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西北农林科技大学</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0BB5DB9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调研、校对</w:t>
            </w:r>
          </w:p>
        </w:tc>
      </w:tr>
      <w:tr w14:paraId="60865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18EECB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姚贵军</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1EE859A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2C7BDFF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高农</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2F0BC66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both"/>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延安市农业科学研究院</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47DA14F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both"/>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调研、验证、征求意见</w:t>
            </w:r>
          </w:p>
        </w:tc>
      </w:tr>
      <w:tr w14:paraId="70F39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0015C55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刘永红</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5F5630D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1C0E7A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center"/>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kern w:val="2"/>
                <w:sz w:val="24"/>
                <w:szCs w:val="24"/>
                <w:lang w:val="en-US" w:eastAsia="zh-CN" w:bidi="ar-SA"/>
              </w:rPr>
              <w:t>高农</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15B9EB5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both"/>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延安市宝塔区植保植检站</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1F7CB41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leftChars="0" w:right="0" w:firstLine="0" w:firstLineChars="0"/>
              <w:jc w:val="both"/>
              <w:textAlignment w:val="auto"/>
              <w:rPr>
                <w:rFonts w:hint="eastAsia" w:ascii="仿宋" w:hAnsi="仿宋" w:eastAsia="仿宋" w:cs="仿宋"/>
                <w:b w:val="0"/>
                <w:bCs w:val="0"/>
                <w:kern w:val="2"/>
                <w:sz w:val="24"/>
                <w:szCs w:val="24"/>
                <w:lang w:val="en-US" w:eastAsia="zh-CN" w:bidi="ar-SA"/>
              </w:rPr>
            </w:pPr>
            <w:r>
              <w:rPr>
                <w:rFonts w:hint="eastAsia" w:ascii="仿宋" w:hAnsi="仿宋" w:eastAsia="仿宋" w:cs="仿宋"/>
                <w:b w:val="0"/>
                <w:bCs w:val="0"/>
                <w:sz w:val="24"/>
                <w:szCs w:val="24"/>
                <w:lang w:val="en-US" w:eastAsia="zh-CN"/>
              </w:rPr>
              <w:t>调研、试验</w:t>
            </w:r>
          </w:p>
        </w:tc>
      </w:tr>
      <w:tr w14:paraId="5CC5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jc w:val="center"/>
        </w:trPr>
        <w:tc>
          <w:tcPr>
            <w:tcW w:w="936" w:type="dxa"/>
            <w:tcBorders>
              <w:top w:val="single" w:color="auto" w:sz="4" w:space="0"/>
              <w:left w:val="single" w:color="auto" w:sz="4" w:space="0"/>
              <w:bottom w:val="single" w:color="auto" w:sz="4" w:space="0"/>
              <w:right w:val="single" w:color="auto" w:sz="4" w:space="0"/>
            </w:tcBorders>
            <w:noWrap w:val="0"/>
            <w:vAlign w:val="center"/>
          </w:tcPr>
          <w:p w14:paraId="1CF0384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马欣</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084B33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女</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0A18AB0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农艺师</w:t>
            </w:r>
          </w:p>
        </w:tc>
        <w:tc>
          <w:tcPr>
            <w:tcW w:w="3148" w:type="dxa"/>
            <w:tcBorders>
              <w:top w:val="single" w:color="auto" w:sz="4" w:space="0"/>
              <w:left w:val="single" w:color="auto" w:sz="4" w:space="0"/>
              <w:bottom w:val="single" w:color="auto" w:sz="4" w:space="0"/>
              <w:right w:val="single" w:color="auto" w:sz="4" w:space="0"/>
            </w:tcBorders>
            <w:noWrap w:val="0"/>
            <w:vAlign w:val="center"/>
          </w:tcPr>
          <w:p w14:paraId="5210B03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延安市农业科学研究院</w:t>
            </w:r>
          </w:p>
        </w:tc>
        <w:tc>
          <w:tcPr>
            <w:tcW w:w="2542" w:type="dxa"/>
            <w:tcBorders>
              <w:top w:val="single" w:color="auto" w:sz="4" w:space="0"/>
              <w:left w:val="single" w:color="auto" w:sz="4" w:space="0"/>
              <w:bottom w:val="single" w:color="auto" w:sz="4" w:space="0"/>
              <w:right w:val="single" w:color="auto" w:sz="4" w:space="0"/>
            </w:tcBorders>
            <w:noWrap w:val="0"/>
            <w:vAlign w:val="center"/>
          </w:tcPr>
          <w:p w14:paraId="7B364AC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调研、校对</w:t>
            </w:r>
          </w:p>
        </w:tc>
      </w:tr>
    </w:tbl>
    <w:p w14:paraId="64688DE3">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楷体_GB2312" w:hAnsi="楷体_GB2312" w:eastAsia="楷体_GB2312" w:cs="楷体_GB2312"/>
          <w:b w:val="0"/>
          <w:bCs w:val="0"/>
          <w:sz w:val="28"/>
          <w:szCs w:val="28"/>
          <w:lang w:eastAsia="zh-CN"/>
        </w:rPr>
      </w:pPr>
      <w:r>
        <w:rPr>
          <w:rFonts w:hint="eastAsia" w:ascii="黑体" w:hAnsi="黑体" w:eastAsia="黑体" w:cs="黑体"/>
          <w:b/>
          <w:bCs/>
          <w:sz w:val="28"/>
          <w:szCs w:val="28"/>
          <w:lang w:val="en-US" w:eastAsia="zh-CN"/>
        </w:rPr>
        <w:t>三</w:t>
      </w:r>
      <w:r>
        <w:rPr>
          <w:rFonts w:hint="eastAsia" w:ascii="楷体_GB2312" w:hAnsi="楷体_GB2312" w:eastAsia="楷体_GB2312" w:cs="楷体_GB2312"/>
          <w:b/>
          <w:bCs/>
          <w:sz w:val="28"/>
          <w:szCs w:val="28"/>
          <w:lang w:val="en-US" w:eastAsia="zh-CN"/>
        </w:rPr>
        <w:t>、</w:t>
      </w:r>
      <w:r>
        <w:rPr>
          <w:rFonts w:hint="eastAsia" w:ascii="黑体" w:hAnsi="黑体" w:eastAsia="黑体" w:cs="黑体"/>
          <w:b/>
          <w:bCs/>
          <w:sz w:val="28"/>
          <w:szCs w:val="28"/>
          <w:lang w:eastAsia="zh-CN"/>
        </w:rPr>
        <w:t>主要起草过程</w:t>
      </w:r>
    </w:p>
    <w:p w14:paraId="28575187">
      <w:pPr>
        <w:spacing w:line="360" w:lineRule="auto"/>
        <w:ind w:firstLine="641" w:firstLineChars="228"/>
        <w:jc w:val="left"/>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项目申请：</w:t>
      </w:r>
      <w:r>
        <w:rPr>
          <w:rFonts w:hint="eastAsia" w:ascii="仿宋" w:hAnsi="仿宋" w:eastAsia="仿宋" w:cs="仿宋"/>
          <w:sz w:val="28"/>
          <w:szCs w:val="28"/>
          <w:lang w:val="en-US" w:eastAsia="zh-CN"/>
        </w:rPr>
        <w:t>“果园箭筈豌豆种植技术规程”</w:t>
      </w:r>
      <w:r>
        <w:rPr>
          <w:rFonts w:hint="eastAsia" w:ascii="仿宋" w:hAnsi="仿宋" w:eastAsia="仿宋" w:cs="楷体_GB2312"/>
          <w:color w:val="000000"/>
          <w:kern w:val="2"/>
          <w:sz w:val="28"/>
          <w:szCs w:val="28"/>
          <w:lang w:val="en-US" w:eastAsia="zh-CN" w:bidi="ar"/>
        </w:rPr>
        <w:t>研究项目来源于陕西省质量技术监督局“陕西省市场监督管理局 关于下达 2024年第二批地方标准制修订计划的函”（陕市监函〔2024〕590号）文件通知，</w:t>
      </w:r>
      <w:r>
        <w:rPr>
          <w:rFonts w:hint="eastAsia" w:ascii="仿宋" w:hAnsi="仿宋" w:eastAsia="仿宋" w:cs="楷体_GB2312"/>
          <w:color w:val="000000"/>
          <w:sz w:val="28"/>
          <w:szCs w:val="28"/>
        </w:rPr>
        <w:t>项目立项编号：SDBXM</w:t>
      </w:r>
      <w:r>
        <w:rPr>
          <w:rFonts w:hint="eastAsia" w:ascii="仿宋" w:hAnsi="仿宋" w:eastAsia="仿宋" w:cs="楷体_GB2312"/>
          <w:color w:val="000000"/>
          <w:sz w:val="28"/>
          <w:szCs w:val="28"/>
          <w:lang w:val="en-US" w:eastAsia="zh-CN"/>
        </w:rPr>
        <w:t>-207</w:t>
      </w:r>
      <w:r>
        <w:rPr>
          <w:rFonts w:hint="eastAsia" w:ascii="仿宋" w:hAnsi="仿宋" w:eastAsia="仿宋" w:cs="楷体_GB2312"/>
          <w:color w:val="000000"/>
          <w:sz w:val="28"/>
          <w:szCs w:val="28"/>
        </w:rPr>
        <w:t>-202</w:t>
      </w:r>
      <w:r>
        <w:rPr>
          <w:rFonts w:hint="eastAsia" w:ascii="仿宋" w:hAnsi="仿宋" w:eastAsia="仿宋" w:cs="楷体_GB2312"/>
          <w:color w:val="000000"/>
          <w:sz w:val="28"/>
          <w:szCs w:val="28"/>
          <w:lang w:val="en-US" w:eastAsia="zh-CN"/>
        </w:rPr>
        <w:t>4</w:t>
      </w:r>
      <w:r>
        <w:rPr>
          <w:rFonts w:hint="eastAsia" w:ascii="仿宋" w:hAnsi="仿宋" w:eastAsia="仿宋" w:cs="楷体_GB2312"/>
          <w:color w:val="000000"/>
          <w:sz w:val="28"/>
          <w:szCs w:val="28"/>
        </w:rPr>
        <w:t>。</w:t>
      </w:r>
    </w:p>
    <w:p w14:paraId="42FDEB1C">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成立项目起草小组：</w:t>
      </w:r>
      <w:r>
        <w:rPr>
          <w:rFonts w:hint="eastAsia" w:ascii="仿宋" w:hAnsi="仿宋" w:eastAsia="仿宋" w:cs="仿宋"/>
          <w:sz w:val="28"/>
          <w:szCs w:val="28"/>
          <w:lang w:val="en-US" w:eastAsia="zh-CN"/>
        </w:rPr>
        <w:t xml:space="preserve">根据2017年以来对果园箭筈种植技术的情况调研，总结果园生草对果园生态环境的影响；归纳整理果园箭筈豌豆对果园土壤理化性质、果园土壤微生物、土壤酶活等的试验结果，形成了《苹果园箭筈豌豆技术规程（工作组讨论稿）》。   </w:t>
      </w:r>
    </w:p>
    <w:p w14:paraId="2B8A8F74">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调研：</w:t>
      </w:r>
      <w:r>
        <w:rPr>
          <w:rFonts w:hint="eastAsia" w:ascii="仿宋" w:hAnsi="仿宋" w:eastAsia="仿宋" w:cs="仿宋"/>
          <w:sz w:val="28"/>
          <w:szCs w:val="28"/>
          <w:lang w:val="en-US" w:eastAsia="zh-CN"/>
        </w:rPr>
        <w:t>对</w:t>
      </w:r>
      <w:r>
        <w:rPr>
          <w:rFonts w:hint="eastAsia" w:ascii="仿宋" w:hAnsi="仿宋" w:eastAsia="仿宋" w:cs="楷体_GB2312"/>
          <w:color w:val="000000"/>
          <w:kern w:val="2"/>
          <w:sz w:val="28"/>
          <w:szCs w:val="28"/>
          <w:lang w:val="en-US" w:eastAsia="zh-CN" w:bidi="ar"/>
        </w:rPr>
        <w:t>宝鸡市、汉中市、渭南市、西安市、咸阳市、榆林市、洛川县、黄陵县</w:t>
      </w:r>
      <w:r>
        <w:rPr>
          <w:rFonts w:hint="eastAsia" w:ascii="仿宋" w:hAnsi="仿宋" w:eastAsia="仿宋" w:cs="仿宋"/>
          <w:sz w:val="28"/>
          <w:szCs w:val="28"/>
          <w:lang w:val="en-US" w:eastAsia="zh-CN"/>
        </w:rPr>
        <w:t>等果园箭筈豌豆覆盖情况进行调研，并建立试验示范点10个，累计推广果园箭筈豌豆技术面积80万亩，</w:t>
      </w:r>
      <w:r>
        <w:rPr>
          <w:rFonts w:hint="eastAsia" w:ascii="仿宋" w:hAnsi="仿宋" w:eastAsia="仿宋" w:cs="楷体_GB2312"/>
          <w:color w:val="000000"/>
          <w:kern w:val="2"/>
          <w:sz w:val="28"/>
          <w:szCs w:val="28"/>
          <w:lang w:val="en-US" w:eastAsia="zh-CN" w:bidi="ar"/>
        </w:rPr>
        <w:t>形成了适合陕西地区，经济性和可行性较强的</w:t>
      </w:r>
      <w:r>
        <w:rPr>
          <w:rFonts w:hint="eastAsia" w:ascii="仿宋" w:hAnsi="仿宋" w:eastAsia="仿宋" w:cs="仿宋"/>
          <w:sz w:val="28"/>
          <w:szCs w:val="28"/>
          <w:lang w:val="en-US" w:eastAsia="zh-CN"/>
        </w:rPr>
        <w:t>《果园箭筈豌豆种植技术规程（征求意见稿）》。</w:t>
      </w:r>
    </w:p>
    <w:p w14:paraId="552040AB">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（一）陕西省地方标准编制原则</w:t>
      </w:r>
    </w:p>
    <w:p w14:paraId="7734FD3E">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本标准的编制依据《中华人民共和国标准法》、《地方标准管理办法》和《地方标准制定规范》相关要求进行编制。</w:t>
      </w:r>
    </w:p>
    <w:p w14:paraId="4AF29822">
      <w:pPr>
        <w:keepNext w:val="0"/>
        <w:keepLines w:val="0"/>
        <w:pageBreakBefore w:val="0"/>
        <w:kinsoku/>
        <w:wordWrap/>
        <w:overflowPunct/>
        <w:topLinePunct w:val="0"/>
        <w:autoSpaceDE/>
        <w:autoSpaceDN/>
        <w:bidi w:val="0"/>
        <w:adjustRightInd/>
        <w:snapToGrid/>
        <w:spacing w:line="240" w:lineRule="auto"/>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（二）确定地方标准主要依据</w:t>
      </w:r>
    </w:p>
    <w:p w14:paraId="40871281">
      <w:pPr>
        <w:keepNext w:val="0"/>
        <w:keepLines w:val="0"/>
        <w:widowControl w:val="0"/>
        <w:suppressLineNumbers w:val="0"/>
        <w:spacing w:before="0" w:beforeAutospacing="0" w:after="0" w:afterAutospacing="0" w:line="560" w:lineRule="exact"/>
        <w:ind w:left="0" w:right="0" w:firstLine="560" w:firstLineChars="200"/>
        <w:jc w:val="both"/>
        <w:rPr>
          <w:rFonts w:hint="eastAsia" w:ascii="仿宋" w:hAnsi="仿宋" w:eastAsia="仿宋" w:cs="楷体_GB2312"/>
          <w:color w:val="000000"/>
          <w:sz w:val="28"/>
          <w:szCs w:val="28"/>
          <w:lang w:val="en-US"/>
        </w:rPr>
      </w:pPr>
      <w:r>
        <w:rPr>
          <w:rFonts w:hint="eastAsia" w:ascii="仿宋" w:hAnsi="仿宋" w:eastAsia="仿宋" w:cs="楷体_GB2312"/>
          <w:color w:val="000000"/>
          <w:kern w:val="2"/>
          <w:sz w:val="28"/>
          <w:szCs w:val="28"/>
          <w:lang w:val="en-US" w:eastAsia="zh-CN" w:bidi="ar"/>
        </w:rPr>
        <w:t>本标准的结构、要素、格式及描述方法参照GB/T 1.1-2020《标准化 工作导则 第 1 部分：标准化文件的结构和起草规则》。草种标准原则上符合《DB 34/142-1997 农作物种子标签》《GB 8080  绿肥种子》《GB 3543 农作物种子检验规程》；有关肥料施用应符合《HJ 555-2010 化肥使用环境安全技术导则》草种标准原则上符合《GB/T8321 农药合理使用准则》。本标准有关种植技术要求依据试验结果确定。</w:t>
      </w:r>
    </w:p>
    <w:p w14:paraId="6E17611F">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本标准是项目组经过多年的研究积累，同时参考国内相关研究进展，对前期研究结果集成而制定的陕西省果园箭筈豌豆种植技术规程的地方标准。</w:t>
      </w:r>
    </w:p>
    <w:p w14:paraId="3F92E24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1、适用范围</w:t>
      </w:r>
    </w:p>
    <w:p w14:paraId="3CC912E3">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本标准规定了果园箭筈豌豆、果园生草等技术的术语与定义、果园箭筈豌豆播种前准备、播种、田间管理和翻压等程序等的操作要求。</w:t>
      </w:r>
    </w:p>
    <w:p w14:paraId="039A2824">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本标准适用于陕西省内果园进行箭筈豌豆种植。</w:t>
      </w:r>
    </w:p>
    <w:p w14:paraId="20B9CC4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2、规范性引用文件</w:t>
      </w:r>
    </w:p>
    <w:p w14:paraId="6DB0581F">
      <w:pPr>
        <w:pStyle w:val="8"/>
        <w:ind w:firstLine="42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3791C4E">
      <w:pPr>
        <w:pStyle w:val="8"/>
        <w:ind w:left="0" w:leftChars="0" w:firstLine="560" w:firstLineChars="200"/>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GB/T 8880      绿肥种子</w:t>
      </w:r>
    </w:p>
    <w:p w14:paraId="358873C6">
      <w:pPr>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GB/T 8321.10   (所有部分） 农药合理使用准则</w:t>
      </w:r>
    </w:p>
    <w:p w14:paraId="24BD38FD">
      <w:pPr>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NY/T1276       农药安全使用规范 总则</w:t>
      </w:r>
    </w:p>
    <w:p w14:paraId="4B74CDEF">
      <w:pPr>
        <w:ind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NT/T 496       肥料合理使用准则 通则</w:t>
      </w:r>
    </w:p>
    <w:p w14:paraId="2303D72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3、术语与定义</w:t>
      </w:r>
    </w:p>
    <w:p w14:paraId="71E94A2F">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下列术语和定义适用于本文件。</w:t>
      </w:r>
    </w:p>
    <w:p w14:paraId="053A1A0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3.1</w:t>
      </w:r>
    </w:p>
    <w:p w14:paraId="03DA467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 xml:space="preserve">箭筈豌豆（ </w:t>
      </w:r>
      <w:r>
        <w:rPr>
          <w:rFonts w:hint="default" w:ascii="仿宋" w:hAnsi="仿宋" w:eastAsia="仿宋" w:cs="仿宋"/>
          <w:b/>
          <w:bCs/>
          <w:sz w:val="28"/>
          <w:szCs w:val="28"/>
          <w:lang w:val="en-US" w:eastAsia="zh-CN"/>
        </w:rPr>
        <w:t>Vicia sativa L．</w:t>
      </w:r>
      <w:r>
        <w:rPr>
          <w:rFonts w:hint="eastAsia" w:ascii="仿宋" w:hAnsi="仿宋" w:eastAsia="仿宋" w:cs="仿宋"/>
          <w:b/>
          <w:bCs/>
          <w:sz w:val="28"/>
          <w:szCs w:val="28"/>
          <w:lang w:val="en-US" w:eastAsia="zh-CN"/>
        </w:rPr>
        <w:t>）</w:t>
      </w:r>
    </w:p>
    <w:p w14:paraId="76C4D909">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箭筈豌豆，豆科野豌豆属，一年生或多年生草本植物，可作为一种优良的绿肥和牧草兼用作物。</w:t>
      </w:r>
    </w:p>
    <w:p w14:paraId="18C89D3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3.2</w:t>
      </w:r>
    </w:p>
    <w:p w14:paraId="013038C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 xml:space="preserve"> 果园生草（</w:t>
      </w:r>
      <w:r>
        <w:rPr>
          <w:rFonts w:hint="default" w:ascii="仿宋" w:hAnsi="仿宋" w:eastAsia="仿宋" w:cs="仿宋"/>
          <w:b/>
          <w:bCs/>
          <w:sz w:val="28"/>
          <w:szCs w:val="28"/>
          <w:lang w:val="en-US" w:eastAsia="zh-CN"/>
        </w:rPr>
        <w:t>Grass grows in the orchard</w:t>
      </w:r>
      <w:r>
        <w:rPr>
          <w:rFonts w:hint="eastAsia" w:ascii="仿宋" w:hAnsi="仿宋" w:eastAsia="仿宋" w:cs="仿宋"/>
          <w:b/>
          <w:bCs/>
          <w:sz w:val="28"/>
          <w:szCs w:val="28"/>
          <w:lang w:val="en-US" w:eastAsia="zh-CN"/>
        </w:rPr>
        <w:t>）</w:t>
      </w:r>
    </w:p>
    <w:p w14:paraId="1CBF7C0C">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在果树行间或全园（树盘除外）种植适合当地自然条件的耐荫性强、覆盖性能好的草种，或去除不适宜种类杂草的自然生草，作为覆盖物的一种果园土壤管理方法或制度，包括自然生草和人工生草两种方式。</w:t>
      </w:r>
      <w:bookmarkStart w:id="0" w:name="_Toc59714262"/>
    </w:p>
    <w:bookmarkEnd w:id="0"/>
    <w:p w14:paraId="1CCB6EA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4、技术要求</w:t>
      </w:r>
    </w:p>
    <w:p w14:paraId="420D08E8">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在陕西省苹果等水果主产区域，通过果园推广箭筈豌豆种植技术，可以提高土壤含水量、增加水果产量、增加土壤微生物和有机质，提升果品质量、节本增效和绿色生态发展起关键性作用。</w:t>
      </w:r>
    </w:p>
    <w:p w14:paraId="0F02E1C7">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主要技术报告</w:t>
      </w:r>
    </w:p>
    <w:p w14:paraId="7D64A572">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本标准主要技术指标来源于 2017~2023 年延安是农业科学研究院旱作农业研究所课题组在陕西省农业农村厅承担的６个项目，“国家绿肥产业技术体系延安综合试验站”、“陕西省绿肥生产利用体系”等项目，执行过程中对相关指标进行了修订和完善，并在陕西省内苹果、猕猴桃、桃、梨等进行了试验验证。试验研究了箭筈豌豆在果园种植对不同树体生长发育以及果实品质的影响，筛选出适宜旱作区果园生草模式，总结出了完整的操作方法，提出了果园箭筈豌豆种植技术标准。根据多个水果主产区的多点试验结果，结合专家提出的意见，我们采纳了相关意见建议并对相关内容进行修订。</w:t>
      </w:r>
    </w:p>
    <w:p w14:paraId="16F42420">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四、</w:t>
      </w:r>
      <w:r>
        <w:rPr>
          <w:rFonts w:hint="eastAsia" w:ascii="黑体" w:hAnsi="黑体" w:eastAsia="黑体" w:cs="黑体"/>
          <w:b/>
          <w:bCs/>
          <w:sz w:val="28"/>
          <w:szCs w:val="28"/>
          <w:lang w:val="en-US" w:eastAsia="zh-CN"/>
        </w:rPr>
        <w:fldChar w:fldCharType="begin"/>
      </w:r>
      <w:r>
        <w:rPr>
          <w:rFonts w:hint="eastAsia" w:ascii="黑体" w:hAnsi="黑体" w:eastAsia="黑体" w:cs="黑体"/>
          <w:b/>
          <w:bCs/>
          <w:sz w:val="28"/>
          <w:szCs w:val="28"/>
          <w:lang w:val="en-US" w:eastAsia="zh-CN"/>
        </w:rPr>
        <w:instrText xml:space="preserve"> HYPERLINK "https://baike.so.com/doc/6811012-7027966.html" \t "https://baike.so.com/doc/_blank" </w:instrText>
      </w:r>
      <w:r>
        <w:rPr>
          <w:rFonts w:hint="eastAsia" w:ascii="黑体" w:hAnsi="黑体" w:eastAsia="黑体" w:cs="黑体"/>
          <w:b/>
          <w:bCs/>
          <w:sz w:val="28"/>
          <w:szCs w:val="28"/>
          <w:lang w:val="en-US" w:eastAsia="zh-CN"/>
        </w:rPr>
        <w:fldChar w:fldCharType="separate"/>
      </w:r>
      <w:r>
        <w:rPr>
          <w:rFonts w:hint="eastAsia" w:ascii="黑体" w:hAnsi="黑体" w:eastAsia="黑体" w:cs="黑体"/>
          <w:b/>
          <w:bCs/>
          <w:sz w:val="28"/>
          <w:szCs w:val="28"/>
          <w:lang w:val="en-US" w:eastAsia="zh-CN"/>
        </w:rPr>
        <w:t>采用国际标准</w:t>
      </w:r>
      <w:r>
        <w:rPr>
          <w:rFonts w:hint="eastAsia" w:ascii="黑体" w:hAnsi="黑体" w:eastAsia="黑体" w:cs="黑体"/>
          <w:b/>
          <w:bCs/>
          <w:sz w:val="28"/>
          <w:szCs w:val="28"/>
          <w:lang w:val="en-US" w:eastAsia="zh-CN"/>
        </w:rPr>
        <w:fldChar w:fldCharType="end"/>
      </w:r>
      <w:r>
        <w:rPr>
          <w:rFonts w:hint="eastAsia" w:ascii="黑体" w:hAnsi="黑体" w:eastAsia="黑体" w:cs="黑体"/>
          <w:b/>
          <w:bCs/>
          <w:sz w:val="28"/>
          <w:szCs w:val="28"/>
          <w:lang w:val="en-US" w:eastAsia="zh-CN"/>
        </w:rPr>
        <w:t>和</w:t>
      </w:r>
      <w:r>
        <w:rPr>
          <w:rFonts w:hint="eastAsia" w:ascii="黑体" w:hAnsi="黑体" w:eastAsia="黑体" w:cs="黑体"/>
          <w:b/>
          <w:bCs/>
          <w:sz w:val="28"/>
          <w:szCs w:val="28"/>
          <w:lang w:val="en-US" w:eastAsia="zh-CN"/>
        </w:rPr>
        <w:fldChar w:fldCharType="begin"/>
      </w:r>
      <w:r>
        <w:rPr>
          <w:rFonts w:hint="eastAsia" w:ascii="黑体" w:hAnsi="黑体" w:eastAsia="黑体" w:cs="黑体"/>
          <w:b/>
          <w:bCs/>
          <w:sz w:val="28"/>
          <w:szCs w:val="28"/>
          <w:lang w:val="en-US" w:eastAsia="zh-CN"/>
        </w:rPr>
        <w:instrText xml:space="preserve"> HYPERLINK "https://baike.so.com/doc/1798185-1901509.html" \t "https://baike.so.com/doc/_blank" </w:instrText>
      </w:r>
      <w:r>
        <w:rPr>
          <w:rFonts w:hint="eastAsia" w:ascii="黑体" w:hAnsi="黑体" w:eastAsia="黑体" w:cs="黑体"/>
          <w:b/>
          <w:bCs/>
          <w:sz w:val="28"/>
          <w:szCs w:val="28"/>
          <w:lang w:val="en-US" w:eastAsia="zh-CN"/>
        </w:rPr>
        <w:fldChar w:fldCharType="separate"/>
      </w:r>
      <w:r>
        <w:rPr>
          <w:rFonts w:hint="eastAsia" w:ascii="黑体" w:hAnsi="黑体" w:eastAsia="黑体" w:cs="黑体"/>
          <w:b/>
          <w:bCs/>
          <w:sz w:val="28"/>
          <w:szCs w:val="28"/>
          <w:lang w:val="en-US" w:eastAsia="zh-CN"/>
        </w:rPr>
        <w:t>国外先进标准</w:t>
      </w:r>
      <w:r>
        <w:rPr>
          <w:rFonts w:hint="eastAsia" w:ascii="黑体" w:hAnsi="黑体" w:eastAsia="黑体" w:cs="黑体"/>
          <w:b/>
          <w:bCs/>
          <w:sz w:val="28"/>
          <w:szCs w:val="28"/>
          <w:lang w:val="en-US" w:eastAsia="zh-CN"/>
        </w:rPr>
        <w:fldChar w:fldCharType="end"/>
      </w:r>
      <w:r>
        <w:rPr>
          <w:rFonts w:hint="eastAsia" w:ascii="黑体" w:hAnsi="黑体" w:eastAsia="黑体" w:cs="黑体"/>
          <w:b/>
          <w:bCs/>
          <w:sz w:val="28"/>
          <w:szCs w:val="28"/>
          <w:lang w:val="en-US" w:eastAsia="zh-CN"/>
        </w:rPr>
        <w:t>的程度，以及与国际、国外同类标准水平的对比情况，或与测试的国外样品、样机的有关数据对比情况</w:t>
      </w:r>
    </w:p>
    <w:p w14:paraId="05BED923">
      <w:pPr>
        <w:keepNext w:val="0"/>
        <w:keepLines w:val="0"/>
        <w:pageBreakBefore w:val="0"/>
        <w:numPr>
          <w:ilvl w:val="0"/>
          <w:numId w:val="0"/>
        </w:numPr>
        <w:kinsoku/>
        <w:wordWrap/>
        <w:overflowPunct/>
        <w:topLinePunct w:val="0"/>
        <w:bidi w:val="0"/>
        <w:adjustRightInd/>
        <w:snapToGrid/>
        <w:spacing w:line="5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前，青海省、甘肃省、西藏等地相继出台了有关箭筈豌豆生产利用技术规程，如西藏发布的《箭筈豌豆生产技术规程》于2017年1月17日发布。由甘肃省发布的《玉米-冬小麦-箭筈豌豆轮作技术规程》于2018年4月2日发布。由青海省发布的《饲草型箭筈豌豆种子生产技术规程》于2018年12月26日发布。以上标准主要针对箭筈豌豆作为饲草及农业生产中的技术应用，尚未有关箭筈豌豆在果园中的应用技术规程，该技术规程在多年试验研究基础上，总结出了高产、高效的果园箭筈豌豆利用技术规程，对我省果园绿肥的应用和推广具有重要意义。</w:t>
      </w:r>
    </w:p>
    <w:p w14:paraId="3DE287BC">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五、知识产权说明：标准涉及的相关知识产权说明</w:t>
      </w:r>
    </w:p>
    <w:p w14:paraId="7EBCDD83">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本标准知识产权归研制单位所有，没有知识产权争议。</w:t>
      </w:r>
    </w:p>
    <w:p w14:paraId="7A0DA0D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黑体" w:hAnsi="黑体" w:eastAsia="黑体" w:cs="黑体"/>
          <w:b/>
          <w:bCs/>
          <w:sz w:val="28"/>
          <w:szCs w:val="28"/>
          <w:lang w:val="en-US" w:eastAsia="zh-CN"/>
        </w:rPr>
        <w:t>六、与有关的现行法律、法规和强制性国家标准的关系</w:t>
      </w:r>
    </w:p>
    <w:p w14:paraId="2EB975AB">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本标准符合现行法律、法规和强制性国家的标准。</w:t>
      </w:r>
    </w:p>
    <w:p w14:paraId="198A55EA">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七、重大分歧意见的处理经过和依据</w:t>
      </w:r>
    </w:p>
    <w:p w14:paraId="31178E54">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无重大分歧意见。</w:t>
      </w:r>
    </w:p>
    <w:p w14:paraId="07251F0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黑体" w:hAnsi="黑体" w:eastAsia="黑体" w:cs="黑体"/>
          <w:b/>
          <w:bCs/>
          <w:sz w:val="28"/>
          <w:szCs w:val="28"/>
          <w:lang w:val="en-US" w:eastAsia="zh-CN"/>
        </w:rPr>
        <w:t>八、国家标准作为强制性国家标准或推荐性国家标准的建议</w:t>
      </w:r>
    </w:p>
    <w:p w14:paraId="1CE33CBE">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由于本标准涉及我省果园箭筈豌豆种植标准化生产的问题，建议将本标准作为推荐性地方标准批准发布，用于指导和规范果园种植毛叶苕子多年利用生产和管理工作。</w:t>
      </w:r>
    </w:p>
    <w:p w14:paraId="14CA8904">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九、贯彻国家标准的要求和措施建议</w:t>
      </w:r>
    </w:p>
    <w:p w14:paraId="7C570003">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规程发布后，实施前应将信息在媒体上宣传，尤其在果园生草生产示范园区，更要加大宣传力度。本标准实施的过度期宜定为2年，建议延安市市场监督管理局加强对强制性指标的监测监督。</w:t>
      </w:r>
    </w:p>
    <w:p w14:paraId="6B2E66B8">
      <w:pPr>
        <w:keepNext w:val="0"/>
        <w:keepLines w:val="0"/>
        <w:pageBreakBefore w:val="0"/>
        <w:numPr>
          <w:ilvl w:val="0"/>
          <w:numId w:val="0"/>
        </w:numPr>
        <w:kinsoku/>
        <w:wordWrap/>
        <w:overflowPunct/>
        <w:topLinePunct w:val="0"/>
        <w:bidi w:val="0"/>
        <w:adjustRightInd/>
        <w:snapToGrid/>
        <w:spacing w:line="560" w:lineRule="exact"/>
        <w:jc w:val="both"/>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十、其他应予说明的事项</w:t>
      </w:r>
    </w:p>
    <w:p w14:paraId="12AF25FA">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没有其他需要说明的事项。</w:t>
      </w:r>
    </w:p>
    <w:p w14:paraId="1574FBA6">
      <w:pPr>
        <w:keepNext w:val="0"/>
        <w:keepLines w:val="0"/>
        <w:pageBreakBefore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0A13F0"/>
    <w:multiLevelType w:val="singleLevel"/>
    <w:tmpl w:val="820A13F0"/>
    <w:lvl w:ilvl="0" w:tentative="0">
      <w:start w:val="1"/>
      <w:numFmt w:val="decimal"/>
      <w:suff w:val="space"/>
      <w:lvlText w:val="%1."/>
      <w:lvlJc w:val="left"/>
    </w:lvl>
  </w:abstractNum>
  <w:abstractNum w:abstractNumId="1">
    <w:nsid w:val="51116A05"/>
    <w:multiLevelType w:val="singleLevel"/>
    <w:tmpl w:val="51116A05"/>
    <w:lvl w:ilvl="0" w:tentative="0">
      <w:start w:val="1"/>
      <w:numFmt w:val="chineseCounting"/>
      <w:suff w:val="nothing"/>
      <w:lvlText w:val="%1、"/>
      <w:lvlJc w:val="left"/>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
      <w:suff w:val="nothing"/>
      <w:lvlText w:val="%1%2　"/>
      <w:lvlJc w:val="left"/>
      <w:pPr>
        <w:ind w:left="0" w:firstLine="0"/>
      </w:pPr>
      <w:rPr>
        <w:rFonts w:hint="eastAsia" w:ascii="黑体" w:eastAsia="黑体"/>
        <w:b w:val="0"/>
        <w:i w:val="0"/>
        <w:sz w:val="21"/>
      </w:rPr>
    </w:lvl>
    <w:lvl w:ilvl="2" w:tentative="0">
      <w:start w:val="1"/>
      <w:numFmt w:val="decimal"/>
      <w:pStyle w:val="10"/>
      <w:suff w:val="nothing"/>
      <w:lvlText w:val="%1%2.%3　"/>
      <w:lvlJc w:val="left"/>
      <w:pPr>
        <w:ind w:left="56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2"/>
      <w:suff w:val="nothing"/>
      <w:lvlText w:val="%1%2.%3.%4　"/>
      <w:lvlJc w:val="left"/>
      <w:pPr>
        <w:ind w:left="2127"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jNDI0ZmY2ZTgxMTJhMWY5MjI1ODhjZTZiYzcyOTMifQ=="/>
  </w:docVars>
  <w:rsids>
    <w:rsidRoot w:val="0A8051C8"/>
    <w:rsid w:val="02EA7AD6"/>
    <w:rsid w:val="0A8051C8"/>
    <w:rsid w:val="137A7C32"/>
    <w:rsid w:val="14406463"/>
    <w:rsid w:val="18300B23"/>
    <w:rsid w:val="1E8F7C25"/>
    <w:rsid w:val="213C22E6"/>
    <w:rsid w:val="268838D8"/>
    <w:rsid w:val="26A61FB0"/>
    <w:rsid w:val="26C74FDC"/>
    <w:rsid w:val="278E4F1E"/>
    <w:rsid w:val="28AD1D1C"/>
    <w:rsid w:val="2B41325A"/>
    <w:rsid w:val="2B4A17DD"/>
    <w:rsid w:val="326D5808"/>
    <w:rsid w:val="33D606B2"/>
    <w:rsid w:val="3442156A"/>
    <w:rsid w:val="378A184E"/>
    <w:rsid w:val="3D9A2417"/>
    <w:rsid w:val="42E3216A"/>
    <w:rsid w:val="44662F79"/>
    <w:rsid w:val="493A68E9"/>
    <w:rsid w:val="4C0E006F"/>
    <w:rsid w:val="4F5F701C"/>
    <w:rsid w:val="50F601FD"/>
    <w:rsid w:val="613A49BD"/>
    <w:rsid w:val="61565D36"/>
    <w:rsid w:val="61932B55"/>
    <w:rsid w:val="63730E90"/>
    <w:rsid w:val="67334441"/>
    <w:rsid w:val="67530DBD"/>
    <w:rsid w:val="68FB19A9"/>
    <w:rsid w:val="6A100511"/>
    <w:rsid w:val="6C105879"/>
    <w:rsid w:val="6C2641E5"/>
    <w:rsid w:val="726F4F19"/>
    <w:rsid w:val="75461F61"/>
    <w:rsid w:val="762F1370"/>
    <w:rsid w:val="776E39F1"/>
    <w:rsid w:val="78967E7E"/>
    <w:rsid w:val="79646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 w:type="paragraph" w:customStyle="1" w:styleId="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
    <w:name w:val="标准文件_章标题"/>
    <w:next w:val="8"/>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10">
    <w:name w:val="标准文件_一级条标题"/>
    <w:basedOn w:val="9"/>
    <w:next w:val="8"/>
    <w:qFormat/>
    <w:uiPriority w:val="0"/>
    <w:pPr>
      <w:numPr>
        <w:ilvl w:val="2"/>
      </w:numPr>
      <w:spacing w:beforeLines="50" w:afterLines="50"/>
      <w:outlineLvl w:val="1"/>
    </w:pPr>
  </w:style>
  <w:style w:type="paragraph" w:customStyle="1" w:styleId="11">
    <w:name w:val="标准文件_二级无标题"/>
    <w:basedOn w:val="12"/>
    <w:qFormat/>
    <w:uiPriority w:val="0"/>
    <w:pPr>
      <w:spacing w:beforeLines="0" w:afterLines="0"/>
      <w:ind w:left="1843"/>
      <w:outlineLvl w:val="9"/>
    </w:pPr>
    <w:rPr>
      <w:rFonts w:ascii="宋体" w:eastAsia="宋体"/>
    </w:rPr>
  </w:style>
  <w:style w:type="paragraph" w:customStyle="1" w:styleId="12">
    <w:name w:val="标准文件_二级条标题"/>
    <w:next w:val="8"/>
    <w:qFormat/>
    <w:uiPriority w:val="0"/>
    <w:pPr>
      <w:widowControl w:val="0"/>
      <w:numPr>
        <w:ilvl w:val="3"/>
        <w:numId w:val="1"/>
      </w:numPr>
      <w:spacing w:beforeLines="50" w:afterLines="50"/>
      <w:ind w:left="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3040</Words>
  <Characters>3215</Characters>
  <Lines>0</Lines>
  <Paragraphs>0</Paragraphs>
  <TotalTime>4</TotalTime>
  <ScaleCrop>false</ScaleCrop>
  <LinksUpToDate>false</LinksUpToDate>
  <CharactersWithSpaces>3294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2024-05-27T00:58:00Z</dcterms:created>
  <dc:creator>红桃 A</dc:creator>
  <cp:lastModifiedBy>Administrator</cp:lastModifiedBy>
  <cp:lastPrinted>2024-09-20T09:31:51Z</cp:lastPrinted>
  <dcterms:modified xsi:type="dcterms:W3CDTF">2024-09-20T09:33:37Z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E0467FB941BD421FB86C0BECA7AE6E74_13</vt:lpwstr>
  </property>
</Properties>
</file>