
<file path=[Content_Types].xml><?xml version="1.0" encoding="utf-8"?>
<Types xmlns="http://schemas.openxmlformats.org/package/2006/content-types">
  <Default Extension="jpeg" ContentType="image/jpeg"/>
  <Default Extension="JPG" ContentType="image/.jpg"/>
  <Default Extension="png" ContentType="image/pn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F6AC621">
      <w:pPr>
        <w:spacing w:line="360" w:lineRule="auto"/>
        <w:jc w:val="center"/>
        <w:rPr>
          <w:rFonts w:ascii="华文宋体" w:hAnsi="华文宋体" w:eastAsia="华文宋体" w:cstheme="majorEastAsia"/>
          <w:b/>
          <w:bCs/>
          <w:color w:val="000000" w:themeColor="text1"/>
          <w:sz w:val="36"/>
          <w:szCs w:val="36"/>
          <w14:textFill>
            <w14:solidFill>
              <w14:schemeClr w14:val="tx1"/>
            </w14:solidFill>
          </w14:textFill>
        </w:rPr>
      </w:pPr>
      <w:bookmarkStart w:id="0" w:name="_Hlk145596538"/>
      <w:bookmarkEnd w:id="0"/>
      <w:r>
        <w:rPr>
          <w:rFonts w:hint="eastAsia" w:ascii="华文宋体" w:hAnsi="华文宋体" w:eastAsia="华文宋体" w:cstheme="majorEastAsia"/>
          <w:b/>
          <w:bCs/>
          <w:color w:val="000000" w:themeColor="text1"/>
          <w:sz w:val="36"/>
          <w:szCs w:val="36"/>
          <w14:textFill>
            <w14:solidFill>
              <w14:schemeClr w14:val="tx1"/>
            </w14:solidFill>
          </w14:textFill>
        </w:rPr>
        <w:t>陕 西 省 地 方 标 准</w:t>
      </w:r>
    </w:p>
    <w:p w14:paraId="5F5E5A96">
      <w:pPr>
        <w:spacing w:line="360" w:lineRule="auto"/>
        <w:jc w:val="center"/>
        <w:rPr>
          <w:rFonts w:ascii="华文宋体" w:hAnsi="华文宋体" w:eastAsia="华文宋体" w:cstheme="majorEastAsia"/>
          <w:b/>
          <w:bCs/>
          <w:color w:val="000000" w:themeColor="text1"/>
          <w:spacing w:val="0"/>
          <w:sz w:val="32"/>
          <w:szCs w:val="32"/>
          <w14:textFill>
            <w14:solidFill>
              <w14:schemeClr w14:val="tx1"/>
            </w14:solidFill>
          </w14:textFill>
        </w:rPr>
      </w:pPr>
      <w:r>
        <w:rPr>
          <w:rFonts w:ascii="华文宋体" w:hAnsi="华文宋体" w:eastAsia="华文宋体" w:cstheme="majorEastAsia"/>
          <w:b/>
          <w:bCs/>
          <w:color w:val="000000" w:themeColor="text1"/>
          <w:spacing w:val="0"/>
          <w:sz w:val="32"/>
          <w:szCs w:val="32"/>
          <w14:textFill>
            <w14:solidFill>
              <w14:schemeClr w14:val="tx1"/>
            </w14:solidFill>
          </w14:textFill>
        </w:rPr>
        <w:t>《</w:t>
      </w:r>
      <w:r>
        <w:rPr>
          <w:rFonts w:hint="eastAsia" w:ascii="华文宋体" w:hAnsi="华文宋体" w:eastAsia="华文宋体" w:cstheme="majorEastAsia"/>
          <w:b/>
          <w:bCs/>
          <w:color w:val="000000" w:themeColor="text1"/>
          <w:spacing w:val="0"/>
          <w:sz w:val="32"/>
          <w:szCs w:val="32"/>
          <w14:textFill>
            <w14:solidFill>
              <w14:schemeClr w14:val="tx1"/>
            </w14:solidFill>
          </w14:textFill>
        </w:rPr>
        <w:t>低渗透油藏内源微生物激活驱油技术规范</w:t>
      </w:r>
      <w:r>
        <w:rPr>
          <w:rFonts w:ascii="华文宋体" w:hAnsi="华文宋体" w:eastAsia="华文宋体" w:cstheme="majorEastAsia"/>
          <w:b/>
          <w:bCs/>
          <w:color w:val="000000" w:themeColor="text1"/>
          <w:spacing w:val="0"/>
          <w:sz w:val="32"/>
          <w:szCs w:val="32"/>
          <w14:textFill>
            <w14:solidFill>
              <w14:schemeClr w14:val="tx1"/>
            </w14:solidFill>
          </w14:textFill>
        </w:rPr>
        <w:t>》</w:t>
      </w:r>
    </w:p>
    <w:p w14:paraId="6C5A3305">
      <w:pPr>
        <w:jc w:val="center"/>
        <w:rPr>
          <w:rFonts w:ascii="华文宋体" w:hAnsi="华文宋体" w:eastAsia="华文宋体" w:cstheme="majorEastAsia"/>
          <w:b/>
          <w:bCs/>
          <w:color w:val="000000" w:themeColor="text1"/>
          <w:sz w:val="36"/>
          <w:szCs w:val="36"/>
          <w14:textFill>
            <w14:solidFill>
              <w14:schemeClr w14:val="tx1"/>
            </w14:solidFill>
          </w14:textFill>
        </w:rPr>
      </w:pPr>
      <w:r>
        <w:rPr>
          <w:rFonts w:ascii="华文宋体" w:hAnsi="华文宋体" w:eastAsia="华文宋体" w:cstheme="majorEastAsia"/>
          <w:b/>
          <w:bCs/>
          <w:color w:val="000000" w:themeColor="text1"/>
          <w:sz w:val="36"/>
          <w:szCs w:val="36"/>
          <w14:textFill>
            <w14:solidFill>
              <w14:schemeClr w14:val="tx1"/>
            </w14:solidFill>
          </w14:textFill>
        </w:rPr>
        <w:t>编</w:t>
      </w:r>
      <w:r>
        <w:rPr>
          <w:rFonts w:hint="eastAsia" w:ascii="华文宋体" w:hAnsi="华文宋体" w:eastAsia="华文宋体" w:cstheme="majorEastAsia"/>
          <w:b/>
          <w:bCs/>
          <w:color w:val="000000" w:themeColor="text1"/>
          <w:sz w:val="36"/>
          <w:szCs w:val="36"/>
          <w14:textFill>
            <w14:solidFill>
              <w14:schemeClr w14:val="tx1"/>
            </w14:solidFill>
          </w14:textFill>
        </w:rPr>
        <w:t xml:space="preserve"> </w:t>
      </w:r>
      <w:r>
        <w:rPr>
          <w:rFonts w:ascii="华文宋体" w:hAnsi="华文宋体" w:eastAsia="华文宋体" w:cstheme="majorEastAsia"/>
          <w:b/>
          <w:bCs/>
          <w:color w:val="000000" w:themeColor="text1"/>
          <w:sz w:val="36"/>
          <w:szCs w:val="36"/>
          <w14:textFill>
            <w14:solidFill>
              <w14:schemeClr w14:val="tx1"/>
            </w14:solidFill>
          </w14:textFill>
        </w:rPr>
        <w:t>制</w:t>
      </w:r>
      <w:r>
        <w:rPr>
          <w:rFonts w:hint="eastAsia" w:ascii="华文宋体" w:hAnsi="华文宋体" w:eastAsia="华文宋体" w:cstheme="majorEastAsia"/>
          <w:b/>
          <w:bCs/>
          <w:color w:val="000000" w:themeColor="text1"/>
          <w:sz w:val="36"/>
          <w:szCs w:val="36"/>
          <w14:textFill>
            <w14:solidFill>
              <w14:schemeClr w14:val="tx1"/>
            </w14:solidFill>
          </w14:textFill>
        </w:rPr>
        <w:t xml:space="preserve"> </w:t>
      </w:r>
      <w:r>
        <w:rPr>
          <w:rFonts w:ascii="华文宋体" w:hAnsi="华文宋体" w:eastAsia="华文宋体" w:cstheme="majorEastAsia"/>
          <w:b/>
          <w:bCs/>
          <w:color w:val="000000" w:themeColor="text1"/>
          <w:sz w:val="36"/>
          <w:szCs w:val="36"/>
          <w14:textFill>
            <w14:solidFill>
              <w14:schemeClr w14:val="tx1"/>
            </w14:solidFill>
          </w14:textFill>
        </w:rPr>
        <w:t>说</w:t>
      </w:r>
      <w:r>
        <w:rPr>
          <w:rFonts w:hint="eastAsia" w:ascii="华文宋体" w:hAnsi="华文宋体" w:eastAsia="华文宋体" w:cstheme="majorEastAsia"/>
          <w:b/>
          <w:bCs/>
          <w:color w:val="000000" w:themeColor="text1"/>
          <w:sz w:val="36"/>
          <w:szCs w:val="36"/>
          <w14:textFill>
            <w14:solidFill>
              <w14:schemeClr w14:val="tx1"/>
            </w14:solidFill>
          </w14:textFill>
        </w:rPr>
        <w:t xml:space="preserve"> </w:t>
      </w:r>
      <w:r>
        <w:rPr>
          <w:rFonts w:ascii="华文宋体" w:hAnsi="华文宋体" w:eastAsia="华文宋体" w:cstheme="majorEastAsia"/>
          <w:b/>
          <w:bCs/>
          <w:color w:val="000000" w:themeColor="text1"/>
          <w:sz w:val="36"/>
          <w:szCs w:val="36"/>
          <w14:textFill>
            <w14:solidFill>
              <w14:schemeClr w14:val="tx1"/>
            </w14:solidFill>
          </w14:textFill>
        </w:rPr>
        <w:t>明</w:t>
      </w:r>
      <w:bookmarkStart w:id="2" w:name="_GoBack"/>
      <w:bookmarkEnd w:id="2"/>
    </w:p>
    <w:p w14:paraId="234498C7">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一、工作概况</w:t>
      </w:r>
    </w:p>
    <w:p w14:paraId="26FB99F9">
      <w:pPr>
        <w:spacing w:before="78" w:beforeLines="25" w:after="78" w:afterLines="25" w:line="500" w:lineRule="exact"/>
        <w:ind w:firstLine="480" w:firstLineChars="200"/>
        <w:rPr>
          <w:rFonts w:eastAsia="楷体"/>
          <w:b/>
          <w:bCs/>
          <w:sz w:val="24"/>
        </w:rPr>
      </w:pPr>
      <w:r>
        <w:rPr>
          <w:rFonts w:eastAsia="楷体"/>
          <w:sz w:val="24"/>
        </w:rPr>
        <w:t>陕西省北部区域资源丰富，拥有超过50亿吨的石油地质储量，年产原油两千万吨以上。由于油层地质条件较差，油田所处地区水资源匮乏，生态环境脆弱，油田的高效开发与生态环境协调可持续发展的矛盾较为突出，现有常规技术高效开采难度大，资源动用程度低。如何进一步提高采收率，实现高效绿色开发是本区域油田面临的重大技术难题。激活油藏内源微生物驱油技术向油藏注入</w:t>
      </w:r>
      <w:r>
        <w:rPr>
          <w:rFonts w:eastAsia="楷体"/>
          <w:b/>
          <w:bCs/>
          <w:sz w:val="24"/>
        </w:rPr>
        <w:t>以</w:t>
      </w:r>
      <w:r>
        <w:rPr>
          <w:rFonts w:hint="eastAsia" w:eastAsia="楷体"/>
          <w:b/>
          <w:bCs/>
          <w:sz w:val="24"/>
        </w:rPr>
        <w:t>食品制造业残渣等</w:t>
      </w:r>
      <w:r>
        <w:rPr>
          <w:rFonts w:eastAsia="楷体"/>
          <w:b/>
          <w:bCs/>
          <w:sz w:val="24"/>
        </w:rPr>
        <w:t>为主要来源的内源微生物激活剂，</w:t>
      </w:r>
      <w:r>
        <w:rPr>
          <w:rFonts w:eastAsia="楷体"/>
          <w:sz w:val="24"/>
        </w:rPr>
        <w:t>靶向激活油藏驱油功能菌群，利用其生长代谢产生表面活性剂、</w:t>
      </w:r>
      <w:r>
        <w:rPr>
          <w:rFonts w:hint="eastAsia" w:eastAsia="楷体"/>
          <w:sz w:val="24"/>
        </w:rPr>
        <w:t>乳化剂、</w:t>
      </w:r>
      <w:r>
        <w:rPr>
          <w:rFonts w:eastAsia="楷体"/>
          <w:sz w:val="24"/>
        </w:rPr>
        <w:t>生物气和小分子有机酸等，改善油藏驱油环境</w:t>
      </w:r>
      <w:r>
        <w:rPr>
          <w:rFonts w:hint="eastAsia" w:eastAsia="楷体"/>
          <w:sz w:val="24"/>
        </w:rPr>
        <w:t>的同时</w:t>
      </w:r>
      <w:r>
        <w:rPr>
          <w:rFonts w:eastAsia="楷体"/>
          <w:sz w:val="24"/>
        </w:rPr>
        <w:t>大幅度提高原油采收率。该技术利用油藏自身微生物资源，油藏适应性强，作用时间长，驱油效果好；工序简单，成本低；激活剂及微生物产物均可生物降解，不损害地层，</w:t>
      </w:r>
      <w:r>
        <w:rPr>
          <w:rFonts w:hint="eastAsia" w:eastAsia="楷体"/>
          <w:sz w:val="24"/>
        </w:rPr>
        <w:t>温和</w:t>
      </w:r>
      <w:r>
        <w:rPr>
          <w:rFonts w:eastAsia="楷体"/>
          <w:sz w:val="24"/>
        </w:rPr>
        <w:t>无环境污染等优势</w:t>
      </w:r>
      <w:r>
        <w:rPr>
          <w:rFonts w:hint="eastAsia" w:eastAsia="楷体"/>
          <w:sz w:val="24"/>
        </w:rPr>
        <w:t>，</w:t>
      </w:r>
      <w:r>
        <w:rPr>
          <w:rFonts w:hint="eastAsia" w:eastAsia="楷体"/>
          <w:b/>
          <w:bCs/>
          <w:sz w:val="24"/>
        </w:rPr>
        <w:t>属于绿色低碳提高采收率技术范畴</w:t>
      </w:r>
      <w:r>
        <w:rPr>
          <w:rFonts w:eastAsia="楷体"/>
          <w:b/>
          <w:bCs/>
          <w:sz w:val="24"/>
        </w:rPr>
        <w:t>。</w:t>
      </w:r>
    </w:p>
    <w:p w14:paraId="2327D7A1">
      <w:pPr>
        <w:spacing w:before="78" w:beforeLines="25" w:after="78" w:afterLines="25" w:line="500" w:lineRule="exact"/>
        <w:ind w:firstLine="480" w:firstLineChars="200"/>
        <w:rPr>
          <w:rFonts w:eastAsia="楷体"/>
          <w:sz w:val="24"/>
        </w:rPr>
      </w:pPr>
      <w:r>
        <w:rPr>
          <w:rFonts w:eastAsia="楷体"/>
          <w:sz w:val="24"/>
        </w:rPr>
        <w:t>国内针对油藏内源微生物驱油技术的研发和矿场应用投入不断加大</w:t>
      </w:r>
      <w:r>
        <w:rPr>
          <w:rFonts w:hint="eastAsia" w:eastAsia="楷体"/>
          <w:sz w:val="24"/>
        </w:rPr>
        <w:t>。</w:t>
      </w:r>
      <w:r>
        <w:rPr>
          <w:rFonts w:eastAsia="楷体"/>
          <w:sz w:val="24"/>
        </w:rPr>
        <w:t>目前利用本项技术提高原油采收率的企业有延长油田、长庆油田、胜利油田、吉林油田、大庆油田、新疆油田</w:t>
      </w:r>
      <w:r>
        <w:rPr>
          <w:rFonts w:hint="eastAsia" w:eastAsia="楷体"/>
          <w:sz w:val="24"/>
        </w:rPr>
        <w:t>、大港油田、渤海油田</w:t>
      </w:r>
      <w:r>
        <w:rPr>
          <w:rFonts w:eastAsia="楷体"/>
          <w:sz w:val="24"/>
        </w:rPr>
        <w:t>等。陕西省内分布长庆和延长两大油田，其所处的鄂尔多斯盆地低渗</w:t>
      </w:r>
      <w:r>
        <w:rPr>
          <w:rFonts w:hint="eastAsia" w:eastAsia="楷体"/>
          <w:sz w:val="24"/>
        </w:rPr>
        <w:t>/</w:t>
      </w:r>
      <w:r>
        <w:rPr>
          <w:rFonts w:eastAsia="楷体"/>
          <w:sz w:val="24"/>
        </w:rPr>
        <w:t>特低渗透油藏地质储量丰富，油藏内源微生物资源丰富，开发潜力巨大。延长石油自2016年开展低渗透油藏内源微生物驱油技术以来，先后在杏子</w:t>
      </w:r>
      <w:r>
        <w:rPr>
          <w:rFonts w:hint="eastAsia" w:eastAsia="楷体"/>
          <w:sz w:val="24"/>
        </w:rPr>
        <w:t>川、</w:t>
      </w:r>
      <w:r>
        <w:rPr>
          <w:rFonts w:eastAsia="楷体"/>
          <w:sz w:val="24"/>
        </w:rPr>
        <w:t>吴起、子长开展矿场应用，并在杏子川建立内源微生物驱示范区</w:t>
      </w:r>
      <w:r>
        <w:rPr>
          <w:rFonts w:hint="eastAsia" w:eastAsia="楷体"/>
          <w:sz w:val="24"/>
        </w:rPr>
        <w:t>，取得了可观的经济效益，并将开展“内源微生物驱油试验田”的进一步扩大化工业应用。</w:t>
      </w:r>
      <w:r>
        <w:rPr>
          <w:rFonts w:eastAsia="楷体"/>
          <w:sz w:val="24"/>
        </w:rPr>
        <w:t>长庆油田在王窑、</w:t>
      </w:r>
      <w:r>
        <w:rPr>
          <w:rFonts w:hint="eastAsia" w:eastAsia="楷体"/>
          <w:sz w:val="24"/>
        </w:rPr>
        <w:t>靖安、</w:t>
      </w:r>
      <w:r>
        <w:rPr>
          <w:rFonts w:eastAsia="楷体"/>
          <w:sz w:val="24"/>
        </w:rPr>
        <w:t>胡尖山等</w:t>
      </w:r>
      <w:r>
        <w:rPr>
          <w:rFonts w:hint="eastAsia" w:eastAsia="楷体"/>
          <w:sz w:val="24"/>
        </w:rPr>
        <w:t>油田</w:t>
      </w:r>
      <w:r>
        <w:rPr>
          <w:rFonts w:eastAsia="楷体"/>
          <w:sz w:val="24"/>
        </w:rPr>
        <w:t>陆续开展该技术矿场应用。内源微生物驱油技术将油藏自身生物资源与油田开发相结合，应用前景广阔，</w:t>
      </w:r>
      <w:r>
        <w:rPr>
          <w:rFonts w:eastAsia="楷体"/>
          <w:b/>
          <w:bCs/>
          <w:sz w:val="24"/>
        </w:rPr>
        <w:t>已成为各大油田提高原油采收率技术的主力军</w:t>
      </w:r>
      <w:r>
        <w:rPr>
          <w:rFonts w:eastAsia="楷体"/>
          <w:sz w:val="24"/>
        </w:rPr>
        <w:t>。</w:t>
      </w:r>
    </w:p>
    <w:p w14:paraId="4A87F362">
      <w:pPr>
        <w:spacing w:before="78" w:beforeLines="25" w:after="78" w:afterLines="25" w:line="500" w:lineRule="exact"/>
        <w:ind w:firstLine="480" w:firstLineChars="200"/>
        <w:rPr>
          <w:rFonts w:eastAsia="楷体"/>
          <w:b/>
          <w:bCs/>
          <w:sz w:val="24"/>
        </w:rPr>
      </w:pPr>
      <w:r>
        <w:rPr>
          <w:rFonts w:eastAsia="楷体"/>
          <w:sz w:val="24"/>
        </w:rPr>
        <w:t>油藏内源微生物驱油技术关键在于针对油藏</w:t>
      </w:r>
      <w:r>
        <w:rPr>
          <w:rFonts w:hint="eastAsia" w:eastAsia="楷体"/>
          <w:sz w:val="24"/>
        </w:rPr>
        <w:t>物性和流体特点</w:t>
      </w:r>
      <w:r>
        <w:rPr>
          <w:rFonts w:eastAsia="楷体"/>
          <w:sz w:val="24"/>
        </w:rPr>
        <w:t>，筛选优化激活剂</w:t>
      </w:r>
      <w:r>
        <w:rPr>
          <w:rFonts w:hint="eastAsia" w:eastAsia="楷体"/>
          <w:sz w:val="24"/>
        </w:rPr>
        <w:t>对油藏核心驱油功能菌群进行</w:t>
      </w:r>
      <w:r>
        <w:rPr>
          <w:rFonts w:eastAsia="楷体"/>
          <w:sz w:val="24"/>
        </w:rPr>
        <w:t>靶向激活，使其尽可能多的产生驱油物质，改善油藏驱油环境。</w:t>
      </w:r>
      <w:r>
        <w:rPr>
          <w:rFonts w:hint="eastAsia" w:eastAsia="楷体"/>
          <w:sz w:val="24"/>
        </w:rPr>
        <w:t>此外，</w:t>
      </w:r>
      <w:r>
        <w:rPr>
          <w:rFonts w:eastAsia="楷体"/>
          <w:sz w:val="24"/>
        </w:rPr>
        <w:t>油藏中绝大部分进行厌氧微生物代谢，且</w:t>
      </w:r>
      <w:r>
        <w:rPr>
          <w:rFonts w:hint="eastAsia" w:eastAsia="楷体"/>
          <w:sz w:val="24"/>
        </w:rPr>
        <w:t>该</w:t>
      </w:r>
      <w:r>
        <w:rPr>
          <w:rFonts w:eastAsia="楷体"/>
          <w:sz w:val="24"/>
        </w:rPr>
        <w:t>代谢</w:t>
      </w:r>
      <w:r>
        <w:rPr>
          <w:rFonts w:hint="eastAsia" w:eastAsia="楷体"/>
          <w:sz w:val="24"/>
        </w:rPr>
        <w:t>过程</w:t>
      </w:r>
      <w:r>
        <w:rPr>
          <w:rFonts w:eastAsia="楷体"/>
          <w:sz w:val="24"/>
        </w:rPr>
        <w:t>集中在油藏中后部剩余油富集区域</w:t>
      </w:r>
      <w:r>
        <w:rPr>
          <w:rFonts w:hint="eastAsia" w:eastAsia="楷体"/>
          <w:sz w:val="24"/>
        </w:rPr>
        <w:t>。</w:t>
      </w:r>
      <w:r>
        <w:rPr>
          <w:rFonts w:eastAsia="楷体"/>
          <w:sz w:val="24"/>
        </w:rPr>
        <w:t>如何</w:t>
      </w:r>
      <w:r>
        <w:rPr>
          <w:rFonts w:hint="eastAsia" w:eastAsia="楷体"/>
          <w:sz w:val="24"/>
        </w:rPr>
        <w:t>靶向</w:t>
      </w:r>
      <w:r>
        <w:rPr>
          <w:rFonts w:eastAsia="楷体"/>
          <w:sz w:val="24"/>
        </w:rPr>
        <w:t>激活厌氧微生物代谢在微生物采油过程中的驱油作用</w:t>
      </w:r>
      <w:r>
        <w:rPr>
          <w:rFonts w:hint="eastAsia" w:eastAsia="楷体"/>
          <w:sz w:val="24"/>
        </w:rPr>
        <w:t>亦是</w:t>
      </w:r>
      <w:r>
        <w:rPr>
          <w:rFonts w:eastAsia="楷体"/>
          <w:sz w:val="24"/>
        </w:rPr>
        <w:t>技术关键</w:t>
      </w:r>
      <w:r>
        <w:rPr>
          <w:rFonts w:hint="eastAsia" w:eastAsia="楷体"/>
          <w:sz w:val="24"/>
        </w:rPr>
        <w:t>点。</w:t>
      </w:r>
      <w:r>
        <w:rPr>
          <w:rFonts w:eastAsia="楷体"/>
          <w:sz w:val="24"/>
        </w:rPr>
        <w:t>尤其是针对陕西所处鄂尔多斯盆地低渗透油藏</w:t>
      </w:r>
      <w:r>
        <w:rPr>
          <w:rFonts w:hint="eastAsia" w:eastAsia="楷体"/>
          <w:sz w:val="24"/>
        </w:rPr>
        <w:t>特征，提高原油采收率的关键机理为</w:t>
      </w:r>
      <w:r>
        <w:rPr>
          <w:rFonts w:eastAsia="楷体"/>
          <w:sz w:val="24"/>
        </w:rPr>
        <w:t>乳化原油、</w:t>
      </w:r>
      <w:r>
        <w:rPr>
          <w:rFonts w:hint="eastAsia" w:eastAsia="楷体"/>
          <w:sz w:val="24"/>
        </w:rPr>
        <w:t>提高原油流动性，</w:t>
      </w:r>
      <w:r>
        <w:rPr>
          <w:rFonts w:eastAsia="楷体"/>
          <w:sz w:val="24"/>
        </w:rPr>
        <w:t>补充地层能量</w:t>
      </w:r>
      <w:r>
        <w:rPr>
          <w:rFonts w:hint="eastAsia" w:eastAsia="楷体"/>
          <w:sz w:val="24"/>
        </w:rPr>
        <w:t>等。</w:t>
      </w:r>
      <w:r>
        <w:rPr>
          <w:rFonts w:eastAsia="楷体"/>
          <w:sz w:val="24"/>
        </w:rPr>
        <w:t>靶向激活</w:t>
      </w:r>
      <w:r>
        <w:rPr>
          <w:rFonts w:hint="eastAsia" w:eastAsia="楷体"/>
          <w:sz w:val="24"/>
        </w:rPr>
        <w:t>该区油藏内源</w:t>
      </w:r>
      <w:r>
        <w:rPr>
          <w:rFonts w:eastAsia="楷体"/>
          <w:sz w:val="24"/>
        </w:rPr>
        <w:t>烃氧化菌和甲烷产生菌加大表面活性剂</w:t>
      </w:r>
      <w:r>
        <w:rPr>
          <w:rFonts w:hint="eastAsia" w:eastAsia="楷体"/>
          <w:sz w:val="24"/>
        </w:rPr>
        <w:t>、小分子酸</w:t>
      </w:r>
      <w:r>
        <w:rPr>
          <w:rFonts w:eastAsia="楷体"/>
          <w:sz w:val="24"/>
        </w:rPr>
        <w:t>和生物气产生量，在此基础上，通过厌氧代谢调控厌氧乳化菌进一步乳化原油，</w:t>
      </w:r>
      <w:r>
        <w:rPr>
          <w:rFonts w:eastAsia="楷体"/>
          <w:b/>
          <w:bCs/>
          <w:sz w:val="24"/>
        </w:rPr>
        <w:t>符合该区驱油技术要求。</w:t>
      </w:r>
    </w:p>
    <w:p w14:paraId="09455659">
      <w:pPr>
        <w:spacing w:before="78" w:beforeLines="25" w:after="78" w:afterLines="25" w:line="500" w:lineRule="exact"/>
        <w:ind w:firstLine="480" w:firstLineChars="200"/>
        <w:rPr>
          <w:rFonts w:eastAsia="楷体"/>
          <w:sz w:val="24"/>
        </w:rPr>
      </w:pPr>
      <w:r>
        <w:rPr>
          <w:rFonts w:hint="eastAsia" w:eastAsia="楷体"/>
          <w:sz w:val="24"/>
        </w:rPr>
        <w:t>内源微生物驱油</w:t>
      </w:r>
      <w:r>
        <w:rPr>
          <w:rFonts w:eastAsia="楷体"/>
          <w:sz w:val="24"/>
        </w:rPr>
        <w:t>是一项</w:t>
      </w:r>
      <w:r>
        <w:rPr>
          <w:rFonts w:hint="eastAsia" w:eastAsia="楷体"/>
          <w:b/>
          <w:bCs/>
          <w:sz w:val="24"/>
        </w:rPr>
        <w:t>技术密集型提高采收率技术</w:t>
      </w:r>
      <w:r>
        <w:rPr>
          <w:rFonts w:eastAsia="楷体"/>
          <w:sz w:val="24"/>
        </w:rPr>
        <w:t>，</w:t>
      </w:r>
      <w:r>
        <w:rPr>
          <w:rFonts w:hint="eastAsia" w:eastAsia="楷体"/>
          <w:sz w:val="24"/>
        </w:rPr>
        <w:t>包括微生物工程、生物</w:t>
      </w:r>
      <w:r>
        <w:rPr>
          <w:rFonts w:eastAsia="楷体"/>
          <w:sz w:val="24"/>
        </w:rPr>
        <w:t>化学工程、地质工程、</w:t>
      </w:r>
      <w:r>
        <w:rPr>
          <w:rFonts w:hint="eastAsia" w:eastAsia="楷体"/>
          <w:sz w:val="24"/>
        </w:rPr>
        <w:t>油藏工程、</w:t>
      </w:r>
      <w:r>
        <w:rPr>
          <w:rFonts w:eastAsia="楷体"/>
          <w:sz w:val="24"/>
        </w:rPr>
        <w:t>采油工程等多专业。不断深入研究、创新和规范</w:t>
      </w:r>
      <w:r>
        <w:rPr>
          <w:rFonts w:hint="eastAsia" w:eastAsia="楷体"/>
          <w:sz w:val="24"/>
        </w:rPr>
        <w:t>低渗透油藏内源微生物驱油技术，</w:t>
      </w:r>
      <w:r>
        <w:rPr>
          <w:rFonts w:eastAsia="楷体"/>
          <w:sz w:val="24"/>
        </w:rPr>
        <w:t>符合陕西省油气产业绿色高效可持续性开发需求</w:t>
      </w:r>
      <w:r>
        <w:rPr>
          <w:rFonts w:hint="eastAsia" w:eastAsia="楷体"/>
          <w:sz w:val="24"/>
        </w:rPr>
        <w:t>。作为绿色低碳提高采收率技术，内源微生物驱油技术矿场实践不断加深，油藏应用范围不断扩大，但</w:t>
      </w:r>
      <w:r>
        <w:rPr>
          <w:rFonts w:eastAsia="楷体"/>
          <w:b/>
          <w:bCs/>
          <w:sz w:val="24"/>
        </w:rPr>
        <w:t>国内外</w:t>
      </w:r>
      <w:r>
        <w:rPr>
          <w:rFonts w:hint="eastAsia" w:eastAsia="楷体"/>
          <w:b/>
          <w:bCs/>
          <w:sz w:val="24"/>
        </w:rPr>
        <w:t>针对低渗透油藏内源微生物激活驱油</w:t>
      </w:r>
      <w:r>
        <w:rPr>
          <w:rFonts w:eastAsia="楷体"/>
          <w:b/>
          <w:bCs/>
          <w:sz w:val="24"/>
        </w:rPr>
        <w:t>技术</w:t>
      </w:r>
      <w:r>
        <w:rPr>
          <w:rFonts w:hint="eastAsia" w:eastAsia="楷体"/>
          <w:b/>
          <w:bCs/>
          <w:sz w:val="24"/>
        </w:rPr>
        <w:t>的国家</w:t>
      </w:r>
      <w:r>
        <w:rPr>
          <w:rFonts w:eastAsia="楷体"/>
          <w:b/>
          <w:bCs/>
          <w:sz w:val="24"/>
        </w:rPr>
        <w:t>标准</w:t>
      </w:r>
      <w:r>
        <w:rPr>
          <w:rFonts w:hint="eastAsia" w:eastAsia="楷体"/>
          <w:b/>
          <w:bCs/>
          <w:sz w:val="24"/>
        </w:rPr>
        <w:t>、行业标准、地方标准缺乏</w:t>
      </w:r>
      <w:r>
        <w:rPr>
          <w:rFonts w:hint="eastAsia" w:eastAsia="楷体"/>
          <w:sz w:val="24"/>
        </w:rPr>
        <w:t>。内源微生物激活驱油缺乏技术指导，难以满足研究和生产实际需要，</w:t>
      </w:r>
      <w:r>
        <w:rPr>
          <w:rFonts w:eastAsia="楷体"/>
          <w:sz w:val="24"/>
        </w:rPr>
        <w:t>有必要及时制定适合本地区的内源微生物</w:t>
      </w:r>
      <w:r>
        <w:rPr>
          <w:rFonts w:hint="eastAsia" w:eastAsia="楷体"/>
          <w:sz w:val="24"/>
        </w:rPr>
        <w:t>激活</w:t>
      </w:r>
      <w:r>
        <w:rPr>
          <w:rFonts w:eastAsia="楷体"/>
          <w:sz w:val="24"/>
        </w:rPr>
        <w:t>驱油</w:t>
      </w:r>
      <w:r>
        <w:rPr>
          <w:rFonts w:hint="eastAsia" w:eastAsia="楷体"/>
          <w:sz w:val="24"/>
        </w:rPr>
        <w:t>技术规范</w:t>
      </w:r>
      <w:r>
        <w:rPr>
          <w:rFonts w:eastAsia="楷体"/>
          <w:sz w:val="24"/>
        </w:rPr>
        <w:t>，</w:t>
      </w:r>
      <w:r>
        <w:rPr>
          <w:rFonts w:hint="eastAsia" w:eastAsia="楷体"/>
          <w:sz w:val="24"/>
        </w:rPr>
        <w:t>以推进油藏内源微生物驱油技术</w:t>
      </w:r>
      <w:r>
        <w:rPr>
          <w:rFonts w:eastAsia="楷体"/>
          <w:sz w:val="24"/>
        </w:rPr>
        <w:t>的标准化、规范化。该标准有利于推动低渗透油藏</w:t>
      </w:r>
      <w:r>
        <w:rPr>
          <w:rFonts w:hint="eastAsia" w:eastAsia="楷体"/>
          <w:sz w:val="24"/>
        </w:rPr>
        <w:t>内源微生物驱油</w:t>
      </w:r>
      <w:r>
        <w:rPr>
          <w:rFonts w:eastAsia="楷体"/>
          <w:sz w:val="24"/>
        </w:rPr>
        <w:t>技术的规范化应用，在当前“双碳”背景下，</w:t>
      </w:r>
      <w:r>
        <w:rPr>
          <w:rFonts w:hint="eastAsia" w:eastAsia="楷体"/>
          <w:b/>
          <w:bCs/>
          <w:sz w:val="24"/>
        </w:rPr>
        <w:t>有利于</w:t>
      </w:r>
      <w:r>
        <w:rPr>
          <w:rFonts w:eastAsia="楷体"/>
          <w:b/>
          <w:bCs/>
          <w:sz w:val="24"/>
        </w:rPr>
        <w:t>强化绿色低碳提高采收率技术研究</w:t>
      </w:r>
      <w:r>
        <w:rPr>
          <w:rFonts w:eastAsia="楷体"/>
          <w:sz w:val="24"/>
        </w:rPr>
        <w:t>，对</w:t>
      </w:r>
      <w:r>
        <w:rPr>
          <w:rFonts w:hint="eastAsia" w:eastAsia="楷体"/>
          <w:sz w:val="24"/>
        </w:rPr>
        <w:t>传统</w:t>
      </w:r>
      <w:r>
        <w:rPr>
          <w:rFonts w:eastAsia="楷体"/>
          <w:sz w:val="24"/>
        </w:rPr>
        <w:t>油气生产行业碳减排具有重要意义</w:t>
      </w:r>
      <w:r>
        <w:rPr>
          <w:rFonts w:hint="eastAsia" w:eastAsia="楷体"/>
          <w:sz w:val="24"/>
        </w:rPr>
        <w:t>。</w:t>
      </w:r>
      <w:r>
        <w:rPr>
          <w:rFonts w:eastAsia="楷体"/>
          <w:sz w:val="24"/>
        </w:rPr>
        <w:t>有利于指导陕西省鄂尔多斯盆地内源微生物驱油技术的推广和应用，也能极大的提升陕西省在绿色高效油田开发技术领域的知名度，起到技术示范作用。</w:t>
      </w:r>
    </w:p>
    <w:p w14:paraId="7566B5F7">
      <w:pPr>
        <w:spacing w:before="78" w:beforeLines="25" w:after="78" w:afterLines="25" w:line="500" w:lineRule="exact"/>
        <w:ind w:firstLine="480" w:firstLineChars="200"/>
        <w:rPr>
          <w:rFonts w:eastAsia="楷体"/>
          <w:color w:val="000000"/>
          <w:sz w:val="24"/>
        </w:rPr>
      </w:pPr>
      <w:r>
        <w:rPr>
          <w:rFonts w:eastAsia="楷体"/>
          <w:color w:val="000000"/>
          <w:sz w:val="24"/>
        </w:rPr>
        <w:t>本标准制订任务下达后，陕西延长石油（集团）有限责任公司积极组织，成立标准编写领导小组，明确标准编写任务。陕西延长石油（集团）有限责任公司标准编制组在调研了部分能源企业和相关科研院校的基础上，开始起草标准。各编写人员就标准内容进行了认真讨论，并邀请相关知名专家提供建设性的意见和建议。针对标准的编写，我们多次与省质监局标准化处、省能源局、省国资委领导进行请教、交流，为标准的制订明确了方向、确立了构架。而后，我们就标准起草中的意见和建议，分析比对，借鉴其他地方标准经验、查阅资料，向省内石油研发单位及一线技术人员了解现状，确定标准草案，经多次修改完善形成标准征求意见稿。</w:t>
      </w:r>
    </w:p>
    <w:p w14:paraId="3D8FDA17">
      <w:pPr>
        <w:spacing w:before="78" w:beforeLines="25" w:after="78" w:afterLines="25" w:line="500" w:lineRule="exact"/>
        <w:ind w:firstLine="480" w:firstLineChars="200"/>
        <w:rPr>
          <w:rFonts w:eastAsia="楷体"/>
        </w:rPr>
      </w:pPr>
      <w:r>
        <w:rPr>
          <w:rFonts w:eastAsia="楷体"/>
          <w:color w:val="000000"/>
          <w:sz w:val="24"/>
        </w:rPr>
        <w:t>标准起草小组成员为倪军、魏登峰、高怡文、王维波、王维波、金志、薛媛、赵丽、康宵瑜、方晓君、王成俊、崔</w:t>
      </w:r>
      <w:r>
        <w:rPr>
          <w:rFonts w:hint="eastAsia" w:eastAsia="楷体"/>
          <w:color w:val="000000"/>
          <w:sz w:val="24"/>
        </w:rPr>
        <w:t>凯、</w:t>
      </w:r>
      <w:r>
        <w:rPr>
          <w:rFonts w:eastAsia="楷体"/>
          <w:color w:val="000000"/>
          <w:sz w:val="24"/>
        </w:rPr>
        <w:t>武思拓、张永欣等十三人。倪军为项目负责人，负责标准的立项，技术分析评价、标准起草。魏登峰主要负责标准资料调研和现行标准的收集。高怡文主要负责标准中试验方法的编写。王维波主要负责试验方法的验证和标准文件的编写。江绍静主要负责标准资料收集和油藏条件的确定。金志主要进行测试指标分析和有氧激活方法验证。薛媛主要负责厌氧激活方法验证。赵丽主要负责标准的校对及标准格式校核。康宵瑜主要进行激活剂筛选方法的验证。方晓君主要进行意见汇总和标准修改工作。王成俊主要负责激活剂筛选指标中微生物浓度的测试验证。崔凯主要负责激活剂筛选指标中配伍性和激活体系表面张力等测试验证。驱油效率测试和生物降解度等试验方法的验证。武思拓主要负责驱油效率测试验证。张永欣主要负责驱油效率计算验证。</w:t>
      </w:r>
    </w:p>
    <w:p w14:paraId="6BD15813">
      <w:pPr>
        <w:pStyle w:val="3"/>
        <w:spacing w:line="360" w:lineRule="auto"/>
        <w:ind w:firstLine="480"/>
        <w:rPr>
          <w:rFonts w:ascii="Times New Roman" w:hAnsi="Times New Roman" w:eastAsia="楷体"/>
          <w:color w:val="000000"/>
          <w:sz w:val="24"/>
          <w:szCs w:val="24"/>
        </w:rPr>
      </w:pPr>
      <w:r>
        <w:rPr>
          <w:rFonts w:ascii="Times New Roman" w:hAnsi="Times New Roman" w:eastAsia="楷体"/>
          <w:color w:val="000000"/>
          <w:sz w:val="24"/>
          <w:szCs w:val="24"/>
        </w:rPr>
        <w:t>2023年1月</w:t>
      </w:r>
      <w:r>
        <w:rPr>
          <w:rFonts w:hint="eastAsia" w:ascii="Times New Roman" w:hAnsi="Times New Roman" w:eastAsia="楷体"/>
          <w:color w:val="000000"/>
          <w:sz w:val="24"/>
          <w:szCs w:val="24"/>
        </w:rPr>
        <w:t>，</w:t>
      </w:r>
      <w:r>
        <w:rPr>
          <w:rFonts w:ascii="Times New Roman" w:hAnsi="Times New Roman" w:eastAsia="楷体"/>
          <w:color w:val="000000"/>
          <w:sz w:val="24"/>
          <w:szCs w:val="24"/>
        </w:rPr>
        <w:t>陕西省市场监督管理局</w:t>
      </w:r>
      <w:r>
        <w:rPr>
          <w:rFonts w:hint="eastAsia" w:ascii="Times New Roman" w:hAnsi="Times New Roman" w:eastAsia="楷体"/>
          <w:color w:val="000000"/>
          <w:sz w:val="24"/>
          <w:szCs w:val="24"/>
        </w:rPr>
        <w:t>关于下达《关于征集202</w:t>
      </w:r>
      <w:r>
        <w:rPr>
          <w:rFonts w:ascii="Times New Roman" w:hAnsi="Times New Roman" w:eastAsia="楷体"/>
          <w:color w:val="000000"/>
          <w:sz w:val="24"/>
          <w:szCs w:val="24"/>
        </w:rPr>
        <w:t>3</w:t>
      </w:r>
      <w:r>
        <w:rPr>
          <w:rFonts w:hint="eastAsia" w:ascii="Times New Roman" w:hAnsi="Times New Roman" w:eastAsia="楷体"/>
          <w:color w:val="000000"/>
          <w:sz w:val="24"/>
          <w:szCs w:val="24"/>
        </w:rPr>
        <w:t>年陕西省地方标准制修项目的通知》</w:t>
      </w:r>
      <w:r>
        <w:rPr>
          <w:rFonts w:ascii="Times New Roman" w:hAnsi="Times New Roman" w:eastAsia="楷体"/>
          <w:color w:val="000000"/>
          <w:sz w:val="24"/>
          <w:szCs w:val="24"/>
        </w:rPr>
        <w:t>（</w:t>
      </w:r>
      <w:r>
        <w:rPr>
          <w:rFonts w:hint="eastAsia" w:ascii="Times New Roman" w:hAnsi="Times New Roman" w:eastAsia="楷体"/>
          <w:color w:val="000000"/>
          <w:sz w:val="24"/>
          <w:szCs w:val="24"/>
        </w:rPr>
        <w:t>陕市监函〔2022〕</w:t>
      </w:r>
      <w:r>
        <w:rPr>
          <w:rFonts w:ascii="Times New Roman" w:hAnsi="Times New Roman" w:eastAsia="楷体"/>
          <w:color w:val="000000"/>
          <w:sz w:val="24"/>
          <w:szCs w:val="24"/>
        </w:rPr>
        <w:t>1022</w:t>
      </w:r>
      <w:r>
        <w:rPr>
          <w:rFonts w:hint="eastAsia" w:ascii="Times New Roman" w:hAnsi="Times New Roman" w:eastAsia="楷体"/>
          <w:color w:val="000000"/>
          <w:sz w:val="24"/>
          <w:szCs w:val="24"/>
        </w:rPr>
        <w:t>号</w:t>
      </w:r>
      <w:r>
        <w:rPr>
          <w:rFonts w:ascii="Times New Roman" w:hAnsi="Times New Roman" w:eastAsia="楷体"/>
          <w:color w:val="000000"/>
          <w:sz w:val="24"/>
          <w:szCs w:val="24"/>
        </w:rPr>
        <w:t>）。依据GB/T 1.1-2020《标准化工作导则 第1部分：标准化文件的结构和起草规则》的标准编写要求，</w:t>
      </w:r>
      <w:r>
        <w:rPr>
          <w:rFonts w:hint="eastAsia" w:ascii="Times New Roman" w:hAnsi="Times New Roman" w:eastAsia="楷体"/>
          <w:color w:val="000000"/>
          <w:sz w:val="24"/>
          <w:szCs w:val="24"/>
        </w:rPr>
        <w:t>本标准编制组</w:t>
      </w:r>
      <w:r>
        <w:rPr>
          <w:rFonts w:ascii="Times New Roman" w:hAnsi="Times New Roman" w:eastAsia="楷体"/>
          <w:color w:val="000000"/>
          <w:sz w:val="24"/>
          <w:szCs w:val="24"/>
        </w:rPr>
        <w:t>对《</w:t>
      </w:r>
      <w:r>
        <w:rPr>
          <w:rFonts w:hint="eastAsia" w:ascii="Times New Roman" w:hAnsi="Times New Roman" w:eastAsia="楷体"/>
          <w:color w:val="000000"/>
          <w:sz w:val="24"/>
          <w:szCs w:val="24"/>
        </w:rPr>
        <w:t>低渗透油藏内源微生物驱油技术室内实验及评价技术规范</w:t>
      </w:r>
      <w:r>
        <w:rPr>
          <w:rFonts w:ascii="Times New Roman" w:hAnsi="Times New Roman" w:eastAsia="楷体"/>
          <w:color w:val="000000"/>
          <w:sz w:val="24"/>
          <w:szCs w:val="24"/>
        </w:rPr>
        <w:t>》标准开展了相关编制工作，</w:t>
      </w:r>
      <w:r>
        <w:rPr>
          <w:rFonts w:hint="eastAsia" w:ascii="Times New Roman" w:hAnsi="Times New Roman" w:eastAsia="楷体"/>
          <w:color w:val="000000"/>
          <w:sz w:val="24"/>
          <w:szCs w:val="24"/>
        </w:rPr>
        <w:t>并</w:t>
      </w:r>
      <w:r>
        <w:rPr>
          <w:rFonts w:ascii="Times New Roman" w:hAnsi="Times New Roman" w:eastAsia="楷体"/>
          <w:color w:val="000000"/>
          <w:sz w:val="24"/>
          <w:szCs w:val="24"/>
        </w:rPr>
        <w:t>完成了《</w:t>
      </w:r>
      <w:r>
        <w:rPr>
          <w:rFonts w:hint="eastAsia" w:ascii="Times New Roman" w:hAnsi="Times New Roman" w:eastAsia="楷体"/>
          <w:color w:val="000000"/>
          <w:sz w:val="24"/>
          <w:szCs w:val="24"/>
        </w:rPr>
        <w:t>低渗透油藏内源微生物驱油技术室内实验及评价技术规范</w:t>
      </w:r>
      <w:r>
        <w:rPr>
          <w:rFonts w:ascii="Times New Roman" w:hAnsi="Times New Roman" w:eastAsia="楷体"/>
          <w:color w:val="000000"/>
          <w:sz w:val="24"/>
          <w:szCs w:val="24"/>
        </w:rPr>
        <w:t>》地方标准（草案）。</w:t>
      </w:r>
    </w:p>
    <w:p w14:paraId="64AD71EF">
      <w:pPr>
        <w:adjustRightInd w:val="0"/>
        <w:spacing w:line="360" w:lineRule="auto"/>
        <w:ind w:firstLine="480" w:firstLineChars="200"/>
        <w:contextualSpacing/>
        <w:jc w:val="left"/>
        <w:rPr>
          <w:rFonts w:eastAsia="楷体"/>
          <w:color w:val="000000"/>
          <w:sz w:val="24"/>
        </w:rPr>
      </w:pPr>
      <w:r>
        <w:rPr>
          <w:rFonts w:hint="eastAsia" w:eastAsia="楷体"/>
          <w:color w:val="000000"/>
          <w:sz w:val="24"/>
        </w:rPr>
        <w:t>2</w:t>
      </w:r>
      <w:r>
        <w:rPr>
          <w:rFonts w:eastAsia="楷体"/>
          <w:color w:val="000000"/>
          <w:sz w:val="24"/>
        </w:rPr>
        <w:t>023</w:t>
      </w:r>
      <w:r>
        <w:rPr>
          <w:rFonts w:hint="eastAsia" w:eastAsia="楷体"/>
          <w:color w:val="000000"/>
          <w:sz w:val="24"/>
        </w:rPr>
        <w:t>年2月，本编制组提交了立项申请书和标准草案。</w:t>
      </w:r>
    </w:p>
    <w:p w14:paraId="178E5E4C">
      <w:pPr>
        <w:adjustRightInd w:val="0"/>
        <w:spacing w:line="360" w:lineRule="auto"/>
        <w:ind w:firstLine="480" w:firstLineChars="200"/>
        <w:contextualSpacing/>
        <w:jc w:val="left"/>
        <w:rPr>
          <w:rFonts w:eastAsia="楷体"/>
          <w:color w:val="000000"/>
          <w:sz w:val="24"/>
        </w:rPr>
      </w:pPr>
      <w:r>
        <w:rPr>
          <w:rFonts w:hint="eastAsia" w:eastAsia="楷体"/>
          <w:color w:val="000000"/>
          <w:sz w:val="24"/>
        </w:rPr>
        <w:t>2</w:t>
      </w:r>
      <w:r>
        <w:rPr>
          <w:rFonts w:eastAsia="楷体"/>
          <w:color w:val="000000"/>
          <w:sz w:val="24"/>
        </w:rPr>
        <w:t>023</w:t>
      </w:r>
      <w:r>
        <w:rPr>
          <w:rFonts w:hint="eastAsia" w:eastAsia="楷体"/>
          <w:color w:val="000000"/>
          <w:sz w:val="24"/>
        </w:rPr>
        <w:t>年4月，标准编制组参加“2</w:t>
      </w:r>
      <w:r>
        <w:rPr>
          <w:rFonts w:eastAsia="楷体"/>
          <w:color w:val="000000"/>
          <w:sz w:val="24"/>
        </w:rPr>
        <w:t>023</w:t>
      </w:r>
      <w:r>
        <w:rPr>
          <w:rFonts w:hint="eastAsia" w:eastAsia="楷体"/>
          <w:color w:val="000000"/>
          <w:sz w:val="24"/>
        </w:rPr>
        <w:t>年度陕西省地方标准立项评审会”，并通过立项评审。</w:t>
      </w:r>
    </w:p>
    <w:p w14:paraId="6CF8D8B4">
      <w:pPr>
        <w:pStyle w:val="3"/>
        <w:spacing w:line="360" w:lineRule="auto"/>
        <w:ind w:firstLine="480"/>
        <w:rPr>
          <w:color w:val="000000" w:themeColor="text1"/>
          <w14:textFill>
            <w14:solidFill>
              <w14:schemeClr w14:val="tx1"/>
            </w14:solidFill>
          </w14:textFill>
        </w:rPr>
      </w:pPr>
      <w:r>
        <w:rPr>
          <w:rFonts w:ascii="Times New Roman" w:hAnsi="Times New Roman" w:eastAsia="楷体"/>
          <w:color w:val="000000"/>
          <w:sz w:val="24"/>
          <w:szCs w:val="24"/>
        </w:rPr>
        <w:t>2023年</w:t>
      </w:r>
      <w:r>
        <w:rPr>
          <w:rFonts w:hint="eastAsia" w:ascii="Times New Roman" w:hAnsi="Times New Roman" w:eastAsia="楷体"/>
          <w:color w:val="000000"/>
          <w:sz w:val="24"/>
          <w:szCs w:val="24"/>
        </w:rPr>
        <w:t>5</w:t>
      </w:r>
      <w:r>
        <w:rPr>
          <w:rFonts w:ascii="Times New Roman" w:hAnsi="Times New Roman" w:eastAsia="楷体"/>
          <w:color w:val="000000"/>
          <w:sz w:val="24"/>
          <w:szCs w:val="24"/>
        </w:rPr>
        <w:t>月至</w:t>
      </w:r>
      <w:r>
        <w:rPr>
          <w:rFonts w:hint="eastAsia" w:ascii="Times New Roman" w:hAnsi="Times New Roman" w:eastAsia="楷体"/>
          <w:color w:val="000000"/>
          <w:sz w:val="24"/>
          <w:szCs w:val="24"/>
          <w:highlight w:val="none"/>
        </w:rPr>
        <w:t>202</w:t>
      </w:r>
      <w:r>
        <w:rPr>
          <w:rFonts w:hint="eastAsia" w:ascii="Times New Roman" w:hAnsi="Times New Roman" w:eastAsia="楷体"/>
          <w:color w:val="000000"/>
          <w:sz w:val="24"/>
          <w:szCs w:val="24"/>
          <w:highlight w:val="none"/>
          <w:lang w:val="en-US" w:eastAsia="zh-CN"/>
        </w:rPr>
        <w:t>4</w:t>
      </w:r>
      <w:r>
        <w:rPr>
          <w:rFonts w:hint="eastAsia" w:ascii="Times New Roman" w:hAnsi="Times New Roman" w:eastAsia="楷体"/>
          <w:color w:val="000000"/>
          <w:sz w:val="24"/>
          <w:szCs w:val="24"/>
          <w:highlight w:val="none"/>
        </w:rPr>
        <w:t>年</w:t>
      </w:r>
      <w:r>
        <w:rPr>
          <w:rFonts w:hint="eastAsia" w:ascii="Times New Roman" w:hAnsi="Times New Roman" w:eastAsia="楷体"/>
          <w:color w:val="000000"/>
          <w:sz w:val="24"/>
          <w:szCs w:val="24"/>
          <w:highlight w:val="none"/>
          <w:lang w:val="en-US" w:eastAsia="zh-CN"/>
        </w:rPr>
        <w:t>8</w:t>
      </w:r>
      <w:r>
        <w:rPr>
          <w:rFonts w:ascii="Times New Roman" w:hAnsi="Times New Roman" w:eastAsia="楷体"/>
          <w:color w:val="000000"/>
          <w:sz w:val="24"/>
          <w:szCs w:val="24"/>
          <w:highlight w:val="none"/>
        </w:rPr>
        <w:t>月</w:t>
      </w:r>
      <w:r>
        <w:rPr>
          <w:rFonts w:ascii="Times New Roman" w:hAnsi="Times New Roman" w:eastAsia="楷体"/>
          <w:color w:val="000000"/>
          <w:sz w:val="24"/>
          <w:szCs w:val="24"/>
        </w:rPr>
        <w:t>，标准制定组经多次讨论会，对标准草案进行讨论，并根据专家意见，形成《</w:t>
      </w:r>
      <w:r>
        <w:rPr>
          <w:rFonts w:hint="eastAsia" w:eastAsia="楷体"/>
          <w:sz w:val="24"/>
        </w:rPr>
        <w:t>低渗透油藏内源微生物驱油技术室内实验及评价技术规范</w:t>
      </w:r>
      <w:r>
        <w:rPr>
          <w:rFonts w:ascii="Times New Roman" w:hAnsi="Times New Roman" w:eastAsia="楷体"/>
          <w:color w:val="000000"/>
          <w:sz w:val="24"/>
          <w:szCs w:val="24"/>
        </w:rPr>
        <w:t xml:space="preserve">》（征求意见稿）。 </w:t>
      </w:r>
      <w:r>
        <w:rPr>
          <w:rFonts w:ascii="Times New Roman" w:hAnsi="Times New Roman" w:eastAsia="仿宋"/>
          <w:color w:val="000000" w:themeColor="text1"/>
          <w:kern w:val="0"/>
          <w:sz w:val="28"/>
          <w:szCs w:val="28"/>
          <w14:textFill>
            <w14:solidFill>
              <w14:schemeClr w14:val="tx1"/>
            </w14:solidFill>
          </w14:textFill>
        </w:rPr>
        <w:t xml:space="preserve"> </w:t>
      </w:r>
    </w:p>
    <w:p w14:paraId="7EF0F428">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二、标准编制原则和主要内容</w:t>
      </w:r>
    </w:p>
    <w:p w14:paraId="7CD3A607">
      <w:pPr>
        <w:spacing w:before="78" w:beforeLines="25" w:after="78" w:afterLines="25" w:line="500" w:lineRule="exact"/>
        <w:ind w:firstLine="480" w:firstLineChars="200"/>
        <w:rPr>
          <w:rFonts w:eastAsia="楷体"/>
          <w:color w:val="000000"/>
          <w:sz w:val="24"/>
        </w:rPr>
      </w:pPr>
      <w:r>
        <w:rPr>
          <w:rFonts w:eastAsia="楷体"/>
          <w:color w:val="000000"/>
          <w:sz w:val="24"/>
        </w:rPr>
        <w:t>本标准根据标准化工作导则GB 1.1-2009编写规定进行编写，符合以下原则：</w:t>
      </w:r>
    </w:p>
    <w:p w14:paraId="5E95525A">
      <w:pPr>
        <w:spacing w:before="78" w:beforeLines="25" w:after="78" w:afterLines="25" w:line="500" w:lineRule="exact"/>
        <w:ind w:firstLine="480" w:firstLineChars="200"/>
        <w:rPr>
          <w:rFonts w:eastAsia="楷体"/>
          <w:color w:val="000000"/>
          <w:sz w:val="24"/>
        </w:rPr>
      </w:pPr>
      <w:r>
        <w:rPr>
          <w:rFonts w:eastAsia="楷体"/>
          <w:color w:val="000000"/>
          <w:sz w:val="24"/>
        </w:rPr>
        <w:t>1、科学合理，技术先进，积极采用国内外先进技术方法、标准；</w:t>
      </w:r>
    </w:p>
    <w:p w14:paraId="2185319F">
      <w:pPr>
        <w:spacing w:before="78" w:beforeLines="25" w:after="78" w:afterLines="25" w:line="500" w:lineRule="exact"/>
        <w:ind w:firstLine="480" w:firstLineChars="200"/>
        <w:rPr>
          <w:rFonts w:eastAsia="楷体"/>
          <w:color w:val="000000"/>
          <w:sz w:val="24"/>
        </w:rPr>
      </w:pPr>
      <w:r>
        <w:rPr>
          <w:rFonts w:eastAsia="楷体"/>
          <w:color w:val="000000"/>
          <w:sz w:val="24"/>
        </w:rPr>
        <w:t>2、目的明确，有利于促进技术进步，提高科研水平；</w:t>
      </w:r>
    </w:p>
    <w:p w14:paraId="0DCD5BF5">
      <w:pPr>
        <w:spacing w:before="78" w:beforeLines="25" w:after="78" w:afterLines="25" w:line="500" w:lineRule="exact"/>
        <w:ind w:firstLine="480" w:firstLineChars="200"/>
        <w:rPr>
          <w:rFonts w:eastAsia="楷体"/>
          <w:color w:val="000000"/>
          <w:sz w:val="24"/>
        </w:rPr>
      </w:pPr>
      <w:r>
        <w:rPr>
          <w:rFonts w:eastAsia="楷体"/>
          <w:color w:val="000000"/>
          <w:sz w:val="24"/>
        </w:rPr>
        <w:t>3、经济适用，有利于合理利用资源，提高经济效益；</w:t>
      </w:r>
    </w:p>
    <w:p w14:paraId="1A4D8C84">
      <w:pPr>
        <w:spacing w:before="78" w:beforeLines="25" w:after="78" w:afterLines="25" w:line="500" w:lineRule="exact"/>
        <w:ind w:firstLine="480" w:firstLineChars="200"/>
        <w:rPr>
          <w:rFonts w:eastAsia="楷体"/>
          <w:color w:val="000000"/>
          <w:sz w:val="24"/>
        </w:rPr>
      </w:pPr>
      <w:r>
        <w:rPr>
          <w:rFonts w:eastAsia="楷体"/>
          <w:color w:val="000000"/>
          <w:sz w:val="24"/>
        </w:rPr>
        <w:t>4、安全可靠，可操作性强，符合各方利益要求；</w:t>
      </w:r>
    </w:p>
    <w:p w14:paraId="2C145482">
      <w:pPr>
        <w:spacing w:before="78" w:beforeLines="25" w:after="78" w:afterLines="25" w:line="500" w:lineRule="exact"/>
        <w:ind w:firstLine="480" w:firstLineChars="200"/>
        <w:rPr>
          <w:rFonts w:eastAsia="楷体"/>
          <w:color w:val="000000"/>
          <w:sz w:val="24"/>
        </w:rPr>
      </w:pPr>
      <w:r>
        <w:rPr>
          <w:rFonts w:eastAsia="楷体"/>
          <w:color w:val="000000"/>
          <w:sz w:val="24"/>
        </w:rPr>
        <w:t>5、符合国家的政策，贯彻国家的法律法规。</w:t>
      </w:r>
    </w:p>
    <w:p w14:paraId="0C82BBCE">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三、标准编制的主要内容</w:t>
      </w:r>
    </w:p>
    <w:p w14:paraId="22FACDAE">
      <w:pPr>
        <w:spacing w:before="78" w:beforeLines="25" w:after="78" w:afterLines="25" w:line="500" w:lineRule="exact"/>
        <w:ind w:firstLine="480" w:firstLineChars="200"/>
        <w:rPr>
          <w:rFonts w:eastAsia="楷体"/>
          <w:color w:val="000000"/>
          <w:sz w:val="24"/>
        </w:rPr>
      </w:pPr>
      <w:r>
        <w:rPr>
          <w:rFonts w:eastAsia="楷体"/>
          <w:color w:val="000000"/>
          <w:sz w:val="24"/>
        </w:rPr>
        <w:t>本标准征求意见稿内容共8章，第1章规定了标准的适用范围；第2章为本标准的规范性引用文件；第3章为术语；第4～8章为</w:t>
      </w:r>
      <w:r>
        <w:rPr>
          <w:rFonts w:hint="eastAsia" w:eastAsia="楷体"/>
          <w:sz w:val="24"/>
        </w:rPr>
        <w:t>低渗透油藏内源微生物驱油技术室内实验及评价技术规范</w:t>
      </w:r>
      <w:r>
        <w:rPr>
          <w:rFonts w:eastAsia="楷体"/>
          <w:color w:val="000000"/>
          <w:sz w:val="24"/>
        </w:rPr>
        <w:t>，依次为油藏适用范围、油藏适应性评价、内源微生物激活、内源微生物激活剂筛选及内源微生物驱油等。</w:t>
      </w:r>
    </w:p>
    <w:p w14:paraId="0AB14682">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四、主要实验（或验证）情况分析</w:t>
      </w:r>
    </w:p>
    <w:p w14:paraId="4DEAA8D7">
      <w:pPr>
        <w:spacing w:line="360" w:lineRule="auto"/>
        <w:ind w:firstLine="480" w:firstLineChars="200"/>
        <w:rPr>
          <w:rFonts w:eastAsia="楷体"/>
          <w:color w:val="000000"/>
          <w:sz w:val="24"/>
        </w:rPr>
      </w:pPr>
      <w:r>
        <w:rPr>
          <w:rFonts w:eastAsia="楷体"/>
          <w:color w:val="000000"/>
          <w:sz w:val="24"/>
        </w:rPr>
        <w:t>1、确定标准主要内容的论据</w:t>
      </w:r>
    </w:p>
    <w:p w14:paraId="3E5C221D">
      <w:pPr>
        <w:spacing w:line="360" w:lineRule="auto"/>
        <w:ind w:firstLine="480" w:firstLineChars="200"/>
        <w:rPr>
          <w:rFonts w:eastAsia="楷体"/>
          <w:color w:val="000000"/>
          <w:sz w:val="24"/>
        </w:rPr>
      </w:pPr>
      <w:r>
        <w:rPr>
          <w:rFonts w:eastAsia="楷体"/>
          <w:color w:val="000000"/>
          <w:sz w:val="24"/>
        </w:rPr>
        <w:t>本标准参照了中华人民共和国国家标准和石油天然气行业标准，并结合油藏内源微生物驱油技术室内研究的实际特点以及低/特低渗透（鄂尔多斯盆地陕北斜坡）油藏地质条件，确定了本标准的主要内容。</w:t>
      </w:r>
    </w:p>
    <w:p w14:paraId="6F957C7D">
      <w:pPr>
        <w:spacing w:line="360" w:lineRule="auto"/>
        <w:ind w:firstLine="480" w:firstLineChars="200"/>
        <w:rPr>
          <w:rFonts w:eastAsia="楷体"/>
          <w:color w:val="000000"/>
          <w:sz w:val="24"/>
        </w:rPr>
      </w:pPr>
      <w:r>
        <w:rPr>
          <w:rFonts w:eastAsia="楷体"/>
          <w:color w:val="000000"/>
          <w:sz w:val="24"/>
        </w:rPr>
        <w:t>本标准制定过程中参照的主要标准见表1。</w:t>
      </w:r>
    </w:p>
    <w:p w14:paraId="54D5ABF7">
      <w:pPr>
        <w:spacing w:line="360" w:lineRule="auto"/>
        <w:jc w:val="center"/>
        <w:rPr>
          <w:rFonts w:eastAsia="楷体"/>
          <w:color w:val="000000"/>
          <w:szCs w:val="21"/>
        </w:rPr>
      </w:pPr>
      <w:r>
        <w:rPr>
          <w:rFonts w:eastAsia="楷体"/>
          <w:color w:val="000000"/>
          <w:szCs w:val="21"/>
        </w:rPr>
        <w:t>表1 参照标准</w:t>
      </w:r>
    </w:p>
    <w:tbl>
      <w:tblPr>
        <w:tblStyle w:val="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8"/>
        <w:gridCol w:w="2268"/>
        <w:gridCol w:w="4932"/>
      </w:tblGrid>
      <w:tr w14:paraId="590EA2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Pr>
          <w:p w14:paraId="2432F395">
            <w:pPr>
              <w:spacing w:line="320" w:lineRule="exact"/>
              <w:jc w:val="center"/>
              <w:rPr>
                <w:rFonts w:eastAsia="楷体"/>
                <w:color w:val="000000"/>
                <w:szCs w:val="21"/>
              </w:rPr>
            </w:pPr>
            <w:r>
              <w:rPr>
                <w:rFonts w:eastAsia="楷体"/>
                <w:color w:val="000000"/>
                <w:szCs w:val="21"/>
              </w:rPr>
              <w:t>序号</w:t>
            </w:r>
          </w:p>
        </w:tc>
        <w:tc>
          <w:tcPr>
            <w:tcW w:w="2268" w:type="dxa"/>
          </w:tcPr>
          <w:p w14:paraId="51B74E3B">
            <w:pPr>
              <w:spacing w:line="320" w:lineRule="exact"/>
              <w:jc w:val="center"/>
              <w:rPr>
                <w:rFonts w:eastAsia="楷体"/>
                <w:color w:val="000000"/>
                <w:szCs w:val="21"/>
              </w:rPr>
            </w:pPr>
            <w:r>
              <w:rPr>
                <w:rFonts w:eastAsia="楷体"/>
                <w:color w:val="000000"/>
                <w:szCs w:val="21"/>
              </w:rPr>
              <w:t>标准号</w:t>
            </w:r>
          </w:p>
        </w:tc>
        <w:tc>
          <w:tcPr>
            <w:tcW w:w="4932" w:type="dxa"/>
          </w:tcPr>
          <w:p w14:paraId="004102A2">
            <w:pPr>
              <w:spacing w:line="320" w:lineRule="exact"/>
              <w:jc w:val="center"/>
              <w:rPr>
                <w:rFonts w:eastAsia="楷体"/>
                <w:color w:val="000000"/>
                <w:szCs w:val="21"/>
              </w:rPr>
            </w:pPr>
            <w:r>
              <w:rPr>
                <w:rFonts w:eastAsia="楷体"/>
                <w:color w:val="000000"/>
                <w:szCs w:val="21"/>
              </w:rPr>
              <w:t>标准内容</w:t>
            </w:r>
          </w:p>
        </w:tc>
      </w:tr>
      <w:tr w14:paraId="3E864F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Pr>
          <w:p w14:paraId="216E4B9E">
            <w:pPr>
              <w:spacing w:line="320" w:lineRule="exact"/>
              <w:jc w:val="center"/>
              <w:rPr>
                <w:rFonts w:eastAsia="楷体"/>
                <w:color w:val="000000"/>
                <w:szCs w:val="21"/>
              </w:rPr>
            </w:pPr>
            <w:r>
              <w:rPr>
                <w:rFonts w:eastAsia="楷体"/>
                <w:color w:val="000000"/>
                <w:szCs w:val="21"/>
              </w:rPr>
              <w:t>1</w:t>
            </w:r>
          </w:p>
        </w:tc>
        <w:tc>
          <w:tcPr>
            <w:tcW w:w="2268" w:type="dxa"/>
          </w:tcPr>
          <w:p w14:paraId="1F57B1C9">
            <w:pPr>
              <w:spacing w:line="320" w:lineRule="exact"/>
              <w:rPr>
                <w:rFonts w:eastAsia="楷体"/>
                <w:szCs w:val="21"/>
              </w:rPr>
            </w:pPr>
            <w:r>
              <w:rPr>
                <w:rFonts w:eastAsia="楷体"/>
              </w:rPr>
              <w:t>GB/T 609-2018</w:t>
            </w:r>
          </w:p>
        </w:tc>
        <w:tc>
          <w:tcPr>
            <w:tcW w:w="4932" w:type="dxa"/>
          </w:tcPr>
          <w:p w14:paraId="024C2724">
            <w:pPr>
              <w:spacing w:line="320" w:lineRule="exact"/>
              <w:rPr>
                <w:rFonts w:eastAsia="楷体"/>
                <w:szCs w:val="21"/>
              </w:rPr>
            </w:pPr>
            <w:r>
              <w:rPr>
                <w:rFonts w:eastAsia="楷体"/>
              </w:rPr>
              <w:t>化学试剂总氮量测定通用方法</w:t>
            </w:r>
          </w:p>
        </w:tc>
      </w:tr>
      <w:tr w14:paraId="237806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Pr>
          <w:p w14:paraId="41A93B70">
            <w:pPr>
              <w:spacing w:line="320" w:lineRule="exact"/>
              <w:jc w:val="center"/>
              <w:rPr>
                <w:rFonts w:eastAsia="楷体"/>
                <w:color w:val="000000"/>
                <w:szCs w:val="21"/>
              </w:rPr>
            </w:pPr>
            <w:r>
              <w:rPr>
                <w:rFonts w:eastAsia="楷体"/>
                <w:color w:val="000000"/>
                <w:szCs w:val="21"/>
              </w:rPr>
              <w:t>2</w:t>
            </w:r>
          </w:p>
        </w:tc>
        <w:tc>
          <w:tcPr>
            <w:tcW w:w="2268" w:type="dxa"/>
          </w:tcPr>
          <w:p w14:paraId="145A1CC5">
            <w:pPr>
              <w:spacing w:line="320" w:lineRule="exact"/>
              <w:rPr>
                <w:rFonts w:eastAsia="楷体"/>
                <w:color w:val="000000"/>
                <w:szCs w:val="21"/>
              </w:rPr>
            </w:pPr>
            <w:r>
              <w:rPr>
                <w:rFonts w:eastAsia="楷体"/>
              </w:rPr>
              <w:t>GB/T 6920-1986</w:t>
            </w:r>
          </w:p>
        </w:tc>
        <w:tc>
          <w:tcPr>
            <w:tcW w:w="4932" w:type="dxa"/>
          </w:tcPr>
          <w:p w14:paraId="600E6650">
            <w:pPr>
              <w:spacing w:line="320" w:lineRule="exact"/>
              <w:rPr>
                <w:rFonts w:eastAsia="楷体"/>
              </w:rPr>
            </w:pPr>
            <w:r>
              <w:rPr>
                <w:rFonts w:eastAsia="楷体"/>
              </w:rPr>
              <w:t>水质 pH值的测定 玻璃电极法</w:t>
            </w:r>
          </w:p>
        </w:tc>
      </w:tr>
      <w:tr w14:paraId="242805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9" w:hRule="atLeast"/>
          <w:jc w:val="center"/>
        </w:trPr>
        <w:tc>
          <w:tcPr>
            <w:tcW w:w="738" w:type="dxa"/>
          </w:tcPr>
          <w:p w14:paraId="4E9D09A7">
            <w:pPr>
              <w:spacing w:line="320" w:lineRule="exact"/>
              <w:jc w:val="center"/>
              <w:rPr>
                <w:rFonts w:eastAsia="楷体"/>
                <w:color w:val="000000"/>
                <w:szCs w:val="21"/>
              </w:rPr>
            </w:pPr>
            <w:r>
              <w:rPr>
                <w:rFonts w:eastAsia="楷体"/>
                <w:color w:val="000000"/>
                <w:szCs w:val="21"/>
              </w:rPr>
              <w:t>3</w:t>
            </w:r>
          </w:p>
        </w:tc>
        <w:tc>
          <w:tcPr>
            <w:tcW w:w="2268" w:type="dxa"/>
          </w:tcPr>
          <w:p w14:paraId="79882042">
            <w:pPr>
              <w:spacing w:line="320" w:lineRule="exact"/>
              <w:rPr>
                <w:rFonts w:eastAsia="楷体"/>
                <w:color w:val="000000"/>
                <w:szCs w:val="21"/>
              </w:rPr>
            </w:pPr>
            <w:r>
              <w:rPr>
                <w:rFonts w:eastAsia="楷体"/>
              </w:rPr>
              <w:t>GB/T 11893-1989</w:t>
            </w:r>
          </w:p>
        </w:tc>
        <w:tc>
          <w:tcPr>
            <w:tcW w:w="4932" w:type="dxa"/>
          </w:tcPr>
          <w:p w14:paraId="764A86F3">
            <w:pPr>
              <w:spacing w:line="320" w:lineRule="exact"/>
              <w:rPr>
                <w:rFonts w:eastAsia="楷体"/>
                <w:color w:val="000000"/>
                <w:szCs w:val="21"/>
              </w:rPr>
            </w:pPr>
            <w:r>
              <w:rPr>
                <w:rFonts w:eastAsia="楷体"/>
              </w:rPr>
              <w:t>水质 总磷的测定 钼酸铵分光光度法</w:t>
            </w:r>
          </w:p>
        </w:tc>
      </w:tr>
      <w:tr w14:paraId="18C2176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Pr>
          <w:p w14:paraId="2E6B9906">
            <w:pPr>
              <w:spacing w:line="320" w:lineRule="exact"/>
              <w:jc w:val="center"/>
              <w:rPr>
                <w:rFonts w:eastAsia="楷体"/>
                <w:color w:val="000000"/>
                <w:szCs w:val="21"/>
              </w:rPr>
            </w:pPr>
            <w:r>
              <w:rPr>
                <w:rFonts w:eastAsia="楷体"/>
                <w:color w:val="000000"/>
                <w:szCs w:val="21"/>
              </w:rPr>
              <w:t>4</w:t>
            </w:r>
          </w:p>
        </w:tc>
        <w:tc>
          <w:tcPr>
            <w:tcW w:w="2268" w:type="dxa"/>
          </w:tcPr>
          <w:p w14:paraId="70DA37DE">
            <w:pPr>
              <w:spacing w:line="320" w:lineRule="exact"/>
              <w:rPr>
                <w:rFonts w:eastAsia="楷体"/>
                <w:color w:val="000000"/>
                <w:szCs w:val="21"/>
              </w:rPr>
            </w:pPr>
            <w:r>
              <w:rPr>
                <w:rFonts w:eastAsia="楷体"/>
                <w:szCs w:val="21"/>
              </w:rPr>
              <w:t>GB/T 29172-2012</w:t>
            </w:r>
          </w:p>
        </w:tc>
        <w:tc>
          <w:tcPr>
            <w:tcW w:w="4932" w:type="dxa"/>
          </w:tcPr>
          <w:p w14:paraId="7E9E44CB">
            <w:pPr>
              <w:spacing w:line="320" w:lineRule="exact"/>
              <w:rPr>
                <w:rFonts w:eastAsia="楷体"/>
                <w:color w:val="000000"/>
                <w:szCs w:val="21"/>
              </w:rPr>
            </w:pPr>
            <w:r>
              <w:rPr>
                <w:rFonts w:eastAsia="楷体"/>
                <w:szCs w:val="21"/>
              </w:rPr>
              <w:t>岩心分析方法</w:t>
            </w:r>
          </w:p>
        </w:tc>
      </w:tr>
      <w:tr w14:paraId="413791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Pr>
          <w:p w14:paraId="6908CDC4">
            <w:pPr>
              <w:spacing w:line="320" w:lineRule="exact"/>
              <w:jc w:val="center"/>
              <w:rPr>
                <w:rFonts w:eastAsia="楷体"/>
                <w:color w:val="000000"/>
                <w:szCs w:val="21"/>
              </w:rPr>
            </w:pPr>
            <w:r>
              <w:rPr>
                <w:rFonts w:eastAsia="楷体"/>
                <w:color w:val="000000"/>
                <w:szCs w:val="21"/>
              </w:rPr>
              <w:t>5</w:t>
            </w:r>
          </w:p>
        </w:tc>
        <w:tc>
          <w:tcPr>
            <w:tcW w:w="2268" w:type="dxa"/>
          </w:tcPr>
          <w:p w14:paraId="11CAC201">
            <w:pPr>
              <w:spacing w:line="320" w:lineRule="exact"/>
              <w:rPr>
                <w:rFonts w:eastAsia="楷体"/>
                <w:szCs w:val="21"/>
              </w:rPr>
            </w:pPr>
            <w:r>
              <w:rPr>
                <w:rFonts w:eastAsia="楷体"/>
              </w:rPr>
              <w:t>SY/T 0532-2012</w:t>
            </w:r>
          </w:p>
        </w:tc>
        <w:tc>
          <w:tcPr>
            <w:tcW w:w="4932" w:type="dxa"/>
          </w:tcPr>
          <w:p w14:paraId="2A816620">
            <w:pPr>
              <w:spacing w:line="320" w:lineRule="exact"/>
              <w:rPr>
                <w:rFonts w:eastAsia="楷体"/>
              </w:rPr>
            </w:pPr>
            <w:r>
              <w:rPr>
                <w:rFonts w:eastAsia="楷体"/>
              </w:rPr>
              <w:t>油田注入水细菌分析方法 绝迹稀释法</w:t>
            </w:r>
          </w:p>
        </w:tc>
      </w:tr>
      <w:tr w14:paraId="1ECC71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Pr>
          <w:p w14:paraId="639DF484">
            <w:pPr>
              <w:spacing w:line="320" w:lineRule="exact"/>
              <w:jc w:val="center"/>
              <w:rPr>
                <w:rFonts w:eastAsia="楷体"/>
                <w:color w:val="000000"/>
                <w:szCs w:val="21"/>
              </w:rPr>
            </w:pPr>
            <w:r>
              <w:rPr>
                <w:rFonts w:eastAsia="楷体"/>
                <w:color w:val="000000"/>
                <w:szCs w:val="21"/>
              </w:rPr>
              <w:t>6</w:t>
            </w:r>
          </w:p>
        </w:tc>
        <w:tc>
          <w:tcPr>
            <w:tcW w:w="2268" w:type="dxa"/>
          </w:tcPr>
          <w:p w14:paraId="3DBA4EB6">
            <w:pPr>
              <w:spacing w:line="320" w:lineRule="exact"/>
              <w:rPr>
                <w:rFonts w:eastAsia="楷体"/>
              </w:rPr>
            </w:pPr>
            <w:r>
              <w:rPr>
                <w:rFonts w:eastAsia="楷体"/>
              </w:rPr>
              <w:t>SY/T 5329-2012</w:t>
            </w:r>
          </w:p>
        </w:tc>
        <w:tc>
          <w:tcPr>
            <w:tcW w:w="4932" w:type="dxa"/>
          </w:tcPr>
          <w:p w14:paraId="2F6A5F08">
            <w:pPr>
              <w:spacing w:line="320" w:lineRule="exact"/>
              <w:rPr>
                <w:rFonts w:eastAsia="楷体"/>
              </w:rPr>
            </w:pPr>
            <w:r>
              <w:rPr>
                <w:rFonts w:eastAsia="楷体"/>
              </w:rPr>
              <w:t>碎屑岩油藏注入水水质指标及分析方法</w:t>
            </w:r>
          </w:p>
        </w:tc>
      </w:tr>
      <w:tr w14:paraId="21A7FD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Pr>
          <w:p w14:paraId="48D51B73">
            <w:pPr>
              <w:spacing w:line="320" w:lineRule="exact"/>
              <w:jc w:val="center"/>
              <w:rPr>
                <w:rFonts w:eastAsia="楷体"/>
                <w:color w:val="000000"/>
                <w:szCs w:val="21"/>
              </w:rPr>
            </w:pPr>
            <w:r>
              <w:rPr>
                <w:rFonts w:eastAsia="楷体"/>
                <w:color w:val="000000"/>
                <w:szCs w:val="21"/>
              </w:rPr>
              <w:t>7</w:t>
            </w:r>
          </w:p>
        </w:tc>
        <w:tc>
          <w:tcPr>
            <w:tcW w:w="2268" w:type="dxa"/>
          </w:tcPr>
          <w:p w14:paraId="328AEDE9">
            <w:pPr>
              <w:spacing w:line="320" w:lineRule="exact"/>
              <w:rPr>
                <w:rFonts w:eastAsia="楷体"/>
              </w:rPr>
            </w:pPr>
            <w:r>
              <w:rPr>
                <w:rFonts w:eastAsia="楷体"/>
              </w:rPr>
              <w:t>SY/T 5370-2018</w:t>
            </w:r>
          </w:p>
        </w:tc>
        <w:tc>
          <w:tcPr>
            <w:tcW w:w="4932" w:type="dxa"/>
          </w:tcPr>
          <w:p w14:paraId="16D5C309">
            <w:pPr>
              <w:spacing w:line="320" w:lineRule="exact"/>
              <w:rPr>
                <w:rFonts w:eastAsia="楷体"/>
              </w:rPr>
            </w:pPr>
            <w:r>
              <w:rPr>
                <w:rFonts w:eastAsia="楷体"/>
              </w:rPr>
              <w:t>表面及界面张力测定方法</w:t>
            </w:r>
          </w:p>
        </w:tc>
      </w:tr>
      <w:tr w14:paraId="296ED0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Pr>
          <w:p w14:paraId="4146CED4">
            <w:pPr>
              <w:spacing w:line="320" w:lineRule="exact"/>
              <w:jc w:val="center"/>
              <w:rPr>
                <w:rFonts w:eastAsia="楷体"/>
                <w:color w:val="000000"/>
                <w:szCs w:val="21"/>
              </w:rPr>
            </w:pPr>
            <w:r>
              <w:rPr>
                <w:rFonts w:eastAsia="楷体"/>
                <w:color w:val="000000"/>
                <w:szCs w:val="21"/>
              </w:rPr>
              <w:t>8</w:t>
            </w:r>
          </w:p>
        </w:tc>
        <w:tc>
          <w:tcPr>
            <w:tcW w:w="2268" w:type="dxa"/>
          </w:tcPr>
          <w:p w14:paraId="547972D5">
            <w:pPr>
              <w:spacing w:line="320" w:lineRule="exact"/>
              <w:rPr>
                <w:rFonts w:eastAsia="楷体"/>
              </w:rPr>
            </w:pPr>
            <w:r>
              <w:rPr>
                <w:rFonts w:eastAsia="楷体"/>
              </w:rPr>
              <w:t>SY/T 5523-2016</w:t>
            </w:r>
          </w:p>
        </w:tc>
        <w:tc>
          <w:tcPr>
            <w:tcW w:w="4932" w:type="dxa"/>
          </w:tcPr>
          <w:p w14:paraId="52372AB9">
            <w:pPr>
              <w:spacing w:line="320" w:lineRule="exact"/>
              <w:rPr>
                <w:rFonts w:eastAsia="楷体"/>
              </w:rPr>
            </w:pPr>
            <w:r>
              <w:rPr>
                <w:rFonts w:eastAsia="楷体"/>
              </w:rPr>
              <w:t>油田水分析方法</w:t>
            </w:r>
          </w:p>
        </w:tc>
      </w:tr>
      <w:tr w14:paraId="59381D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Pr>
          <w:p w14:paraId="1B4C2668">
            <w:pPr>
              <w:spacing w:line="320" w:lineRule="exact"/>
              <w:jc w:val="center"/>
              <w:rPr>
                <w:rFonts w:eastAsia="楷体"/>
                <w:color w:val="000000"/>
                <w:szCs w:val="21"/>
              </w:rPr>
            </w:pPr>
            <w:r>
              <w:rPr>
                <w:rFonts w:eastAsia="楷体"/>
                <w:color w:val="000000"/>
                <w:szCs w:val="21"/>
              </w:rPr>
              <w:t>9</w:t>
            </w:r>
          </w:p>
        </w:tc>
        <w:tc>
          <w:tcPr>
            <w:tcW w:w="2268" w:type="dxa"/>
          </w:tcPr>
          <w:p w14:paraId="536A1B87">
            <w:pPr>
              <w:spacing w:line="320" w:lineRule="exact"/>
              <w:rPr>
                <w:rFonts w:eastAsia="楷体"/>
              </w:rPr>
            </w:pPr>
            <w:r>
              <w:rPr>
                <w:rFonts w:eastAsia="楷体"/>
              </w:rPr>
              <w:t>SY/T 5579.1-2008</w:t>
            </w:r>
          </w:p>
        </w:tc>
        <w:tc>
          <w:tcPr>
            <w:tcW w:w="4932" w:type="dxa"/>
          </w:tcPr>
          <w:p w14:paraId="28AEE947">
            <w:pPr>
              <w:spacing w:line="320" w:lineRule="exact"/>
              <w:rPr>
                <w:rFonts w:eastAsia="楷体"/>
              </w:rPr>
            </w:pPr>
            <w:r>
              <w:rPr>
                <w:rFonts w:eastAsia="楷体"/>
              </w:rPr>
              <w:t>油藏描述方法第1部分：总则</w:t>
            </w:r>
          </w:p>
        </w:tc>
      </w:tr>
      <w:tr w14:paraId="060167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8" w:type="dxa"/>
          </w:tcPr>
          <w:p w14:paraId="18FDB67F">
            <w:pPr>
              <w:spacing w:line="320" w:lineRule="exact"/>
              <w:jc w:val="center"/>
              <w:rPr>
                <w:rFonts w:eastAsia="楷体"/>
                <w:color w:val="000000"/>
                <w:szCs w:val="21"/>
              </w:rPr>
            </w:pPr>
            <w:r>
              <w:rPr>
                <w:rFonts w:eastAsia="楷体"/>
                <w:color w:val="000000"/>
                <w:szCs w:val="21"/>
              </w:rPr>
              <w:t>10</w:t>
            </w:r>
          </w:p>
        </w:tc>
        <w:tc>
          <w:tcPr>
            <w:tcW w:w="2268" w:type="dxa"/>
          </w:tcPr>
          <w:p w14:paraId="584EF470">
            <w:pPr>
              <w:spacing w:line="320" w:lineRule="exact"/>
              <w:rPr>
                <w:rFonts w:eastAsia="楷体"/>
              </w:rPr>
            </w:pPr>
            <w:r>
              <w:rPr>
                <w:rFonts w:eastAsia="楷体"/>
              </w:rPr>
              <w:t>SY/T 6888-2012</w:t>
            </w:r>
          </w:p>
        </w:tc>
        <w:tc>
          <w:tcPr>
            <w:tcW w:w="4932" w:type="dxa"/>
          </w:tcPr>
          <w:p w14:paraId="68043F68">
            <w:pPr>
              <w:spacing w:line="320" w:lineRule="exact"/>
              <w:rPr>
                <w:rFonts w:eastAsia="楷体"/>
              </w:rPr>
            </w:pPr>
            <w:r>
              <w:rPr>
                <w:rFonts w:eastAsia="楷体"/>
              </w:rPr>
              <w:t>微生物驱油技术规范</w:t>
            </w:r>
          </w:p>
        </w:tc>
      </w:tr>
    </w:tbl>
    <w:p w14:paraId="0BCB0902">
      <w:pPr>
        <w:spacing w:line="360" w:lineRule="auto"/>
        <w:ind w:firstLine="480" w:firstLineChars="200"/>
        <w:rPr>
          <w:rFonts w:eastAsia="楷体"/>
          <w:color w:val="000000"/>
          <w:sz w:val="24"/>
        </w:rPr>
      </w:pPr>
      <w:r>
        <w:rPr>
          <w:rFonts w:eastAsia="楷体"/>
          <w:color w:val="000000"/>
          <w:sz w:val="24"/>
        </w:rPr>
        <w:t>2、本标准涉及的实验检测内容及方法</w:t>
      </w:r>
    </w:p>
    <w:p w14:paraId="07254847">
      <w:pPr>
        <w:spacing w:line="360" w:lineRule="auto"/>
        <w:ind w:firstLine="480" w:firstLineChars="200"/>
        <w:rPr>
          <w:rFonts w:eastAsia="楷体"/>
          <w:color w:val="000000"/>
          <w:sz w:val="24"/>
        </w:rPr>
      </w:pPr>
      <w:r>
        <w:rPr>
          <w:rFonts w:hint="eastAsia" w:ascii="宋体" w:hAnsi="宋体" w:cs="宋体"/>
          <w:color w:val="000000"/>
          <w:sz w:val="24"/>
        </w:rPr>
        <w:t>①</w:t>
      </w:r>
      <w:r>
        <w:rPr>
          <w:rFonts w:eastAsia="楷体"/>
          <w:color w:val="000000"/>
          <w:sz w:val="24"/>
        </w:rPr>
        <w:t>本标准涉及的检测和实验内容</w:t>
      </w:r>
    </w:p>
    <w:p w14:paraId="6E8A28AA">
      <w:pPr>
        <w:spacing w:line="360" w:lineRule="auto"/>
        <w:ind w:firstLine="480" w:firstLineChars="200"/>
        <w:rPr>
          <w:rFonts w:eastAsia="楷体"/>
          <w:color w:val="000000"/>
          <w:sz w:val="24"/>
        </w:rPr>
      </w:pPr>
      <w:r>
        <w:rPr>
          <w:rFonts w:eastAsia="楷体"/>
          <w:color w:val="000000"/>
          <w:sz w:val="24"/>
        </w:rPr>
        <w:t>本标准涉及的主要检测和实验内容包括：地层水和注入水中烃氧化菌、甲烷产生菌和硫酸盐还原菌浓度；内源微生物有氧激活；内源微生物无氧激活；激活体系表面张力；激活体系C2～C4挥发性脂肪酸（乙酸、丙酸和丁酸）浓度；驱油效率。</w:t>
      </w:r>
    </w:p>
    <w:p w14:paraId="5BB2E217">
      <w:pPr>
        <w:spacing w:line="360" w:lineRule="auto"/>
        <w:ind w:firstLine="480" w:firstLineChars="200"/>
        <w:rPr>
          <w:rFonts w:eastAsia="楷体"/>
          <w:color w:val="000000"/>
          <w:sz w:val="24"/>
        </w:rPr>
      </w:pPr>
      <w:r>
        <w:rPr>
          <w:rFonts w:hint="eastAsia" w:ascii="宋体" w:hAnsi="宋体" w:cs="宋体"/>
          <w:color w:val="000000"/>
          <w:sz w:val="24"/>
        </w:rPr>
        <w:t>②</w:t>
      </w:r>
      <w:r>
        <w:rPr>
          <w:rFonts w:eastAsia="楷体"/>
          <w:color w:val="000000"/>
          <w:sz w:val="24"/>
        </w:rPr>
        <w:t>本标准涉及检测和实验的测试方法</w:t>
      </w:r>
    </w:p>
    <w:p w14:paraId="02BB04C6">
      <w:pPr>
        <w:spacing w:line="360" w:lineRule="auto"/>
        <w:ind w:firstLine="480" w:firstLineChars="200"/>
        <w:rPr>
          <w:rFonts w:eastAsia="楷体"/>
          <w:color w:val="000000"/>
          <w:sz w:val="24"/>
        </w:rPr>
      </w:pPr>
      <w:r>
        <w:rPr>
          <w:rFonts w:eastAsia="楷体"/>
          <w:color w:val="000000"/>
          <w:sz w:val="24"/>
        </w:rPr>
        <w:t>地层水和注入水中烃氧化菌、甲烷产生菌和硫酸盐还原菌浓度：结合低渗透油藏内源微生物种类特性，烃氧化菌和甲烷产生菌参考SY/T 6888-2012中附录A烃氧化菌、反硝化菌、产甲烷菌和厌氧发酵菌的分析方法执行（</w:t>
      </w:r>
      <w:r>
        <w:rPr>
          <w:rFonts w:eastAsia="楷体"/>
          <w:sz w:val="24"/>
        </w:rPr>
        <w:t>剔除附录A中</w:t>
      </w:r>
      <w:r>
        <w:rPr>
          <w:rFonts w:eastAsia="楷体"/>
          <w:color w:val="000000"/>
          <w:sz w:val="24"/>
        </w:rPr>
        <w:t>反硝化菌和厌氧发酵菌浓度测试</w:t>
      </w:r>
      <w:r>
        <w:rPr>
          <w:rFonts w:eastAsia="楷体"/>
          <w:szCs w:val="21"/>
        </w:rPr>
        <w:t>）</w:t>
      </w:r>
      <w:r>
        <w:rPr>
          <w:rFonts w:eastAsia="楷体"/>
          <w:color w:val="000000"/>
          <w:sz w:val="24"/>
        </w:rPr>
        <w:t>。硫酸盐还原菌参照SY/T 0532-2012的分析方法执行。</w:t>
      </w:r>
    </w:p>
    <w:p w14:paraId="0534A96D">
      <w:pPr>
        <w:spacing w:line="360" w:lineRule="auto"/>
        <w:ind w:firstLine="480" w:firstLineChars="200"/>
        <w:rPr>
          <w:rFonts w:eastAsia="楷体"/>
          <w:color w:val="000000"/>
          <w:sz w:val="24"/>
        </w:rPr>
      </w:pPr>
      <w:r>
        <w:rPr>
          <w:rFonts w:eastAsia="楷体"/>
          <w:color w:val="000000"/>
          <w:sz w:val="24"/>
        </w:rPr>
        <w:t>内源微生物有氧激活：结合低渗透油藏温度、矿化度等物性，通过震荡、恒温孵育箱匀速转动等通的方式，模拟近井地带有氧和微氧环境，激活好氧驱油功能微生物，并将好氧驱油功能微生物-烃氧化菌浓度、激活体系表面张力以及有氧激活代谢产物乙酸作为有氧激活过程监测和激活效果评价指标。</w:t>
      </w:r>
    </w:p>
    <w:p w14:paraId="5211556A">
      <w:pPr>
        <w:spacing w:line="360" w:lineRule="auto"/>
        <w:ind w:firstLine="480" w:firstLineChars="200"/>
        <w:rPr>
          <w:rFonts w:eastAsia="楷体"/>
          <w:color w:val="000000"/>
          <w:sz w:val="24"/>
        </w:rPr>
      </w:pPr>
      <w:r>
        <w:rPr>
          <w:rFonts w:eastAsia="楷体"/>
          <w:color w:val="000000"/>
          <w:sz w:val="24"/>
        </w:rPr>
        <w:t>内源微生物无氧激活：结合低渗透油藏温度、矿化度等物性，通过除氧、厌氧瓶静止培养，模拟远井地带无氧环境，激活厌氧驱油功能微生物，并将主要厌氧驱油功能微生物-甲烷产生菌浓度、无氧激活代谢产物C2～C4挥发性脂肪酸和原油乳化作为无氧激活过程监测和激活效果评价指标。</w:t>
      </w:r>
    </w:p>
    <w:p w14:paraId="252F01D0">
      <w:pPr>
        <w:spacing w:line="360" w:lineRule="auto"/>
        <w:ind w:firstLine="480" w:firstLineChars="200"/>
        <w:rPr>
          <w:rFonts w:eastAsia="楷体"/>
          <w:color w:val="000000"/>
          <w:sz w:val="24"/>
        </w:rPr>
      </w:pPr>
      <w:r>
        <w:rPr>
          <w:rFonts w:eastAsia="楷体"/>
          <w:color w:val="000000"/>
          <w:sz w:val="24"/>
        </w:rPr>
        <w:t>激活体系表面张力：表面张力的测定按SY/T 5370-2018中7.2.1</w:t>
      </w:r>
      <w:r>
        <w:rPr>
          <w:rFonts w:eastAsia="楷体"/>
          <w:sz w:val="24"/>
        </w:rPr>
        <w:t>圆环法测定表面张力</w:t>
      </w:r>
      <w:r>
        <w:rPr>
          <w:rFonts w:eastAsia="楷体"/>
          <w:color w:val="000000"/>
          <w:sz w:val="24"/>
        </w:rPr>
        <w:t>执行。</w:t>
      </w:r>
    </w:p>
    <w:p w14:paraId="2189657E">
      <w:pPr>
        <w:spacing w:line="360" w:lineRule="auto"/>
        <w:ind w:firstLine="480" w:firstLineChars="200"/>
        <w:rPr>
          <w:rFonts w:eastAsia="楷体"/>
          <w:kern w:val="0"/>
          <w:szCs w:val="21"/>
        </w:rPr>
      </w:pPr>
      <w:r>
        <w:rPr>
          <w:rFonts w:eastAsia="楷体"/>
          <w:color w:val="000000"/>
          <w:sz w:val="24"/>
        </w:rPr>
        <w:t>激活体系C2～C4挥发性脂肪酸浓度：采用外标法将被测样品与标准样品分别进行气相色谱分析，通过标准样品标准曲线，计算并得到测试样品中C2～C4挥发性脂肪酸浓度。</w:t>
      </w:r>
    </w:p>
    <w:p w14:paraId="432E1CF3">
      <w:pPr>
        <w:spacing w:line="360" w:lineRule="auto"/>
        <w:ind w:firstLine="480" w:firstLineChars="200"/>
        <w:rPr>
          <w:rFonts w:eastAsia="楷体"/>
          <w:color w:val="000000"/>
          <w:sz w:val="24"/>
        </w:rPr>
      </w:pPr>
      <w:r>
        <w:rPr>
          <w:rFonts w:eastAsia="楷体"/>
          <w:color w:val="000000"/>
          <w:sz w:val="24"/>
        </w:rPr>
        <w:t>驱油效率：参考SY/T 6424-2000中7复合驱油体系物理模拟驱油效果测试执行。</w:t>
      </w:r>
    </w:p>
    <w:p w14:paraId="7D91A048">
      <w:pPr>
        <w:spacing w:line="360" w:lineRule="auto"/>
        <w:ind w:firstLine="480" w:firstLineChars="200"/>
        <w:rPr>
          <w:rFonts w:eastAsia="楷体"/>
          <w:color w:val="000000"/>
          <w:sz w:val="24"/>
        </w:rPr>
      </w:pPr>
      <w:r>
        <w:rPr>
          <w:rFonts w:eastAsia="楷体"/>
          <w:color w:val="000000"/>
          <w:sz w:val="24"/>
        </w:rPr>
        <w:t>3、本标准涉及的部分实验方法的验证</w:t>
      </w:r>
    </w:p>
    <w:p w14:paraId="3A2A079C">
      <w:pPr>
        <w:spacing w:line="360" w:lineRule="auto"/>
        <w:ind w:firstLine="480" w:firstLineChars="200"/>
        <w:rPr>
          <w:rFonts w:eastAsia="楷体"/>
          <w:color w:val="000000"/>
          <w:sz w:val="24"/>
        </w:rPr>
      </w:pPr>
      <w:r>
        <w:rPr>
          <w:rFonts w:eastAsia="楷体"/>
          <w:color w:val="000000"/>
          <w:sz w:val="24"/>
        </w:rPr>
        <w:t>（1）烃氧化菌、甲烷还原菌和硫酸盐还原菌浓度测试</w:t>
      </w:r>
    </w:p>
    <w:p w14:paraId="6B776CB1">
      <w:pPr>
        <w:spacing w:line="360" w:lineRule="auto"/>
        <w:ind w:firstLine="480" w:firstLineChars="200"/>
        <w:rPr>
          <w:rFonts w:eastAsia="楷体"/>
          <w:color w:val="000000"/>
          <w:sz w:val="24"/>
        </w:rPr>
      </w:pPr>
      <w:r>
        <w:rPr>
          <w:rFonts w:eastAsia="楷体"/>
          <w:color w:val="000000"/>
          <w:sz w:val="24"/>
        </w:rPr>
        <w:t>对本标准适用的陕北鄂尔多斯盆地低（特低）渗透油藏地层水、注入水中的烃氧化菌（HOB）、甲烷还原菌（MPB）和硫酸盐还原菌（SRB）进行浓度测定。测试样品来自延长低渗透油田长2、长6油藏地层水</w:t>
      </w:r>
      <w:r>
        <w:rPr>
          <w:rFonts w:hint="eastAsia" w:eastAsia="楷体"/>
          <w:color w:val="000000"/>
          <w:sz w:val="24"/>
        </w:rPr>
        <w:t>和</w:t>
      </w:r>
      <w:r>
        <w:rPr>
          <w:rFonts w:eastAsia="楷体"/>
          <w:color w:val="000000"/>
          <w:sz w:val="24"/>
        </w:rPr>
        <w:t>注入水。测定结果见表2。</w:t>
      </w:r>
    </w:p>
    <w:p w14:paraId="1F269247">
      <w:pPr>
        <w:spacing w:line="360" w:lineRule="auto"/>
        <w:ind w:firstLine="420" w:firstLineChars="200"/>
        <w:jc w:val="center"/>
        <w:rPr>
          <w:rFonts w:eastAsia="楷体"/>
          <w:color w:val="000000"/>
          <w:szCs w:val="21"/>
        </w:rPr>
      </w:pPr>
    </w:p>
    <w:p w14:paraId="408B6AEC">
      <w:pPr>
        <w:spacing w:line="360" w:lineRule="auto"/>
        <w:ind w:firstLine="420" w:firstLineChars="200"/>
        <w:jc w:val="center"/>
        <w:rPr>
          <w:rFonts w:eastAsia="楷体"/>
          <w:color w:val="000000"/>
          <w:szCs w:val="21"/>
        </w:rPr>
      </w:pPr>
      <w:r>
        <w:rPr>
          <w:rFonts w:eastAsia="楷体"/>
          <w:color w:val="000000"/>
          <w:szCs w:val="21"/>
        </w:rPr>
        <w:t>表2  HOB、MPB和SRB浓度测定方法验证结果</w:t>
      </w:r>
    </w:p>
    <w:tbl>
      <w:tblPr>
        <w:tblStyle w:val="7"/>
        <w:tblW w:w="829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43"/>
        <w:gridCol w:w="1129"/>
        <w:gridCol w:w="837"/>
        <w:gridCol w:w="875"/>
        <w:gridCol w:w="844"/>
        <w:gridCol w:w="875"/>
        <w:gridCol w:w="884"/>
        <w:gridCol w:w="1005"/>
      </w:tblGrid>
      <w:tr w14:paraId="35040D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gridSpan w:val="2"/>
          </w:tcPr>
          <w:p w14:paraId="7688E0EF">
            <w:pPr>
              <w:spacing w:line="360" w:lineRule="exact"/>
              <w:jc w:val="center"/>
              <w:rPr>
                <w:rFonts w:eastAsia="楷体"/>
                <w:color w:val="000000"/>
                <w:szCs w:val="21"/>
              </w:rPr>
            </w:pPr>
            <w:r>
              <w:rPr>
                <w:rFonts w:eastAsia="楷体"/>
                <w:color w:val="000000"/>
                <w:szCs w:val="21"/>
              </w:rPr>
              <w:t>样品类型</w:t>
            </w:r>
          </w:p>
        </w:tc>
        <w:tc>
          <w:tcPr>
            <w:tcW w:w="2556" w:type="dxa"/>
            <w:gridSpan w:val="3"/>
          </w:tcPr>
          <w:p w14:paraId="561D5DCA">
            <w:pPr>
              <w:spacing w:line="360" w:lineRule="exact"/>
              <w:jc w:val="center"/>
              <w:rPr>
                <w:rFonts w:eastAsia="楷体"/>
                <w:color w:val="000000"/>
                <w:szCs w:val="21"/>
              </w:rPr>
            </w:pPr>
            <w:r>
              <w:rPr>
                <w:rFonts w:eastAsia="楷体"/>
                <w:color w:val="000000"/>
                <w:szCs w:val="21"/>
              </w:rPr>
              <w:t>地层水</w:t>
            </w:r>
          </w:p>
        </w:tc>
        <w:tc>
          <w:tcPr>
            <w:tcW w:w="2764" w:type="dxa"/>
            <w:gridSpan w:val="3"/>
          </w:tcPr>
          <w:p w14:paraId="5CB2D161">
            <w:pPr>
              <w:spacing w:line="360" w:lineRule="exact"/>
              <w:jc w:val="center"/>
              <w:rPr>
                <w:rFonts w:eastAsia="楷体"/>
                <w:color w:val="000000"/>
                <w:szCs w:val="21"/>
              </w:rPr>
            </w:pPr>
            <w:r>
              <w:rPr>
                <w:rFonts w:eastAsia="楷体"/>
                <w:color w:val="000000"/>
                <w:szCs w:val="21"/>
              </w:rPr>
              <w:t>注入水</w:t>
            </w:r>
          </w:p>
        </w:tc>
      </w:tr>
      <w:tr w14:paraId="33A90D7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gridSpan w:val="2"/>
          </w:tcPr>
          <w:p w14:paraId="777C3D63">
            <w:pPr>
              <w:spacing w:line="360" w:lineRule="exact"/>
              <w:jc w:val="center"/>
              <w:rPr>
                <w:rFonts w:eastAsia="楷体"/>
                <w:color w:val="000000"/>
                <w:szCs w:val="21"/>
              </w:rPr>
            </w:pPr>
            <w:r>
              <w:rPr>
                <w:rFonts w:eastAsia="楷体"/>
                <w:color w:val="000000"/>
                <w:szCs w:val="21"/>
              </w:rPr>
              <w:t>菌种类型</w:t>
            </w:r>
          </w:p>
        </w:tc>
        <w:tc>
          <w:tcPr>
            <w:tcW w:w="837" w:type="dxa"/>
          </w:tcPr>
          <w:p w14:paraId="744BFE91">
            <w:pPr>
              <w:spacing w:line="360" w:lineRule="exact"/>
              <w:jc w:val="center"/>
              <w:rPr>
                <w:rFonts w:eastAsia="楷体"/>
                <w:color w:val="000000"/>
                <w:szCs w:val="21"/>
              </w:rPr>
            </w:pPr>
            <w:r>
              <w:rPr>
                <w:rFonts w:eastAsia="楷体"/>
                <w:color w:val="000000"/>
                <w:szCs w:val="21"/>
              </w:rPr>
              <w:t>HOB</w:t>
            </w:r>
          </w:p>
        </w:tc>
        <w:tc>
          <w:tcPr>
            <w:tcW w:w="875" w:type="dxa"/>
          </w:tcPr>
          <w:p w14:paraId="2271E768">
            <w:pPr>
              <w:spacing w:line="360" w:lineRule="exact"/>
              <w:jc w:val="center"/>
              <w:rPr>
                <w:rFonts w:eastAsia="楷体"/>
                <w:color w:val="000000"/>
                <w:szCs w:val="21"/>
              </w:rPr>
            </w:pPr>
            <w:r>
              <w:rPr>
                <w:rFonts w:eastAsia="楷体"/>
                <w:color w:val="000000"/>
                <w:szCs w:val="21"/>
              </w:rPr>
              <w:t>MPB</w:t>
            </w:r>
          </w:p>
        </w:tc>
        <w:tc>
          <w:tcPr>
            <w:tcW w:w="844" w:type="dxa"/>
          </w:tcPr>
          <w:p w14:paraId="06C73576">
            <w:pPr>
              <w:spacing w:line="360" w:lineRule="exact"/>
              <w:jc w:val="center"/>
              <w:rPr>
                <w:rFonts w:eastAsia="楷体"/>
                <w:color w:val="000000"/>
                <w:szCs w:val="21"/>
              </w:rPr>
            </w:pPr>
            <w:r>
              <w:rPr>
                <w:rFonts w:eastAsia="楷体"/>
                <w:color w:val="000000"/>
                <w:szCs w:val="21"/>
              </w:rPr>
              <w:t>SRB</w:t>
            </w:r>
          </w:p>
        </w:tc>
        <w:tc>
          <w:tcPr>
            <w:tcW w:w="875" w:type="dxa"/>
          </w:tcPr>
          <w:p w14:paraId="235A9795">
            <w:pPr>
              <w:spacing w:line="360" w:lineRule="exact"/>
              <w:jc w:val="center"/>
              <w:rPr>
                <w:rFonts w:eastAsia="楷体"/>
                <w:color w:val="000000"/>
                <w:szCs w:val="21"/>
              </w:rPr>
            </w:pPr>
            <w:r>
              <w:rPr>
                <w:rFonts w:eastAsia="楷体"/>
                <w:color w:val="000000"/>
                <w:szCs w:val="21"/>
              </w:rPr>
              <w:t>HOB</w:t>
            </w:r>
          </w:p>
        </w:tc>
        <w:tc>
          <w:tcPr>
            <w:tcW w:w="884" w:type="dxa"/>
          </w:tcPr>
          <w:p w14:paraId="6575ECF1">
            <w:pPr>
              <w:spacing w:line="360" w:lineRule="exact"/>
              <w:jc w:val="center"/>
              <w:rPr>
                <w:rFonts w:eastAsia="楷体"/>
                <w:color w:val="000000"/>
                <w:szCs w:val="21"/>
              </w:rPr>
            </w:pPr>
            <w:r>
              <w:rPr>
                <w:rFonts w:eastAsia="楷体"/>
                <w:color w:val="000000"/>
                <w:szCs w:val="21"/>
              </w:rPr>
              <w:t>MPB</w:t>
            </w:r>
          </w:p>
        </w:tc>
        <w:tc>
          <w:tcPr>
            <w:tcW w:w="1005" w:type="dxa"/>
          </w:tcPr>
          <w:p w14:paraId="780FD421">
            <w:pPr>
              <w:spacing w:line="360" w:lineRule="exact"/>
              <w:jc w:val="center"/>
              <w:rPr>
                <w:rFonts w:eastAsia="楷体"/>
                <w:color w:val="000000"/>
                <w:szCs w:val="21"/>
              </w:rPr>
            </w:pPr>
            <w:r>
              <w:rPr>
                <w:rFonts w:eastAsia="楷体"/>
                <w:color w:val="000000"/>
                <w:szCs w:val="21"/>
              </w:rPr>
              <w:t>SRB</w:t>
            </w:r>
          </w:p>
        </w:tc>
      </w:tr>
      <w:tr w14:paraId="40CCD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Merge w:val="restart"/>
          </w:tcPr>
          <w:p w14:paraId="6B8CD55C">
            <w:pPr>
              <w:spacing w:line="360" w:lineRule="exact"/>
              <w:jc w:val="center"/>
              <w:rPr>
                <w:rFonts w:eastAsia="楷体"/>
                <w:color w:val="000000"/>
                <w:szCs w:val="21"/>
              </w:rPr>
            </w:pPr>
            <w:r>
              <w:rPr>
                <w:rFonts w:eastAsia="楷体"/>
                <w:color w:val="000000"/>
                <w:szCs w:val="21"/>
              </w:rPr>
              <w:t>浓度测定</w:t>
            </w:r>
          </w:p>
          <w:p w14:paraId="41595661">
            <w:pPr>
              <w:spacing w:line="360" w:lineRule="exact"/>
              <w:jc w:val="center"/>
              <w:rPr>
                <w:rFonts w:eastAsia="楷体"/>
                <w:color w:val="000000"/>
                <w:szCs w:val="21"/>
              </w:rPr>
            </w:pPr>
            <w:r>
              <w:rPr>
                <w:rFonts w:eastAsia="楷体"/>
                <w:color w:val="000000"/>
                <w:szCs w:val="21"/>
              </w:rPr>
              <w:t>（x10</w:t>
            </w:r>
            <w:r>
              <w:rPr>
                <w:rFonts w:eastAsia="楷体"/>
                <w:color w:val="000000"/>
                <w:szCs w:val="21"/>
                <w:vertAlign w:val="superscript"/>
              </w:rPr>
              <w:t>2</w:t>
            </w:r>
            <w:r>
              <w:rPr>
                <w:rFonts w:eastAsia="楷体"/>
                <w:color w:val="000000"/>
                <w:szCs w:val="21"/>
              </w:rPr>
              <w:t>cfu/mL）</w:t>
            </w:r>
          </w:p>
        </w:tc>
        <w:tc>
          <w:tcPr>
            <w:tcW w:w="1129" w:type="dxa"/>
          </w:tcPr>
          <w:p w14:paraId="7776FEE6">
            <w:pPr>
              <w:spacing w:line="360" w:lineRule="exact"/>
              <w:jc w:val="center"/>
              <w:rPr>
                <w:rFonts w:eastAsia="楷体"/>
                <w:color w:val="000000"/>
                <w:szCs w:val="21"/>
              </w:rPr>
            </w:pPr>
            <w:r>
              <w:rPr>
                <w:rFonts w:eastAsia="楷体"/>
                <w:color w:val="000000"/>
                <w:szCs w:val="21"/>
              </w:rPr>
              <w:t>平行样1</w:t>
            </w:r>
          </w:p>
        </w:tc>
        <w:tc>
          <w:tcPr>
            <w:tcW w:w="837" w:type="dxa"/>
          </w:tcPr>
          <w:p w14:paraId="2B1DA7E1">
            <w:pPr>
              <w:spacing w:line="360" w:lineRule="exact"/>
              <w:jc w:val="center"/>
              <w:rPr>
                <w:rFonts w:eastAsia="楷体"/>
                <w:color w:val="000000"/>
                <w:szCs w:val="21"/>
              </w:rPr>
            </w:pPr>
            <w:r>
              <w:rPr>
                <w:rFonts w:eastAsia="楷体"/>
                <w:color w:val="000000"/>
                <w:szCs w:val="21"/>
              </w:rPr>
              <w:t>1.35</w:t>
            </w:r>
          </w:p>
        </w:tc>
        <w:tc>
          <w:tcPr>
            <w:tcW w:w="875" w:type="dxa"/>
          </w:tcPr>
          <w:p w14:paraId="2BBE32FD">
            <w:pPr>
              <w:spacing w:line="360" w:lineRule="exact"/>
              <w:jc w:val="center"/>
              <w:rPr>
                <w:rFonts w:eastAsia="楷体"/>
                <w:color w:val="000000"/>
                <w:szCs w:val="21"/>
              </w:rPr>
            </w:pPr>
            <w:r>
              <w:rPr>
                <w:rFonts w:eastAsia="楷体"/>
                <w:color w:val="000000"/>
                <w:szCs w:val="21"/>
              </w:rPr>
              <w:t>0.78</w:t>
            </w:r>
          </w:p>
        </w:tc>
        <w:tc>
          <w:tcPr>
            <w:tcW w:w="844" w:type="dxa"/>
          </w:tcPr>
          <w:p w14:paraId="3AB6DBFE">
            <w:pPr>
              <w:spacing w:line="360" w:lineRule="exact"/>
              <w:jc w:val="center"/>
              <w:rPr>
                <w:rFonts w:eastAsia="楷体"/>
                <w:color w:val="000000"/>
                <w:szCs w:val="21"/>
              </w:rPr>
            </w:pPr>
            <w:r>
              <w:rPr>
                <w:rFonts w:eastAsia="楷体"/>
                <w:color w:val="000000"/>
                <w:szCs w:val="21"/>
              </w:rPr>
              <w:t>21.23</w:t>
            </w:r>
          </w:p>
        </w:tc>
        <w:tc>
          <w:tcPr>
            <w:tcW w:w="875" w:type="dxa"/>
          </w:tcPr>
          <w:p w14:paraId="14226F13">
            <w:pPr>
              <w:spacing w:line="360" w:lineRule="exact"/>
              <w:jc w:val="center"/>
              <w:rPr>
                <w:rFonts w:eastAsia="楷体"/>
                <w:color w:val="000000"/>
                <w:szCs w:val="21"/>
              </w:rPr>
            </w:pPr>
            <w:r>
              <w:rPr>
                <w:rFonts w:eastAsia="楷体"/>
                <w:color w:val="000000"/>
                <w:szCs w:val="21"/>
              </w:rPr>
              <w:t>1.01</w:t>
            </w:r>
          </w:p>
        </w:tc>
        <w:tc>
          <w:tcPr>
            <w:tcW w:w="884" w:type="dxa"/>
          </w:tcPr>
          <w:p w14:paraId="080BF08A">
            <w:pPr>
              <w:spacing w:line="360" w:lineRule="exact"/>
              <w:jc w:val="center"/>
              <w:rPr>
                <w:rFonts w:eastAsia="楷体"/>
                <w:color w:val="000000"/>
                <w:szCs w:val="21"/>
              </w:rPr>
            </w:pPr>
            <w:r>
              <w:rPr>
                <w:rFonts w:eastAsia="楷体"/>
                <w:color w:val="000000"/>
                <w:szCs w:val="21"/>
              </w:rPr>
              <w:t>0.24</w:t>
            </w:r>
          </w:p>
        </w:tc>
        <w:tc>
          <w:tcPr>
            <w:tcW w:w="1005" w:type="dxa"/>
          </w:tcPr>
          <w:p w14:paraId="4D17A04B">
            <w:pPr>
              <w:spacing w:line="360" w:lineRule="exact"/>
              <w:jc w:val="center"/>
              <w:rPr>
                <w:rFonts w:eastAsia="楷体"/>
                <w:color w:val="000000"/>
                <w:szCs w:val="21"/>
              </w:rPr>
            </w:pPr>
            <w:r>
              <w:rPr>
                <w:rFonts w:eastAsia="楷体"/>
                <w:color w:val="000000"/>
                <w:szCs w:val="21"/>
              </w:rPr>
              <w:t>10.07</w:t>
            </w:r>
          </w:p>
        </w:tc>
      </w:tr>
      <w:tr w14:paraId="15DA5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843" w:type="dxa"/>
            <w:vMerge w:val="continue"/>
          </w:tcPr>
          <w:p w14:paraId="6F599698">
            <w:pPr>
              <w:spacing w:line="360" w:lineRule="exact"/>
              <w:jc w:val="center"/>
              <w:rPr>
                <w:rFonts w:eastAsia="楷体"/>
                <w:color w:val="000000"/>
                <w:szCs w:val="21"/>
              </w:rPr>
            </w:pPr>
          </w:p>
        </w:tc>
        <w:tc>
          <w:tcPr>
            <w:tcW w:w="1129" w:type="dxa"/>
          </w:tcPr>
          <w:p w14:paraId="0D6F8C18">
            <w:pPr>
              <w:spacing w:line="360" w:lineRule="exact"/>
              <w:jc w:val="center"/>
              <w:rPr>
                <w:rFonts w:eastAsia="楷体"/>
                <w:color w:val="000000"/>
                <w:szCs w:val="21"/>
              </w:rPr>
            </w:pPr>
            <w:r>
              <w:rPr>
                <w:rFonts w:eastAsia="楷体"/>
                <w:color w:val="000000"/>
                <w:szCs w:val="21"/>
              </w:rPr>
              <w:t>平行样2</w:t>
            </w:r>
          </w:p>
        </w:tc>
        <w:tc>
          <w:tcPr>
            <w:tcW w:w="837" w:type="dxa"/>
          </w:tcPr>
          <w:p w14:paraId="0B5E1EC2">
            <w:pPr>
              <w:spacing w:line="360" w:lineRule="exact"/>
              <w:jc w:val="center"/>
              <w:rPr>
                <w:rFonts w:eastAsia="楷体"/>
                <w:color w:val="000000"/>
                <w:szCs w:val="21"/>
              </w:rPr>
            </w:pPr>
            <w:r>
              <w:rPr>
                <w:rFonts w:eastAsia="楷体"/>
                <w:color w:val="000000"/>
                <w:szCs w:val="21"/>
              </w:rPr>
              <w:t>1.39</w:t>
            </w:r>
          </w:p>
        </w:tc>
        <w:tc>
          <w:tcPr>
            <w:tcW w:w="875" w:type="dxa"/>
          </w:tcPr>
          <w:p w14:paraId="34CEA822">
            <w:pPr>
              <w:spacing w:line="360" w:lineRule="exact"/>
              <w:jc w:val="center"/>
              <w:rPr>
                <w:rFonts w:eastAsia="楷体"/>
                <w:color w:val="000000"/>
                <w:szCs w:val="21"/>
              </w:rPr>
            </w:pPr>
            <w:r>
              <w:rPr>
                <w:rFonts w:eastAsia="楷体"/>
                <w:color w:val="000000"/>
                <w:szCs w:val="21"/>
              </w:rPr>
              <w:t>0.65</w:t>
            </w:r>
          </w:p>
        </w:tc>
        <w:tc>
          <w:tcPr>
            <w:tcW w:w="844" w:type="dxa"/>
          </w:tcPr>
          <w:p w14:paraId="7714E7E8">
            <w:pPr>
              <w:spacing w:line="360" w:lineRule="exact"/>
              <w:jc w:val="center"/>
              <w:rPr>
                <w:rFonts w:eastAsia="楷体"/>
                <w:color w:val="000000"/>
                <w:szCs w:val="21"/>
              </w:rPr>
            </w:pPr>
            <w:r>
              <w:rPr>
                <w:rFonts w:eastAsia="楷体"/>
                <w:color w:val="000000"/>
                <w:szCs w:val="21"/>
              </w:rPr>
              <w:t>21.18</w:t>
            </w:r>
          </w:p>
        </w:tc>
        <w:tc>
          <w:tcPr>
            <w:tcW w:w="875" w:type="dxa"/>
          </w:tcPr>
          <w:p w14:paraId="78119B06">
            <w:pPr>
              <w:spacing w:line="360" w:lineRule="exact"/>
              <w:jc w:val="center"/>
              <w:rPr>
                <w:rFonts w:eastAsia="楷体"/>
                <w:color w:val="000000"/>
                <w:szCs w:val="21"/>
              </w:rPr>
            </w:pPr>
            <w:r>
              <w:rPr>
                <w:rFonts w:eastAsia="楷体"/>
                <w:color w:val="000000"/>
                <w:szCs w:val="21"/>
              </w:rPr>
              <w:t>1.07</w:t>
            </w:r>
          </w:p>
        </w:tc>
        <w:tc>
          <w:tcPr>
            <w:tcW w:w="884" w:type="dxa"/>
          </w:tcPr>
          <w:p w14:paraId="56753D2C">
            <w:pPr>
              <w:spacing w:line="360" w:lineRule="exact"/>
              <w:jc w:val="center"/>
              <w:rPr>
                <w:rFonts w:eastAsia="楷体"/>
                <w:color w:val="000000"/>
                <w:szCs w:val="21"/>
              </w:rPr>
            </w:pPr>
            <w:r>
              <w:rPr>
                <w:rFonts w:eastAsia="楷体"/>
                <w:color w:val="000000"/>
                <w:szCs w:val="21"/>
              </w:rPr>
              <w:t>0.32</w:t>
            </w:r>
          </w:p>
        </w:tc>
        <w:tc>
          <w:tcPr>
            <w:tcW w:w="1005" w:type="dxa"/>
          </w:tcPr>
          <w:p w14:paraId="6AB8B4E5">
            <w:pPr>
              <w:spacing w:line="360" w:lineRule="exact"/>
              <w:jc w:val="center"/>
              <w:rPr>
                <w:rFonts w:eastAsia="楷体"/>
                <w:color w:val="000000"/>
                <w:szCs w:val="21"/>
              </w:rPr>
            </w:pPr>
            <w:r>
              <w:rPr>
                <w:rFonts w:eastAsia="楷体"/>
                <w:color w:val="000000"/>
                <w:szCs w:val="21"/>
              </w:rPr>
              <w:t>10.01</w:t>
            </w:r>
          </w:p>
        </w:tc>
      </w:tr>
      <w:tr w14:paraId="2C3506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gridSpan w:val="2"/>
          </w:tcPr>
          <w:p w14:paraId="756331C8">
            <w:pPr>
              <w:spacing w:line="360" w:lineRule="exact"/>
              <w:jc w:val="center"/>
              <w:rPr>
                <w:rFonts w:eastAsia="楷体"/>
                <w:color w:val="000000"/>
                <w:szCs w:val="21"/>
              </w:rPr>
            </w:pPr>
            <w:r>
              <w:rPr>
                <w:rFonts w:eastAsia="楷体"/>
                <w:color w:val="000000"/>
                <w:szCs w:val="21"/>
              </w:rPr>
              <w:t>平均值（x10</w:t>
            </w:r>
            <w:r>
              <w:rPr>
                <w:rFonts w:eastAsia="楷体"/>
                <w:color w:val="000000"/>
                <w:szCs w:val="21"/>
                <w:vertAlign w:val="superscript"/>
              </w:rPr>
              <w:t>2</w:t>
            </w:r>
            <w:r>
              <w:rPr>
                <w:rFonts w:eastAsia="楷体"/>
                <w:color w:val="000000"/>
                <w:szCs w:val="21"/>
              </w:rPr>
              <w:t>cfu/mL）</w:t>
            </w:r>
          </w:p>
        </w:tc>
        <w:tc>
          <w:tcPr>
            <w:tcW w:w="837" w:type="dxa"/>
          </w:tcPr>
          <w:p w14:paraId="7979CC99">
            <w:pPr>
              <w:spacing w:line="360" w:lineRule="exact"/>
              <w:jc w:val="center"/>
              <w:rPr>
                <w:rFonts w:eastAsia="楷体"/>
                <w:color w:val="000000"/>
                <w:szCs w:val="21"/>
              </w:rPr>
            </w:pPr>
            <w:r>
              <w:rPr>
                <w:rFonts w:eastAsia="楷体"/>
                <w:color w:val="000000"/>
                <w:szCs w:val="21"/>
              </w:rPr>
              <w:t>1.37</w:t>
            </w:r>
          </w:p>
        </w:tc>
        <w:tc>
          <w:tcPr>
            <w:tcW w:w="875" w:type="dxa"/>
          </w:tcPr>
          <w:p w14:paraId="50AB0F07">
            <w:pPr>
              <w:spacing w:line="360" w:lineRule="exact"/>
              <w:jc w:val="center"/>
              <w:rPr>
                <w:rFonts w:eastAsia="楷体"/>
                <w:color w:val="000000"/>
                <w:szCs w:val="21"/>
              </w:rPr>
            </w:pPr>
            <w:r>
              <w:rPr>
                <w:rFonts w:eastAsia="楷体"/>
                <w:color w:val="000000"/>
                <w:szCs w:val="21"/>
              </w:rPr>
              <w:t>0.72</w:t>
            </w:r>
          </w:p>
        </w:tc>
        <w:tc>
          <w:tcPr>
            <w:tcW w:w="844" w:type="dxa"/>
          </w:tcPr>
          <w:p w14:paraId="4D6C6CB7">
            <w:pPr>
              <w:spacing w:line="360" w:lineRule="exact"/>
              <w:jc w:val="center"/>
              <w:rPr>
                <w:rFonts w:eastAsia="楷体"/>
                <w:color w:val="000000"/>
                <w:szCs w:val="21"/>
              </w:rPr>
            </w:pPr>
            <w:r>
              <w:rPr>
                <w:rFonts w:eastAsia="楷体"/>
                <w:color w:val="000000"/>
                <w:szCs w:val="21"/>
              </w:rPr>
              <w:t>21.20</w:t>
            </w:r>
          </w:p>
        </w:tc>
        <w:tc>
          <w:tcPr>
            <w:tcW w:w="875" w:type="dxa"/>
          </w:tcPr>
          <w:p w14:paraId="539374E8">
            <w:pPr>
              <w:spacing w:line="360" w:lineRule="exact"/>
              <w:jc w:val="center"/>
              <w:rPr>
                <w:rFonts w:eastAsia="楷体"/>
                <w:color w:val="000000"/>
                <w:szCs w:val="21"/>
              </w:rPr>
            </w:pPr>
            <w:r>
              <w:rPr>
                <w:rFonts w:eastAsia="楷体"/>
                <w:color w:val="000000"/>
                <w:szCs w:val="21"/>
              </w:rPr>
              <w:t>1.04</w:t>
            </w:r>
          </w:p>
        </w:tc>
        <w:tc>
          <w:tcPr>
            <w:tcW w:w="884" w:type="dxa"/>
          </w:tcPr>
          <w:p w14:paraId="5AF8CC9C">
            <w:pPr>
              <w:spacing w:line="360" w:lineRule="exact"/>
              <w:jc w:val="center"/>
              <w:rPr>
                <w:rFonts w:eastAsia="楷体"/>
                <w:color w:val="000000"/>
                <w:szCs w:val="21"/>
              </w:rPr>
            </w:pPr>
            <w:r>
              <w:rPr>
                <w:rFonts w:eastAsia="楷体"/>
                <w:color w:val="000000"/>
                <w:szCs w:val="21"/>
              </w:rPr>
              <w:t>0.28</w:t>
            </w:r>
          </w:p>
        </w:tc>
        <w:tc>
          <w:tcPr>
            <w:tcW w:w="1005" w:type="dxa"/>
          </w:tcPr>
          <w:p w14:paraId="15CE5ED5">
            <w:pPr>
              <w:spacing w:line="360" w:lineRule="exact"/>
              <w:jc w:val="center"/>
              <w:rPr>
                <w:rFonts w:eastAsia="楷体"/>
                <w:color w:val="000000"/>
                <w:szCs w:val="21"/>
              </w:rPr>
            </w:pPr>
            <w:r>
              <w:rPr>
                <w:rFonts w:eastAsia="楷体"/>
                <w:color w:val="000000"/>
                <w:szCs w:val="21"/>
              </w:rPr>
              <w:t>10.04</w:t>
            </w:r>
          </w:p>
        </w:tc>
      </w:tr>
      <w:tr w14:paraId="14DF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972" w:type="dxa"/>
            <w:gridSpan w:val="2"/>
          </w:tcPr>
          <w:p w14:paraId="094B42E7">
            <w:pPr>
              <w:spacing w:line="360" w:lineRule="exact"/>
              <w:jc w:val="center"/>
              <w:rPr>
                <w:rFonts w:eastAsia="楷体"/>
                <w:color w:val="000000"/>
                <w:szCs w:val="21"/>
              </w:rPr>
            </w:pPr>
            <w:r>
              <w:rPr>
                <w:rFonts w:eastAsia="楷体"/>
                <w:color w:val="000000"/>
                <w:szCs w:val="21"/>
              </w:rPr>
              <w:t>绝对偏差（x10</w:t>
            </w:r>
            <w:r>
              <w:rPr>
                <w:rFonts w:eastAsia="楷体"/>
                <w:color w:val="000000"/>
                <w:szCs w:val="21"/>
                <w:vertAlign w:val="superscript"/>
              </w:rPr>
              <w:t>2</w:t>
            </w:r>
            <w:r>
              <w:rPr>
                <w:rFonts w:eastAsia="楷体"/>
                <w:color w:val="000000"/>
                <w:szCs w:val="21"/>
              </w:rPr>
              <w:t>cfu/mL）</w:t>
            </w:r>
          </w:p>
        </w:tc>
        <w:tc>
          <w:tcPr>
            <w:tcW w:w="837" w:type="dxa"/>
          </w:tcPr>
          <w:p w14:paraId="27523C2F">
            <w:pPr>
              <w:spacing w:line="360" w:lineRule="exact"/>
              <w:jc w:val="center"/>
              <w:rPr>
                <w:rFonts w:eastAsia="楷体"/>
                <w:color w:val="000000"/>
                <w:szCs w:val="21"/>
              </w:rPr>
            </w:pPr>
            <w:r>
              <w:rPr>
                <w:rFonts w:eastAsia="楷体"/>
                <w:color w:val="000000"/>
                <w:szCs w:val="21"/>
              </w:rPr>
              <w:t>0.02</w:t>
            </w:r>
          </w:p>
        </w:tc>
        <w:tc>
          <w:tcPr>
            <w:tcW w:w="875" w:type="dxa"/>
          </w:tcPr>
          <w:p w14:paraId="18DBAD9E">
            <w:pPr>
              <w:spacing w:line="360" w:lineRule="exact"/>
              <w:jc w:val="center"/>
              <w:rPr>
                <w:rFonts w:eastAsia="楷体"/>
                <w:color w:val="000000"/>
                <w:szCs w:val="21"/>
              </w:rPr>
            </w:pPr>
            <w:r>
              <w:rPr>
                <w:rFonts w:eastAsia="楷体"/>
                <w:color w:val="000000"/>
                <w:szCs w:val="21"/>
              </w:rPr>
              <w:t>0.06</w:t>
            </w:r>
          </w:p>
        </w:tc>
        <w:tc>
          <w:tcPr>
            <w:tcW w:w="844" w:type="dxa"/>
          </w:tcPr>
          <w:p w14:paraId="3EA0585F">
            <w:pPr>
              <w:spacing w:line="360" w:lineRule="exact"/>
              <w:jc w:val="center"/>
              <w:rPr>
                <w:rFonts w:eastAsia="楷体"/>
                <w:color w:val="000000"/>
                <w:szCs w:val="21"/>
              </w:rPr>
            </w:pPr>
            <w:r>
              <w:rPr>
                <w:rFonts w:eastAsia="楷体"/>
                <w:color w:val="000000"/>
                <w:szCs w:val="21"/>
              </w:rPr>
              <w:t>0.02</w:t>
            </w:r>
          </w:p>
        </w:tc>
        <w:tc>
          <w:tcPr>
            <w:tcW w:w="875" w:type="dxa"/>
          </w:tcPr>
          <w:p w14:paraId="286B036A">
            <w:pPr>
              <w:spacing w:line="360" w:lineRule="exact"/>
              <w:jc w:val="center"/>
              <w:rPr>
                <w:rFonts w:eastAsia="楷体"/>
                <w:color w:val="000000"/>
                <w:szCs w:val="21"/>
              </w:rPr>
            </w:pPr>
            <w:r>
              <w:rPr>
                <w:rFonts w:eastAsia="楷体"/>
                <w:color w:val="000000"/>
                <w:szCs w:val="21"/>
              </w:rPr>
              <w:t>0.03</w:t>
            </w:r>
          </w:p>
        </w:tc>
        <w:tc>
          <w:tcPr>
            <w:tcW w:w="884" w:type="dxa"/>
          </w:tcPr>
          <w:p w14:paraId="2C6EB740">
            <w:pPr>
              <w:spacing w:line="360" w:lineRule="exact"/>
              <w:jc w:val="center"/>
              <w:rPr>
                <w:rFonts w:eastAsia="楷体"/>
                <w:color w:val="000000"/>
                <w:szCs w:val="21"/>
              </w:rPr>
            </w:pPr>
            <w:r>
              <w:rPr>
                <w:rFonts w:eastAsia="楷体"/>
                <w:color w:val="000000"/>
                <w:szCs w:val="21"/>
              </w:rPr>
              <w:t>0.04</w:t>
            </w:r>
          </w:p>
        </w:tc>
        <w:tc>
          <w:tcPr>
            <w:tcW w:w="1005" w:type="dxa"/>
          </w:tcPr>
          <w:p w14:paraId="2E78DF81">
            <w:pPr>
              <w:spacing w:line="360" w:lineRule="exact"/>
              <w:jc w:val="center"/>
              <w:rPr>
                <w:rFonts w:eastAsia="楷体"/>
                <w:color w:val="000000"/>
                <w:szCs w:val="21"/>
              </w:rPr>
            </w:pPr>
            <w:r>
              <w:rPr>
                <w:rFonts w:eastAsia="楷体"/>
                <w:color w:val="000000"/>
                <w:szCs w:val="21"/>
              </w:rPr>
              <w:t>0.03</w:t>
            </w:r>
          </w:p>
        </w:tc>
      </w:tr>
    </w:tbl>
    <w:p w14:paraId="640D97AF">
      <w:pPr>
        <w:spacing w:line="360" w:lineRule="auto"/>
        <w:ind w:firstLine="480" w:firstLineChars="200"/>
        <w:jc w:val="left"/>
        <w:rPr>
          <w:rFonts w:eastAsia="楷体"/>
          <w:color w:val="000000"/>
          <w:sz w:val="24"/>
        </w:rPr>
      </w:pPr>
      <w:r>
        <w:rPr>
          <w:rFonts w:eastAsia="楷体"/>
          <w:color w:val="000000"/>
          <w:sz w:val="24"/>
        </w:rPr>
        <w:t>从表2结果来看，对于</w:t>
      </w:r>
      <w:r>
        <w:rPr>
          <w:rFonts w:hint="eastAsia" w:eastAsia="楷体"/>
          <w:color w:val="000000"/>
          <w:sz w:val="24"/>
        </w:rPr>
        <w:t>地层水和注入水</w:t>
      </w:r>
      <w:r>
        <w:rPr>
          <w:rFonts w:eastAsia="楷体"/>
          <w:color w:val="000000"/>
          <w:sz w:val="24"/>
        </w:rPr>
        <w:t>样品中的HOB、MPB和SRB浓度测定结果的绝对偏差为0.02～0.07％，小于1％，说明将该实验方法用于低渗透油藏产出水</w:t>
      </w:r>
      <w:r>
        <w:rPr>
          <w:rFonts w:hint="eastAsia" w:eastAsia="楷体"/>
          <w:color w:val="000000"/>
          <w:sz w:val="24"/>
        </w:rPr>
        <w:t>和</w:t>
      </w:r>
      <w:r>
        <w:rPr>
          <w:rFonts w:eastAsia="楷体"/>
          <w:color w:val="000000"/>
          <w:sz w:val="24"/>
        </w:rPr>
        <w:t>地层水</w:t>
      </w:r>
      <w:r>
        <w:rPr>
          <w:rFonts w:hint="eastAsia" w:eastAsia="楷体"/>
          <w:color w:val="000000"/>
          <w:sz w:val="24"/>
        </w:rPr>
        <w:t>中</w:t>
      </w:r>
      <w:r>
        <w:rPr>
          <w:rFonts w:eastAsia="楷体"/>
          <w:color w:val="000000"/>
          <w:sz w:val="24"/>
        </w:rPr>
        <w:t>驱油功能微生物、SRB浓度测试是比较可靠的。</w:t>
      </w:r>
    </w:p>
    <w:p w14:paraId="7491D8CC">
      <w:pPr>
        <w:spacing w:line="360" w:lineRule="auto"/>
        <w:ind w:firstLine="480" w:firstLineChars="200"/>
        <w:rPr>
          <w:rFonts w:eastAsia="楷体"/>
          <w:color w:val="000000"/>
          <w:sz w:val="24"/>
        </w:rPr>
      </w:pPr>
      <w:r>
        <w:rPr>
          <w:rFonts w:eastAsia="楷体"/>
          <w:color w:val="000000"/>
          <w:sz w:val="24"/>
        </w:rPr>
        <w:t>（2）内源微生物有氧激活和无氧激活试验</w:t>
      </w:r>
    </w:p>
    <w:p w14:paraId="2417A323">
      <w:pPr>
        <w:spacing w:line="360" w:lineRule="auto"/>
        <w:ind w:firstLine="480" w:firstLineChars="200"/>
        <w:rPr>
          <w:rFonts w:eastAsia="楷体"/>
          <w:color w:val="000000"/>
          <w:sz w:val="24"/>
        </w:rPr>
      </w:pPr>
      <w:r>
        <w:rPr>
          <w:rFonts w:eastAsia="楷体"/>
          <w:color w:val="000000"/>
          <w:sz w:val="24"/>
        </w:rPr>
        <w:t>现行标准中，还未形成关于油藏内源微生物激活实验的规范性指导。本标准以陕北鄂尔多斯盆地低（特低）渗透油藏为基础，选取杏子川采油厂6109注水区产出液为实验用水，矿化度32000mg/L，pH6.8，氯化钙水型。实验用原油为延长组长6原油，20</w:t>
      </w:r>
      <w:bookmarkStart w:id="1" w:name="_Hlk145682355"/>
      <w:r>
        <w:rPr>
          <w:rFonts w:eastAsia="楷体"/>
          <w:color w:val="000000"/>
          <w:sz w:val="24"/>
        </w:rPr>
        <w:t>℃</w:t>
      </w:r>
      <w:bookmarkEnd w:id="1"/>
      <w:r>
        <w:rPr>
          <w:rFonts w:eastAsia="楷体"/>
          <w:color w:val="000000"/>
          <w:sz w:val="24"/>
        </w:rPr>
        <w:t>下密度0.85g/cm</w:t>
      </w:r>
      <w:r>
        <w:rPr>
          <w:rFonts w:eastAsia="楷体"/>
          <w:color w:val="000000"/>
          <w:sz w:val="24"/>
          <w:vertAlign w:val="superscript"/>
        </w:rPr>
        <w:t>3</w:t>
      </w:r>
      <w:r>
        <w:rPr>
          <w:rFonts w:eastAsia="楷体"/>
          <w:color w:val="000000"/>
          <w:sz w:val="24"/>
        </w:rPr>
        <w:t>，粘度93mPa.s。油藏温度为30℃。内源微生物实验用激活剂为激活剂A（蜜糖0.4%、玉米浆干粉0.5%，硝酸钠0.4%）。</w:t>
      </w:r>
    </w:p>
    <w:p w14:paraId="1C8E2616">
      <w:pPr>
        <w:spacing w:line="360" w:lineRule="auto"/>
        <w:ind w:firstLine="480" w:firstLineChars="200"/>
        <w:rPr>
          <w:rFonts w:eastAsia="楷体"/>
          <w:color w:val="000000"/>
          <w:sz w:val="24"/>
        </w:rPr>
      </w:pPr>
      <w:r>
        <w:rPr>
          <w:rFonts w:eastAsia="楷体"/>
          <w:color w:val="000000"/>
          <w:sz w:val="24"/>
        </w:rPr>
        <w:t>内源微生物激活实验第一步，模拟近井地带有氧或微氧环境，加入微生物营养物质体系，激活该区域的主要好氧驱油功能微生物，产生生物表面活性剂、小分子酸等驱油功能代谢产物。将激活剂、地层水按照1:9体积比混合，加入原油（质量百分比为1%），30℃条件下，转速为180rpm条件下摇动通气，培养7天。在此过程中监测HOB、激活体系表面张力和乙酸浓度变化（表3）。</w:t>
      </w:r>
    </w:p>
    <w:p w14:paraId="6F0E6FC1">
      <w:pPr>
        <w:spacing w:line="360" w:lineRule="auto"/>
        <w:ind w:firstLine="420" w:firstLineChars="200"/>
        <w:jc w:val="center"/>
        <w:rPr>
          <w:rFonts w:eastAsia="楷体"/>
          <w:color w:val="000000"/>
          <w:szCs w:val="21"/>
        </w:rPr>
      </w:pPr>
      <w:r>
        <w:rPr>
          <w:rFonts w:eastAsia="楷体"/>
          <w:color w:val="000000"/>
          <w:szCs w:val="21"/>
        </w:rPr>
        <w:t>表3 有氧激活监测指标测定方法验证结果</w:t>
      </w:r>
    </w:p>
    <w:tbl>
      <w:tblPr>
        <w:tblStyle w:val="7"/>
        <w:tblW w:w="1147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55"/>
        <w:gridCol w:w="1559"/>
        <w:gridCol w:w="3118"/>
        <w:gridCol w:w="2977"/>
        <w:gridCol w:w="2268"/>
      </w:tblGrid>
      <w:tr w14:paraId="5BEC82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3114" w:type="dxa"/>
            <w:gridSpan w:val="2"/>
          </w:tcPr>
          <w:p w14:paraId="0B3DF9EC">
            <w:pPr>
              <w:spacing w:line="320" w:lineRule="exact"/>
              <w:jc w:val="center"/>
              <w:rPr>
                <w:rFonts w:eastAsia="楷体"/>
                <w:color w:val="000000"/>
                <w:szCs w:val="21"/>
              </w:rPr>
            </w:pPr>
            <w:r>
              <w:rPr>
                <w:rFonts w:eastAsia="楷体"/>
                <w:color w:val="000000"/>
                <w:szCs w:val="21"/>
              </w:rPr>
              <w:t>监测指标</w:t>
            </w:r>
          </w:p>
        </w:tc>
        <w:tc>
          <w:tcPr>
            <w:tcW w:w="3118" w:type="dxa"/>
          </w:tcPr>
          <w:p w14:paraId="63A98336">
            <w:pPr>
              <w:spacing w:line="320" w:lineRule="exact"/>
              <w:jc w:val="center"/>
              <w:rPr>
                <w:rFonts w:eastAsia="楷体"/>
                <w:color w:val="000000"/>
                <w:szCs w:val="21"/>
              </w:rPr>
            </w:pPr>
            <w:r>
              <w:rPr>
                <w:rFonts w:eastAsia="楷体"/>
                <w:color w:val="000000"/>
                <w:szCs w:val="21"/>
              </w:rPr>
              <w:t>HOB浓度（x10</w:t>
            </w:r>
            <w:r>
              <w:rPr>
                <w:rFonts w:eastAsia="楷体"/>
                <w:color w:val="000000"/>
                <w:szCs w:val="21"/>
                <w:vertAlign w:val="superscript"/>
              </w:rPr>
              <w:t>2</w:t>
            </w:r>
            <w:r>
              <w:rPr>
                <w:rFonts w:eastAsia="楷体"/>
                <w:color w:val="000000"/>
                <w:szCs w:val="21"/>
              </w:rPr>
              <w:t>cfu/mL）</w:t>
            </w:r>
          </w:p>
        </w:tc>
        <w:tc>
          <w:tcPr>
            <w:tcW w:w="2977" w:type="dxa"/>
          </w:tcPr>
          <w:p w14:paraId="791B9C75">
            <w:pPr>
              <w:spacing w:line="320" w:lineRule="exact"/>
              <w:jc w:val="center"/>
              <w:rPr>
                <w:rFonts w:eastAsia="楷体"/>
                <w:color w:val="000000"/>
                <w:szCs w:val="21"/>
              </w:rPr>
            </w:pPr>
            <w:r>
              <w:rPr>
                <w:rFonts w:eastAsia="楷体"/>
                <w:color w:val="000000"/>
                <w:szCs w:val="21"/>
              </w:rPr>
              <w:t>激活体系表面张力（mN/m）</w:t>
            </w:r>
          </w:p>
        </w:tc>
        <w:tc>
          <w:tcPr>
            <w:tcW w:w="2268" w:type="dxa"/>
          </w:tcPr>
          <w:p w14:paraId="334E3FA6">
            <w:pPr>
              <w:spacing w:line="320" w:lineRule="exact"/>
              <w:jc w:val="center"/>
              <w:rPr>
                <w:rFonts w:eastAsia="楷体"/>
                <w:color w:val="000000"/>
                <w:szCs w:val="21"/>
              </w:rPr>
            </w:pPr>
            <w:r>
              <w:rPr>
                <w:rFonts w:eastAsia="楷体"/>
                <w:color w:val="000000"/>
                <w:szCs w:val="21"/>
              </w:rPr>
              <w:t>乙酸浓度</w:t>
            </w:r>
            <w:r>
              <w:rPr>
                <w:rFonts w:hint="eastAsia" w:eastAsia="楷体"/>
                <w:color w:val="000000"/>
                <w:szCs w:val="21"/>
              </w:rPr>
              <w:t xml:space="preserve"> </w:t>
            </w:r>
            <w:r>
              <w:rPr>
                <w:rFonts w:eastAsia="楷体"/>
                <w:color w:val="000000"/>
                <w:szCs w:val="21"/>
              </w:rPr>
              <w:t>(mg/L)</w:t>
            </w:r>
          </w:p>
        </w:tc>
      </w:tr>
      <w:tr w14:paraId="472A6E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tcPr>
          <w:p w14:paraId="02E35F56">
            <w:pPr>
              <w:spacing w:line="320" w:lineRule="exact"/>
              <w:jc w:val="center"/>
              <w:rPr>
                <w:rFonts w:eastAsia="楷体"/>
                <w:color w:val="000000"/>
                <w:szCs w:val="21"/>
              </w:rPr>
            </w:pPr>
            <w:r>
              <w:rPr>
                <w:rFonts w:eastAsia="楷体"/>
                <w:color w:val="000000"/>
                <w:szCs w:val="21"/>
              </w:rPr>
              <w:t>第0天</w:t>
            </w:r>
          </w:p>
        </w:tc>
        <w:tc>
          <w:tcPr>
            <w:tcW w:w="1559" w:type="dxa"/>
          </w:tcPr>
          <w:p w14:paraId="67CD1931">
            <w:pPr>
              <w:spacing w:line="320" w:lineRule="exact"/>
              <w:jc w:val="center"/>
              <w:rPr>
                <w:rFonts w:eastAsia="楷体"/>
                <w:color w:val="000000"/>
                <w:szCs w:val="21"/>
              </w:rPr>
            </w:pPr>
            <w:r>
              <w:rPr>
                <w:rFonts w:eastAsia="楷体"/>
                <w:color w:val="000000"/>
                <w:szCs w:val="21"/>
              </w:rPr>
              <w:t>未激活样品</w:t>
            </w:r>
          </w:p>
        </w:tc>
        <w:tc>
          <w:tcPr>
            <w:tcW w:w="3118" w:type="dxa"/>
          </w:tcPr>
          <w:p w14:paraId="424C5A6C">
            <w:pPr>
              <w:spacing w:line="320" w:lineRule="exact"/>
              <w:jc w:val="center"/>
              <w:rPr>
                <w:rFonts w:eastAsia="楷体"/>
                <w:color w:val="000000"/>
                <w:szCs w:val="21"/>
              </w:rPr>
            </w:pPr>
            <w:r>
              <w:rPr>
                <w:rFonts w:eastAsia="楷体"/>
                <w:color w:val="000000"/>
                <w:szCs w:val="21"/>
              </w:rPr>
              <w:t>1.37</w:t>
            </w:r>
          </w:p>
        </w:tc>
        <w:tc>
          <w:tcPr>
            <w:tcW w:w="2977" w:type="dxa"/>
          </w:tcPr>
          <w:p w14:paraId="0635C81D">
            <w:pPr>
              <w:spacing w:line="320" w:lineRule="exact"/>
              <w:jc w:val="center"/>
              <w:rPr>
                <w:rFonts w:eastAsia="楷体"/>
                <w:color w:val="000000"/>
                <w:szCs w:val="21"/>
              </w:rPr>
            </w:pPr>
            <w:r>
              <w:rPr>
                <w:rFonts w:eastAsia="楷体"/>
                <w:color w:val="000000"/>
                <w:szCs w:val="21"/>
              </w:rPr>
              <w:t>63.17</w:t>
            </w:r>
          </w:p>
        </w:tc>
        <w:tc>
          <w:tcPr>
            <w:tcW w:w="2268" w:type="dxa"/>
          </w:tcPr>
          <w:p w14:paraId="584AC312">
            <w:pPr>
              <w:spacing w:line="320" w:lineRule="exact"/>
              <w:jc w:val="center"/>
              <w:rPr>
                <w:rFonts w:eastAsia="楷体"/>
                <w:color w:val="000000"/>
                <w:szCs w:val="21"/>
              </w:rPr>
            </w:pPr>
            <w:r>
              <w:rPr>
                <w:rFonts w:eastAsia="楷体"/>
                <w:color w:val="000000"/>
                <w:szCs w:val="21"/>
              </w:rPr>
              <w:t>50.08</w:t>
            </w:r>
          </w:p>
        </w:tc>
      </w:tr>
      <w:tr w14:paraId="7053AE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3114" w:type="dxa"/>
            <w:gridSpan w:val="2"/>
          </w:tcPr>
          <w:p w14:paraId="74E4E349">
            <w:pPr>
              <w:spacing w:line="320" w:lineRule="exact"/>
              <w:jc w:val="center"/>
              <w:rPr>
                <w:rFonts w:eastAsia="楷体"/>
                <w:color w:val="000000"/>
                <w:szCs w:val="21"/>
              </w:rPr>
            </w:pPr>
            <w:r>
              <w:rPr>
                <w:rFonts w:eastAsia="楷体"/>
                <w:color w:val="000000"/>
                <w:szCs w:val="21"/>
              </w:rPr>
              <w:t>监测指标</w:t>
            </w:r>
          </w:p>
        </w:tc>
        <w:tc>
          <w:tcPr>
            <w:tcW w:w="3118" w:type="dxa"/>
          </w:tcPr>
          <w:p w14:paraId="0BF05C43">
            <w:pPr>
              <w:spacing w:line="320" w:lineRule="exact"/>
              <w:jc w:val="center"/>
              <w:rPr>
                <w:rFonts w:eastAsia="楷体"/>
                <w:color w:val="000000"/>
                <w:szCs w:val="21"/>
              </w:rPr>
            </w:pPr>
            <w:r>
              <w:rPr>
                <w:rFonts w:eastAsia="楷体"/>
                <w:color w:val="000000"/>
                <w:szCs w:val="21"/>
              </w:rPr>
              <w:t>HOB浓度（x10</w:t>
            </w:r>
            <w:r>
              <w:rPr>
                <w:rFonts w:eastAsia="楷体"/>
                <w:color w:val="000000"/>
                <w:szCs w:val="21"/>
                <w:vertAlign w:val="superscript"/>
              </w:rPr>
              <w:t>6</w:t>
            </w:r>
            <w:r>
              <w:rPr>
                <w:rFonts w:eastAsia="楷体"/>
                <w:color w:val="000000"/>
                <w:szCs w:val="21"/>
              </w:rPr>
              <w:t>cfu/mL）</w:t>
            </w:r>
          </w:p>
        </w:tc>
        <w:tc>
          <w:tcPr>
            <w:tcW w:w="2977" w:type="dxa"/>
          </w:tcPr>
          <w:p w14:paraId="1F1029D1">
            <w:pPr>
              <w:spacing w:line="320" w:lineRule="exact"/>
              <w:jc w:val="center"/>
              <w:rPr>
                <w:rFonts w:eastAsia="楷体"/>
                <w:color w:val="000000"/>
                <w:szCs w:val="21"/>
              </w:rPr>
            </w:pPr>
            <w:r>
              <w:rPr>
                <w:rFonts w:eastAsia="楷体"/>
                <w:color w:val="000000"/>
                <w:szCs w:val="21"/>
              </w:rPr>
              <w:t>激活体系表面张力（mN/m）</w:t>
            </w:r>
          </w:p>
        </w:tc>
        <w:tc>
          <w:tcPr>
            <w:tcW w:w="2268" w:type="dxa"/>
          </w:tcPr>
          <w:p w14:paraId="4A210899">
            <w:pPr>
              <w:spacing w:line="320" w:lineRule="exact"/>
              <w:jc w:val="center"/>
              <w:rPr>
                <w:rFonts w:eastAsia="楷体"/>
                <w:color w:val="000000"/>
                <w:szCs w:val="21"/>
              </w:rPr>
            </w:pPr>
            <w:r>
              <w:rPr>
                <w:rFonts w:eastAsia="楷体"/>
                <w:color w:val="000000"/>
                <w:szCs w:val="21"/>
              </w:rPr>
              <w:t>乙酸浓度</w:t>
            </w:r>
            <w:r>
              <w:rPr>
                <w:rFonts w:hint="eastAsia" w:eastAsia="楷体"/>
                <w:color w:val="000000"/>
                <w:szCs w:val="21"/>
              </w:rPr>
              <w:t xml:space="preserve"> </w:t>
            </w:r>
            <w:r>
              <w:rPr>
                <w:rFonts w:eastAsia="楷体"/>
                <w:color w:val="000000"/>
                <w:szCs w:val="21"/>
              </w:rPr>
              <w:t>(mg/L)</w:t>
            </w:r>
          </w:p>
        </w:tc>
      </w:tr>
      <w:tr w14:paraId="518E17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tcPr>
          <w:p w14:paraId="262140DA">
            <w:pPr>
              <w:spacing w:line="320" w:lineRule="exact"/>
              <w:jc w:val="center"/>
              <w:rPr>
                <w:rFonts w:eastAsia="楷体"/>
                <w:color w:val="000000"/>
                <w:szCs w:val="21"/>
              </w:rPr>
            </w:pPr>
          </w:p>
          <w:p w14:paraId="7E11DBF1">
            <w:pPr>
              <w:spacing w:line="320" w:lineRule="exact"/>
              <w:jc w:val="center"/>
              <w:rPr>
                <w:rFonts w:eastAsia="楷体"/>
                <w:color w:val="000000"/>
                <w:szCs w:val="21"/>
              </w:rPr>
            </w:pPr>
            <w:r>
              <w:rPr>
                <w:rFonts w:eastAsia="楷体"/>
                <w:color w:val="000000"/>
                <w:szCs w:val="21"/>
              </w:rPr>
              <w:t>第3天</w:t>
            </w:r>
          </w:p>
        </w:tc>
        <w:tc>
          <w:tcPr>
            <w:tcW w:w="1559" w:type="dxa"/>
          </w:tcPr>
          <w:p w14:paraId="1B5BD3E6">
            <w:pPr>
              <w:spacing w:line="320" w:lineRule="exact"/>
              <w:jc w:val="center"/>
              <w:rPr>
                <w:rFonts w:eastAsia="楷体"/>
                <w:color w:val="000000"/>
                <w:szCs w:val="21"/>
              </w:rPr>
            </w:pPr>
            <w:r>
              <w:rPr>
                <w:rFonts w:eastAsia="楷体"/>
                <w:color w:val="000000"/>
                <w:szCs w:val="21"/>
              </w:rPr>
              <w:t>平行样1</w:t>
            </w:r>
          </w:p>
        </w:tc>
        <w:tc>
          <w:tcPr>
            <w:tcW w:w="3118" w:type="dxa"/>
          </w:tcPr>
          <w:p w14:paraId="2CDCD2A2">
            <w:pPr>
              <w:spacing w:line="320" w:lineRule="exact"/>
              <w:jc w:val="center"/>
              <w:rPr>
                <w:rFonts w:eastAsia="楷体"/>
                <w:color w:val="000000"/>
                <w:szCs w:val="21"/>
              </w:rPr>
            </w:pPr>
            <w:r>
              <w:rPr>
                <w:rFonts w:eastAsia="楷体"/>
                <w:color w:val="000000"/>
                <w:szCs w:val="21"/>
              </w:rPr>
              <w:t>0.297</w:t>
            </w:r>
          </w:p>
        </w:tc>
        <w:tc>
          <w:tcPr>
            <w:tcW w:w="2977" w:type="dxa"/>
          </w:tcPr>
          <w:p w14:paraId="2E894D8B">
            <w:pPr>
              <w:spacing w:line="320" w:lineRule="exact"/>
              <w:jc w:val="center"/>
              <w:rPr>
                <w:rFonts w:eastAsia="楷体"/>
                <w:color w:val="000000"/>
                <w:szCs w:val="21"/>
              </w:rPr>
            </w:pPr>
            <w:r>
              <w:rPr>
                <w:rFonts w:eastAsia="楷体"/>
                <w:color w:val="000000"/>
                <w:szCs w:val="21"/>
              </w:rPr>
              <w:t>40.19</w:t>
            </w:r>
          </w:p>
        </w:tc>
        <w:tc>
          <w:tcPr>
            <w:tcW w:w="2268" w:type="dxa"/>
          </w:tcPr>
          <w:p w14:paraId="6470AC47">
            <w:pPr>
              <w:spacing w:line="320" w:lineRule="exact"/>
              <w:jc w:val="center"/>
              <w:rPr>
                <w:rFonts w:eastAsia="楷体"/>
                <w:color w:val="000000"/>
                <w:szCs w:val="21"/>
              </w:rPr>
            </w:pPr>
            <w:r>
              <w:rPr>
                <w:rFonts w:hint="eastAsia" w:eastAsia="楷体"/>
                <w:color w:val="000000"/>
                <w:szCs w:val="21"/>
              </w:rPr>
              <w:t>1</w:t>
            </w:r>
            <w:r>
              <w:rPr>
                <w:rFonts w:eastAsia="楷体"/>
                <w:color w:val="000000"/>
                <w:szCs w:val="21"/>
              </w:rPr>
              <w:t>90.98</w:t>
            </w:r>
          </w:p>
        </w:tc>
      </w:tr>
      <w:tr w14:paraId="35D0C9D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tcPr>
          <w:p w14:paraId="73F2D0BD">
            <w:pPr>
              <w:spacing w:line="320" w:lineRule="exact"/>
              <w:jc w:val="center"/>
              <w:rPr>
                <w:rFonts w:eastAsia="楷体"/>
                <w:color w:val="000000"/>
                <w:szCs w:val="21"/>
              </w:rPr>
            </w:pPr>
          </w:p>
        </w:tc>
        <w:tc>
          <w:tcPr>
            <w:tcW w:w="1559" w:type="dxa"/>
          </w:tcPr>
          <w:p w14:paraId="5323BA2E">
            <w:pPr>
              <w:spacing w:line="320" w:lineRule="exact"/>
              <w:jc w:val="center"/>
              <w:rPr>
                <w:rFonts w:eastAsia="楷体"/>
                <w:color w:val="000000"/>
                <w:szCs w:val="21"/>
              </w:rPr>
            </w:pPr>
            <w:r>
              <w:rPr>
                <w:rFonts w:eastAsia="楷体"/>
                <w:color w:val="000000"/>
                <w:szCs w:val="21"/>
              </w:rPr>
              <w:t>平行样2</w:t>
            </w:r>
          </w:p>
        </w:tc>
        <w:tc>
          <w:tcPr>
            <w:tcW w:w="3118" w:type="dxa"/>
          </w:tcPr>
          <w:p w14:paraId="1CAA5DAA">
            <w:pPr>
              <w:spacing w:line="320" w:lineRule="exact"/>
              <w:jc w:val="center"/>
              <w:rPr>
                <w:rFonts w:eastAsia="楷体"/>
                <w:color w:val="000000"/>
                <w:szCs w:val="21"/>
              </w:rPr>
            </w:pPr>
            <w:r>
              <w:rPr>
                <w:rFonts w:eastAsia="楷体"/>
                <w:color w:val="000000"/>
                <w:szCs w:val="21"/>
              </w:rPr>
              <w:t>0.278</w:t>
            </w:r>
          </w:p>
        </w:tc>
        <w:tc>
          <w:tcPr>
            <w:tcW w:w="2977" w:type="dxa"/>
          </w:tcPr>
          <w:p w14:paraId="4ED80C43">
            <w:pPr>
              <w:spacing w:line="320" w:lineRule="exact"/>
              <w:jc w:val="center"/>
              <w:rPr>
                <w:rFonts w:eastAsia="楷体"/>
                <w:color w:val="000000"/>
                <w:szCs w:val="21"/>
              </w:rPr>
            </w:pPr>
            <w:r>
              <w:rPr>
                <w:rFonts w:eastAsia="楷体"/>
                <w:color w:val="000000"/>
                <w:szCs w:val="21"/>
              </w:rPr>
              <w:t>40.15</w:t>
            </w:r>
          </w:p>
        </w:tc>
        <w:tc>
          <w:tcPr>
            <w:tcW w:w="2268" w:type="dxa"/>
          </w:tcPr>
          <w:p w14:paraId="515B4772">
            <w:pPr>
              <w:spacing w:line="320" w:lineRule="exact"/>
              <w:jc w:val="center"/>
              <w:rPr>
                <w:rFonts w:eastAsia="楷体"/>
                <w:color w:val="000000"/>
                <w:szCs w:val="21"/>
              </w:rPr>
            </w:pPr>
            <w:r>
              <w:rPr>
                <w:rFonts w:hint="eastAsia" w:eastAsia="楷体"/>
                <w:color w:val="000000"/>
                <w:szCs w:val="21"/>
              </w:rPr>
              <w:t>1</w:t>
            </w:r>
            <w:r>
              <w:rPr>
                <w:rFonts w:eastAsia="楷体"/>
                <w:color w:val="000000"/>
                <w:szCs w:val="21"/>
              </w:rPr>
              <w:t>90.86</w:t>
            </w:r>
          </w:p>
        </w:tc>
      </w:tr>
      <w:tr w14:paraId="64A47B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tcPr>
          <w:p w14:paraId="514D69A0">
            <w:pPr>
              <w:spacing w:line="320" w:lineRule="exact"/>
              <w:jc w:val="center"/>
              <w:rPr>
                <w:rFonts w:eastAsia="楷体"/>
                <w:color w:val="000000"/>
                <w:szCs w:val="21"/>
              </w:rPr>
            </w:pPr>
          </w:p>
        </w:tc>
        <w:tc>
          <w:tcPr>
            <w:tcW w:w="1559" w:type="dxa"/>
          </w:tcPr>
          <w:p w14:paraId="25DC0663">
            <w:pPr>
              <w:spacing w:line="320" w:lineRule="exact"/>
              <w:jc w:val="center"/>
              <w:rPr>
                <w:rFonts w:eastAsia="楷体"/>
                <w:color w:val="000000"/>
                <w:szCs w:val="21"/>
              </w:rPr>
            </w:pPr>
            <w:r>
              <w:rPr>
                <w:rFonts w:eastAsia="楷体"/>
                <w:color w:val="000000"/>
                <w:szCs w:val="21"/>
              </w:rPr>
              <w:t>平均值</w:t>
            </w:r>
          </w:p>
        </w:tc>
        <w:tc>
          <w:tcPr>
            <w:tcW w:w="3118" w:type="dxa"/>
          </w:tcPr>
          <w:p w14:paraId="04EDD02C">
            <w:pPr>
              <w:spacing w:line="320" w:lineRule="exact"/>
              <w:jc w:val="center"/>
              <w:rPr>
                <w:rFonts w:eastAsia="楷体"/>
                <w:color w:val="000000"/>
                <w:szCs w:val="21"/>
              </w:rPr>
            </w:pPr>
            <w:r>
              <w:rPr>
                <w:rFonts w:eastAsia="楷体"/>
                <w:color w:val="000000"/>
                <w:szCs w:val="21"/>
              </w:rPr>
              <w:t>0.287</w:t>
            </w:r>
          </w:p>
        </w:tc>
        <w:tc>
          <w:tcPr>
            <w:tcW w:w="2977" w:type="dxa"/>
          </w:tcPr>
          <w:p w14:paraId="3257D10C">
            <w:pPr>
              <w:spacing w:line="320" w:lineRule="exact"/>
              <w:jc w:val="center"/>
              <w:rPr>
                <w:rFonts w:eastAsia="楷体"/>
                <w:color w:val="000000"/>
                <w:szCs w:val="21"/>
              </w:rPr>
            </w:pPr>
            <w:r>
              <w:rPr>
                <w:rFonts w:eastAsia="楷体"/>
                <w:color w:val="000000"/>
                <w:szCs w:val="21"/>
              </w:rPr>
              <w:t>40.17</w:t>
            </w:r>
          </w:p>
        </w:tc>
        <w:tc>
          <w:tcPr>
            <w:tcW w:w="2268" w:type="dxa"/>
          </w:tcPr>
          <w:p w14:paraId="6DFB8183">
            <w:pPr>
              <w:spacing w:line="320" w:lineRule="exact"/>
              <w:jc w:val="center"/>
              <w:rPr>
                <w:rFonts w:eastAsia="楷体"/>
                <w:color w:val="000000"/>
                <w:szCs w:val="21"/>
              </w:rPr>
            </w:pPr>
            <w:r>
              <w:rPr>
                <w:rFonts w:hint="eastAsia" w:eastAsia="楷体"/>
                <w:color w:val="000000"/>
                <w:szCs w:val="21"/>
              </w:rPr>
              <w:t>1</w:t>
            </w:r>
            <w:r>
              <w:rPr>
                <w:rFonts w:eastAsia="楷体"/>
                <w:color w:val="000000"/>
                <w:szCs w:val="21"/>
              </w:rPr>
              <w:t>90.92</w:t>
            </w:r>
          </w:p>
        </w:tc>
      </w:tr>
      <w:tr w14:paraId="049D62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tcPr>
          <w:p w14:paraId="67370A03">
            <w:pPr>
              <w:spacing w:line="320" w:lineRule="exact"/>
              <w:jc w:val="center"/>
              <w:rPr>
                <w:rFonts w:eastAsia="楷体"/>
                <w:color w:val="000000"/>
                <w:szCs w:val="21"/>
              </w:rPr>
            </w:pPr>
          </w:p>
        </w:tc>
        <w:tc>
          <w:tcPr>
            <w:tcW w:w="1559" w:type="dxa"/>
          </w:tcPr>
          <w:p w14:paraId="152B28E0">
            <w:pPr>
              <w:spacing w:line="320" w:lineRule="exact"/>
              <w:jc w:val="center"/>
              <w:rPr>
                <w:rFonts w:eastAsia="楷体"/>
                <w:color w:val="000000"/>
                <w:szCs w:val="21"/>
              </w:rPr>
            </w:pPr>
            <w:r>
              <w:rPr>
                <w:rFonts w:eastAsia="楷体"/>
                <w:color w:val="000000"/>
                <w:szCs w:val="21"/>
              </w:rPr>
              <w:t>绝对偏差</w:t>
            </w:r>
          </w:p>
        </w:tc>
        <w:tc>
          <w:tcPr>
            <w:tcW w:w="3118" w:type="dxa"/>
          </w:tcPr>
          <w:p w14:paraId="33CBC37C">
            <w:pPr>
              <w:spacing w:line="320" w:lineRule="exact"/>
              <w:jc w:val="center"/>
              <w:rPr>
                <w:rFonts w:eastAsia="楷体"/>
                <w:color w:val="000000"/>
                <w:szCs w:val="21"/>
              </w:rPr>
            </w:pPr>
            <w:r>
              <w:rPr>
                <w:rFonts w:eastAsia="楷体"/>
                <w:color w:val="000000"/>
                <w:szCs w:val="21"/>
              </w:rPr>
              <w:t>0.01</w:t>
            </w:r>
          </w:p>
        </w:tc>
        <w:tc>
          <w:tcPr>
            <w:tcW w:w="2977" w:type="dxa"/>
          </w:tcPr>
          <w:p w14:paraId="2B174909">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.002</w:t>
            </w:r>
          </w:p>
        </w:tc>
        <w:tc>
          <w:tcPr>
            <w:tcW w:w="2268" w:type="dxa"/>
          </w:tcPr>
          <w:p w14:paraId="3759A1B5">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.06</w:t>
            </w:r>
          </w:p>
        </w:tc>
      </w:tr>
      <w:tr w14:paraId="2E7C54C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restart"/>
          </w:tcPr>
          <w:p w14:paraId="77FB0272">
            <w:pPr>
              <w:spacing w:line="320" w:lineRule="exact"/>
              <w:jc w:val="center"/>
              <w:rPr>
                <w:rFonts w:eastAsia="楷体"/>
                <w:color w:val="000000"/>
                <w:szCs w:val="21"/>
              </w:rPr>
            </w:pPr>
          </w:p>
          <w:p w14:paraId="177F71D1">
            <w:pPr>
              <w:spacing w:line="320" w:lineRule="exact"/>
              <w:jc w:val="center"/>
              <w:rPr>
                <w:rFonts w:eastAsia="楷体"/>
                <w:color w:val="000000"/>
                <w:szCs w:val="21"/>
              </w:rPr>
            </w:pPr>
            <w:r>
              <w:rPr>
                <w:rFonts w:eastAsia="楷体"/>
                <w:color w:val="000000"/>
                <w:szCs w:val="21"/>
              </w:rPr>
              <w:t>第7天</w:t>
            </w:r>
          </w:p>
        </w:tc>
        <w:tc>
          <w:tcPr>
            <w:tcW w:w="1559" w:type="dxa"/>
          </w:tcPr>
          <w:p w14:paraId="24D9198D">
            <w:pPr>
              <w:spacing w:line="320" w:lineRule="exact"/>
              <w:jc w:val="center"/>
              <w:rPr>
                <w:rFonts w:eastAsia="楷体"/>
                <w:color w:val="000000"/>
                <w:szCs w:val="21"/>
              </w:rPr>
            </w:pPr>
            <w:r>
              <w:rPr>
                <w:rFonts w:eastAsia="楷体"/>
                <w:color w:val="000000"/>
                <w:szCs w:val="21"/>
              </w:rPr>
              <w:t>平行样1</w:t>
            </w:r>
          </w:p>
        </w:tc>
        <w:tc>
          <w:tcPr>
            <w:tcW w:w="3118" w:type="dxa"/>
          </w:tcPr>
          <w:p w14:paraId="37B60785">
            <w:pPr>
              <w:spacing w:line="320" w:lineRule="exact"/>
              <w:jc w:val="center"/>
              <w:rPr>
                <w:rFonts w:eastAsia="楷体"/>
                <w:color w:val="000000"/>
                <w:szCs w:val="21"/>
              </w:rPr>
            </w:pPr>
            <w:r>
              <w:rPr>
                <w:rFonts w:eastAsia="楷体"/>
                <w:color w:val="000000"/>
                <w:szCs w:val="21"/>
              </w:rPr>
              <w:t>1.312</w:t>
            </w:r>
          </w:p>
        </w:tc>
        <w:tc>
          <w:tcPr>
            <w:tcW w:w="2977" w:type="dxa"/>
          </w:tcPr>
          <w:p w14:paraId="5D4B563A">
            <w:pPr>
              <w:spacing w:line="320" w:lineRule="exact"/>
              <w:jc w:val="center"/>
              <w:rPr>
                <w:rFonts w:eastAsia="楷体"/>
                <w:color w:val="000000"/>
                <w:szCs w:val="21"/>
              </w:rPr>
            </w:pPr>
            <w:r>
              <w:rPr>
                <w:rFonts w:hint="eastAsia" w:eastAsia="楷体"/>
                <w:color w:val="000000"/>
                <w:szCs w:val="21"/>
              </w:rPr>
              <w:t>2</w:t>
            </w:r>
            <w:r>
              <w:rPr>
                <w:rFonts w:eastAsia="楷体"/>
                <w:color w:val="000000"/>
                <w:szCs w:val="21"/>
              </w:rPr>
              <w:t>3.31</w:t>
            </w:r>
          </w:p>
        </w:tc>
        <w:tc>
          <w:tcPr>
            <w:tcW w:w="2268" w:type="dxa"/>
          </w:tcPr>
          <w:p w14:paraId="2E37D1E7">
            <w:pPr>
              <w:spacing w:line="320" w:lineRule="exact"/>
              <w:jc w:val="center"/>
              <w:rPr>
                <w:rFonts w:eastAsia="楷体"/>
                <w:color w:val="000000"/>
                <w:szCs w:val="21"/>
              </w:rPr>
            </w:pPr>
            <w:r>
              <w:rPr>
                <w:rFonts w:hint="eastAsia" w:eastAsia="楷体"/>
                <w:color w:val="000000"/>
                <w:szCs w:val="21"/>
              </w:rPr>
              <w:t>6</w:t>
            </w:r>
            <w:r>
              <w:rPr>
                <w:rFonts w:eastAsia="楷体"/>
                <w:color w:val="000000"/>
                <w:szCs w:val="21"/>
              </w:rPr>
              <w:t>69.97</w:t>
            </w:r>
          </w:p>
        </w:tc>
      </w:tr>
      <w:tr w14:paraId="414A09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tcPr>
          <w:p w14:paraId="43F0FC85">
            <w:pPr>
              <w:spacing w:line="320" w:lineRule="exact"/>
              <w:jc w:val="center"/>
              <w:rPr>
                <w:rFonts w:eastAsia="楷体"/>
                <w:color w:val="000000"/>
                <w:szCs w:val="21"/>
              </w:rPr>
            </w:pPr>
          </w:p>
        </w:tc>
        <w:tc>
          <w:tcPr>
            <w:tcW w:w="1559" w:type="dxa"/>
          </w:tcPr>
          <w:p w14:paraId="72CDF3B1">
            <w:pPr>
              <w:spacing w:line="320" w:lineRule="exact"/>
              <w:jc w:val="center"/>
              <w:rPr>
                <w:rFonts w:eastAsia="楷体"/>
                <w:color w:val="000000"/>
                <w:szCs w:val="21"/>
              </w:rPr>
            </w:pPr>
            <w:r>
              <w:rPr>
                <w:rFonts w:eastAsia="楷体"/>
                <w:color w:val="000000"/>
                <w:szCs w:val="21"/>
              </w:rPr>
              <w:t>平行样2</w:t>
            </w:r>
          </w:p>
        </w:tc>
        <w:tc>
          <w:tcPr>
            <w:tcW w:w="3118" w:type="dxa"/>
          </w:tcPr>
          <w:p w14:paraId="620AC87B">
            <w:pPr>
              <w:spacing w:line="320" w:lineRule="exact"/>
              <w:jc w:val="center"/>
              <w:rPr>
                <w:rFonts w:eastAsia="楷体"/>
                <w:color w:val="000000"/>
                <w:szCs w:val="21"/>
              </w:rPr>
            </w:pPr>
            <w:r>
              <w:rPr>
                <w:rFonts w:eastAsia="楷体"/>
                <w:color w:val="000000"/>
                <w:szCs w:val="21"/>
              </w:rPr>
              <w:t>1.207</w:t>
            </w:r>
          </w:p>
        </w:tc>
        <w:tc>
          <w:tcPr>
            <w:tcW w:w="2977" w:type="dxa"/>
          </w:tcPr>
          <w:p w14:paraId="52BA0833">
            <w:pPr>
              <w:spacing w:line="320" w:lineRule="exact"/>
              <w:jc w:val="center"/>
              <w:rPr>
                <w:rFonts w:eastAsia="楷体"/>
                <w:color w:val="000000"/>
                <w:szCs w:val="21"/>
              </w:rPr>
            </w:pPr>
            <w:r>
              <w:rPr>
                <w:rFonts w:hint="eastAsia" w:eastAsia="楷体"/>
                <w:color w:val="000000"/>
                <w:szCs w:val="21"/>
              </w:rPr>
              <w:t>2</w:t>
            </w:r>
            <w:r>
              <w:rPr>
                <w:rFonts w:eastAsia="楷体"/>
                <w:color w:val="000000"/>
                <w:szCs w:val="21"/>
              </w:rPr>
              <w:t>3.20</w:t>
            </w:r>
          </w:p>
        </w:tc>
        <w:tc>
          <w:tcPr>
            <w:tcW w:w="2268" w:type="dxa"/>
          </w:tcPr>
          <w:p w14:paraId="45D96D7C">
            <w:pPr>
              <w:spacing w:line="320" w:lineRule="exact"/>
              <w:jc w:val="center"/>
              <w:rPr>
                <w:rFonts w:eastAsia="楷体"/>
                <w:color w:val="000000"/>
                <w:szCs w:val="21"/>
              </w:rPr>
            </w:pPr>
            <w:r>
              <w:rPr>
                <w:rFonts w:hint="eastAsia" w:eastAsia="楷体"/>
                <w:color w:val="000000"/>
                <w:szCs w:val="21"/>
              </w:rPr>
              <w:t>6</w:t>
            </w:r>
            <w:r>
              <w:rPr>
                <w:rFonts w:eastAsia="楷体"/>
                <w:color w:val="000000"/>
                <w:szCs w:val="21"/>
              </w:rPr>
              <w:t>70.08</w:t>
            </w:r>
          </w:p>
        </w:tc>
      </w:tr>
      <w:tr w14:paraId="64C3B6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tcPr>
          <w:p w14:paraId="4F791000">
            <w:pPr>
              <w:spacing w:line="320" w:lineRule="exact"/>
              <w:jc w:val="center"/>
              <w:rPr>
                <w:rFonts w:eastAsia="楷体"/>
                <w:color w:val="000000"/>
                <w:szCs w:val="21"/>
              </w:rPr>
            </w:pPr>
          </w:p>
        </w:tc>
        <w:tc>
          <w:tcPr>
            <w:tcW w:w="1559" w:type="dxa"/>
          </w:tcPr>
          <w:p w14:paraId="505C9E4A">
            <w:pPr>
              <w:spacing w:line="320" w:lineRule="exact"/>
              <w:jc w:val="center"/>
              <w:rPr>
                <w:rFonts w:eastAsia="楷体"/>
                <w:color w:val="000000"/>
                <w:szCs w:val="21"/>
              </w:rPr>
            </w:pPr>
            <w:r>
              <w:rPr>
                <w:rFonts w:eastAsia="楷体"/>
                <w:color w:val="000000"/>
                <w:szCs w:val="21"/>
              </w:rPr>
              <w:t>平均值</w:t>
            </w:r>
          </w:p>
        </w:tc>
        <w:tc>
          <w:tcPr>
            <w:tcW w:w="3118" w:type="dxa"/>
          </w:tcPr>
          <w:p w14:paraId="0C316EB4">
            <w:pPr>
              <w:spacing w:line="320" w:lineRule="exact"/>
              <w:jc w:val="center"/>
              <w:rPr>
                <w:rFonts w:eastAsia="楷体"/>
                <w:color w:val="000000"/>
                <w:szCs w:val="21"/>
              </w:rPr>
            </w:pPr>
            <w:r>
              <w:rPr>
                <w:rFonts w:eastAsia="楷体"/>
                <w:color w:val="000000"/>
                <w:szCs w:val="21"/>
              </w:rPr>
              <w:t>1.250</w:t>
            </w:r>
          </w:p>
        </w:tc>
        <w:tc>
          <w:tcPr>
            <w:tcW w:w="2977" w:type="dxa"/>
          </w:tcPr>
          <w:p w14:paraId="5F709F7E">
            <w:pPr>
              <w:spacing w:line="320" w:lineRule="exact"/>
              <w:jc w:val="center"/>
              <w:rPr>
                <w:rFonts w:eastAsia="楷体"/>
                <w:color w:val="000000"/>
                <w:szCs w:val="21"/>
              </w:rPr>
            </w:pPr>
            <w:r>
              <w:rPr>
                <w:rFonts w:eastAsia="楷体"/>
                <w:color w:val="000000"/>
                <w:szCs w:val="21"/>
              </w:rPr>
              <w:t>23.25</w:t>
            </w:r>
          </w:p>
        </w:tc>
        <w:tc>
          <w:tcPr>
            <w:tcW w:w="2268" w:type="dxa"/>
          </w:tcPr>
          <w:p w14:paraId="7EA39623">
            <w:pPr>
              <w:spacing w:line="320" w:lineRule="exact"/>
              <w:jc w:val="center"/>
              <w:rPr>
                <w:rFonts w:eastAsia="楷体"/>
                <w:color w:val="000000"/>
                <w:szCs w:val="21"/>
              </w:rPr>
            </w:pPr>
            <w:r>
              <w:rPr>
                <w:rFonts w:hint="eastAsia" w:eastAsia="楷体"/>
                <w:color w:val="000000"/>
                <w:szCs w:val="21"/>
              </w:rPr>
              <w:t>6</w:t>
            </w:r>
            <w:r>
              <w:rPr>
                <w:rFonts w:eastAsia="楷体"/>
                <w:color w:val="000000"/>
                <w:szCs w:val="21"/>
              </w:rPr>
              <w:t>70.02</w:t>
            </w:r>
          </w:p>
        </w:tc>
      </w:tr>
      <w:tr w14:paraId="358253E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55" w:type="dxa"/>
            <w:vMerge w:val="continue"/>
          </w:tcPr>
          <w:p w14:paraId="4F6F9E6F">
            <w:pPr>
              <w:spacing w:line="320" w:lineRule="exact"/>
              <w:jc w:val="center"/>
              <w:rPr>
                <w:rFonts w:eastAsia="楷体"/>
                <w:color w:val="000000"/>
                <w:szCs w:val="21"/>
              </w:rPr>
            </w:pPr>
          </w:p>
        </w:tc>
        <w:tc>
          <w:tcPr>
            <w:tcW w:w="1559" w:type="dxa"/>
          </w:tcPr>
          <w:p w14:paraId="081DEE28">
            <w:pPr>
              <w:spacing w:line="320" w:lineRule="exact"/>
              <w:jc w:val="center"/>
              <w:rPr>
                <w:rFonts w:eastAsia="楷体"/>
                <w:color w:val="000000"/>
                <w:szCs w:val="21"/>
              </w:rPr>
            </w:pPr>
            <w:r>
              <w:rPr>
                <w:rFonts w:eastAsia="楷体"/>
                <w:color w:val="000000"/>
                <w:szCs w:val="21"/>
              </w:rPr>
              <w:t>绝对偏差</w:t>
            </w:r>
          </w:p>
        </w:tc>
        <w:tc>
          <w:tcPr>
            <w:tcW w:w="3118" w:type="dxa"/>
          </w:tcPr>
          <w:p w14:paraId="7F46223C">
            <w:pPr>
              <w:spacing w:line="320" w:lineRule="exact"/>
              <w:jc w:val="center"/>
              <w:rPr>
                <w:rFonts w:eastAsia="楷体"/>
                <w:color w:val="000000"/>
                <w:szCs w:val="21"/>
              </w:rPr>
            </w:pPr>
            <w:r>
              <w:rPr>
                <w:rFonts w:eastAsia="楷体"/>
                <w:color w:val="000000"/>
                <w:szCs w:val="21"/>
              </w:rPr>
              <w:t>0.04</w:t>
            </w:r>
          </w:p>
        </w:tc>
        <w:tc>
          <w:tcPr>
            <w:tcW w:w="2977" w:type="dxa"/>
          </w:tcPr>
          <w:p w14:paraId="409C505B">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.005</w:t>
            </w:r>
          </w:p>
        </w:tc>
        <w:tc>
          <w:tcPr>
            <w:tcW w:w="2268" w:type="dxa"/>
          </w:tcPr>
          <w:p w14:paraId="47C396F0">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.05</w:t>
            </w:r>
          </w:p>
        </w:tc>
      </w:tr>
    </w:tbl>
    <w:p w14:paraId="2D90FB73">
      <w:pPr>
        <w:spacing w:line="360" w:lineRule="auto"/>
        <w:ind w:firstLine="480" w:firstLineChars="200"/>
        <w:rPr>
          <w:rFonts w:eastAsia="楷体"/>
          <w:sz w:val="24"/>
        </w:rPr>
      </w:pPr>
      <w:r>
        <w:rPr>
          <w:rFonts w:eastAsia="楷体"/>
          <w:sz w:val="24"/>
        </w:rPr>
        <w:t>从表3结果来看，对于</w:t>
      </w:r>
      <w:r>
        <w:rPr>
          <w:rFonts w:hint="eastAsia" w:eastAsia="楷体"/>
          <w:sz w:val="24"/>
        </w:rPr>
        <w:t>有氧激活监测指标</w:t>
      </w:r>
      <w:r>
        <w:rPr>
          <w:rFonts w:eastAsia="楷体"/>
          <w:sz w:val="24"/>
        </w:rPr>
        <w:t>HOB</w:t>
      </w:r>
      <w:r>
        <w:rPr>
          <w:rFonts w:hint="eastAsia" w:eastAsia="楷体"/>
          <w:sz w:val="24"/>
        </w:rPr>
        <w:t>浓度</w:t>
      </w:r>
      <w:r>
        <w:rPr>
          <w:rFonts w:eastAsia="楷体"/>
          <w:sz w:val="24"/>
        </w:rPr>
        <w:t>、</w:t>
      </w:r>
      <w:r>
        <w:rPr>
          <w:rFonts w:hint="eastAsia" w:eastAsia="楷体"/>
          <w:sz w:val="24"/>
        </w:rPr>
        <w:t>激活体系表面张力和乙酸</w:t>
      </w:r>
      <w:r>
        <w:rPr>
          <w:rFonts w:eastAsia="楷体"/>
          <w:sz w:val="24"/>
        </w:rPr>
        <w:t>浓度测定结果的绝对偏差为0.01～0.06，小于1％，说明将该实验方法用于</w:t>
      </w:r>
      <w:r>
        <w:rPr>
          <w:rFonts w:hint="eastAsia" w:eastAsia="楷体"/>
          <w:sz w:val="24"/>
        </w:rPr>
        <w:t>有氧激活体系中的H</w:t>
      </w:r>
      <w:r>
        <w:rPr>
          <w:rFonts w:eastAsia="楷体"/>
          <w:sz w:val="24"/>
        </w:rPr>
        <w:t>OB</w:t>
      </w:r>
      <w:r>
        <w:rPr>
          <w:rFonts w:hint="eastAsia" w:eastAsia="楷体"/>
          <w:sz w:val="24"/>
        </w:rPr>
        <w:t>浓度、激活体系表面张力和乙酸浓度</w:t>
      </w:r>
      <w:r>
        <w:rPr>
          <w:rFonts w:eastAsia="楷体"/>
          <w:sz w:val="24"/>
        </w:rPr>
        <w:t>是比较可靠的。</w:t>
      </w:r>
      <w:r>
        <w:rPr>
          <w:rFonts w:hint="eastAsia" w:eastAsia="楷体"/>
          <w:sz w:val="24"/>
        </w:rPr>
        <w:t>在添加最佳激活剂条件下，内源微生物有氧激活后，H</w:t>
      </w:r>
      <w:r>
        <w:rPr>
          <w:rFonts w:eastAsia="楷体"/>
          <w:sz w:val="24"/>
        </w:rPr>
        <w:t>OB</w:t>
      </w:r>
      <w:r>
        <w:rPr>
          <w:rFonts w:hint="eastAsia" w:eastAsia="楷体"/>
          <w:sz w:val="24"/>
        </w:rPr>
        <w:t>浓度增加至1</w:t>
      </w:r>
      <w:r>
        <w:rPr>
          <w:rFonts w:eastAsia="楷体"/>
          <w:sz w:val="24"/>
        </w:rPr>
        <w:t>.25</w:t>
      </w:r>
      <w:r>
        <w:rPr>
          <w:rFonts w:eastAsia="楷体"/>
          <w:color w:val="000000"/>
          <w:szCs w:val="21"/>
        </w:rPr>
        <w:t xml:space="preserve"> </w:t>
      </w:r>
      <w:r>
        <w:rPr>
          <w:rFonts w:eastAsia="楷体"/>
          <w:color w:val="000000"/>
          <w:sz w:val="24"/>
        </w:rPr>
        <w:t>x10</w:t>
      </w:r>
      <w:r>
        <w:rPr>
          <w:rFonts w:eastAsia="楷体"/>
          <w:color w:val="000000"/>
          <w:sz w:val="24"/>
          <w:vertAlign w:val="superscript"/>
        </w:rPr>
        <w:t>6</w:t>
      </w:r>
      <w:r>
        <w:rPr>
          <w:rFonts w:eastAsia="楷体"/>
          <w:color w:val="000000"/>
          <w:sz w:val="24"/>
        </w:rPr>
        <w:t>cfu/mL</w:t>
      </w:r>
      <w:r>
        <w:rPr>
          <w:rFonts w:hint="eastAsia" w:eastAsia="楷体"/>
          <w:sz w:val="24"/>
        </w:rPr>
        <w:t>，激活体系表面张力降低了5</w:t>
      </w:r>
      <w:r>
        <w:rPr>
          <w:rFonts w:eastAsia="楷体"/>
          <w:sz w:val="24"/>
        </w:rPr>
        <w:t>7.02</w:t>
      </w:r>
      <w:r>
        <w:rPr>
          <w:rFonts w:hint="eastAsia" w:eastAsia="楷体"/>
          <w:sz w:val="24"/>
        </w:rPr>
        <w:t>%，有氧激活代谢产物乙酸的浓度增加了1</w:t>
      </w:r>
      <w:r>
        <w:rPr>
          <w:rFonts w:eastAsia="楷体"/>
          <w:sz w:val="24"/>
        </w:rPr>
        <w:t>3.40</w:t>
      </w:r>
      <w:r>
        <w:rPr>
          <w:rFonts w:hint="eastAsia" w:eastAsia="楷体"/>
          <w:sz w:val="24"/>
        </w:rPr>
        <w:t>倍，有氧激活效果良好。</w:t>
      </w:r>
    </w:p>
    <w:p w14:paraId="5C64F6E3">
      <w:pPr>
        <w:spacing w:line="360" w:lineRule="auto"/>
        <w:ind w:firstLine="480" w:firstLineChars="200"/>
        <w:rPr>
          <w:rFonts w:eastAsia="楷体"/>
          <w:color w:val="000000"/>
          <w:sz w:val="24"/>
        </w:rPr>
      </w:pPr>
      <w:r>
        <w:rPr>
          <w:rFonts w:eastAsia="楷体"/>
          <w:color w:val="000000"/>
          <w:sz w:val="24"/>
        </w:rPr>
        <w:t>内源微生物激活实验第二步，模拟远井地带无氧环境，激活该区域的主要厌氧驱油功能微生物，产生小分子酸、乳化剂等驱油功能代谢产物。在有氧激活体系中，继续加入激活剂A，原油（激活剂A、原油、有氧激活体系体积比1:1:8），置于厌氧培养瓶中，厌氧瓶中用高纯氮气除氧。30℃条件下，静置培养10天。在此过程中监测MPB、C2～C4挥发性脂肪酸浓度变化和</w:t>
      </w:r>
      <w:r>
        <w:rPr>
          <w:rFonts w:hint="eastAsia" w:eastAsia="楷体"/>
          <w:color w:val="000000"/>
          <w:sz w:val="24"/>
        </w:rPr>
        <w:t>激活体系</w:t>
      </w:r>
      <w:r>
        <w:rPr>
          <w:rFonts w:eastAsia="楷体"/>
          <w:color w:val="000000"/>
          <w:sz w:val="24"/>
        </w:rPr>
        <w:t>乳化</w:t>
      </w:r>
      <w:r>
        <w:rPr>
          <w:rFonts w:hint="eastAsia" w:eastAsia="楷体"/>
          <w:color w:val="000000"/>
          <w:sz w:val="24"/>
        </w:rPr>
        <w:t>性能</w:t>
      </w:r>
      <w:r>
        <w:rPr>
          <w:rFonts w:eastAsia="楷体"/>
          <w:color w:val="000000"/>
          <w:sz w:val="24"/>
        </w:rPr>
        <w:t>情况（表4）。</w:t>
      </w:r>
    </w:p>
    <w:p w14:paraId="3426AF65">
      <w:pPr>
        <w:spacing w:line="360" w:lineRule="auto"/>
        <w:ind w:firstLine="420" w:firstLineChars="200"/>
        <w:jc w:val="center"/>
        <w:rPr>
          <w:rFonts w:eastAsia="楷体"/>
          <w:color w:val="000000"/>
          <w:sz w:val="24"/>
        </w:rPr>
      </w:pPr>
      <w:r>
        <w:rPr>
          <w:rFonts w:eastAsia="楷体"/>
          <w:color w:val="000000"/>
          <w:szCs w:val="21"/>
        </w:rPr>
        <w:t>表4 无氧激活监测指标测定方法验证结果</w:t>
      </w:r>
    </w:p>
    <w:tbl>
      <w:tblPr>
        <w:tblStyle w:val="7"/>
        <w:tblW w:w="920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77"/>
        <w:gridCol w:w="1553"/>
        <w:gridCol w:w="1843"/>
        <w:gridCol w:w="2693"/>
        <w:gridCol w:w="1843"/>
      </w:tblGrid>
      <w:tr w14:paraId="42C422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2830" w:type="dxa"/>
            <w:gridSpan w:val="2"/>
          </w:tcPr>
          <w:p w14:paraId="04362959">
            <w:pPr>
              <w:spacing w:line="320" w:lineRule="exact"/>
              <w:jc w:val="center"/>
              <w:rPr>
                <w:rFonts w:eastAsia="楷体"/>
                <w:color w:val="000000"/>
                <w:szCs w:val="21"/>
              </w:rPr>
            </w:pPr>
            <w:r>
              <w:rPr>
                <w:rFonts w:eastAsia="楷体"/>
                <w:color w:val="000000"/>
                <w:szCs w:val="21"/>
              </w:rPr>
              <w:t>监测指标</w:t>
            </w:r>
          </w:p>
        </w:tc>
        <w:tc>
          <w:tcPr>
            <w:tcW w:w="1843" w:type="dxa"/>
          </w:tcPr>
          <w:p w14:paraId="56A830FF">
            <w:pPr>
              <w:spacing w:line="280" w:lineRule="exact"/>
              <w:jc w:val="center"/>
              <w:rPr>
                <w:rFonts w:eastAsia="楷体"/>
                <w:color w:val="000000"/>
                <w:szCs w:val="21"/>
              </w:rPr>
            </w:pPr>
            <w:r>
              <w:rPr>
                <w:rFonts w:eastAsia="楷体"/>
                <w:color w:val="000000"/>
                <w:szCs w:val="21"/>
              </w:rPr>
              <w:t>MPB浓度</w:t>
            </w:r>
          </w:p>
          <w:p w14:paraId="3171FC01">
            <w:pPr>
              <w:spacing w:line="280" w:lineRule="exact"/>
              <w:jc w:val="center"/>
              <w:rPr>
                <w:rFonts w:eastAsia="楷体"/>
                <w:color w:val="000000"/>
                <w:szCs w:val="21"/>
              </w:rPr>
            </w:pPr>
            <w:r>
              <w:rPr>
                <w:rFonts w:hint="eastAsia" w:eastAsia="楷体"/>
                <w:color w:val="000000"/>
                <w:szCs w:val="21"/>
              </w:rPr>
              <w:t xml:space="preserve"> </w:t>
            </w:r>
            <w:r>
              <w:rPr>
                <w:rFonts w:eastAsia="楷体"/>
                <w:color w:val="000000"/>
                <w:szCs w:val="21"/>
              </w:rPr>
              <w:t>（x10</w:t>
            </w:r>
            <w:r>
              <w:rPr>
                <w:rFonts w:eastAsia="楷体"/>
                <w:color w:val="000000"/>
                <w:szCs w:val="21"/>
                <w:vertAlign w:val="superscript"/>
              </w:rPr>
              <w:t>2</w:t>
            </w:r>
            <w:r>
              <w:rPr>
                <w:rFonts w:eastAsia="楷体"/>
                <w:color w:val="000000"/>
                <w:szCs w:val="21"/>
              </w:rPr>
              <w:t>cfu/mL）</w:t>
            </w:r>
          </w:p>
        </w:tc>
        <w:tc>
          <w:tcPr>
            <w:tcW w:w="2693" w:type="dxa"/>
          </w:tcPr>
          <w:p w14:paraId="49355A30">
            <w:pPr>
              <w:spacing w:line="280" w:lineRule="exact"/>
              <w:jc w:val="center"/>
              <w:rPr>
                <w:rFonts w:eastAsia="楷体"/>
                <w:color w:val="000000"/>
                <w:szCs w:val="21"/>
              </w:rPr>
            </w:pPr>
            <w:r>
              <w:rPr>
                <w:rFonts w:hint="eastAsia" w:eastAsia="楷体"/>
                <w:color w:val="000000"/>
                <w:szCs w:val="21"/>
              </w:rPr>
              <w:t>C</w:t>
            </w:r>
            <w:r>
              <w:rPr>
                <w:rFonts w:eastAsia="楷体"/>
                <w:color w:val="000000"/>
                <w:szCs w:val="21"/>
              </w:rPr>
              <w:t>2～C4挥发性脂肪酸浓度</w:t>
            </w:r>
          </w:p>
          <w:p w14:paraId="6E3D5A75">
            <w:pPr>
              <w:spacing w:line="280" w:lineRule="exact"/>
              <w:jc w:val="center"/>
              <w:rPr>
                <w:rFonts w:eastAsia="楷体"/>
                <w:color w:val="000000"/>
                <w:szCs w:val="21"/>
              </w:rPr>
            </w:pPr>
            <w:r>
              <w:rPr>
                <w:rFonts w:hint="eastAsia" w:eastAsia="楷体"/>
                <w:color w:val="000000"/>
                <w:szCs w:val="21"/>
              </w:rPr>
              <w:t xml:space="preserve"> </w:t>
            </w:r>
            <w:r>
              <w:rPr>
                <w:rFonts w:eastAsia="楷体"/>
                <w:color w:val="000000"/>
                <w:szCs w:val="21"/>
              </w:rPr>
              <w:t>(mg/L)</w:t>
            </w:r>
          </w:p>
        </w:tc>
        <w:tc>
          <w:tcPr>
            <w:tcW w:w="1843" w:type="dxa"/>
          </w:tcPr>
          <w:p w14:paraId="235E8FFE">
            <w:pPr>
              <w:spacing w:line="280" w:lineRule="exact"/>
              <w:jc w:val="center"/>
              <w:rPr>
                <w:rFonts w:eastAsia="楷体"/>
                <w:color w:val="000000"/>
                <w:szCs w:val="21"/>
              </w:rPr>
            </w:pPr>
            <w:r>
              <w:rPr>
                <w:rFonts w:eastAsia="楷体"/>
                <w:color w:val="000000"/>
                <w:szCs w:val="21"/>
              </w:rPr>
              <w:t>SRB</w:t>
            </w:r>
          </w:p>
          <w:p w14:paraId="30655657">
            <w:pPr>
              <w:spacing w:line="280" w:lineRule="exact"/>
              <w:jc w:val="center"/>
              <w:rPr>
                <w:rFonts w:eastAsia="楷体"/>
                <w:color w:val="000000"/>
                <w:szCs w:val="21"/>
              </w:rPr>
            </w:pPr>
            <w:r>
              <w:rPr>
                <w:rFonts w:eastAsia="楷体"/>
                <w:color w:val="000000"/>
                <w:szCs w:val="21"/>
              </w:rPr>
              <w:t>（x10</w:t>
            </w:r>
            <w:r>
              <w:rPr>
                <w:rFonts w:eastAsia="楷体"/>
                <w:color w:val="000000"/>
                <w:szCs w:val="21"/>
                <w:vertAlign w:val="superscript"/>
              </w:rPr>
              <w:t>2</w:t>
            </w:r>
            <w:r>
              <w:rPr>
                <w:rFonts w:eastAsia="楷体"/>
                <w:color w:val="000000"/>
                <w:szCs w:val="21"/>
              </w:rPr>
              <w:t>cfu/mL）</w:t>
            </w:r>
          </w:p>
        </w:tc>
      </w:tr>
      <w:tr w14:paraId="68B2647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tcPr>
          <w:p w14:paraId="7963EDA8">
            <w:pPr>
              <w:spacing w:line="320" w:lineRule="exact"/>
              <w:jc w:val="center"/>
              <w:rPr>
                <w:rFonts w:eastAsia="楷体"/>
                <w:color w:val="000000"/>
                <w:szCs w:val="21"/>
              </w:rPr>
            </w:pPr>
            <w:r>
              <w:rPr>
                <w:rFonts w:eastAsia="楷体"/>
                <w:color w:val="000000"/>
                <w:szCs w:val="21"/>
              </w:rPr>
              <w:t>第0天</w:t>
            </w:r>
          </w:p>
        </w:tc>
        <w:tc>
          <w:tcPr>
            <w:tcW w:w="1553" w:type="dxa"/>
          </w:tcPr>
          <w:p w14:paraId="09A14D81">
            <w:pPr>
              <w:spacing w:line="320" w:lineRule="exact"/>
              <w:jc w:val="center"/>
              <w:rPr>
                <w:rFonts w:eastAsia="楷体"/>
                <w:color w:val="000000"/>
                <w:szCs w:val="21"/>
              </w:rPr>
            </w:pPr>
            <w:r>
              <w:rPr>
                <w:rFonts w:eastAsia="楷体"/>
                <w:color w:val="000000"/>
                <w:szCs w:val="21"/>
              </w:rPr>
              <w:t>有氧激活样品</w:t>
            </w:r>
          </w:p>
        </w:tc>
        <w:tc>
          <w:tcPr>
            <w:tcW w:w="1843" w:type="dxa"/>
          </w:tcPr>
          <w:p w14:paraId="0C2710ED">
            <w:pPr>
              <w:spacing w:line="320" w:lineRule="exact"/>
              <w:jc w:val="center"/>
              <w:rPr>
                <w:rFonts w:eastAsia="楷体"/>
                <w:color w:val="000000"/>
                <w:szCs w:val="21"/>
              </w:rPr>
            </w:pPr>
            <w:r>
              <w:rPr>
                <w:rFonts w:eastAsia="楷体"/>
                <w:color w:val="000000"/>
                <w:szCs w:val="21"/>
              </w:rPr>
              <w:t>0.72</w:t>
            </w:r>
          </w:p>
        </w:tc>
        <w:tc>
          <w:tcPr>
            <w:tcW w:w="2693" w:type="dxa"/>
          </w:tcPr>
          <w:p w14:paraId="7890DE70">
            <w:pPr>
              <w:spacing w:line="320" w:lineRule="exact"/>
              <w:jc w:val="center"/>
              <w:rPr>
                <w:rFonts w:eastAsia="楷体"/>
                <w:color w:val="000000"/>
                <w:szCs w:val="21"/>
              </w:rPr>
            </w:pPr>
            <w:r>
              <w:rPr>
                <w:rFonts w:eastAsia="楷体"/>
                <w:color w:val="000000"/>
                <w:szCs w:val="21"/>
              </w:rPr>
              <w:t>792.06</w:t>
            </w:r>
          </w:p>
        </w:tc>
        <w:tc>
          <w:tcPr>
            <w:tcW w:w="1843" w:type="dxa"/>
          </w:tcPr>
          <w:p w14:paraId="40A8793D">
            <w:pPr>
              <w:spacing w:line="320" w:lineRule="exact"/>
              <w:jc w:val="center"/>
              <w:rPr>
                <w:rFonts w:eastAsia="楷体"/>
                <w:color w:val="000000"/>
                <w:szCs w:val="21"/>
              </w:rPr>
            </w:pPr>
            <w:r>
              <w:rPr>
                <w:rFonts w:eastAsia="楷体"/>
                <w:color w:val="000000"/>
                <w:szCs w:val="21"/>
              </w:rPr>
              <w:t>21.20</w:t>
            </w:r>
          </w:p>
        </w:tc>
      </w:tr>
      <w:tr w14:paraId="2FF3DB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830" w:type="dxa"/>
            <w:gridSpan w:val="2"/>
          </w:tcPr>
          <w:p w14:paraId="2F508559">
            <w:pPr>
              <w:spacing w:line="320" w:lineRule="exact"/>
              <w:jc w:val="center"/>
              <w:rPr>
                <w:rFonts w:eastAsia="楷体"/>
                <w:color w:val="000000"/>
                <w:szCs w:val="21"/>
              </w:rPr>
            </w:pPr>
            <w:r>
              <w:rPr>
                <w:rFonts w:eastAsia="楷体"/>
                <w:color w:val="000000"/>
                <w:szCs w:val="21"/>
              </w:rPr>
              <w:t>监测指标</w:t>
            </w:r>
          </w:p>
        </w:tc>
        <w:tc>
          <w:tcPr>
            <w:tcW w:w="1843" w:type="dxa"/>
          </w:tcPr>
          <w:p w14:paraId="18FC3DCD">
            <w:pPr>
              <w:spacing w:line="280" w:lineRule="exact"/>
              <w:jc w:val="center"/>
              <w:rPr>
                <w:rFonts w:eastAsia="楷体"/>
                <w:color w:val="000000"/>
                <w:szCs w:val="21"/>
              </w:rPr>
            </w:pPr>
            <w:r>
              <w:rPr>
                <w:rFonts w:eastAsia="楷体"/>
                <w:color w:val="000000"/>
                <w:szCs w:val="21"/>
              </w:rPr>
              <w:t>MPB浓度</w:t>
            </w:r>
          </w:p>
          <w:p w14:paraId="3F18624D">
            <w:pPr>
              <w:spacing w:line="280" w:lineRule="exact"/>
              <w:jc w:val="center"/>
              <w:rPr>
                <w:rFonts w:eastAsia="楷体"/>
                <w:color w:val="000000"/>
                <w:szCs w:val="21"/>
              </w:rPr>
            </w:pPr>
            <w:r>
              <w:rPr>
                <w:rFonts w:eastAsia="楷体"/>
                <w:color w:val="000000"/>
                <w:szCs w:val="21"/>
              </w:rPr>
              <w:t>（x10</w:t>
            </w:r>
            <w:r>
              <w:rPr>
                <w:rFonts w:eastAsia="楷体"/>
                <w:color w:val="000000"/>
                <w:szCs w:val="21"/>
                <w:vertAlign w:val="superscript"/>
              </w:rPr>
              <w:t>4</w:t>
            </w:r>
            <w:r>
              <w:rPr>
                <w:rFonts w:eastAsia="楷体"/>
                <w:color w:val="000000"/>
                <w:szCs w:val="21"/>
              </w:rPr>
              <w:t>cfu/mL）</w:t>
            </w:r>
          </w:p>
        </w:tc>
        <w:tc>
          <w:tcPr>
            <w:tcW w:w="2693" w:type="dxa"/>
          </w:tcPr>
          <w:p w14:paraId="6D29778D">
            <w:pPr>
              <w:spacing w:line="280" w:lineRule="exact"/>
              <w:jc w:val="center"/>
              <w:rPr>
                <w:rFonts w:eastAsia="楷体"/>
                <w:color w:val="000000"/>
                <w:szCs w:val="21"/>
              </w:rPr>
            </w:pPr>
            <w:r>
              <w:rPr>
                <w:rFonts w:hint="eastAsia" w:eastAsia="楷体"/>
                <w:color w:val="000000"/>
                <w:szCs w:val="21"/>
              </w:rPr>
              <w:t>C</w:t>
            </w:r>
            <w:r>
              <w:rPr>
                <w:rFonts w:eastAsia="楷体"/>
                <w:color w:val="000000"/>
                <w:szCs w:val="21"/>
              </w:rPr>
              <w:t>2～C4挥发性脂肪酸浓度</w:t>
            </w:r>
            <w:r>
              <w:rPr>
                <w:rFonts w:hint="eastAsia" w:eastAsia="楷体"/>
                <w:color w:val="000000"/>
                <w:szCs w:val="21"/>
              </w:rPr>
              <w:t xml:space="preserve"> </w:t>
            </w:r>
          </w:p>
          <w:p w14:paraId="39F10978">
            <w:pPr>
              <w:spacing w:line="280" w:lineRule="exact"/>
              <w:jc w:val="center"/>
              <w:rPr>
                <w:rFonts w:eastAsia="楷体"/>
                <w:color w:val="000000"/>
                <w:szCs w:val="21"/>
              </w:rPr>
            </w:pPr>
            <w:r>
              <w:rPr>
                <w:rFonts w:eastAsia="楷体"/>
                <w:color w:val="000000"/>
                <w:szCs w:val="21"/>
              </w:rPr>
              <w:t>(mg/L)</w:t>
            </w:r>
          </w:p>
        </w:tc>
        <w:tc>
          <w:tcPr>
            <w:tcW w:w="1843" w:type="dxa"/>
          </w:tcPr>
          <w:p w14:paraId="4C3D6407">
            <w:pPr>
              <w:spacing w:line="280" w:lineRule="exact"/>
              <w:jc w:val="center"/>
              <w:rPr>
                <w:rFonts w:eastAsia="楷体"/>
                <w:color w:val="000000"/>
                <w:szCs w:val="21"/>
              </w:rPr>
            </w:pPr>
            <w:r>
              <w:rPr>
                <w:rFonts w:eastAsia="楷体"/>
                <w:color w:val="000000"/>
                <w:szCs w:val="21"/>
              </w:rPr>
              <w:t>SRB</w:t>
            </w:r>
          </w:p>
          <w:p w14:paraId="23262F7E">
            <w:pPr>
              <w:spacing w:line="280" w:lineRule="exact"/>
              <w:jc w:val="center"/>
              <w:rPr>
                <w:rFonts w:eastAsia="楷体"/>
                <w:color w:val="000000"/>
                <w:szCs w:val="21"/>
              </w:rPr>
            </w:pPr>
            <w:r>
              <w:rPr>
                <w:rFonts w:eastAsia="楷体"/>
                <w:color w:val="000000"/>
                <w:szCs w:val="21"/>
              </w:rPr>
              <w:t>（x10</w:t>
            </w:r>
            <w:r>
              <w:rPr>
                <w:rFonts w:eastAsia="楷体"/>
                <w:color w:val="000000"/>
                <w:szCs w:val="21"/>
                <w:vertAlign w:val="superscript"/>
              </w:rPr>
              <w:t>2</w:t>
            </w:r>
            <w:r>
              <w:rPr>
                <w:rFonts w:eastAsia="楷体"/>
                <w:color w:val="000000"/>
                <w:szCs w:val="21"/>
              </w:rPr>
              <w:t>cfu/mL）</w:t>
            </w:r>
          </w:p>
        </w:tc>
      </w:tr>
      <w:tr w14:paraId="354B9DA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Merge w:val="restart"/>
          </w:tcPr>
          <w:p w14:paraId="1EC5647B">
            <w:pPr>
              <w:spacing w:line="320" w:lineRule="exact"/>
              <w:jc w:val="center"/>
              <w:rPr>
                <w:rFonts w:eastAsia="楷体"/>
                <w:color w:val="000000"/>
                <w:szCs w:val="21"/>
              </w:rPr>
            </w:pPr>
          </w:p>
          <w:p w14:paraId="15AC7317">
            <w:pPr>
              <w:spacing w:line="320" w:lineRule="exact"/>
              <w:jc w:val="center"/>
              <w:rPr>
                <w:rFonts w:eastAsia="楷体"/>
                <w:color w:val="000000"/>
                <w:szCs w:val="21"/>
              </w:rPr>
            </w:pPr>
            <w:r>
              <w:rPr>
                <w:rFonts w:eastAsia="楷体"/>
                <w:color w:val="000000"/>
                <w:szCs w:val="21"/>
              </w:rPr>
              <w:t>第3天</w:t>
            </w:r>
          </w:p>
        </w:tc>
        <w:tc>
          <w:tcPr>
            <w:tcW w:w="1553" w:type="dxa"/>
          </w:tcPr>
          <w:p w14:paraId="13C7F9DF">
            <w:pPr>
              <w:spacing w:line="320" w:lineRule="exact"/>
              <w:jc w:val="center"/>
              <w:rPr>
                <w:rFonts w:eastAsia="楷体"/>
                <w:color w:val="000000"/>
                <w:szCs w:val="21"/>
              </w:rPr>
            </w:pPr>
            <w:r>
              <w:rPr>
                <w:rFonts w:eastAsia="楷体"/>
                <w:color w:val="000000"/>
                <w:szCs w:val="21"/>
              </w:rPr>
              <w:t>平行样1</w:t>
            </w:r>
          </w:p>
        </w:tc>
        <w:tc>
          <w:tcPr>
            <w:tcW w:w="1843" w:type="dxa"/>
          </w:tcPr>
          <w:p w14:paraId="79C9A28B">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.785</w:t>
            </w:r>
          </w:p>
        </w:tc>
        <w:tc>
          <w:tcPr>
            <w:tcW w:w="2693" w:type="dxa"/>
          </w:tcPr>
          <w:p w14:paraId="5788C71E">
            <w:pPr>
              <w:spacing w:line="320" w:lineRule="exact"/>
              <w:jc w:val="center"/>
              <w:rPr>
                <w:rFonts w:eastAsia="楷体"/>
                <w:color w:val="000000"/>
                <w:szCs w:val="21"/>
              </w:rPr>
            </w:pPr>
            <w:r>
              <w:rPr>
                <w:rFonts w:hint="eastAsia" w:eastAsia="楷体"/>
                <w:color w:val="000000"/>
                <w:szCs w:val="21"/>
              </w:rPr>
              <w:t>2</w:t>
            </w:r>
            <w:r>
              <w:rPr>
                <w:rFonts w:eastAsia="楷体"/>
                <w:color w:val="000000"/>
                <w:szCs w:val="21"/>
              </w:rPr>
              <w:t>769.96</w:t>
            </w:r>
          </w:p>
        </w:tc>
        <w:tc>
          <w:tcPr>
            <w:tcW w:w="1843" w:type="dxa"/>
          </w:tcPr>
          <w:p w14:paraId="026F3900">
            <w:pPr>
              <w:spacing w:line="320" w:lineRule="exact"/>
              <w:jc w:val="center"/>
              <w:rPr>
                <w:rFonts w:eastAsia="楷体"/>
                <w:color w:val="000000"/>
                <w:szCs w:val="21"/>
              </w:rPr>
            </w:pPr>
            <w:r>
              <w:rPr>
                <w:rFonts w:hint="eastAsia" w:eastAsia="楷体"/>
                <w:color w:val="000000"/>
                <w:szCs w:val="21"/>
              </w:rPr>
              <w:t>1</w:t>
            </w:r>
            <w:r>
              <w:rPr>
                <w:rFonts w:eastAsia="楷体"/>
                <w:color w:val="000000"/>
                <w:szCs w:val="21"/>
              </w:rPr>
              <w:t>.345</w:t>
            </w:r>
          </w:p>
        </w:tc>
      </w:tr>
      <w:tr w14:paraId="7F2633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Merge w:val="continue"/>
          </w:tcPr>
          <w:p w14:paraId="30EC85CF">
            <w:pPr>
              <w:spacing w:line="320" w:lineRule="exact"/>
              <w:jc w:val="center"/>
              <w:rPr>
                <w:rFonts w:eastAsia="楷体"/>
                <w:color w:val="000000"/>
                <w:szCs w:val="21"/>
              </w:rPr>
            </w:pPr>
          </w:p>
        </w:tc>
        <w:tc>
          <w:tcPr>
            <w:tcW w:w="1553" w:type="dxa"/>
          </w:tcPr>
          <w:p w14:paraId="7CD6241F">
            <w:pPr>
              <w:spacing w:line="320" w:lineRule="exact"/>
              <w:jc w:val="center"/>
              <w:rPr>
                <w:rFonts w:eastAsia="楷体"/>
                <w:color w:val="000000"/>
                <w:szCs w:val="21"/>
              </w:rPr>
            </w:pPr>
            <w:r>
              <w:rPr>
                <w:rFonts w:eastAsia="楷体"/>
                <w:color w:val="000000"/>
                <w:szCs w:val="21"/>
              </w:rPr>
              <w:t>平行样2</w:t>
            </w:r>
          </w:p>
        </w:tc>
        <w:tc>
          <w:tcPr>
            <w:tcW w:w="1843" w:type="dxa"/>
          </w:tcPr>
          <w:p w14:paraId="3E34B5DE">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.779</w:t>
            </w:r>
          </w:p>
        </w:tc>
        <w:tc>
          <w:tcPr>
            <w:tcW w:w="2693" w:type="dxa"/>
          </w:tcPr>
          <w:p w14:paraId="1FBF0B6E">
            <w:pPr>
              <w:spacing w:line="320" w:lineRule="exact"/>
              <w:jc w:val="center"/>
              <w:rPr>
                <w:rFonts w:eastAsia="楷体"/>
                <w:color w:val="000000"/>
                <w:szCs w:val="21"/>
              </w:rPr>
            </w:pPr>
            <w:r>
              <w:rPr>
                <w:rFonts w:hint="eastAsia" w:eastAsia="楷体"/>
                <w:color w:val="000000"/>
                <w:szCs w:val="21"/>
              </w:rPr>
              <w:t>2</w:t>
            </w:r>
            <w:r>
              <w:rPr>
                <w:rFonts w:eastAsia="楷体"/>
                <w:color w:val="000000"/>
                <w:szCs w:val="21"/>
              </w:rPr>
              <w:t>770.03</w:t>
            </w:r>
          </w:p>
        </w:tc>
        <w:tc>
          <w:tcPr>
            <w:tcW w:w="1843" w:type="dxa"/>
          </w:tcPr>
          <w:p w14:paraId="5F607A5D">
            <w:pPr>
              <w:spacing w:line="320" w:lineRule="exact"/>
              <w:jc w:val="center"/>
              <w:rPr>
                <w:rFonts w:eastAsia="楷体"/>
                <w:color w:val="000000"/>
                <w:szCs w:val="21"/>
              </w:rPr>
            </w:pPr>
            <w:r>
              <w:rPr>
                <w:rFonts w:hint="eastAsia" w:eastAsia="楷体"/>
                <w:color w:val="000000"/>
                <w:szCs w:val="21"/>
              </w:rPr>
              <w:t>1</w:t>
            </w:r>
            <w:r>
              <w:rPr>
                <w:rFonts w:eastAsia="楷体"/>
                <w:color w:val="000000"/>
                <w:szCs w:val="21"/>
              </w:rPr>
              <w:t>.349</w:t>
            </w:r>
          </w:p>
        </w:tc>
      </w:tr>
      <w:tr w14:paraId="4ED12AC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Merge w:val="continue"/>
          </w:tcPr>
          <w:p w14:paraId="77828857">
            <w:pPr>
              <w:spacing w:line="320" w:lineRule="exact"/>
              <w:jc w:val="center"/>
              <w:rPr>
                <w:rFonts w:eastAsia="楷体"/>
                <w:color w:val="000000"/>
                <w:szCs w:val="21"/>
              </w:rPr>
            </w:pPr>
          </w:p>
        </w:tc>
        <w:tc>
          <w:tcPr>
            <w:tcW w:w="1553" w:type="dxa"/>
          </w:tcPr>
          <w:p w14:paraId="65B55808">
            <w:pPr>
              <w:spacing w:line="320" w:lineRule="exact"/>
              <w:jc w:val="center"/>
              <w:rPr>
                <w:rFonts w:eastAsia="楷体"/>
                <w:color w:val="000000"/>
                <w:szCs w:val="21"/>
              </w:rPr>
            </w:pPr>
            <w:r>
              <w:rPr>
                <w:rFonts w:eastAsia="楷体"/>
                <w:color w:val="000000"/>
                <w:szCs w:val="21"/>
              </w:rPr>
              <w:t>平均值</w:t>
            </w:r>
          </w:p>
        </w:tc>
        <w:tc>
          <w:tcPr>
            <w:tcW w:w="1843" w:type="dxa"/>
          </w:tcPr>
          <w:p w14:paraId="78FF106E">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.782</w:t>
            </w:r>
          </w:p>
        </w:tc>
        <w:tc>
          <w:tcPr>
            <w:tcW w:w="2693" w:type="dxa"/>
          </w:tcPr>
          <w:p w14:paraId="14F9D0EF">
            <w:pPr>
              <w:spacing w:line="320" w:lineRule="exact"/>
              <w:jc w:val="center"/>
              <w:rPr>
                <w:rFonts w:eastAsia="楷体"/>
                <w:color w:val="000000"/>
                <w:szCs w:val="21"/>
              </w:rPr>
            </w:pPr>
            <w:r>
              <w:rPr>
                <w:rFonts w:hint="eastAsia" w:eastAsia="楷体"/>
                <w:color w:val="000000"/>
                <w:szCs w:val="21"/>
              </w:rPr>
              <w:t>2</w:t>
            </w:r>
            <w:r>
              <w:rPr>
                <w:rFonts w:eastAsia="楷体"/>
                <w:color w:val="000000"/>
                <w:szCs w:val="21"/>
              </w:rPr>
              <w:t>769.99</w:t>
            </w:r>
          </w:p>
        </w:tc>
        <w:tc>
          <w:tcPr>
            <w:tcW w:w="1843" w:type="dxa"/>
          </w:tcPr>
          <w:p w14:paraId="11F78A3F">
            <w:pPr>
              <w:spacing w:line="320" w:lineRule="exact"/>
              <w:jc w:val="center"/>
              <w:rPr>
                <w:rFonts w:eastAsia="楷体"/>
                <w:color w:val="000000"/>
                <w:szCs w:val="21"/>
              </w:rPr>
            </w:pPr>
            <w:r>
              <w:rPr>
                <w:rFonts w:hint="eastAsia" w:eastAsia="楷体"/>
                <w:color w:val="000000"/>
                <w:szCs w:val="21"/>
              </w:rPr>
              <w:t>1</w:t>
            </w:r>
            <w:r>
              <w:rPr>
                <w:rFonts w:eastAsia="楷体"/>
                <w:color w:val="000000"/>
                <w:szCs w:val="21"/>
              </w:rPr>
              <w:t>.347</w:t>
            </w:r>
          </w:p>
        </w:tc>
      </w:tr>
      <w:tr w14:paraId="6311A1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Merge w:val="continue"/>
          </w:tcPr>
          <w:p w14:paraId="4962F8D9">
            <w:pPr>
              <w:spacing w:line="320" w:lineRule="exact"/>
              <w:jc w:val="center"/>
              <w:rPr>
                <w:rFonts w:eastAsia="楷体"/>
                <w:color w:val="000000"/>
                <w:szCs w:val="21"/>
              </w:rPr>
            </w:pPr>
          </w:p>
        </w:tc>
        <w:tc>
          <w:tcPr>
            <w:tcW w:w="1553" w:type="dxa"/>
          </w:tcPr>
          <w:p w14:paraId="74F16D87">
            <w:pPr>
              <w:spacing w:line="320" w:lineRule="exact"/>
              <w:jc w:val="center"/>
              <w:rPr>
                <w:rFonts w:eastAsia="楷体"/>
                <w:color w:val="000000"/>
                <w:szCs w:val="21"/>
              </w:rPr>
            </w:pPr>
            <w:r>
              <w:rPr>
                <w:rFonts w:eastAsia="楷体"/>
                <w:color w:val="000000"/>
                <w:szCs w:val="21"/>
              </w:rPr>
              <w:t>绝对偏差</w:t>
            </w:r>
          </w:p>
        </w:tc>
        <w:tc>
          <w:tcPr>
            <w:tcW w:w="1843" w:type="dxa"/>
          </w:tcPr>
          <w:p w14:paraId="6D03C5EE">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.003</w:t>
            </w:r>
          </w:p>
        </w:tc>
        <w:tc>
          <w:tcPr>
            <w:tcW w:w="2693" w:type="dxa"/>
          </w:tcPr>
          <w:p w14:paraId="1100B44D">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.04</w:t>
            </w:r>
          </w:p>
        </w:tc>
        <w:tc>
          <w:tcPr>
            <w:tcW w:w="1843" w:type="dxa"/>
          </w:tcPr>
          <w:p w14:paraId="0F19DFAF">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.02</w:t>
            </w:r>
          </w:p>
        </w:tc>
      </w:tr>
      <w:tr w14:paraId="1D2583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Merge w:val="restart"/>
          </w:tcPr>
          <w:p w14:paraId="367FA98B">
            <w:pPr>
              <w:spacing w:line="320" w:lineRule="exact"/>
              <w:jc w:val="center"/>
              <w:rPr>
                <w:rFonts w:eastAsia="楷体"/>
                <w:color w:val="000000"/>
                <w:szCs w:val="21"/>
              </w:rPr>
            </w:pPr>
          </w:p>
          <w:p w14:paraId="5A981C66">
            <w:pPr>
              <w:spacing w:line="320" w:lineRule="exact"/>
              <w:jc w:val="center"/>
              <w:rPr>
                <w:rFonts w:eastAsia="楷体"/>
                <w:color w:val="000000"/>
                <w:szCs w:val="21"/>
              </w:rPr>
            </w:pPr>
            <w:r>
              <w:rPr>
                <w:rFonts w:eastAsia="楷体"/>
                <w:color w:val="000000"/>
                <w:szCs w:val="21"/>
              </w:rPr>
              <w:t>第10天</w:t>
            </w:r>
          </w:p>
        </w:tc>
        <w:tc>
          <w:tcPr>
            <w:tcW w:w="1553" w:type="dxa"/>
          </w:tcPr>
          <w:p w14:paraId="18866C45">
            <w:pPr>
              <w:spacing w:line="320" w:lineRule="exact"/>
              <w:jc w:val="center"/>
              <w:rPr>
                <w:rFonts w:eastAsia="楷体"/>
                <w:color w:val="000000"/>
                <w:szCs w:val="21"/>
              </w:rPr>
            </w:pPr>
            <w:r>
              <w:rPr>
                <w:rFonts w:eastAsia="楷体"/>
                <w:color w:val="000000"/>
                <w:szCs w:val="21"/>
              </w:rPr>
              <w:t>平行样1</w:t>
            </w:r>
          </w:p>
        </w:tc>
        <w:tc>
          <w:tcPr>
            <w:tcW w:w="1843" w:type="dxa"/>
          </w:tcPr>
          <w:p w14:paraId="77F4462A">
            <w:pPr>
              <w:spacing w:line="320" w:lineRule="exact"/>
              <w:jc w:val="center"/>
              <w:rPr>
                <w:rFonts w:eastAsia="楷体"/>
                <w:color w:val="000000"/>
                <w:szCs w:val="21"/>
              </w:rPr>
            </w:pPr>
            <w:r>
              <w:rPr>
                <w:rFonts w:eastAsia="楷体"/>
                <w:color w:val="000000"/>
                <w:szCs w:val="21"/>
              </w:rPr>
              <w:t>2.456</w:t>
            </w:r>
          </w:p>
        </w:tc>
        <w:tc>
          <w:tcPr>
            <w:tcW w:w="2693" w:type="dxa"/>
          </w:tcPr>
          <w:p w14:paraId="0E097DA3">
            <w:pPr>
              <w:spacing w:line="320" w:lineRule="exact"/>
              <w:jc w:val="center"/>
              <w:rPr>
                <w:rFonts w:eastAsia="楷体"/>
                <w:color w:val="000000"/>
                <w:szCs w:val="21"/>
              </w:rPr>
            </w:pPr>
            <w:r>
              <w:rPr>
                <w:rFonts w:hint="eastAsia" w:eastAsia="楷体"/>
                <w:color w:val="000000"/>
                <w:szCs w:val="21"/>
              </w:rPr>
              <w:t>2</w:t>
            </w:r>
            <w:r>
              <w:rPr>
                <w:rFonts w:eastAsia="楷体"/>
                <w:color w:val="000000"/>
                <w:szCs w:val="21"/>
              </w:rPr>
              <w:t>587.01</w:t>
            </w:r>
          </w:p>
        </w:tc>
        <w:tc>
          <w:tcPr>
            <w:tcW w:w="1843" w:type="dxa"/>
          </w:tcPr>
          <w:p w14:paraId="14A77C28">
            <w:pPr>
              <w:spacing w:line="320" w:lineRule="exact"/>
              <w:jc w:val="center"/>
              <w:rPr>
                <w:rFonts w:eastAsia="楷体"/>
                <w:color w:val="000000"/>
                <w:szCs w:val="21"/>
              </w:rPr>
            </w:pPr>
            <w:r>
              <w:rPr>
                <w:rFonts w:hint="eastAsia" w:eastAsia="楷体"/>
                <w:color w:val="000000"/>
                <w:szCs w:val="21"/>
              </w:rPr>
              <w:t>1</w:t>
            </w:r>
            <w:r>
              <w:rPr>
                <w:rFonts w:eastAsia="楷体"/>
                <w:color w:val="000000"/>
                <w:szCs w:val="21"/>
              </w:rPr>
              <w:t>.077</w:t>
            </w:r>
          </w:p>
        </w:tc>
      </w:tr>
      <w:tr w14:paraId="4059BD3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Merge w:val="continue"/>
          </w:tcPr>
          <w:p w14:paraId="4328E818">
            <w:pPr>
              <w:spacing w:line="320" w:lineRule="exact"/>
              <w:jc w:val="center"/>
              <w:rPr>
                <w:rFonts w:eastAsia="楷体"/>
                <w:color w:val="000000"/>
                <w:szCs w:val="21"/>
              </w:rPr>
            </w:pPr>
          </w:p>
        </w:tc>
        <w:tc>
          <w:tcPr>
            <w:tcW w:w="1553" w:type="dxa"/>
          </w:tcPr>
          <w:p w14:paraId="135CC341">
            <w:pPr>
              <w:spacing w:line="320" w:lineRule="exact"/>
              <w:jc w:val="center"/>
              <w:rPr>
                <w:rFonts w:eastAsia="楷体"/>
                <w:color w:val="000000"/>
                <w:szCs w:val="21"/>
              </w:rPr>
            </w:pPr>
            <w:r>
              <w:rPr>
                <w:rFonts w:eastAsia="楷体"/>
                <w:color w:val="000000"/>
                <w:szCs w:val="21"/>
              </w:rPr>
              <w:t>平行样2</w:t>
            </w:r>
          </w:p>
        </w:tc>
        <w:tc>
          <w:tcPr>
            <w:tcW w:w="1843" w:type="dxa"/>
          </w:tcPr>
          <w:p w14:paraId="68BB429E">
            <w:pPr>
              <w:spacing w:line="320" w:lineRule="exact"/>
              <w:jc w:val="center"/>
              <w:rPr>
                <w:rFonts w:eastAsia="楷体"/>
                <w:color w:val="000000"/>
                <w:szCs w:val="21"/>
              </w:rPr>
            </w:pPr>
            <w:r>
              <w:rPr>
                <w:rFonts w:hint="eastAsia" w:eastAsia="楷体"/>
                <w:color w:val="000000"/>
                <w:szCs w:val="21"/>
              </w:rPr>
              <w:t>2</w:t>
            </w:r>
            <w:r>
              <w:rPr>
                <w:rFonts w:eastAsia="楷体"/>
                <w:color w:val="000000"/>
                <w:szCs w:val="21"/>
              </w:rPr>
              <w:t>.449</w:t>
            </w:r>
          </w:p>
        </w:tc>
        <w:tc>
          <w:tcPr>
            <w:tcW w:w="2693" w:type="dxa"/>
          </w:tcPr>
          <w:p w14:paraId="1F2DEFEB">
            <w:pPr>
              <w:spacing w:line="320" w:lineRule="exact"/>
              <w:jc w:val="center"/>
              <w:rPr>
                <w:rFonts w:eastAsia="楷体"/>
                <w:color w:val="000000"/>
                <w:szCs w:val="21"/>
              </w:rPr>
            </w:pPr>
            <w:r>
              <w:rPr>
                <w:rFonts w:hint="eastAsia" w:eastAsia="楷体"/>
                <w:color w:val="000000"/>
                <w:szCs w:val="21"/>
              </w:rPr>
              <w:t>2</w:t>
            </w:r>
            <w:r>
              <w:rPr>
                <w:rFonts w:eastAsia="楷体"/>
                <w:color w:val="000000"/>
                <w:szCs w:val="21"/>
              </w:rPr>
              <w:t>587.07</w:t>
            </w:r>
          </w:p>
        </w:tc>
        <w:tc>
          <w:tcPr>
            <w:tcW w:w="1843" w:type="dxa"/>
          </w:tcPr>
          <w:p w14:paraId="1BD4076F">
            <w:pPr>
              <w:spacing w:line="320" w:lineRule="exact"/>
              <w:jc w:val="center"/>
              <w:rPr>
                <w:rFonts w:eastAsia="楷体"/>
                <w:color w:val="000000"/>
                <w:szCs w:val="21"/>
              </w:rPr>
            </w:pPr>
            <w:r>
              <w:rPr>
                <w:rFonts w:hint="eastAsia" w:eastAsia="楷体"/>
                <w:color w:val="000000"/>
                <w:szCs w:val="21"/>
              </w:rPr>
              <w:t>1</w:t>
            </w:r>
            <w:r>
              <w:rPr>
                <w:rFonts w:eastAsia="楷体"/>
                <w:color w:val="000000"/>
                <w:szCs w:val="21"/>
              </w:rPr>
              <w:t>.075</w:t>
            </w:r>
          </w:p>
        </w:tc>
      </w:tr>
      <w:tr w14:paraId="13EDE1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Merge w:val="continue"/>
          </w:tcPr>
          <w:p w14:paraId="4DBE008A">
            <w:pPr>
              <w:spacing w:line="320" w:lineRule="exact"/>
              <w:jc w:val="center"/>
              <w:rPr>
                <w:rFonts w:eastAsia="楷体"/>
                <w:color w:val="000000"/>
                <w:szCs w:val="21"/>
              </w:rPr>
            </w:pPr>
          </w:p>
        </w:tc>
        <w:tc>
          <w:tcPr>
            <w:tcW w:w="1553" w:type="dxa"/>
          </w:tcPr>
          <w:p w14:paraId="0D278221">
            <w:pPr>
              <w:spacing w:line="320" w:lineRule="exact"/>
              <w:jc w:val="center"/>
              <w:rPr>
                <w:rFonts w:eastAsia="楷体"/>
                <w:color w:val="000000"/>
                <w:szCs w:val="21"/>
              </w:rPr>
            </w:pPr>
            <w:r>
              <w:rPr>
                <w:rFonts w:eastAsia="楷体"/>
                <w:color w:val="000000"/>
                <w:szCs w:val="21"/>
              </w:rPr>
              <w:t>平均值</w:t>
            </w:r>
          </w:p>
        </w:tc>
        <w:tc>
          <w:tcPr>
            <w:tcW w:w="1843" w:type="dxa"/>
          </w:tcPr>
          <w:p w14:paraId="3FB7F737">
            <w:pPr>
              <w:spacing w:line="320" w:lineRule="exact"/>
              <w:jc w:val="center"/>
              <w:rPr>
                <w:rFonts w:eastAsia="楷体"/>
                <w:color w:val="000000"/>
                <w:szCs w:val="21"/>
              </w:rPr>
            </w:pPr>
            <w:r>
              <w:rPr>
                <w:rFonts w:hint="eastAsia" w:eastAsia="楷体"/>
                <w:color w:val="000000"/>
                <w:szCs w:val="21"/>
              </w:rPr>
              <w:t>2</w:t>
            </w:r>
            <w:r>
              <w:rPr>
                <w:rFonts w:eastAsia="楷体"/>
                <w:color w:val="000000"/>
                <w:szCs w:val="21"/>
              </w:rPr>
              <w:t>.452</w:t>
            </w:r>
          </w:p>
        </w:tc>
        <w:tc>
          <w:tcPr>
            <w:tcW w:w="2693" w:type="dxa"/>
          </w:tcPr>
          <w:p w14:paraId="3727FBA6">
            <w:pPr>
              <w:spacing w:line="320" w:lineRule="exact"/>
              <w:jc w:val="center"/>
              <w:rPr>
                <w:rFonts w:eastAsia="楷体"/>
                <w:color w:val="000000"/>
                <w:szCs w:val="21"/>
              </w:rPr>
            </w:pPr>
            <w:r>
              <w:rPr>
                <w:rFonts w:hint="eastAsia" w:eastAsia="楷体"/>
                <w:color w:val="000000"/>
                <w:szCs w:val="21"/>
              </w:rPr>
              <w:t>2</w:t>
            </w:r>
            <w:r>
              <w:rPr>
                <w:rFonts w:eastAsia="楷体"/>
                <w:color w:val="000000"/>
                <w:szCs w:val="21"/>
              </w:rPr>
              <w:t>587.04</w:t>
            </w:r>
          </w:p>
        </w:tc>
        <w:tc>
          <w:tcPr>
            <w:tcW w:w="1843" w:type="dxa"/>
          </w:tcPr>
          <w:p w14:paraId="6AAE6ECC">
            <w:pPr>
              <w:spacing w:line="320" w:lineRule="exact"/>
              <w:jc w:val="center"/>
              <w:rPr>
                <w:rFonts w:eastAsia="楷体"/>
                <w:color w:val="000000"/>
                <w:szCs w:val="21"/>
              </w:rPr>
            </w:pPr>
            <w:r>
              <w:rPr>
                <w:rFonts w:hint="eastAsia" w:eastAsia="楷体"/>
                <w:color w:val="000000"/>
                <w:szCs w:val="21"/>
              </w:rPr>
              <w:t>1</w:t>
            </w:r>
            <w:r>
              <w:rPr>
                <w:rFonts w:eastAsia="楷体"/>
                <w:color w:val="000000"/>
                <w:szCs w:val="21"/>
              </w:rPr>
              <w:t>.076</w:t>
            </w:r>
          </w:p>
        </w:tc>
      </w:tr>
      <w:tr w14:paraId="111E4C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277" w:type="dxa"/>
            <w:vMerge w:val="continue"/>
          </w:tcPr>
          <w:p w14:paraId="27E54FD3">
            <w:pPr>
              <w:spacing w:line="320" w:lineRule="exact"/>
              <w:jc w:val="center"/>
              <w:rPr>
                <w:rFonts w:eastAsia="楷体"/>
                <w:color w:val="000000"/>
                <w:szCs w:val="21"/>
              </w:rPr>
            </w:pPr>
          </w:p>
        </w:tc>
        <w:tc>
          <w:tcPr>
            <w:tcW w:w="1553" w:type="dxa"/>
          </w:tcPr>
          <w:p w14:paraId="23341384">
            <w:pPr>
              <w:spacing w:line="320" w:lineRule="exact"/>
              <w:jc w:val="center"/>
              <w:rPr>
                <w:rFonts w:eastAsia="楷体"/>
                <w:color w:val="000000"/>
                <w:szCs w:val="21"/>
              </w:rPr>
            </w:pPr>
            <w:r>
              <w:rPr>
                <w:rFonts w:eastAsia="楷体"/>
                <w:color w:val="000000"/>
                <w:szCs w:val="21"/>
              </w:rPr>
              <w:t>绝对偏差</w:t>
            </w:r>
          </w:p>
        </w:tc>
        <w:tc>
          <w:tcPr>
            <w:tcW w:w="1843" w:type="dxa"/>
          </w:tcPr>
          <w:p w14:paraId="1FDD7BD5">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.004</w:t>
            </w:r>
          </w:p>
        </w:tc>
        <w:tc>
          <w:tcPr>
            <w:tcW w:w="2693" w:type="dxa"/>
          </w:tcPr>
          <w:p w14:paraId="69A2442C">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.03</w:t>
            </w:r>
          </w:p>
        </w:tc>
        <w:tc>
          <w:tcPr>
            <w:tcW w:w="1843" w:type="dxa"/>
          </w:tcPr>
          <w:p w14:paraId="0CEE804F">
            <w:pPr>
              <w:spacing w:line="320" w:lineRule="exact"/>
              <w:jc w:val="center"/>
              <w:rPr>
                <w:rFonts w:eastAsia="楷体"/>
                <w:color w:val="000000"/>
                <w:szCs w:val="21"/>
              </w:rPr>
            </w:pPr>
            <w:r>
              <w:rPr>
                <w:rFonts w:hint="eastAsia" w:eastAsia="楷体"/>
                <w:color w:val="000000"/>
                <w:szCs w:val="21"/>
              </w:rPr>
              <w:t>0</w:t>
            </w:r>
            <w:r>
              <w:rPr>
                <w:rFonts w:eastAsia="楷体"/>
                <w:color w:val="000000"/>
                <w:szCs w:val="21"/>
              </w:rPr>
              <w:t>.01</w:t>
            </w:r>
          </w:p>
        </w:tc>
      </w:tr>
    </w:tbl>
    <w:p w14:paraId="29507316">
      <w:pPr>
        <w:spacing w:line="360" w:lineRule="auto"/>
        <w:ind w:firstLine="480" w:firstLineChars="200"/>
        <w:rPr>
          <w:rFonts w:eastAsia="楷体"/>
          <w:sz w:val="24"/>
        </w:rPr>
      </w:pPr>
      <w:r>
        <w:rPr>
          <w:rFonts w:eastAsia="楷体"/>
          <w:sz w:val="24"/>
        </w:rPr>
        <w:t>从表4结果来看，对于</w:t>
      </w:r>
      <w:r>
        <w:rPr>
          <w:rFonts w:hint="eastAsia" w:eastAsia="楷体"/>
          <w:sz w:val="24"/>
        </w:rPr>
        <w:t>无氧激活监测指标M</w:t>
      </w:r>
      <w:r>
        <w:rPr>
          <w:rFonts w:eastAsia="楷体"/>
          <w:sz w:val="24"/>
        </w:rPr>
        <w:t>PB</w:t>
      </w:r>
      <w:r>
        <w:rPr>
          <w:rFonts w:hint="eastAsia" w:eastAsia="楷体"/>
          <w:sz w:val="24"/>
        </w:rPr>
        <w:t>浓度</w:t>
      </w:r>
      <w:r>
        <w:rPr>
          <w:rFonts w:eastAsia="楷体"/>
          <w:sz w:val="24"/>
        </w:rPr>
        <w:t>、</w:t>
      </w:r>
      <w:r>
        <w:rPr>
          <w:rFonts w:hint="eastAsia" w:eastAsia="楷体"/>
          <w:sz w:val="24"/>
        </w:rPr>
        <w:t>激活体系表面张力、</w:t>
      </w:r>
      <w:r>
        <w:rPr>
          <w:rFonts w:eastAsia="楷体"/>
          <w:color w:val="000000"/>
          <w:sz w:val="24"/>
        </w:rPr>
        <w:t>C2～C4挥发性脂肪酸浓度</w:t>
      </w:r>
      <w:r>
        <w:rPr>
          <w:rFonts w:hint="eastAsia" w:eastAsia="楷体"/>
          <w:color w:val="000000"/>
          <w:sz w:val="24"/>
        </w:rPr>
        <w:t>、乳化指数、激活体系中S</w:t>
      </w:r>
      <w:r>
        <w:rPr>
          <w:rFonts w:eastAsia="楷体"/>
          <w:color w:val="000000"/>
          <w:sz w:val="24"/>
        </w:rPr>
        <w:t>RB</w:t>
      </w:r>
      <w:r>
        <w:rPr>
          <w:rFonts w:hint="eastAsia" w:eastAsia="楷体"/>
          <w:color w:val="000000"/>
          <w:sz w:val="24"/>
        </w:rPr>
        <w:t>浓度的</w:t>
      </w:r>
      <w:r>
        <w:rPr>
          <w:rFonts w:eastAsia="楷体"/>
          <w:sz w:val="24"/>
        </w:rPr>
        <w:t>测定结果的绝对偏差为0.01～0.04，小于1％，说明将该实验方法用于</w:t>
      </w:r>
      <w:r>
        <w:rPr>
          <w:rFonts w:hint="eastAsia" w:eastAsia="楷体"/>
          <w:sz w:val="24"/>
        </w:rPr>
        <w:t>有氧激活体系中的M</w:t>
      </w:r>
      <w:r>
        <w:rPr>
          <w:rFonts w:eastAsia="楷体"/>
          <w:sz w:val="24"/>
        </w:rPr>
        <w:t>PB</w:t>
      </w:r>
      <w:r>
        <w:rPr>
          <w:rFonts w:hint="eastAsia" w:eastAsia="楷体"/>
          <w:sz w:val="24"/>
        </w:rPr>
        <w:t>浓度、激活体系表面张力、</w:t>
      </w:r>
      <w:r>
        <w:rPr>
          <w:rFonts w:eastAsia="楷体"/>
          <w:color w:val="000000"/>
          <w:sz w:val="24"/>
        </w:rPr>
        <w:t>C2～C4挥发性脂肪酸</w:t>
      </w:r>
      <w:r>
        <w:rPr>
          <w:rFonts w:hint="eastAsia" w:eastAsia="楷体"/>
          <w:color w:val="000000"/>
          <w:sz w:val="24"/>
        </w:rPr>
        <w:t>浓度、乳化指数和激活体系S</w:t>
      </w:r>
      <w:r>
        <w:rPr>
          <w:rFonts w:eastAsia="楷体"/>
          <w:color w:val="000000"/>
          <w:sz w:val="24"/>
        </w:rPr>
        <w:t>RB</w:t>
      </w:r>
      <w:r>
        <w:rPr>
          <w:rFonts w:hint="eastAsia" w:eastAsia="楷体"/>
          <w:color w:val="000000"/>
          <w:sz w:val="24"/>
        </w:rPr>
        <w:t>浓度测定</w:t>
      </w:r>
      <w:r>
        <w:rPr>
          <w:rFonts w:eastAsia="楷体"/>
          <w:sz w:val="24"/>
        </w:rPr>
        <w:t>是比较可靠的。</w:t>
      </w:r>
      <w:r>
        <w:rPr>
          <w:rFonts w:hint="eastAsia" w:eastAsia="楷体"/>
          <w:sz w:val="24"/>
        </w:rPr>
        <w:t>在有氧激活后，添加最佳激活剂条件下，内源微生物无氧激活体系中的</w:t>
      </w:r>
      <w:r>
        <w:rPr>
          <w:rFonts w:eastAsia="楷体"/>
          <w:sz w:val="24"/>
        </w:rPr>
        <w:t>MPB</w:t>
      </w:r>
      <w:r>
        <w:rPr>
          <w:rFonts w:hint="eastAsia" w:eastAsia="楷体"/>
          <w:sz w:val="24"/>
        </w:rPr>
        <w:t>度增加至</w:t>
      </w:r>
      <w:r>
        <w:rPr>
          <w:rFonts w:hint="eastAsia" w:eastAsia="楷体"/>
          <w:color w:val="000000"/>
          <w:sz w:val="24"/>
        </w:rPr>
        <w:t>2</w:t>
      </w:r>
      <w:r>
        <w:rPr>
          <w:rFonts w:eastAsia="楷体"/>
          <w:color w:val="000000"/>
          <w:sz w:val="24"/>
        </w:rPr>
        <w:t>.452 x10</w:t>
      </w:r>
      <w:r>
        <w:rPr>
          <w:rFonts w:eastAsia="楷体"/>
          <w:color w:val="000000"/>
          <w:sz w:val="24"/>
          <w:vertAlign w:val="superscript"/>
        </w:rPr>
        <w:t>4</w:t>
      </w:r>
      <w:r>
        <w:rPr>
          <w:rFonts w:eastAsia="楷体"/>
          <w:color w:val="000000"/>
          <w:sz w:val="24"/>
        </w:rPr>
        <w:t>cfu/mL</w:t>
      </w:r>
      <w:r>
        <w:rPr>
          <w:rFonts w:hint="eastAsia" w:eastAsia="楷体"/>
          <w:sz w:val="24"/>
        </w:rPr>
        <w:t>，激活体系表面张力降低至未激活前的3</w:t>
      </w:r>
      <w:r>
        <w:rPr>
          <w:rFonts w:eastAsia="楷体"/>
          <w:sz w:val="24"/>
        </w:rPr>
        <w:t>6.50</w:t>
      </w:r>
      <w:r>
        <w:rPr>
          <w:rFonts w:hint="eastAsia" w:eastAsia="楷体"/>
          <w:sz w:val="24"/>
        </w:rPr>
        <w:t>%，</w:t>
      </w:r>
      <w:r>
        <w:rPr>
          <w:rFonts w:eastAsia="楷体"/>
          <w:color w:val="000000"/>
          <w:sz w:val="24"/>
        </w:rPr>
        <w:t>C2～C4挥发性脂肪酸浓度</w:t>
      </w:r>
      <w:r>
        <w:rPr>
          <w:rFonts w:hint="eastAsia" w:eastAsia="楷体"/>
          <w:sz w:val="24"/>
        </w:rPr>
        <w:t>增加了3</w:t>
      </w:r>
      <w:r>
        <w:rPr>
          <w:rFonts w:eastAsia="楷体"/>
          <w:sz w:val="24"/>
        </w:rPr>
        <w:t>.27</w:t>
      </w:r>
      <w:r>
        <w:rPr>
          <w:rFonts w:hint="eastAsia" w:eastAsia="楷体"/>
          <w:sz w:val="24"/>
        </w:rPr>
        <w:t>倍，激活体系最终乳化指数为9</w:t>
      </w:r>
      <w:r>
        <w:rPr>
          <w:rFonts w:eastAsia="楷体"/>
          <w:sz w:val="24"/>
        </w:rPr>
        <w:t>8.83</w:t>
      </w:r>
      <w:r>
        <w:rPr>
          <w:rFonts w:hint="eastAsia" w:eastAsia="楷体"/>
          <w:sz w:val="24"/>
        </w:rPr>
        <w:t>%，乳化性能良好。同时，有害微生物S</w:t>
      </w:r>
      <w:r>
        <w:rPr>
          <w:rFonts w:eastAsia="楷体"/>
          <w:sz w:val="24"/>
        </w:rPr>
        <w:t>RB</w:t>
      </w:r>
      <w:r>
        <w:rPr>
          <w:rFonts w:hint="eastAsia" w:eastAsia="楷体"/>
          <w:sz w:val="24"/>
        </w:rPr>
        <w:t>的浓度降低</w:t>
      </w:r>
      <w:r>
        <w:rPr>
          <w:rFonts w:eastAsia="楷体"/>
          <w:sz w:val="24"/>
        </w:rPr>
        <w:t>1.97</w:t>
      </w:r>
      <w:r>
        <w:rPr>
          <w:rFonts w:hint="eastAsia" w:eastAsia="楷体"/>
          <w:sz w:val="24"/>
        </w:rPr>
        <w:t>倍。试验验证结果说明，在最佳激活剂条件下，通过有氧和无氧激活，地层水中油藏内源驱油功能微生物浓度大幅度增高，驱油功能代谢产物增多，有害菌被抑制。</w:t>
      </w:r>
    </w:p>
    <w:p w14:paraId="292475A6">
      <w:pPr>
        <w:spacing w:line="360" w:lineRule="auto"/>
        <w:ind w:firstLine="480" w:firstLineChars="200"/>
        <w:rPr>
          <w:rFonts w:eastAsia="楷体"/>
          <w:color w:val="000000"/>
          <w:sz w:val="24"/>
        </w:rPr>
      </w:pPr>
      <w:r>
        <w:rPr>
          <w:rFonts w:eastAsia="楷体"/>
          <w:color w:val="000000"/>
          <w:sz w:val="24"/>
        </w:rPr>
        <w:t>（3）无氧激活</w:t>
      </w:r>
      <w:r>
        <w:rPr>
          <w:rFonts w:hint="eastAsia" w:eastAsia="楷体"/>
          <w:color w:val="000000"/>
          <w:sz w:val="24"/>
        </w:rPr>
        <w:t>体系原油乳化效果评分</w:t>
      </w:r>
    </w:p>
    <w:p w14:paraId="5E060CC3">
      <w:pPr>
        <w:spacing w:line="360" w:lineRule="auto"/>
        <w:ind w:firstLine="480" w:firstLineChars="200"/>
        <w:rPr>
          <w:rFonts w:eastAsia="楷体"/>
          <w:sz w:val="24"/>
        </w:rPr>
      </w:pPr>
      <w:r>
        <w:rPr>
          <w:rFonts w:hint="eastAsia" w:eastAsia="楷体"/>
          <w:sz w:val="24"/>
        </w:rPr>
        <w:t>无氧激活体系原油乳化测试及效果评分验证如表5。</w:t>
      </w:r>
    </w:p>
    <w:p w14:paraId="266A7B8B">
      <w:pPr>
        <w:spacing w:line="360" w:lineRule="auto"/>
        <w:ind w:firstLine="420" w:firstLineChars="200"/>
        <w:jc w:val="center"/>
        <w:rPr>
          <w:rFonts w:eastAsia="楷体"/>
          <w:color w:val="000000"/>
          <w:sz w:val="24"/>
        </w:rPr>
      </w:pPr>
      <w:r>
        <w:rPr>
          <w:rFonts w:eastAsia="楷体"/>
          <w:color w:val="000000"/>
          <w:szCs w:val="21"/>
        </w:rPr>
        <w:t>表5 无氧激活</w:t>
      </w:r>
      <w:r>
        <w:rPr>
          <w:rFonts w:hint="eastAsia" w:eastAsia="楷体"/>
          <w:color w:val="000000"/>
          <w:szCs w:val="21"/>
        </w:rPr>
        <w:t>原油乳化</w:t>
      </w:r>
      <w:r>
        <w:rPr>
          <w:rFonts w:eastAsia="楷体"/>
          <w:color w:val="000000"/>
          <w:szCs w:val="21"/>
        </w:rPr>
        <w:t>验证结果</w:t>
      </w:r>
    </w:p>
    <w:tbl>
      <w:tblPr>
        <w:tblStyle w:val="6"/>
        <w:tblW w:w="8789" w:type="dxa"/>
        <w:tblInd w:w="137"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18"/>
        <w:gridCol w:w="4110"/>
        <w:gridCol w:w="3261"/>
      </w:tblGrid>
      <w:tr w14:paraId="148B1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shd w:val="clear" w:color="auto" w:fill="auto"/>
          </w:tcPr>
          <w:p w14:paraId="459B599C">
            <w:pPr>
              <w:jc w:val="center"/>
              <w:rPr>
                <w:rFonts w:ascii="宋体" w:hAnsi="宋体"/>
                <w:sz w:val="18"/>
              </w:rPr>
            </w:pPr>
            <w:r>
              <w:rPr>
                <w:rFonts w:hint="eastAsia" w:ascii="宋体" w:hAnsi="宋体"/>
                <w:sz w:val="18"/>
              </w:rPr>
              <w:t>分值</w:t>
            </w:r>
          </w:p>
        </w:tc>
        <w:tc>
          <w:tcPr>
            <w:tcW w:w="4110" w:type="dxa"/>
            <w:shd w:val="clear" w:color="auto" w:fill="auto"/>
          </w:tcPr>
          <w:p w14:paraId="73C981F2">
            <w:pPr>
              <w:jc w:val="center"/>
              <w:rPr>
                <w:rFonts w:ascii="宋体" w:hAnsi="宋体"/>
                <w:sz w:val="18"/>
              </w:rPr>
            </w:pPr>
            <w:r>
              <w:rPr>
                <w:rFonts w:ascii="宋体" w:hAnsi="宋体"/>
                <w:sz w:val="18"/>
              </w:rPr>
              <w:t>指标</w:t>
            </w:r>
          </w:p>
        </w:tc>
        <w:tc>
          <w:tcPr>
            <w:tcW w:w="3261" w:type="dxa"/>
          </w:tcPr>
          <w:p w14:paraId="30E00FD5">
            <w:pPr>
              <w:jc w:val="center"/>
              <w:rPr>
                <w:rFonts w:ascii="宋体" w:hAnsi="宋体"/>
                <w:sz w:val="18"/>
              </w:rPr>
            </w:pPr>
            <w:r>
              <w:rPr>
                <w:rFonts w:hint="eastAsia" w:ascii="宋体" w:hAnsi="宋体"/>
                <w:sz w:val="18"/>
              </w:rPr>
              <w:t>无氧激活体系原油乳化图</w:t>
            </w:r>
          </w:p>
        </w:tc>
      </w:tr>
      <w:tr w14:paraId="790E51B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75" w:hRule="atLeast"/>
        </w:trPr>
        <w:tc>
          <w:tcPr>
            <w:tcW w:w="1418" w:type="dxa"/>
            <w:shd w:val="clear" w:color="auto" w:fill="auto"/>
          </w:tcPr>
          <w:p w14:paraId="37FE1398">
            <w:pPr>
              <w:jc w:val="center"/>
              <w:rPr>
                <w:rFonts w:ascii="宋体" w:hAnsi="宋体"/>
                <w:sz w:val="18"/>
              </w:rPr>
            </w:pPr>
            <w:r>
              <w:rPr>
                <w:rFonts w:hint="eastAsia" w:ascii="宋体" w:hAnsi="宋体"/>
                <w:sz w:val="18"/>
              </w:rPr>
              <w:t>0</w:t>
            </w:r>
          </w:p>
        </w:tc>
        <w:tc>
          <w:tcPr>
            <w:tcW w:w="4110" w:type="dxa"/>
            <w:shd w:val="clear" w:color="auto" w:fill="auto"/>
          </w:tcPr>
          <w:p w14:paraId="29428C55">
            <w:pPr>
              <w:rPr>
                <w:rFonts w:ascii="宋体" w:hAnsi="宋体"/>
                <w:sz w:val="18"/>
              </w:rPr>
            </w:pPr>
            <w:r>
              <w:rPr>
                <w:rFonts w:hint="eastAsia" w:ascii="宋体" w:hAnsi="宋体"/>
                <w:sz w:val="18"/>
              </w:rPr>
              <w:t>无效。油水分层明显，下层水相清澈，摇晃后油珠颗粒大小与激活前一致。</w:t>
            </w:r>
          </w:p>
        </w:tc>
        <w:tc>
          <w:tcPr>
            <w:tcW w:w="3261" w:type="dxa"/>
          </w:tcPr>
          <w:p w14:paraId="1BA10D80">
            <w:pPr>
              <w:jc w:val="center"/>
              <w:rPr>
                <w:rFonts w:ascii="宋体" w:hAnsi="宋体"/>
                <w:sz w:val="18"/>
              </w:rPr>
            </w:pPr>
            <w:r>
              <w:rPr>
                <w:rFonts w:hint="eastAsia" w:ascii="宋体" w:hAnsi="宋体"/>
                <w:sz w:val="18"/>
              </w:rPr>
              <w:drawing>
                <wp:inline distT="0" distB="0" distL="0" distR="0">
                  <wp:extent cx="1419225" cy="927735"/>
                  <wp:effectExtent l="0" t="0" r="0" b="5715"/>
                  <wp:docPr id="1679715580"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79715580" name="图片 2"/>
                          <pic:cNvPicPr>
                            <a:picLocks noChangeAspect="1"/>
                          </pic:cNvPicPr>
                        </pic:nvPicPr>
                        <pic:blipFill>
                          <a:blip r:embed="rId4" cstate="print">
                            <a:extLst>
                              <a:ext uri="{28A0092B-C50C-407E-A947-70E740481C1C}">
                                <a14:useLocalDpi xmlns:a14="http://schemas.microsoft.com/office/drawing/2010/main" val="0"/>
                              </a:ext>
                            </a:extLst>
                          </a:blip>
                          <a:stretch>
                            <a:fillRect/>
                          </a:stretch>
                        </pic:blipFill>
                        <pic:spPr>
                          <a:xfrm>
                            <a:off x="0" y="0"/>
                            <a:ext cx="1438796" cy="941052"/>
                          </a:xfrm>
                          <a:prstGeom prst="rect">
                            <a:avLst/>
                          </a:prstGeom>
                        </pic:spPr>
                      </pic:pic>
                    </a:graphicData>
                  </a:graphic>
                </wp:inline>
              </w:drawing>
            </w:r>
          </w:p>
        </w:tc>
      </w:tr>
      <w:tr w14:paraId="7F991F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shd w:val="clear" w:color="auto" w:fill="auto"/>
          </w:tcPr>
          <w:p w14:paraId="3563076C">
            <w:pPr>
              <w:jc w:val="center"/>
              <w:rPr>
                <w:rFonts w:ascii="宋体" w:hAnsi="宋体"/>
                <w:sz w:val="18"/>
              </w:rPr>
            </w:pPr>
            <w:r>
              <w:rPr>
                <w:rFonts w:hint="eastAsia" w:ascii="宋体" w:hAnsi="宋体"/>
                <w:sz w:val="18"/>
              </w:rPr>
              <w:t>1</w:t>
            </w:r>
          </w:p>
        </w:tc>
        <w:tc>
          <w:tcPr>
            <w:tcW w:w="4110" w:type="dxa"/>
            <w:shd w:val="clear" w:color="auto" w:fill="auto"/>
          </w:tcPr>
          <w:p w14:paraId="3320779A">
            <w:pPr>
              <w:rPr>
                <w:rFonts w:ascii="宋体" w:hAnsi="宋体"/>
                <w:sz w:val="18"/>
              </w:rPr>
            </w:pPr>
            <w:r>
              <w:rPr>
                <w:rFonts w:hint="eastAsia" w:ascii="宋体" w:hAnsi="宋体"/>
                <w:sz w:val="18"/>
              </w:rPr>
              <w:t>见效。摇晃后油水少量互溶，油珠颗粒较激活前小；或者油相体积明显增加。</w:t>
            </w:r>
          </w:p>
        </w:tc>
        <w:tc>
          <w:tcPr>
            <w:tcW w:w="3261" w:type="dxa"/>
          </w:tcPr>
          <w:p w14:paraId="7F6F5580">
            <w:pPr>
              <w:jc w:val="center"/>
              <w:rPr>
                <w:rFonts w:ascii="宋体" w:hAnsi="宋体"/>
                <w:sz w:val="18"/>
              </w:rPr>
            </w:pPr>
            <w:r>
              <w:rPr>
                <w:rFonts w:ascii="宋体" w:hAnsi="宋体"/>
                <w:sz w:val="18"/>
              </w:rPr>
              <w:drawing>
                <wp:inline distT="0" distB="0" distL="0" distR="0">
                  <wp:extent cx="1106805" cy="803275"/>
                  <wp:effectExtent l="0" t="0" r="0" b="0"/>
                  <wp:docPr id="138985545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89855451" name="图片 5"/>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a:xfrm>
                            <a:off x="0" y="0"/>
                            <a:ext cx="1138386" cy="826189"/>
                          </a:xfrm>
                          <a:prstGeom prst="rect">
                            <a:avLst/>
                          </a:prstGeom>
                          <a:noFill/>
                          <a:ln>
                            <a:noFill/>
                          </a:ln>
                        </pic:spPr>
                      </pic:pic>
                    </a:graphicData>
                  </a:graphic>
                </wp:inline>
              </w:drawing>
            </w:r>
          </w:p>
        </w:tc>
      </w:tr>
      <w:tr w14:paraId="76A406D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shd w:val="clear" w:color="auto" w:fill="auto"/>
          </w:tcPr>
          <w:p w14:paraId="3062A857">
            <w:pPr>
              <w:jc w:val="center"/>
              <w:rPr>
                <w:rFonts w:ascii="宋体" w:hAnsi="宋体"/>
                <w:sz w:val="18"/>
              </w:rPr>
            </w:pPr>
            <w:r>
              <w:rPr>
                <w:rFonts w:hint="eastAsia" w:ascii="宋体" w:hAnsi="宋体"/>
                <w:sz w:val="18"/>
              </w:rPr>
              <w:t>2</w:t>
            </w:r>
          </w:p>
        </w:tc>
        <w:tc>
          <w:tcPr>
            <w:tcW w:w="4110" w:type="dxa"/>
            <w:shd w:val="clear" w:color="auto" w:fill="auto"/>
          </w:tcPr>
          <w:p w14:paraId="53E0EAFE">
            <w:pPr>
              <w:rPr>
                <w:rFonts w:ascii="宋体" w:hAnsi="宋体"/>
                <w:sz w:val="18"/>
              </w:rPr>
            </w:pPr>
            <w:r>
              <w:rPr>
                <w:rFonts w:hint="eastAsia" w:ascii="宋体" w:hAnsi="宋体"/>
                <w:sz w:val="18"/>
              </w:rPr>
              <w:t>效果较好。摇晃后油水能够部分互溶，下层水相颜色加深，油珠颗粒较激活前小。</w:t>
            </w:r>
          </w:p>
        </w:tc>
        <w:tc>
          <w:tcPr>
            <w:tcW w:w="3261" w:type="dxa"/>
          </w:tcPr>
          <w:p w14:paraId="695E2C8C">
            <w:pPr>
              <w:jc w:val="center"/>
              <w:rPr>
                <w:rFonts w:ascii="宋体" w:hAnsi="宋体"/>
                <w:sz w:val="18"/>
              </w:rPr>
            </w:pPr>
            <w:r>
              <w:rPr>
                <w:rFonts w:ascii="宋体" w:hAnsi="宋体"/>
                <w:sz w:val="18"/>
              </w:rPr>
              <w:drawing>
                <wp:inline distT="0" distB="0" distL="0" distR="0">
                  <wp:extent cx="1322705" cy="858520"/>
                  <wp:effectExtent l="0" t="0" r="0" b="0"/>
                  <wp:docPr id="1148705582"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48705582" name="图片 4"/>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a:xfrm>
                            <a:off x="0" y="0"/>
                            <a:ext cx="1340988" cy="870855"/>
                          </a:xfrm>
                          <a:prstGeom prst="rect">
                            <a:avLst/>
                          </a:prstGeom>
                          <a:noFill/>
                          <a:ln>
                            <a:noFill/>
                          </a:ln>
                        </pic:spPr>
                      </pic:pic>
                    </a:graphicData>
                  </a:graphic>
                </wp:inline>
              </w:drawing>
            </w:r>
          </w:p>
        </w:tc>
      </w:tr>
      <w:tr w14:paraId="492D38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shd w:val="clear" w:color="auto" w:fill="auto"/>
          </w:tcPr>
          <w:p w14:paraId="0DA8180B">
            <w:pPr>
              <w:jc w:val="center"/>
              <w:rPr>
                <w:rFonts w:ascii="宋体" w:hAnsi="宋体"/>
                <w:sz w:val="18"/>
              </w:rPr>
            </w:pPr>
            <w:r>
              <w:rPr>
                <w:rFonts w:hint="eastAsia" w:ascii="宋体" w:hAnsi="宋体"/>
                <w:sz w:val="18"/>
              </w:rPr>
              <w:t>3</w:t>
            </w:r>
          </w:p>
        </w:tc>
        <w:tc>
          <w:tcPr>
            <w:tcW w:w="4110" w:type="dxa"/>
            <w:shd w:val="clear" w:color="auto" w:fill="auto"/>
          </w:tcPr>
          <w:p w14:paraId="04AF03B0">
            <w:pPr>
              <w:rPr>
                <w:rFonts w:ascii="宋体" w:hAnsi="宋体"/>
                <w:sz w:val="18"/>
              </w:rPr>
            </w:pPr>
            <w:r>
              <w:rPr>
                <w:rFonts w:hint="eastAsia" w:ascii="宋体" w:hAnsi="宋体"/>
                <w:sz w:val="18"/>
              </w:rPr>
              <w:t>效果好。摇晃后油水能够部分混溶，两相分层较慢。下层水相颜色为褐色或黄褐色，油珠颗粒直径为1</w:t>
            </w:r>
            <w:r>
              <w:rPr>
                <w:rFonts w:hAnsi="宋体"/>
              </w:rPr>
              <w:t>～</w:t>
            </w:r>
            <w:r>
              <w:rPr>
                <w:rFonts w:hint="eastAsia" w:hAnsi="宋体"/>
              </w:rPr>
              <w:t>2</w:t>
            </w:r>
            <w:r>
              <w:rPr>
                <w:rFonts w:hAnsi="宋体"/>
              </w:rPr>
              <w:t>mm</w:t>
            </w:r>
            <w:r>
              <w:rPr>
                <w:rFonts w:hint="eastAsia" w:hAnsi="宋体"/>
              </w:rPr>
              <w:t>。</w:t>
            </w:r>
          </w:p>
        </w:tc>
        <w:tc>
          <w:tcPr>
            <w:tcW w:w="3261" w:type="dxa"/>
          </w:tcPr>
          <w:p w14:paraId="14920F75">
            <w:pPr>
              <w:jc w:val="center"/>
              <w:rPr>
                <w:rFonts w:ascii="宋体" w:hAnsi="宋体"/>
                <w:sz w:val="18"/>
              </w:rPr>
            </w:pPr>
            <w:r>
              <w:rPr>
                <w:rFonts w:ascii="宋体" w:hAnsi="宋体"/>
                <w:sz w:val="18"/>
              </w:rPr>
              <w:drawing>
                <wp:inline distT="0" distB="0" distL="0" distR="0">
                  <wp:extent cx="1259840" cy="851535"/>
                  <wp:effectExtent l="0" t="0" r="0" b="5715"/>
                  <wp:docPr id="179439639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94396392" name="图片 6"/>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1274291" cy="861553"/>
                          </a:xfrm>
                          <a:prstGeom prst="rect">
                            <a:avLst/>
                          </a:prstGeom>
                          <a:noFill/>
                          <a:ln>
                            <a:noFill/>
                          </a:ln>
                        </pic:spPr>
                      </pic:pic>
                    </a:graphicData>
                  </a:graphic>
                </wp:inline>
              </w:drawing>
            </w:r>
          </w:p>
        </w:tc>
      </w:tr>
      <w:tr w14:paraId="634E75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shd w:val="clear" w:color="auto" w:fill="auto"/>
          </w:tcPr>
          <w:p w14:paraId="66DA7DFE">
            <w:pPr>
              <w:jc w:val="center"/>
              <w:rPr>
                <w:rFonts w:ascii="宋体" w:hAnsi="宋体"/>
                <w:sz w:val="18"/>
              </w:rPr>
            </w:pPr>
            <w:r>
              <w:rPr>
                <w:rFonts w:hint="eastAsia" w:ascii="宋体" w:hAnsi="宋体"/>
                <w:sz w:val="18"/>
              </w:rPr>
              <w:t>4</w:t>
            </w:r>
          </w:p>
        </w:tc>
        <w:tc>
          <w:tcPr>
            <w:tcW w:w="4110" w:type="dxa"/>
            <w:shd w:val="clear" w:color="auto" w:fill="auto"/>
          </w:tcPr>
          <w:p w14:paraId="672075A7">
            <w:pPr>
              <w:rPr>
                <w:rFonts w:ascii="宋体" w:hAnsi="宋体"/>
                <w:sz w:val="18"/>
              </w:rPr>
            </w:pPr>
            <w:r>
              <w:rPr>
                <w:rFonts w:hint="eastAsia" w:ascii="宋体" w:hAnsi="宋体"/>
                <w:sz w:val="18"/>
              </w:rPr>
              <w:t>效果很好。摇晃后油水大部分混溶，两相分层更慢。下层水相为深褐色。</w:t>
            </w:r>
          </w:p>
        </w:tc>
        <w:tc>
          <w:tcPr>
            <w:tcW w:w="3261" w:type="dxa"/>
          </w:tcPr>
          <w:p w14:paraId="1EFB617F">
            <w:pPr>
              <w:jc w:val="center"/>
              <w:rPr>
                <w:rFonts w:ascii="宋体" w:hAnsi="宋体"/>
                <w:sz w:val="18"/>
              </w:rPr>
            </w:pPr>
            <w:r>
              <w:rPr>
                <w:rFonts w:ascii="宋体" w:hAnsi="宋体"/>
                <w:sz w:val="18"/>
              </w:rPr>
              <w:drawing>
                <wp:inline distT="0" distB="0" distL="0" distR="0">
                  <wp:extent cx="1231900" cy="748030"/>
                  <wp:effectExtent l="0" t="0" r="6350" b="0"/>
                  <wp:docPr id="1592019372"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92019372" name="图片 7"/>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a:xfrm>
                            <a:off x="0" y="0"/>
                            <a:ext cx="1250284" cy="759311"/>
                          </a:xfrm>
                          <a:prstGeom prst="rect">
                            <a:avLst/>
                          </a:prstGeom>
                          <a:noFill/>
                          <a:ln>
                            <a:noFill/>
                          </a:ln>
                        </pic:spPr>
                      </pic:pic>
                    </a:graphicData>
                  </a:graphic>
                </wp:inline>
              </w:drawing>
            </w:r>
          </w:p>
        </w:tc>
      </w:tr>
      <w:tr w14:paraId="6CECA97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18" w:type="dxa"/>
            <w:shd w:val="clear" w:color="auto" w:fill="auto"/>
          </w:tcPr>
          <w:p w14:paraId="5401E73D">
            <w:pPr>
              <w:jc w:val="center"/>
              <w:rPr>
                <w:rFonts w:ascii="宋体" w:hAnsi="宋体"/>
                <w:sz w:val="18"/>
              </w:rPr>
            </w:pPr>
            <w:r>
              <w:rPr>
                <w:rFonts w:hint="eastAsia" w:ascii="宋体" w:hAnsi="宋体"/>
                <w:sz w:val="18"/>
              </w:rPr>
              <w:t>5</w:t>
            </w:r>
          </w:p>
        </w:tc>
        <w:tc>
          <w:tcPr>
            <w:tcW w:w="4110" w:type="dxa"/>
            <w:shd w:val="clear" w:color="auto" w:fill="auto"/>
          </w:tcPr>
          <w:p w14:paraId="6810F0A4">
            <w:pPr>
              <w:rPr>
                <w:rFonts w:ascii="宋体" w:hAnsi="宋体"/>
                <w:sz w:val="18"/>
              </w:rPr>
            </w:pPr>
            <w:r>
              <w:rPr>
                <w:rFonts w:hint="eastAsia" w:ascii="宋体" w:hAnsi="宋体"/>
                <w:sz w:val="18"/>
              </w:rPr>
              <w:t>效果最好。轻微摇晃后油水完全混溶，油水分界线不明显或无油水分界线。混相后，静止较长时间不分层，油相为细末状，颜色为土黄色，原油不沾壁。</w:t>
            </w:r>
          </w:p>
        </w:tc>
        <w:tc>
          <w:tcPr>
            <w:tcW w:w="3261" w:type="dxa"/>
          </w:tcPr>
          <w:p w14:paraId="7588E3C5">
            <w:pPr>
              <w:jc w:val="center"/>
              <w:rPr>
                <w:rFonts w:ascii="宋体" w:hAnsi="宋体"/>
                <w:sz w:val="18"/>
              </w:rPr>
            </w:pPr>
            <w:r>
              <w:rPr>
                <w:rFonts w:ascii="宋体" w:hAnsi="宋体"/>
                <w:sz w:val="18"/>
              </w:rPr>
              <w:drawing>
                <wp:inline distT="0" distB="0" distL="0" distR="0">
                  <wp:extent cx="1245870" cy="1038860"/>
                  <wp:effectExtent l="0" t="0" r="0" b="8890"/>
                  <wp:docPr id="213189810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31898108" name="图片 8"/>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a:xfrm>
                            <a:off x="0" y="0"/>
                            <a:ext cx="1261700" cy="1051885"/>
                          </a:xfrm>
                          <a:prstGeom prst="rect">
                            <a:avLst/>
                          </a:prstGeom>
                          <a:noFill/>
                          <a:ln>
                            <a:noFill/>
                          </a:ln>
                        </pic:spPr>
                      </pic:pic>
                    </a:graphicData>
                  </a:graphic>
                </wp:inline>
              </w:drawing>
            </w:r>
          </w:p>
        </w:tc>
      </w:tr>
    </w:tbl>
    <w:p w14:paraId="40226895">
      <w:pPr>
        <w:spacing w:line="360" w:lineRule="auto"/>
        <w:ind w:firstLine="480" w:firstLineChars="200"/>
        <w:rPr>
          <w:rFonts w:eastAsia="楷体"/>
          <w:color w:val="000000"/>
          <w:sz w:val="24"/>
        </w:rPr>
      </w:pPr>
      <w:r>
        <w:rPr>
          <w:rFonts w:eastAsia="楷体"/>
          <w:color w:val="000000"/>
          <w:sz w:val="24"/>
        </w:rPr>
        <w:t>（4）驱油效率测试方法验证</w:t>
      </w:r>
    </w:p>
    <w:p w14:paraId="0313002A">
      <w:pPr>
        <w:spacing w:line="360" w:lineRule="auto"/>
        <w:ind w:firstLine="480" w:firstLineChars="200"/>
        <w:rPr>
          <w:rFonts w:eastAsia="楷体"/>
          <w:sz w:val="24"/>
        </w:rPr>
      </w:pPr>
      <w:r>
        <w:rPr>
          <w:rFonts w:eastAsia="楷体"/>
          <w:color w:val="000000"/>
          <w:sz w:val="24"/>
        </w:rPr>
        <w:t>驱油效率测试是内源微生物驱油技术室内研究与评价的最重要环节，本单位做了大量的试验研究，涵盖了不同渗透率岩心（渗透率为10x10</w:t>
      </w:r>
      <w:r>
        <w:rPr>
          <w:rFonts w:eastAsia="楷体"/>
          <w:color w:val="000000"/>
          <w:sz w:val="24"/>
          <w:vertAlign w:val="superscript"/>
        </w:rPr>
        <w:t>-3</w:t>
      </w:r>
      <w:r>
        <w:rPr>
          <w:rFonts w:eastAsia="楷体"/>
          <w:color w:val="000000"/>
          <w:sz w:val="24"/>
        </w:rPr>
        <w:t>μm～50 x 10</w:t>
      </w:r>
      <w:r>
        <w:rPr>
          <w:rFonts w:eastAsia="楷体"/>
          <w:color w:val="000000"/>
          <w:sz w:val="24"/>
          <w:vertAlign w:val="superscript"/>
        </w:rPr>
        <w:t>-3</w:t>
      </w:r>
      <w:r>
        <w:rPr>
          <w:rFonts w:eastAsia="楷体"/>
          <w:color w:val="000000"/>
          <w:sz w:val="24"/>
        </w:rPr>
        <w:t>μm）不同种类、浓度、注入体积等激活剂等。选取激活剂A（蜜糖0.4%、玉米浆干粉0.5%，硝酸钠0.4%）的驱替结果，水驱效率为73.8％，间歇注入激活剂A</w:t>
      </w:r>
      <w:r>
        <w:rPr>
          <w:rFonts w:eastAsia="楷体"/>
          <w:sz w:val="24"/>
        </w:rPr>
        <w:t>溶液0.5PV，进行水驱，至采出液含水98%以上；依次再注入</w:t>
      </w:r>
      <w:r>
        <w:rPr>
          <w:rFonts w:eastAsia="楷体"/>
          <w:color w:val="000000"/>
          <w:sz w:val="24"/>
        </w:rPr>
        <w:t>激活剂A</w:t>
      </w:r>
      <w:r>
        <w:rPr>
          <w:rFonts w:eastAsia="楷体"/>
          <w:sz w:val="24"/>
        </w:rPr>
        <w:t>溶液0.3PV和注入水，最后注入</w:t>
      </w:r>
      <w:r>
        <w:rPr>
          <w:rFonts w:eastAsia="楷体"/>
          <w:color w:val="000000"/>
          <w:sz w:val="24"/>
        </w:rPr>
        <w:t>激活剂A</w:t>
      </w:r>
      <w:r>
        <w:rPr>
          <w:rFonts w:eastAsia="楷体"/>
          <w:sz w:val="24"/>
        </w:rPr>
        <w:t>溶液0.1PV，接着水驱至含水100％。最终驱油效率为84.2％，相对于水驱，提高采收率10.4个百分点。驱替曲线如图4所示。</w:t>
      </w:r>
    </w:p>
    <w:p w14:paraId="3A0A7AAA">
      <w:pPr>
        <w:spacing w:line="360" w:lineRule="auto"/>
        <w:jc w:val="center"/>
        <w:rPr>
          <w:rFonts w:eastAsia="楷体"/>
          <w:sz w:val="24"/>
        </w:rPr>
      </w:pPr>
      <w:r>
        <w:rPr>
          <w:rFonts w:eastAsia="楷体"/>
          <w:sz w:val="24"/>
        </w:rPr>
        <w:drawing>
          <wp:inline distT="0" distB="0" distL="0" distR="0">
            <wp:extent cx="4800600" cy="2569845"/>
            <wp:effectExtent l="0" t="0" r="0" b="1905"/>
            <wp:docPr id="403272963"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3272963" name="图片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a:xfrm>
                      <a:off x="0" y="0"/>
                      <a:ext cx="4807968" cy="2574168"/>
                    </a:xfrm>
                    <a:prstGeom prst="rect">
                      <a:avLst/>
                    </a:prstGeom>
                    <a:noFill/>
                    <a:ln>
                      <a:noFill/>
                    </a:ln>
                  </pic:spPr>
                </pic:pic>
              </a:graphicData>
            </a:graphic>
          </wp:inline>
        </w:drawing>
      </w:r>
    </w:p>
    <w:p w14:paraId="4425BA85">
      <w:pPr>
        <w:spacing w:line="360" w:lineRule="auto"/>
        <w:ind w:firstLine="420" w:firstLineChars="200"/>
        <w:jc w:val="center"/>
        <w:rPr>
          <w:rFonts w:eastAsia="楷体"/>
          <w:color w:val="000000"/>
          <w:szCs w:val="21"/>
        </w:rPr>
      </w:pPr>
      <w:r>
        <w:rPr>
          <w:rFonts w:hint="eastAsia" w:eastAsia="楷体"/>
          <w:color w:val="000000"/>
          <w:szCs w:val="21"/>
        </w:rPr>
        <w:t>图1</w:t>
      </w:r>
      <w:r>
        <w:rPr>
          <w:rFonts w:eastAsia="楷体"/>
          <w:color w:val="000000"/>
          <w:szCs w:val="21"/>
        </w:rPr>
        <w:t xml:space="preserve"> </w:t>
      </w:r>
      <w:r>
        <w:rPr>
          <w:rFonts w:hint="eastAsia" w:eastAsia="楷体"/>
          <w:color w:val="000000"/>
          <w:szCs w:val="21"/>
        </w:rPr>
        <w:t>内源微生物激活驱替曲线</w:t>
      </w:r>
    </w:p>
    <w:p w14:paraId="46094CC6">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五、征求意见情况</w:t>
      </w:r>
    </w:p>
    <w:p w14:paraId="6DD32E5B">
      <w:pPr>
        <w:spacing w:line="360" w:lineRule="auto"/>
        <w:ind w:firstLine="480" w:firstLineChars="200"/>
        <w:rPr>
          <w:rFonts w:eastAsia="楷体"/>
          <w:color w:val="000000"/>
          <w:sz w:val="24"/>
        </w:rPr>
      </w:pPr>
      <w:r>
        <w:rPr>
          <w:rFonts w:hint="eastAsia" w:eastAsia="楷体"/>
          <w:color w:val="000000"/>
          <w:sz w:val="24"/>
        </w:rPr>
        <w:t>暂无。</w:t>
      </w:r>
    </w:p>
    <w:p w14:paraId="59A63E83">
      <w:pPr>
        <w:pStyle w:val="14"/>
        <w:adjustRightInd w:val="0"/>
        <w:snapToGrid w:val="0"/>
        <w:ind w:firstLine="0" w:firstLineChars="0"/>
        <w:jc w:val="center"/>
        <w:rPr>
          <w:rFonts w:ascii="Times New Roman" w:eastAsia="楷体"/>
          <w:color w:val="000000"/>
          <w:kern w:val="2"/>
          <w:szCs w:val="21"/>
        </w:rPr>
      </w:pPr>
      <w:r>
        <w:rPr>
          <w:rFonts w:ascii="Times New Roman" w:eastAsia="楷体"/>
          <w:color w:val="000000"/>
          <w:kern w:val="2"/>
          <w:szCs w:val="21"/>
        </w:rPr>
        <w:t>表5-1  意见汇总及采纳情况</w:t>
      </w:r>
    </w:p>
    <w:tbl>
      <w:tblPr>
        <w:tblStyle w:val="6"/>
        <w:tblW w:w="928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501"/>
        <w:gridCol w:w="3282"/>
        <w:gridCol w:w="3696"/>
        <w:gridCol w:w="994"/>
        <w:gridCol w:w="813"/>
      </w:tblGrid>
      <w:tr w14:paraId="6CD753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1" w:type="dxa"/>
            <w:vAlign w:val="center"/>
          </w:tcPr>
          <w:p w14:paraId="59B8FF54">
            <w:pPr>
              <w:adjustRightInd w:val="0"/>
              <w:snapToGrid w:val="0"/>
              <w:spacing w:line="360" w:lineRule="exact"/>
              <w:jc w:val="center"/>
              <w:rPr>
                <w:rFonts w:eastAsia="楷体"/>
                <w:szCs w:val="21"/>
              </w:rPr>
            </w:pPr>
            <w:r>
              <w:rPr>
                <w:rFonts w:eastAsia="楷体"/>
                <w:szCs w:val="21"/>
              </w:rPr>
              <w:t>序号</w:t>
            </w:r>
          </w:p>
        </w:tc>
        <w:tc>
          <w:tcPr>
            <w:tcW w:w="3282" w:type="dxa"/>
            <w:vAlign w:val="center"/>
          </w:tcPr>
          <w:p w14:paraId="29282E41">
            <w:pPr>
              <w:adjustRightInd w:val="0"/>
              <w:snapToGrid w:val="0"/>
              <w:spacing w:line="360" w:lineRule="exact"/>
              <w:jc w:val="center"/>
              <w:rPr>
                <w:rFonts w:eastAsia="楷体"/>
                <w:szCs w:val="21"/>
              </w:rPr>
            </w:pPr>
            <w:r>
              <w:rPr>
                <w:rFonts w:eastAsia="楷体"/>
                <w:szCs w:val="21"/>
              </w:rPr>
              <w:t>意见章条及原标准内容</w:t>
            </w:r>
          </w:p>
        </w:tc>
        <w:tc>
          <w:tcPr>
            <w:tcW w:w="3696" w:type="dxa"/>
            <w:vAlign w:val="center"/>
          </w:tcPr>
          <w:p w14:paraId="05834D4E">
            <w:pPr>
              <w:adjustRightInd w:val="0"/>
              <w:snapToGrid w:val="0"/>
              <w:spacing w:line="360" w:lineRule="exact"/>
              <w:jc w:val="center"/>
              <w:rPr>
                <w:rFonts w:eastAsia="楷体"/>
                <w:szCs w:val="21"/>
              </w:rPr>
            </w:pPr>
            <w:r>
              <w:rPr>
                <w:rFonts w:eastAsia="楷体"/>
                <w:szCs w:val="21"/>
              </w:rPr>
              <w:t>修改意见及依据</w:t>
            </w:r>
          </w:p>
        </w:tc>
        <w:tc>
          <w:tcPr>
            <w:tcW w:w="994" w:type="dxa"/>
            <w:vAlign w:val="center"/>
          </w:tcPr>
          <w:p w14:paraId="19396D13">
            <w:pPr>
              <w:adjustRightInd w:val="0"/>
              <w:snapToGrid w:val="0"/>
              <w:spacing w:line="360" w:lineRule="exact"/>
              <w:jc w:val="center"/>
              <w:rPr>
                <w:rFonts w:eastAsia="楷体"/>
                <w:szCs w:val="21"/>
              </w:rPr>
            </w:pPr>
            <w:r>
              <w:rPr>
                <w:rFonts w:eastAsia="楷体"/>
                <w:szCs w:val="21"/>
              </w:rPr>
              <w:t>提出</w:t>
            </w:r>
          </w:p>
          <w:p w14:paraId="4B1A2D2C">
            <w:pPr>
              <w:adjustRightInd w:val="0"/>
              <w:snapToGrid w:val="0"/>
              <w:spacing w:line="360" w:lineRule="exact"/>
              <w:jc w:val="center"/>
              <w:rPr>
                <w:rFonts w:eastAsia="楷体"/>
                <w:szCs w:val="21"/>
              </w:rPr>
            </w:pPr>
            <w:r>
              <w:rPr>
                <w:rFonts w:eastAsia="楷体"/>
                <w:szCs w:val="21"/>
              </w:rPr>
              <w:t>单位</w:t>
            </w:r>
          </w:p>
        </w:tc>
        <w:tc>
          <w:tcPr>
            <w:tcW w:w="813" w:type="dxa"/>
            <w:vAlign w:val="center"/>
          </w:tcPr>
          <w:p w14:paraId="4643BE76">
            <w:pPr>
              <w:adjustRightInd w:val="0"/>
              <w:snapToGrid w:val="0"/>
              <w:spacing w:line="360" w:lineRule="exact"/>
              <w:jc w:val="center"/>
              <w:rPr>
                <w:rFonts w:eastAsia="楷体"/>
                <w:szCs w:val="21"/>
              </w:rPr>
            </w:pPr>
            <w:r>
              <w:rPr>
                <w:rFonts w:eastAsia="楷体"/>
                <w:szCs w:val="21"/>
              </w:rPr>
              <w:t>意见</w:t>
            </w:r>
          </w:p>
          <w:p w14:paraId="2FEE87AA">
            <w:pPr>
              <w:adjustRightInd w:val="0"/>
              <w:snapToGrid w:val="0"/>
              <w:spacing w:line="360" w:lineRule="exact"/>
              <w:jc w:val="center"/>
              <w:rPr>
                <w:rFonts w:eastAsia="楷体"/>
                <w:szCs w:val="21"/>
              </w:rPr>
            </w:pPr>
            <w:r>
              <w:rPr>
                <w:rFonts w:eastAsia="楷体"/>
                <w:szCs w:val="21"/>
              </w:rPr>
              <w:t>处理</w:t>
            </w:r>
          </w:p>
        </w:tc>
      </w:tr>
      <w:tr w14:paraId="34EDF5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501" w:type="dxa"/>
            <w:vAlign w:val="center"/>
          </w:tcPr>
          <w:p w14:paraId="1BAE5844">
            <w:pPr>
              <w:adjustRightInd w:val="0"/>
              <w:snapToGrid w:val="0"/>
              <w:spacing w:line="360" w:lineRule="exact"/>
              <w:jc w:val="center"/>
              <w:rPr>
                <w:rFonts w:eastAsia="楷体"/>
                <w:szCs w:val="21"/>
              </w:rPr>
            </w:pPr>
          </w:p>
        </w:tc>
        <w:tc>
          <w:tcPr>
            <w:tcW w:w="3282" w:type="dxa"/>
            <w:vAlign w:val="center"/>
          </w:tcPr>
          <w:p w14:paraId="0A7CFA27">
            <w:pPr>
              <w:adjustRightInd w:val="0"/>
              <w:snapToGrid w:val="0"/>
              <w:spacing w:line="360" w:lineRule="exact"/>
              <w:jc w:val="center"/>
              <w:rPr>
                <w:rFonts w:eastAsia="楷体"/>
                <w:szCs w:val="21"/>
              </w:rPr>
            </w:pPr>
          </w:p>
        </w:tc>
        <w:tc>
          <w:tcPr>
            <w:tcW w:w="3696" w:type="dxa"/>
            <w:vAlign w:val="center"/>
          </w:tcPr>
          <w:p w14:paraId="77956EA6">
            <w:pPr>
              <w:adjustRightInd w:val="0"/>
              <w:snapToGrid w:val="0"/>
              <w:spacing w:line="360" w:lineRule="exact"/>
              <w:jc w:val="center"/>
              <w:rPr>
                <w:rFonts w:eastAsia="楷体"/>
                <w:szCs w:val="21"/>
              </w:rPr>
            </w:pPr>
          </w:p>
        </w:tc>
        <w:tc>
          <w:tcPr>
            <w:tcW w:w="994" w:type="dxa"/>
            <w:vAlign w:val="center"/>
          </w:tcPr>
          <w:p w14:paraId="3AC2D742">
            <w:pPr>
              <w:adjustRightInd w:val="0"/>
              <w:snapToGrid w:val="0"/>
              <w:spacing w:line="360" w:lineRule="exact"/>
              <w:jc w:val="center"/>
              <w:rPr>
                <w:rFonts w:eastAsia="楷体"/>
                <w:szCs w:val="21"/>
              </w:rPr>
            </w:pPr>
          </w:p>
        </w:tc>
        <w:tc>
          <w:tcPr>
            <w:tcW w:w="813" w:type="dxa"/>
            <w:vAlign w:val="center"/>
          </w:tcPr>
          <w:p w14:paraId="5FC8C9AE">
            <w:pPr>
              <w:adjustRightInd w:val="0"/>
              <w:snapToGrid w:val="0"/>
              <w:spacing w:line="360" w:lineRule="exact"/>
              <w:jc w:val="center"/>
              <w:rPr>
                <w:rFonts w:eastAsia="楷体"/>
                <w:szCs w:val="21"/>
              </w:rPr>
            </w:pPr>
          </w:p>
        </w:tc>
      </w:tr>
    </w:tbl>
    <w:p w14:paraId="27F8880F">
      <w:pPr>
        <w:rPr>
          <w:rFonts w:eastAsia="楷体"/>
          <w:szCs w:val="21"/>
        </w:rPr>
      </w:pPr>
    </w:p>
    <w:p w14:paraId="582F4282">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六、产业化情况，推广运用论证和预期达到的经济效果情况</w:t>
      </w:r>
    </w:p>
    <w:p w14:paraId="7204C55C">
      <w:pPr>
        <w:spacing w:line="360" w:lineRule="auto"/>
        <w:ind w:firstLine="480" w:firstLineChars="200"/>
        <w:rPr>
          <w:rFonts w:eastAsia="楷体"/>
          <w:color w:val="000000"/>
          <w:sz w:val="24"/>
        </w:rPr>
      </w:pPr>
      <w:r>
        <w:rPr>
          <w:rFonts w:eastAsia="楷体"/>
          <w:color w:val="000000"/>
          <w:sz w:val="24"/>
        </w:rPr>
        <w:t>1、本标准编制填补了我省低渗透油藏内源微生物驱油技术规范的空白，完成后预期达到国内先进水平，对推进我省低渗透油藏内源微生物驱油体系标准化具有重要促进作用。</w:t>
      </w:r>
    </w:p>
    <w:p w14:paraId="3C145BF9">
      <w:pPr>
        <w:spacing w:line="360" w:lineRule="auto"/>
        <w:ind w:firstLine="480" w:firstLineChars="200"/>
        <w:rPr>
          <w:rFonts w:eastAsia="楷体"/>
          <w:color w:val="000000"/>
          <w:sz w:val="24"/>
        </w:rPr>
      </w:pPr>
      <w:r>
        <w:rPr>
          <w:rFonts w:eastAsia="楷体"/>
          <w:color w:val="000000"/>
          <w:sz w:val="24"/>
        </w:rPr>
        <w:t>2、本标准对陕西省提高鄂尔多斯盆地低渗透油气藏开发水平具有重要意义。</w:t>
      </w:r>
    </w:p>
    <w:p w14:paraId="74193B8B">
      <w:pPr>
        <w:spacing w:line="360" w:lineRule="auto"/>
        <w:ind w:firstLine="480" w:firstLineChars="200"/>
        <w:rPr>
          <w:rFonts w:eastAsia="楷体"/>
          <w:color w:val="000000"/>
          <w:sz w:val="24"/>
        </w:rPr>
      </w:pPr>
      <w:r>
        <w:rPr>
          <w:rFonts w:eastAsia="楷体"/>
          <w:color w:val="000000"/>
          <w:sz w:val="24"/>
        </w:rPr>
        <w:t>3、本标准具有公正性、合理性和科学性，预计可产生十分巨大的社会效益和经济效益。</w:t>
      </w:r>
    </w:p>
    <w:p w14:paraId="4B1EF4D3">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七、知识产权说明</w:t>
      </w:r>
    </w:p>
    <w:p w14:paraId="7DA31452">
      <w:pPr>
        <w:ind w:firstLine="480" w:firstLineChars="200"/>
        <w:rPr>
          <w:rFonts w:eastAsia="楷体"/>
          <w:color w:val="000000"/>
          <w:sz w:val="24"/>
        </w:rPr>
      </w:pPr>
      <w:r>
        <w:rPr>
          <w:rFonts w:eastAsia="楷体"/>
          <w:color w:val="000000"/>
          <w:sz w:val="24"/>
        </w:rPr>
        <w:t>任何单位使用本标准所产生的知识产权归该单位。</w:t>
      </w:r>
    </w:p>
    <w:p w14:paraId="6FF61AF1">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八、采标情况</w:t>
      </w:r>
    </w:p>
    <w:p w14:paraId="4F748749">
      <w:pPr>
        <w:ind w:firstLine="480" w:firstLineChars="200"/>
        <w:rPr>
          <w:rFonts w:eastAsia="楷体"/>
          <w:color w:val="000000"/>
          <w:sz w:val="24"/>
        </w:rPr>
      </w:pPr>
      <w:r>
        <w:rPr>
          <w:rFonts w:eastAsia="楷体"/>
          <w:color w:val="000000"/>
          <w:sz w:val="24"/>
        </w:rPr>
        <w:t>无</w:t>
      </w:r>
    </w:p>
    <w:p w14:paraId="4476DF8D">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九、与现行相关法律法规、规章及现行有效标准的协调性</w:t>
      </w:r>
    </w:p>
    <w:p w14:paraId="1F6AEA82">
      <w:pPr>
        <w:ind w:firstLine="480" w:firstLineChars="200"/>
        <w:rPr>
          <w:rFonts w:eastAsia="楷体"/>
          <w:color w:val="000000"/>
          <w:sz w:val="24"/>
        </w:rPr>
      </w:pPr>
      <w:r>
        <w:rPr>
          <w:rFonts w:eastAsia="楷体"/>
          <w:color w:val="000000"/>
          <w:sz w:val="24"/>
        </w:rPr>
        <w:t>本标准与现行法律、法规和强制性标准没有冲突。</w:t>
      </w:r>
    </w:p>
    <w:p w14:paraId="63B33F3D">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十、重大分歧意见的处理经过和依据</w:t>
      </w:r>
    </w:p>
    <w:p w14:paraId="6E8DE1F9">
      <w:pPr>
        <w:spacing w:line="360" w:lineRule="auto"/>
        <w:ind w:firstLine="480" w:firstLineChars="200"/>
        <w:rPr>
          <w:rFonts w:eastAsia="楷体"/>
          <w:color w:val="000000"/>
          <w:sz w:val="24"/>
        </w:rPr>
      </w:pPr>
      <w:r>
        <w:rPr>
          <w:rFonts w:eastAsia="楷体"/>
          <w:color w:val="000000"/>
          <w:sz w:val="24"/>
        </w:rPr>
        <w:t>本标准送审稿是经多人多次讨论、协商、统一形成的，目前无重大分歧意见，同时欢迎相关领导、专家提出宝贵意见和建议，以完善标准，促进我省低渗透油藏产业的发展。</w:t>
      </w:r>
    </w:p>
    <w:p w14:paraId="5422ECFD">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十一、标准性质的建议说明（推荐性标准还是强制性标准）</w:t>
      </w:r>
    </w:p>
    <w:p w14:paraId="5AEA9687">
      <w:pPr>
        <w:ind w:firstLine="480" w:firstLineChars="200"/>
        <w:rPr>
          <w:rFonts w:eastAsia="楷体"/>
          <w:color w:val="000000"/>
          <w:sz w:val="24"/>
        </w:rPr>
      </w:pPr>
      <w:r>
        <w:rPr>
          <w:rFonts w:eastAsia="楷体"/>
          <w:color w:val="000000"/>
          <w:sz w:val="24"/>
        </w:rPr>
        <w:t>由于该标准为技术性标准，建议成为推荐性标准。</w:t>
      </w:r>
    </w:p>
    <w:p w14:paraId="749D931B">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十二、贯彻标准的要求、措施和建议</w:t>
      </w:r>
    </w:p>
    <w:p w14:paraId="5C215962">
      <w:pPr>
        <w:spacing w:line="360" w:lineRule="auto"/>
        <w:ind w:firstLine="480" w:firstLineChars="200"/>
        <w:rPr>
          <w:rFonts w:eastAsia="楷体"/>
          <w:color w:val="000000"/>
          <w:sz w:val="24"/>
        </w:rPr>
      </w:pPr>
      <w:r>
        <w:rPr>
          <w:rFonts w:eastAsia="楷体"/>
          <w:color w:val="000000"/>
          <w:sz w:val="24"/>
        </w:rPr>
        <w:t>1、加强宣传，做好宣传培训，使全省相关生产企业和科研机构掌握标准的各项技术要求，加强示范推广，使标准的应用真正落到实处。</w:t>
      </w:r>
    </w:p>
    <w:p w14:paraId="066EF812">
      <w:pPr>
        <w:spacing w:line="360" w:lineRule="auto"/>
        <w:ind w:firstLine="480" w:firstLineChars="200"/>
        <w:rPr>
          <w:rFonts w:eastAsia="楷体"/>
          <w:color w:val="000000"/>
          <w:sz w:val="24"/>
        </w:rPr>
      </w:pPr>
      <w:r>
        <w:rPr>
          <w:rFonts w:eastAsia="楷体"/>
          <w:color w:val="000000"/>
          <w:sz w:val="24"/>
        </w:rPr>
        <w:t>2、对标准执行情况进行跟踪调查，及时发现标准执行中的问题，不断修改完善，提升标准水平，提高标准的科学性、合理性、协调性和可操作性。</w:t>
      </w:r>
    </w:p>
    <w:p w14:paraId="6A2F7A7E">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十三、废止现行相关地方标准的建议</w:t>
      </w:r>
    </w:p>
    <w:p w14:paraId="3A7B1734">
      <w:pPr>
        <w:ind w:firstLine="480" w:firstLineChars="200"/>
        <w:rPr>
          <w:rFonts w:eastAsia="楷体"/>
          <w:color w:val="000000"/>
          <w:sz w:val="24"/>
        </w:rPr>
      </w:pPr>
      <w:r>
        <w:rPr>
          <w:rFonts w:eastAsia="楷体"/>
          <w:color w:val="000000"/>
          <w:sz w:val="24"/>
        </w:rPr>
        <w:t>无。</w:t>
      </w:r>
    </w:p>
    <w:p w14:paraId="1F360128">
      <w:pPr>
        <w:spacing w:before="78" w:beforeLines="25" w:after="78" w:afterLines="25" w:line="500" w:lineRule="exact"/>
        <w:ind w:firstLine="562" w:firstLineChars="200"/>
        <w:rPr>
          <w:rFonts w:eastAsia="楷体"/>
          <w:b/>
          <w:color w:val="000000"/>
          <w:sz w:val="28"/>
          <w:szCs w:val="28"/>
        </w:rPr>
      </w:pPr>
      <w:r>
        <w:rPr>
          <w:rFonts w:eastAsia="楷体"/>
          <w:b/>
          <w:color w:val="000000"/>
          <w:sz w:val="28"/>
          <w:szCs w:val="28"/>
        </w:rPr>
        <w:t>十四、其他应予以说明的事项</w:t>
      </w:r>
    </w:p>
    <w:p w14:paraId="1B3A365F">
      <w:pPr>
        <w:ind w:firstLine="480" w:firstLineChars="200"/>
        <w:outlineLvl w:val="0"/>
        <w:rPr>
          <w:rFonts w:eastAsia="楷体"/>
          <w:sz w:val="32"/>
          <w:szCs w:val="32"/>
        </w:rPr>
      </w:pPr>
      <w:r>
        <w:rPr>
          <w:rFonts w:eastAsia="楷体"/>
          <w:color w:val="000000"/>
          <w:sz w:val="24"/>
        </w:rPr>
        <w:t>无。</w:t>
      </w:r>
    </w:p>
    <w:p w14:paraId="6C049BF3">
      <w:pPr>
        <w:rPr>
          <w:rFonts w:eastAsia="楷体"/>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等线">
    <w:panose1 w:val="02010600030101010101"/>
    <w:charset w:val="86"/>
    <w:family w:val="auto"/>
    <w:pitch w:val="default"/>
    <w:sig w:usb0="A00002BF" w:usb1="38CF7CFA" w:usb2="00000016" w:usb3="00000000" w:csb0="0004000F" w:csb1="00000000"/>
  </w:font>
  <w:font w:name="华文宋体">
    <w:panose1 w:val="02010600040101010101"/>
    <w:charset w:val="86"/>
    <w:family w:val="auto"/>
    <w:pitch w:val="default"/>
    <w:sig w:usb0="00000287" w:usb1="080F0000" w:usb2="00000000" w:usb3="00000000" w:csb0="0004009F" w:csb1="DFD70000"/>
  </w:font>
  <w:font w:name="等线 Light">
    <w:panose1 w:val="02010600030101010101"/>
    <w:charset w:val="86"/>
    <w:family w:val="auto"/>
    <w:pitch w:val="default"/>
    <w:sig w:usb0="A00002BF" w:usb1="38CF7CFA" w:usb2="00000016" w:usb3="00000000" w:csb0="0004000F" w:csb1="00000000"/>
  </w:font>
  <w:font w:name="楷体">
    <w:panose1 w:val="02010609060101010101"/>
    <w:charset w:val="86"/>
    <w:family w:val="modern"/>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57"/>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U1MjgwNThhM2IxMWZkYWVkNTQyNWY2NmJkMjdiZTAifQ=="/>
  </w:docVars>
  <w:rsids>
    <w:rsidRoot w:val="00DF2993"/>
    <w:rsid w:val="00000E09"/>
    <w:rsid w:val="000077F6"/>
    <w:rsid w:val="000119D3"/>
    <w:rsid w:val="00012974"/>
    <w:rsid w:val="000135CB"/>
    <w:rsid w:val="000207E8"/>
    <w:rsid w:val="00023841"/>
    <w:rsid w:val="000260BD"/>
    <w:rsid w:val="00034947"/>
    <w:rsid w:val="000423D9"/>
    <w:rsid w:val="00043AEA"/>
    <w:rsid w:val="0004724E"/>
    <w:rsid w:val="000501C7"/>
    <w:rsid w:val="0006182D"/>
    <w:rsid w:val="00062D94"/>
    <w:rsid w:val="0006499C"/>
    <w:rsid w:val="00070CF1"/>
    <w:rsid w:val="00074499"/>
    <w:rsid w:val="00076ED8"/>
    <w:rsid w:val="00076FF2"/>
    <w:rsid w:val="000812DA"/>
    <w:rsid w:val="00094806"/>
    <w:rsid w:val="00095CBE"/>
    <w:rsid w:val="00097DB0"/>
    <w:rsid w:val="00097E92"/>
    <w:rsid w:val="000A077A"/>
    <w:rsid w:val="000A50CB"/>
    <w:rsid w:val="000A5E36"/>
    <w:rsid w:val="000B1B6C"/>
    <w:rsid w:val="000B451E"/>
    <w:rsid w:val="000B4E55"/>
    <w:rsid w:val="000B5E7A"/>
    <w:rsid w:val="000B7663"/>
    <w:rsid w:val="000C427F"/>
    <w:rsid w:val="000D27BA"/>
    <w:rsid w:val="000D524D"/>
    <w:rsid w:val="000D7CEE"/>
    <w:rsid w:val="000D7EA7"/>
    <w:rsid w:val="000E2499"/>
    <w:rsid w:val="000E3321"/>
    <w:rsid w:val="000F0DFF"/>
    <w:rsid w:val="000F14E8"/>
    <w:rsid w:val="000F65AB"/>
    <w:rsid w:val="001022B4"/>
    <w:rsid w:val="00107FB3"/>
    <w:rsid w:val="00123004"/>
    <w:rsid w:val="0012666F"/>
    <w:rsid w:val="00131A9A"/>
    <w:rsid w:val="001347F0"/>
    <w:rsid w:val="00134A93"/>
    <w:rsid w:val="00141C51"/>
    <w:rsid w:val="001450DE"/>
    <w:rsid w:val="00153233"/>
    <w:rsid w:val="0016597C"/>
    <w:rsid w:val="00170650"/>
    <w:rsid w:val="0017086B"/>
    <w:rsid w:val="001759BD"/>
    <w:rsid w:val="00175A5E"/>
    <w:rsid w:val="001772FE"/>
    <w:rsid w:val="001904B5"/>
    <w:rsid w:val="001A43C5"/>
    <w:rsid w:val="001A46D2"/>
    <w:rsid w:val="001B0448"/>
    <w:rsid w:val="001C5A2A"/>
    <w:rsid w:val="001C7192"/>
    <w:rsid w:val="001D05DA"/>
    <w:rsid w:val="001D2B02"/>
    <w:rsid w:val="001D4D0A"/>
    <w:rsid w:val="001E3356"/>
    <w:rsid w:val="001E3AF9"/>
    <w:rsid w:val="001F0CD7"/>
    <w:rsid w:val="001F4C1E"/>
    <w:rsid w:val="001F607B"/>
    <w:rsid w:val="001F6A5D"/>
    <w:rsid w:val="00205D2A"/>
    <w:rsid w:val="002130DC"/>
    <w:rsid w:val="0021489C"/>
    <w:rsid w:val="002148F7"/>
    <w:rsid w:val="00217554"/>
    <w:rsid w:val="00223BAB"/>
    <w:rsid w:val="00224146"/>
    <w:rsid w:val="00224C74"/>
    <w:rsid w:val="002462FB"/>
    <w:rsid w:val="00246D06"/>
    <w:rsid w:val="002510C6"/>
    <w:rsid w:val="002539A0"/>
    <w:rsid w:val="00261F82"/>
    <w:rsid w:val="002639F4"/>
    <w:rsid w:val="00270B1D"/>
    <w:rsid w:val="00274BFF"/>
    <w:rsid w:val="00275158"/>
    <w:rsid w:val="002757FB"/>
    <w:rsid w:val="002766FD"/>
    <w:rsid w:val="00281711"/>
    <w:rsid w:val="00281D76"/>
    <w:rsid w:val="0028301C"/>
    <w:rsid w:val="00284B54"/>
    <w:rsid w:val="00285800"/>
    <w:rsid w:val="00295216"/>
    <w:rsid w:val="002A0641"/>
    <w:rsid w:val="002A22E6"/>
    <w:rsid w:val="002A6B4E"/>
    <w:rsid w:val="002B04C7"/>
    <w:rsid w:val="002B6357"/>
    <w:rsid w:val="002B7D76"/>
    <w:rsid w:val="002C23B7"/>
    <w:rsid w:val="002D0770"/>
    <w:rsid w:val="002D5A33"/>
    <w:rsid w:val="002D6FC8"/>
    <w:rsid w:val="002D7B45"/>
    <w:rsid w:val="00300D4D"/>
    <w:rsid w:val="00302C9A"/>
    <w:rsid w:val="00306739"/>
    <w:rsid w:val="00306F3C"/>
    <w:rsid w:val="00316669"/>
    <w:rsid w:val="00321C81"/>
    <w:rsid w:val="0032316A"/>
    <w:rsid w:val="00326705"/>
    <w:rsid w:val="003314BD"/>
    <w:rsid w:val="003376A8"/>
    <w:rsid w:val="0034090B"/>
    <w:rsid w:val="00343CC3"/>
    <w:rsid w:val="00343E8D"/>
    <w:rsid w:val="00345E30"/>
    <w:rsid w:val="0034655A"/>
    <w:rsid w:val="00347755"/>
    <w:rsid w:val="00352FA7"/>
    <w:rsid w:val="0035343D"/>
    <w:rsid w:val="00360EF3"/>
    <w:rsid w:val="003653B1"/>
    <w:rsid w:val="003703D7"/>
    <w:rsid w:val="0037322C"/>
    <w:rsid w:val="003742A7"/>
    <w:rsid w:val="003755DD"/>
    <w:rsid w:val="003755FE"/>
    <w:rsid w:val="0038032B"/>
    <w:rsid w:val="00380AA7"/>
    <w:rsid w:val="0038212C"/>
    <w:rsid w:val="00386F91"/>
    <w:rsid w:val="003969DD"/>
    <w:rsid w:val="003A3E07"/>
    <w:rsid w:val="003B0931"/>
    <w:rsid w:val="003B2A58"/>
    <w:rsid w:val="003B53CF"/>
    <w:rsid w:val="003C17CD"/>
    <w:rsid w:val="003C1A89"/>
    <w:rsid w:val="003C37AC"/>
    <w:rsid w:val="003D2648"/>
    <w:rsid w:val="003D7D66"/>
    <w:rsid w:val="003F0A66"/>
    <w:rsid w:val="003F320F"/>
    <w:rsid w:val="003F44B3"/>
    <w:rsid w:val="004019BC"/>
    <w:rsid w:val="00401B72"/>
    <w:rsid w:val="004024EF"/>
    <w:rsid w:val="00411623"/>
    <w:rsid w:val="00421874"/>
    <w:rsid w:val="00422F42"/>
    <w:rsid w:val="0042326A"/>
    <w:rsid w:val="00432CBF"/>
    <w:rsid w:val="00433873"/>
    <w:rsid w:val="00434F54"/>
    <w:rsid w:val="004360D3"/>
    <w:rsid w:val="00470F39"/>
    <w:rsid w:val="0048593A"/>
    <w:rsid w:val="00487A08"/>
    <w:rsid w:val="004A629C"/>
    <w:rsid w:val="004B2FD5"/>
    <w:rsid w:val="004C2960"/>
    <w:rsid w:val="004C43D1"/>
    <w:rsid w:val="004D1601"/>
    <w:rsid w:val="004D197B"/>
    <w:rsid w:val="004D25AA"/>
    <w:rsid w:val="004D2E40"/>
    <w:rsid w:val="004D6CE5"/>
    <w:rsid w:val="004D7A58"/>
    <w:rsid w:val="004D7C95"/>
    <w:rsid w:val="00500378"/>
    <w:rsid w:val="00503247"/>
    <w:rsid w:val="00504751"/>
    <w:rsid w:val="00510449"/>
    <w:rsid w:val="00515ABC"/>
    <w:rsid w:val="0051701F"/>
    <w:rsid w:val="005216C0"/>
    <w:rsid w:val="005342BE"/>
    <w:rsid w:val="00541AC9"/>
    <w:rsid w:val="00544EE7"/>
    <w:rsid w:val="00553D38"/>
    <w:rsid w:val="00554929"/>
    <w:rsid w:val="00567C07"/>
    <w:rsid w:val="00570357"/>
    <w:rsid w:val="005722F3"/>
    <w:rsid w:val="00572FC5"/>
    <w:rsid w:val="00573F1E"/>
    <w:rsid w:val="00586CE9"/>
    <w:rsid w:val="00591DC2"/>
    <w:rsid w:val="005922EE"/>
    <w:rsid w:val="005A2447"/>
    <w:rsid w:val="005C0FC5"/>
    <w:rsid w:val="005C2292"/>
    <w:rsid w:val="005C6DD4"/>
    <w:rsid w:val="005C75F0"/>
    <w:rsid w:val="005D21A0"/>
    <w:rsid w:val="005D785C"/>
    <w:rsid w:val="005E1280"/>
    <w:rsid w:val="005E7E23"/>
    <w:rsid w:val="005F3C8A"/>
    <w:rsid w:val="006005AA"/>
    <w:rsid w:val="00601079"/>
    <w:rsid w:val="00601746"/>
    <w:rsid w:val="0061268D"/>
    <w:rsid w:val="00612BF6"/>
    <w:rsid w:val="006144C6"/>
    <w:rsid w:val="00642C24"/>
    <w:rsid w:val="00643AAE"/>
    <w:rsid w:val="006443ED"/>
    <w:rsid w:val="00646BE7"/>
    <w:rsid w:val="00660C13"/>
    <w:rsid w:val="0066112E"/>
    <w:rsid w:val="00661D97"/>
    <w:rsid w:val="0066238C"/>
    <w:rsid w:val="006670F9"/>
    <w:rsid w:val="00681E68"/>
    <w:rsid w:val="006831C2"/>
    <w:rsid w:val="00684A7F"/>
    <w:rsid w:val="0068734A"/>
    <w:rsid w:val="00693E14"/>
    <w:rsid w:val="0069794F"/>
    <w:rsid w:val="00697B61"/>
    <w:rsid w:val="006A05BC"/>
    <w:rsid w:val="006A5AB6"/>
    <w:rsid w:val="006A6A8E"/>
    <w:rsid w:val="006B0B41"/>
    <w:rsid w:val="006B0C75"/>
    <w:rsid w:val="006B10E1"/>
    <w:rsid w:val="006C0704"/>
    <w:rsid w:val="006D4FE7"/>
    <w:rsid w:val="006E03A1"/>
    <w:rsid w:val="006E1D27"/>
    <w:rsid w:val="006E3730"/>
    <w:rsid w:val="006F2DBE"/>
    <w:rsid w:val="007022F5"/>
    <w:rsid w:val="007027F5"/>
    <w:rsid w:val="00703A4E"/>
    <w:rsid w:val="007042E2"/>
    <w:rsid w:val="00706198"/>
    <w:rsid w:val="00707CC3"/>
    <w:rsid w:val="0071114A"/>
    <w:rsid w:val="00713B3B"/>
    <w:rsid w:val="00714B6E"/>
    <w:rsid w:val="00715BA0"/>
    <w:rsid w:val="00722CDF"/>
    <w:rsid w:val="00726607"/>
    <w:rsid w:val="007274F1"/>
    <w:rsid w:val="0073056F"/>
    <w:rsid w:val="00734A11"/>
    <w:rsid w:val="00743E0C"/>
    <w:rsid w:val="007527F9"/>
    <w:rsid w:val="00755C79"/>
    <w:rsid w:val="00764EA1"/>
    <w:rsid w:val="00766FCE"/>
    <w:rsid w:val="007703B5"/>
    <w:rsid w:val="00771BD7"/>
    <w:rsid w:val="0077206E"/>
    <w:rsid w:val="007736D0"/>
    <w:rsid w:val="007759CA"/>
    <w:rsid w:val="0078796B"/>
    <w:rsid w:val="00793A58"/>
    <w:rsid w:val="00796737"/>
    <w:rsid w:val="00797C39"/>
    <w:rsid w:val="00797ECA"/>
    <w:rsid w:val="007A08ED"/>
    <w:rsid w:val="007A09CB"/>
    <w:rsid w:val="007A43F3"/>
    <w:rsid w:val="007A5332"/>
    <w:rsid w:val="007B1900"/>
    <w:rsid w:val="007B2A87"/>
    <w:rsid w:val="007B3A43"/>
    <w:rsid w:val="007B543F"/>
    <w:rsid w:val="007C3751"/>
    <w:rsid w:val="007C3B39"/>
    <w:rsid w:val="007C6B40"/>
    <w:rsid w:val="007C776C"/>
    <w:rsid w:val="007D4A8F"/>
    <w:rsid w:val="007E02B3"/>
    <w:rsid w:val="007E0339"/>
    <w:rsid w:val="007F2CC8"/>
    <w:rsid w:val="008004EB"/>
    <w:rsid w:val="00803384"/>
    <w:rsid w:val="008077BC"/>
    <w:rsid w:val="00811D81"/>
    <w:rsid w:val="008173D1"/>
    <w:rsid w:val="008267EC"/>
    <w:rsid w:val="00827589"/>
    <w:rsid w:val="00835FDA"/>
    <w:rsid w:val="00836D38"/>
    <w:rsid w:val="00842B8E"/>
    <w:rsid w:val="00845E3F"/>
    <w:rsid w:val="00846EFF"/>
    <w:rsid w:val="00847C82"/>
    <w:rsid w:val="008608F0"/>
    <w:rsid w:val="008633E6"/>
    <w:rsid w:val="0086556D"/>
    <w:rsid w:val="00876FC7"/>
    <w:rsid w:val="008814C8"/>
    <w:rsid w:val="00883541"/>
    <w:rsid w:val="00883E86"/>
    <w:rsid w:val="00891F29"/>
    <w:rsid w:val="0089515B"/>
    <w:rsid w:val="00895BE8"/>
    <w:rsid w:val="008A26A9"/>
    <w:rsid w:val="008B0DC4"/>
    <w:rsid w:val="008B0FC3"/>
    <w:rsid w:val="008B2DC6"/>
    <w:rsid w:val="008B66AD"/>
    <w:rsid w:val="008C21FA"/>
    <w:rsid w:val="008E391C"/>
    <w:rsid w:val="009027F0"/>
    <w:rsid w:val="00902AB6"/>
    <w:rsid w:val="00903026"/>
    <w:rsid w:val="00903191"/>
    <w:rsid w:val="009041EB"/>
    <w:rsid w:val="009105B7"/>
    <w:rsid w:val="00911C93"/>
    <w:rsid w:val="00924951"/>
    <w:rsid w:val="00932D53"/>
    <w:rsid w:val="009406BF"/>
    <w:rsid w:val="00941A32"/>
    <w:rsid w:val="00943E32"/>
    <w:rsid w:val="00946091"/>
    <w:rsid w:val="00947E69"/>
    <w:rsid w:val="0095637C"/>
    <w:rsid w:val="009574C9"/>
    <w:rsid w:val="00961768"/>
    <w:rsid w:val="00965D92"/>
    <w:rsid w:val="00966E7B"/>
    <w:rsid w:val="0097066F"/>
    <w:rsid w:val="00972DB0"/>
    <w:rsid w:val="0098356B"/>
    <w:rsid w:val="00985406"/>
    <w:rsid w:val="0098568A"/>
    <w:rsid w:val="00996009"/>
    <w:rsid w:val="009A40DA"/>
    <w:rsid w:val="009A517B"/>
    <w:rsid w:val="009B25AB"/>
    <w:rsid w:val="009B300E"/>
    <w:rsid w:val="009B3814"/>
    <w:rsid w:val="009C1298"/>
    <w:rsid w:val="009C46A6"/>
    <w:rsid w:val="009D143F"/>
    <w:rsid w:val="009D1472"/>
    <w:rsid w:val="009E3AEF"/>
    <w:rsid w:val="009E5C1F"/>
    <w:rsid w:val="009F13B0"/>
    <w:rsid w:val="009F3E3A"/>
    <w:rsid w:val="009F7EE7"/>
    <w:rsid w:val="00A209AA"/>
    <w:rsid w:val="00A23425"/>
    <w:rsid w:val="00A262CE"/>
    <w:rsid w:val="00A26EB1"/>
    <w:rsid w:val="00A27549"/>
    <w:rsid w:val="00A30C1A"/>
    <w:rsid w:val="00A3380D"/>
    <w:rsid w:val="00A36738"/>
    <w:rsid w:val="00A41B49"/>
    <w:rsid w:val="00A43E5D"/>
    <w:rsid w:val="00A5066F"/>
    <w:rsid w:val="00A53286"/>
    <w:rsid w:val="00A6559F"/>
    <w:rsid w:val="00A6692D"/>
    <w:rsid w:val="00A76E94"/>
    <w:rsid w:val="00A80121"/>
    <w:rsid w:val="00A867F9"/>
    <w:rsid w:val="00A87A46"/>
    <w:rsid w:val="00A906D6"/>
    <w:rsid w:val="00A90B49"/>
    <w:rsid w:val="00A92128"/>
    <w:rsid w:val="00A93FF5"/>
    <w:rsid w:val="00A9521B"/>
    <w:rsid w:val="00A95D02"/>
    <w:rsid w:val="00A975C9"/>
    <w:rsid w:val="00AA126E"/>
    <w:rsid w:val="00AA159B"/>
    <w:rsid w:val="00AB244D"/>
    <w:rsid w:val="00AB5131"/>
    <w:rsid w:val="00AC559D"/>
    <w:rsid w:val="00AD20AC"/>
    <w:rsid w:val="00AD7DC5"/>
    <w:rsid w:val="00AE0D38"/>
    <w:rsid w:val="00AE1B26"/>
    <w:rsid w:val="00AE65F5"/>
    <w:rsid w:val="00AE7189"/>
    <w:rsid w:val="00AE76D4"/>
    <w:rsid w:val="00B037D6"/>
    <w:rsid w:val="00B061FE"/>
    <w:rsid w:val="00B12964"/>
    <w:rsid w:val="00B1329B"/>
    <w:rsid w:val="00B13A82"/>
    <w:rsid w:val="00B20CF6"/>
    <w:rsid w:val="00B24959"/>
    <w:rsid w:val="00B25190"/>
    <w:rsid w:val="00B26500"/>
    <w:rsid w:val="00B43067"/>
    <w:rsid w:val="00B474CE"/>
    <w:rsid w:val="00B5391C"/>
    <w:rsid w:val="00B6258A"/>
    <w:rsid w:val="00B65337"/>
    <w:rsid w:val="00B71ECE"/>
    <w:rsid w:val="00B74413"/>
    <w:rsid w:val="00B77B3E"/>
    <w:rsid w:val="00B81050"/>
    <w:rsid w:val="00B916AC"/>
    <w:rsid w:val="00B920F3"/>
    <w:rsid w:val="00B947BB"/>
    <w:rsid w:val="00B95E5E"/>
    <w:rsid w:val="00B96E8E"/>
    <w:rsid w:val="00BA4F80"/>
    <w:rsid w:val="00BA5E75"/>
    <w:rsid w:val="00BC0CBA"/>
    <w:rsid w:val="00BC5D87"/>
    <w:rsid w:val="00BC7F09"/>
    <w:rsid w:val="00BD046C"/>
    <w:rsid w:val="00BD1BE3"/>
    <w:rsid w:val="00BD74EF"/>
    <w:rsid w:val="00BE0286"/>
    <w:rsid w:val="00BE68E8"/>
    <w:rsid w:val="00BF03B6"/>
    <w:rsid w:val="00BF253C"/>
    <w:rsid w:val="00BF4654"/>
    <w:rsid w:val="00C0012E"/>
    <w:rsid w:val="00C0640F"/>
    <w:rsid w:val="00C17C45"/>
    <w:rsid w:val="00C20D9B"/>
    <w:rsid w:val="00C235A4"/>
    <w:rsid w:val="00C30428"/>
    <w:rsid w:val="00C35C92"/>
    <w:rsid w:val="00C37392"/>
    <w:rsid w:val="00C40F92"/>
    <w:rsid w:val="00C42B6B"/>
    <w:rsid w:val="00C43035"/>
    <w:rsid w:val="00C46850"/>
    <w:rsid w:val="00C46DB0"/>
    <w:rsid w:val="00C512AD"/>
    <w:rsid w:val="00C542CD"/>
    <w:rsid w:val="00C55EE4"/>
    <w:rsid w:val="00C61D89"/>
    <w:rsid w:val="00C63747"/>
    <w:rsid w:val="00C70ACA"/>
    <w:rsid w:val="00C71327"/>
    <w:rsid w:val="00C74FB5"/>
    <w:rsid w:val="00C800C0"/>
    <w:rsid w:val="00C82229"/>
    <w:rsid w:val="00C85B46"/>
    <w:rsid w:val="00C85FE6"/>
    <w:rsid w:val="00C9195B"/>
    <w:rsid w:val="00C934CC"/>
    <w:rsid w:val="00CA3B76"/>
    <w:rsid w:val="00CA4203"/>
    <w:rsid w:val="00CA46BC"/>
    <w:rsid w:val="00CA54A0"/>
    <w:rsid w:val="00CB1279"/>
    <w:rsid w:val="00CB3979"/>
    <w:rsid w:val="00CB4D36"/>
    <w:rsid w:val="00CC3D7D"/>
    <w:rsid w:val="00CC4BEF"/>
    <w:rsid w:val="00CF36EA"/>
    <w:rsid w:val="00CF4DB1"/>
    <w:rsid w:val="00CF727F"/>
    <w:rsid w:val="00D0301E"/>
    <w:rsid w:val="00D066C0"/>
    <w:rsid w:val="00D14441"/>
    <w:rsid w:val="00D2019C"/>
    <w:rsid w:val="00D202C1"/>
    <w:rsid w:val="00D203B1"/>
    <w:rsid w:val="00D22B5A"/>
    <w:rsid w:val="00D23B92"/>
    <w:rsid w:val="00D24CE5"/>
    <w:rsid w:val="00D262BD"/>
    <w:rsid w:val="00D26C17"/>
    <w:rsid w:val="00D31B95"/>
    <w:rsid w:val="00D42611"/>
    <w:rsid w:val="00D44FFD"/>
    <w:rsid w:val="00D47ABE"/>
    <w:rsid w:val="00D543AF"/>
    <w:rsid w:val="00D555E4"/>
    <w:rsid w:val="00D55D0F"/>
    <w:rsid w:val="00D562C0"/>
    <w:rsid w:val="00D5739B"/>
    <w:rsid w:val="00D61CD9"/>
    <w:rsid w:val="00D67B83"/>
    <w:rsid w:val="00D700B5"/>
    <w:rsid w:val="00D76C60"/>
    <w:rsid w:val="00D76FC3"/>
    <w:rsid w:val="00D81648"/>
    <w:rsid w:val="00D92A2F"/>
    <w:rsid w:val="00D931F8"/>
    <w:rsid w:val="00D95469"/>
    <w:rsid w:val="00D96491"/>
    <w:rsid w:val="00D97F29"/>
    <w:rsid w:val="00DA5578"/>
    <w:rsid w:val="00DA7495"/>
    <w:rsid w:val="00DB0ABD"/>
    <w:rsid w:val="00DB5302"/>
    <w:rsid w:val="00DB69D1"/>
    <w:rsid w:val="00DC02B2"/>
    <w:rsid w:val="00DC79AF"/>
    <w:rsid w:val="00DC79F4"/>
    <w:rsid w:val="00DD1105"/>
    <w:rsid w:val="00DD3D12"/>
    <w:rsid w:val="00DD45CF"/>
    <w:rsid w:val="00DD5778"/>
    <w:rsid w:val="00DD77AE"/>
    <w:rsid w:val="00DF2993"/>
    <w:rsid w:val="00DF4BFD"/>
    <w:rsid w:val="00DF54BD"/>
    <w:rsid w:val="00DF79E3"/>
    <w:rsid w:val="00E071D8"/>
    <w:rsid w:val="00E11791"/>
    <w:rsid w:val="00E13B35"/>
    <w:rsid w:val="00E17E9B"/>
    <w:rsid w:val="00E20D71"/>
    <w:rsid w:val="00E2339A"/>
    <w:rsid w:val="00E34E7C"/>
    <w:rsid w:val="00E41CF3"/>
    <w:rsid w:val="00E45A35"/>
    <w:rsid w:val="00E45A8D"/>
    <w:rsid w:val="00E47DDC"/>
    <w:rsid w:val="00E51512"/>
    <w:rsid w:val="00E53F4D"/>
    <w:rsid w:val="00E64507"/>
    <w:rsid w:val="00E70ACF"/>
    <w:rsid w:val="00E72395"/>
    <w:rsid w:val="00E82226"/>
    <w:rsid w:val="00E83E19"/>
    <w:rsid w:val="00E846AB"/>
    <w:rsid w:val="00EA39B2"/>
    <w:rsid w:val="00EA683A"/>
    <w:rsid w:val="00EB5DCE"/>
    <w:rsid w:val="00EC074D"/>
    <w:rsid w:val="00EC38F6"/>
    <w:rsid w:val="00EC5459"/>
    <w:rsid w:val="00EC6C2F"/>
    <w:rsid w:val="00ED1B01"/>
    <w:rsid w:val="00ED6914"/>
    <w:rsid w:val="00ED7C2F"/>
    <w:rsid w:val="00EE301B"/>
    <w:rsid w:val="00EE5784"/>
    <w:rsid w:val="00EF2959"/>
    <w:rsid w:val="00EF6831"/>
    <w:rsid w:val="00F10C81"/>
    <w:rsid w:val="00F211F2"/>
    <w:rsid w:val="00F26427"/>
    <w:rsid w:val="00F2644A"/>
    <w:rsid w:val="00F2693F"/>
    <w:rsid w:val="00F37CF0"/>
    <w:rsid w:val="00F41129"/>
    <w:rsid w:val="00F43DDD"/>
    <w:rsid w:val="00F4633D"/>
    <w:rsid w:val="00F50685"/>
    <w:rsid w:val="00F603C7"/>
    <w:rsid w:val="00F61C01"/>
    <w:rsid w:val="00F65196"/>
    <w:rsid w:val="00F65361"/>
    <w:rsid w:val="00F65E3C"/>
    <w:rsid w:val="00F771E9"/>
    <w:rsid w:val="00F77F30"/>
    <w:rsid w:val="00F77F66"/>
    <w:rsid w:val="00F82C07"/>
    <w:rsid w:val="00F82D7E"/>
    <w:rsid w:val="00F86C66"/>
    <w:rsid w:val="00F87CB2"/>
    <w:rsid w:val="00F934BA"/>
    <w:rsid w:val="00FA23A7"/>
    <w:rsid w:val="00FA29DA"/>
    <w:rsid w:val="00FA5057"/>
    <w:rsid w:val="00FB15A8"/>
    <w:rsid w:val="00FB245A"/>
    <w:rsid w:val="00FC05BE"/>
    <w:rsid w:val="00FC1993"/>
    <w:rsid w:val="00FC1FF1"/>
    <w:rsid w:val="00FC2D60"/>
    <w:rsid w:val="00FC7986"/>
    <w:rsid w:val="00FD4F7A"/>
    <w:rsid w:val="00FD6162"/>
    <w:rsid w:val="00FE35CD"/>
    <w:rsid w:val="00FF16A7"/>
    <w:rsid w:val="00FF3882"/>
    <w:rsid w:val="00FF3BFE"/>
    <w:rsid w:val="00FF3FA0"/>
    <w:rsid w:val="00FF61D0"/>
    <w:rsid w:val="0B460AB5"/>
    <w:rsid w:val="1787048B"/>
    <w:rsid w:val="18C53C8E"/>
    <w:rsid w:val="1A9F7943"/>
    <w:rsid w:val="393B5035"/>
    <w:rsid w:val="3B6B32AD"/>
    <w:rsid w:val="3EC20F72"/>
    <w:rsid w:val="417F282D"/>
    <w:rsid w:val="593173F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qFormat="1" w:unhideWhenUsed="0" w:uiPriority="0" w:semiHidden="0"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6"/>
    <w:qFormat/>
    <w:uiPriority w:val="0"/>
    <w:pPr>
      <w:keepNext/>
      <w:keepLines/>
      <w:spacing w:before="340" w:after="330" w:line="578" w:lineRule="auto"/>
      <w:outlineLvl w:val="0"/>
    </w:pPr>
    <w:rPr>
      <w:b/>
      <w:bCs/>
      <w:kern w:val="44"/>
      <w:sz w:val="44"/>
      <w:szCs w:val="44"/>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3">
    <w:name w:val="Normal Indent"/>
    <w:basedOn w:val="1"/>
    <w:qFormat/>
    <w:uiPriority w:val="0"/>
    <w:pPr>
      <w:ind w:firstLine="420" w:firstLineChars="200"/>
    </w:pPr>
    <w:rPr>
      <w:rFonts w:ascii="Calibri" w:hAnsi="Calibri"/>
      <w:sz w:val="30"/>
      <w:szCs w:val="22"/>
    </w:rPr>
  </w:style>
  <w:style w:type="paragraph" w:styleId="4">
    <w:name w:val="footer"/>
    <w:basedOn w:val="1"/>
    <w:link w:val="10"/>
    <w:unhideWhenUsed/>
    <w:qFormat/>
    <w:uiPriority w:val="99"/>
    <w:pPr>
      <w:tabs>
        <w:tab w:val="center" w:pos="4153"/>
        <w:tab w:val="right" w:pos="8306"/>
      </w:tabs>
      <w:snapToGrid w:val="0"/>
      <w:jc w:val="left"/>
    </w:pPr>
    <w:rPr>
      <w:rFonts w:asciiTheme="minorHAnsi" w:hAnsiTheme="minorHAnsi" w:eastAsiaTheme="minorEastAsia" w:cstheme="minorBidi"/>
      <w:sz w:val="18"/>
      <w:szCs w:val="18"/>
    </w:rPr>
  </w:style>
  <w:style w:type="paragraph" w:styleId="5">
    <w:name w:val="header"/>
    <w:basedOn w:val="1"/>
    <w:link w:val="9"/>
    <w:unhideWhenUsed/>
    <w:qFormat/>
    <w:uiPriority w:val="99"/>
    <w:pPr>
      <w:tabs>
        <w:tab w:val="center" w:pos="4153"/>
        <w:tab w:val="right" w:pos="8306"/>
      </w:tabs>
      <w:snapToGrid w:val="0"/>
      <w:jc w:val="center"/>
    </w:pPr>
    <w:rPr>
      <w:rFonts w:asciiTheme="minorHAnsi" w:hAnsiTheme="minorHAnsi" w:eastAsiaTheme="minorEastAsia" w:cstheme="minorBidi"/>
      <w:sz w:val="18"/>
      <w:szCs w:val="18"/>
    </w:rPr>
  </w:style>
  <w:style w:type="table" w:styleId="7">
    <w:name w:val="Table Grid"/>
    <w:basedOn w:val="6"/>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customStyle="1" w:styleId="9">
    <w:name w:val="页眉 字符"/>
    <w:basedOn w:val="8"/>
    <w:link w:val="5"/>
    <w:qFormat/>
    <w:uiPriority w:val="99"/>
    <w:rPr>
      <w:sz w:val="18"/>
      <w:szCs w:val="18"/>
    </w:rPr>
  </w:style>
  <w:style w:type="character" w:customStyle="1" w:styleId="10">
    <w:name w:val="页脚 字符"/>
    <w:basedOn w:val="8"/>
    <w:link w:val="4"/>
    <w:qFormat/>
    <w:uiPriority w:val="99"/>
    <w:rPr>
      <w:sz w:val="18"/>
      <w:szCs w:val="18"/>
    </w:rPr>
  </w:style>
  <w:style w:type="paragraph" w:customStyle="1" w:styleId="11">
    <w:name w:val="封面标准名称"/>
    <w:qFormat/>
    <w:uiPriority w:val="0"/>
    <w:pPr>
      <w:framePr w:w="9639" w:h="6917" w:hRule="exact" w:wrap="around" w:vAnchor="page" w:hAnchor="page" w:xAlign="center" w:y="6408" w:anchorLock="1"/>
      <w:widowControl w:val="0"/>
      <w:spacing w:line="680" w:lineRule="exact"/>
      <w:jc w:val="center"/>
      <w:textAlignment w:val="center"/>
    </w:pPr>
    <w:rPr>
      <w:rFonts w:ascii="黑体" w:hAnsi="Times New Roman" w:eastAsia="黑体" w:cs="Times New Roman"/>
      <w:kern w:val="0"/>
      <w:sz w:val="52"/>
      <w:szCs w:val="20"/>
      <w:lang w:val="en-US" w:eastAsia="zh-CN" w:bidi="ar-SA"/>
    </w:rPr>
  </w:style>
  <w:style w:type="paragraph" w:styleId="12">
    <w:name w:val="List Paragraph"/>
    <w:basedOn w:val="1"/>
    <w:qFormat/>
    <w:uiPriority w:val="34"/>
    <w:pPr>
      <w:ind w:firstLine="420" w:firstLineChars="200"/>
    </w:pPr>
  </w:style>
  <w:style w:type="paragraph" w:customStyle="1" w:styleId="13">
    <w:name w:val="_Style 10"/>
    <w:basedOn w:val="1"/>
    <w:next w:val="12"/>
    <w:qFormat/>
    <w:uiPriority w:val="0"/>
    <w:pPr>
      <w:ind w:firstLine="420" w:firstLineChars="200"/>
    </w:pPr>
    <w:rPr>
      <w:rFonts w:ascii="Calibri" w:hAnsi="Calibri"/>
      <w:szCs w:val="22"/>
    </w:rPr>
  </w:style>
  <w:style w:type="paragraph" w:customStyle="1" w:styleId="14">
    <w:name w:val="段"/>
    <w:link w:val="15"/>
    <w:qFormat/>
    <w:uiPriority w:val="0"/>
    <w:pPr>
      <w:tabs>
        <w:tab w:val="center" w:pos="4201"/>
        <w:tab w:val="right" w:leader="dot" w:pos="9298"/>
      </w:tabs>
      <w:autoSpaceDE w:val="0"/>
      <w:autoSpaceDN w:val="0"/>
      <w:ind w:firstLine="420" w:firstLineChars="200"/>
      <w:jc w:val="both"/>
    </w:pPr>
    <w:rPr>
      <w:rFonts w:ascii="宋体" w:hAnsi="Times New Roman" w:eastAsia="宋体" w:cs="Times New Roman"/>
      <w:kern w:val="0"/>
      <w:sz w:val="21"/>
      <w:szCs w:val="20"/>
      <w:lang w:val="en-US" w:eastAsia="zh-CN" w:bidi="ar-SA"/>
    </w:rPr>
  </w:style>
  <w:style w:type="character" w:customStyle="1" w:styleId="15">
    <w:name w:val="段 Char"/>
    <w:link w:val="14"/>
    <w:qFormat/>
    <w:uiPriority w:val="0"/>
    <w:rPr>
      <w:rFonts w:ascii="宋体" w:hAnsi="Times New Roman" w:eastAsia="宋体" w:cs="Times New Roman"/>
      <w:kern w:val="0"/>
      <w:szCs w:val="20"/>
    </w:rPr>
  </w:style>
  <w:style w:type="character" w:customStyle="1" w:styleId="16">
    <w:name w:val="标题 1 字符"/>
    <w:basedOn w:val="8"/>
    <w:link w:val="2"/>
    <w:qFormat/>
    <w:uiPriority w:val="0"/>
    <w:rPr>
      <w:rFonts w:ascii="Times New Roman" w:hAnsi="Times New Roman" w:eastAsia="宋体" w:cs="Times New Roman"/>
      <w:b/>
      <w:bCs/>
      <w:kern w:val="44"/>
      <w:sz w:val="44"/>
      <w:szCs w:val="44"/>
    </w:rPr>
  </w:style>
  <w:style w:type="paragraph" w:customStyle="1" w:styleId="17">
    <w:name w:val="_Style 15"/>
    <w:basedOn w:val="1"/>
    <w:next w:val="12"/>
    <w:qFormat/>
    <w:uiPriority w:val="0"/>
    <w:pPr>
      <w:ind w:firstLine="420" w:firstLineChars="200"/>
    </w:pPr>
    <w:rPr>
      <w:rFonts w:ascii="Calibri" w:hAnsi="Calibri"/>
      <w:szCs w:val="22"/>
    </w:rPr>
  </w:style>
</w:styles>
</file>

<file path=word/_rels/document.xml.rels><?xml version="1.0" encoding="UTF-8" standalone="yes"?>
<Relationships xmlns="http://schemas.openxmlformats.org/package/2006/relationships"><Relationship Id="rId9" Type="http://schemas.openxmlformats.org/officeDocument/2006/relationships/image" Target="media/image6.png"/><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jpeg"/><Relationship Id="rId3" Type="http://schemas.openxmlformats.org/officeDocument/2006/relationships/theme" Target="theme/theme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10</Pages>
  <Words>6503</Words>
  <Characters>7391</Characters>
  <Lines>55</Lines>
  <Paragraphs>15</Paragraphs>
  <TotalTime>0</TotalTime>
  <ScaleCrop>false</ScaleCrop>
  <LinksUpToDate>false</LinksUpToDate>
  <CharactersWithSpaces>7442</CharactersWithSpaces>
  <Application>WPS Office_12.1.0.18276_F1E327BC-269C-435d-A152-05C5408002CA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2023-09-18T05:16:00Z</dcterms:created>
  <dc:creator>文 高</dc:creator>
  <cp:lastModifiedBy>sky</cp:lastModifiedBy>
  <dcterms:modified xsi:type="dcterms:W3CDTF">2024-10-17T08:40:05Z</dcterms:modified>
  <cp:revision>86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2052-12.1.0.18276</vt:lpwstr>
  </property>
  <property fmtid="{D5CDD505-2E9C-101B-9397-08002B2CF9AE}" pid="3" name="ICV">
    <vt:lpwstr>1FFD97D0B5414B2F8A8BD8B64986489B_12</vt:lpwstr>
  </property>
</Properties>
</file>