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18293">
      <w:pPr>
        <w:spacing w:line="720" w:lineRule="auto"/>
        <w:jc w:val="center"/>
        <w:rPr>
          <w:rFonts w:hint="eastAsia" w:ascii="黑体" w:hAnsi="黑体" w:eastAsia="黑体" w:cs="宋体"/>
          <w:b/>
          <w:bCs/>
          <w:kern w:val="0"/>
          <w:sz w:val="44"/>
          <w:szCs w:val="44"/>
          <w:lang w:val="en-US" w:eastAsia="zh-CN"/>
        </w:rPr>
      </w:pPr>
    </w:p>
    <w:p w14:paraId="608AADE8">
      <w:pPr>
        <w:spacing w:line="720" w:lineRule="auto"/>
        <w:jc w:val="center"/>
        <w:rPr>
          <w:rFonts w:hint="eastAsia" w:ascii="黑体" w:hAnsi="黑体" w:eastAsia="黑体" w:cs="宋体"/>
          <w:b/>
          <w:bCs/>
          <w:kern w:val="0"/>
          <w:sz w:val="44"/>
          <w:szCs w:val="44"/>
          <w:lang w:val="en-US" w:eastAsia="zh-CN"/>
        </w:rPr>
      </w:pPr>
    </w:p>
    <w:p w14:paraId="7A8A7671">
      <w:pPr>
        <w:pStyle w:val="2"/>
        <w:spacing w:before="169" w:line="221" w:lineRule="auto"/>
        <w:jc w:val="center"/>
        <w:rPr>
          <w:rFonts w:hint="eastAsia" w:ascii="黑体" w:hAnsi="黑体" w:eastAsia="黑体" w:cs="宋体"/>
          <w:b/>
          <w:bCs/>
          <w:kern w:val="0"/>
          <w:sz w:val="44"/>
          <w:szCs w:val="44"/>
          <w:lang w:val="en-US" w:eastAsia="zh-CN"/>
        </w:rPr>
      </w:pPr>
      <w:r>
        <w:rPr>
          <w:rFonts w:hint="eastAsia" w:ascii="黑体" w:hAnsi="黑体" w:eastAsia="黑体" w:cs="宋体"/>
          <w:b/>
          <w:bCs/>
          <w:kern w:val="0"/>
          <w:sz w:val="44"/>
          <w:szCs w:val="44"/>
          <w:lang w:val="en-US" w:eastAsia="zh-CN"/>
        </w:rPr>
        <w:t>遗鸥种群数量动态监测技术规范</w:t>
      </w:r>
    </w:p>
    <w:p w14:paraId="7DC776A2">
      <w:pPr>
        <w:spacing w:line="720" w:lineRule="auto"/>
        <w:jc w:val="center"/>
        <w:rPr>
          <w:rFonts w:hint="eastAsia" w:ascii="黑体" w:hAnsi="黑体" w:eastAsia="黑体" w:cs="宋体"/>
          <w:b/>
          <w:bCs/>
          <w:kern w:val="0"/>
          <w:sz w:val="44"/>
          <w:szCs w:val="44"/>
          <w:lang w:val="en-US" w:eastAsia="zh-CN"/>
        </w:rPr>
      </w:pPr>
      <w:r>
        <w:rPr>
          <w:rFonts w:hint="eastAsia" w:ascii="黑体" w:hAnsi="黑体" w:eastAsia="黑体" w:cs="宋体"/>
          <w:b/>
          <w:bCs/>
          <w:kern w:val="0"/>
          <w:sz w:val="44"/>
          <w:szCs w:val="44"/>
          <w:lang w:val="en-US" w:eastAsia="zh-CN"/>
        </w:rPr>
        <w:t xml:space="preserve"> </w:t>
      </w:r>
    </w:p>
    <w:p w14:paraId="71BC2901">
      <w:pPr>
        <w:spacing w:line="720" w:lineRule="auto"/>
        <w:jc w:val="center"/>
        <w:rPr>
          <w:rFonts w:hint="eastAsia" w:ascii="黑体" w:hAnsi="黑体" w:eastAsia="黑体" w:cs="宋体"/>
          <w:kern w:val="0"/>
          <w:sz w:val="44"/>
          <w:szCs w:val="44"/>
          <w:lang w:val="en-US" w:eastAsia="zh-CN"/>
        </w:rPr>
      </w:pPr>
    </w:p>
    <w:p w14:paraId="6859853D">
      <w:pPr>
        <w:spacing w:line="720" w:lineRule="auto"/>
        <w:jc w:val="center"/>
        <w:rPr>
          <w:rFonts w:hint="eastAsia" w:ascii="黑体" w:hAnsi="黑体" w:eastAsia="黑体" w:cs="Times New Roman"/>
          <w:bCs/>
          <w:sz w:val="40"/>
          <w:szCs w:val="40"/>
        </w:rPr>
      </w:pPr>
      <w:r>
        <w:rPr>
          <w:rFonts w:hint="eastAsia" w:ascii="黑体" w:hAnsi="黑体" w:eastAsia="黑体" w:cs="Times New Roman"/>
          <w:bCs/>
          <w:sz w:val="40"/>
          <w:szCs w:val="40"/>
        </w:rPr>
        <w:t>编制说明</w:t>
      </w:r>
    </w:p>
    <w:p w14:paraId="6AAAEE5A">
      <w:pPr>
        <w:spacing w:line="360" w:lineRule="auto"/>
        <w:jc w:val="center"/>
        <w:rPr>
          <w:rFonts w:ascii="宋体" w:hAnsi="宋体"/>
          <w:sz w:val="28"/>
          <w:szCs w:val="28"/>
        </w:rPr>
      </w:pPr>
    </w:p>
    <w:p w14:paraId="3D951FC9">
      <w:pPr>
        <w:spacing w:line="360" w:lineRule="auto"/>
        <w:jc w:val="center"/>
        <w:rPr>
          <w:rFonts w:ascii="宋体" w:hAnsi="宋体"/>
          <w:sz w:val="28"/>
          <w:szCs w:val="28"/>
        </w:rPr>
      </w:pPr>
    </w:p>
    <w:p w14:paraId="4BB7C100">
      <w:pPr>
        <w:spacing w:line="360" w:lineRule="auto"/>
        <w:jc w:val="center"/>
        <w:rPr>
          <w:rFonts w:ascii="宋体" w:hAnsi="宋体"/>
          <w:sz w:val="28"/>
          <w:szCs w:val="28"/>
        </w:rPr>
      </w:pPr>
    </w:p>
    <w:p w14:paraId="1391A7A8">
      <w:pPr>
        <w:spacing w:line="360" w:lineRule="auto"/>
        <w:jc w:val="center"/>
        <w:rPr>
          <w:rFonts w:hint="eastAsia" w:ascii="宋体" w:hAnsi="宋体"/>
          <w:sz w:val="28"/>
          <w:szCs w:val="28"/>
        </w:rPr>
      </w:pPr>
    </w:p>
    <w:tbl>
      <w:tblPr>
        <w:tblStyle w:val="6"/>
        <w:tblW w:w="0" w:type="auto"/>
        <w:jc w:val="right"/>
        <w:tblLayout w:type="autofit"/>
        <w:tblCellMar>
          <w:top w:w="0" w:type="dxa"/>
          <w:left w:w="108" w:type="dxa"/>
          <w:bottom w:w="0" w:type="dxa"/>
          <w:right w:w="108" w:type="dxa"/>
        </w:tblCellMar>
      </w:tblPr>
      <w:tblGrid>
        <w:gridCol w:w="3045"/>
        <w:gridCol w:w="538"/>
        <w:gridCol w:w="5703"/>
      </w:tblGrid>
      <w:tr w14:paraId="6C49FE5E">
        <w:tblPrEx>
          <w:tblCellMar>
            <w:top w:w="0" w:type="dxa"/>
            <w:left w:w="108" w:type="dxa"/>
            <w:bottom w:w="0" w:type="dxa"/>
            <w:right w:w="108" w:type="dxa"/>
          </w:tblCellMar>
        </w:tblPrEx>
        <w:trPr>
          <w:jc w:val="right"/>
        </w:trPr>
        <w:tc>
          <w:tcPr>
            <w:tcW w:w="3045" w:type="dxa"/>
            <w:noWrap w:val="0"/>
            <w:vAlign w:val="bottom"/>
          </w:tcPr>
          <w:p w14:paraId="099BC60B">
            <w:pPr>
              <w:spacing w:line="720" w:lineRule="auto"/>
              <w:jc w:val="both"/>
              <w:rPr>
                <w:b/>
                <w:bCs/>
                <w:sz w:val="32"/>
                <w:szCs w:val="32"/>
              </w:rPr>
            </w:pPr>
            <w:r>
              <w:rPr>
                <w:b/>
                <w:bCs/>
                <w:sz w:val="32"/>
                <w:szCs w:val="32"/>
              </w:rPr>
              <w:t>项目编号</w:t>
            </w:r>
          </w:p>
        </w:tc>
        <w:tc>
          <w:tcPr>
            <w:tcW w:w="538" w:type="dxa"/>
            <w:noWrap w:val="0"/>
            <w:vAlign w:val="top"/>
          </w:tcPr>
          <w:p w14:paraId="4E2E60CF">
            <w:pPr>
              <w:spacing w:line="720" w:lineRule="auto"/>
              <w:rPr>
                <w:b/>
                <w:bCs/>
                <w:sz w:val="32"/>
                <w:szCs w:val="32"/>
              </w:rPr>
            </w:pPr>
            <w:r>
              <w:rPr>
                <w:b/>
                <w:bCs/>
                <w:sz w:val="32"/>
                <w:szCs w:val="32"/>
              </w:rPr>
              <w:t>：</w:t>
            </w:r>
          </w:p>
        </w:tc>
        <w:tc>
          <w:tcPr>
            <w:tcW w:w="5703" w:type="dxa"/>
            <w:noWrap w:val="0"/>
            <w:vAlign w:val="bottom"/>
          </w:tcPr>
          <w:p w14:paraId="73FDE10C">
            <w:pPr>
              <w:spacing w:line="720" w:lineRule="auto"/>
              <w:jc w:val="center"/>
              <w:rPr>
                <w:b/>
                <w:bCs/>
                <w:sz w:val="32"/>
                <w:szCs w:val="32"/>
              </w:rPr>
            </w:pPr>
            <w:r>
              <w:rPr>
                <w:rFonts w:hint="eastAsia"/>
                <w:b/>
                <w:bCs/>
                <w:sz w:val="32"/>
                <w:szCs w:val="32"/>
                <w:highlight w:val="none"/>
              </w:rPr>
              <w:t>SDBXM 26</w:t>
            </w:r>
            <w:r>
              <w:rPr>
                <w:rFonts w:hint="eastAsia"/>
                <w:b/>
                <w:bCs/>
                <w:sz w:val="32"/>
                <w:szCs w:val="32"/>
                <w:highlight w:val="none"/>
                <w:lang w:val="en-US" w:eastAsia="zh-CN"/>
              </w:rPr>
              <w:t>8</w:t>
            </w:r>
            <w:r>
              <w:rPr>
                <w:rFonts w:hint="eastAsia"/>
                <w:b/>
                <w:bCs/>
                <w:sz w:val="32"/>
                <w:szCs w:val="32"/>
                <w:highlight w:val="none"/>
              </w:rPr>
              <w:t>-2024</w:t>
            </w:r>
          </w:p>
        </w:tc>
      </w:tr>
      <w:tr w14:paraId="44793AAE">
        <w:tblPrEx>
          <w:tblCellMar>
            <w:top w:w="0" w:type="dxa"/>
            <w:left w:w="108" w:type="dxa"/>
            <w:bottom w:w="0" w:type="dxa"/>
            <w:right w:w="108" w:type="dxa"/>
          </w:tblCellMar>
        </w:tblPrEx>
        <w:trPr>
          <w:trHeight w:val="934" w:hRule="atLeast"/>
          <w:jc w:val="right"/>
        </w:trPr>
        <w:tc>
          <w:tcPr>
            <w:tcW w:w="3045" w:type="dxa"/>
            <w:noWrap w:val="0"/>
            <w:vAlign w:val="bottom"/>
          </w:tcPr>
          <w:p w14:paraId="11750A7B">
            <w:pPr>
              <w:spacing w:line="720" w:lineRule="auto"/>
              <w:jc w:val="both"/>
              <w:rPr>
                <w:b/>
                <w:bCs/>
                <w:sz w:val="32"/>
                <w:szCs w:val="32"/>
              </w:rPr>
            </w:pPr>
            <w:r>
              <w:rPr>
                <w:b/>
                <w:bCs/>
                <w:sz w:val="32"/>
                <w:szCs w:val="32"/>
              </w:rPr>
              <w:t>项目名称</w:t>
            </w:r>
          </w:p>
        </w:tc>
        <w:tc>
          <w:tcPr>
            <w:tcW w:w="538" w:type="dxa"/>
            <w:noWrap w:val="0"/>
            <w:vAlign w:val="top"/>
          </w:tcPr>
          <w:p w14:paraId="434FBBA8">
            <w:pPr>
              <w:spacing w:line="720" w:lineRule="auto"/>
              <w:rPr>
                <w:b/>
                <w:bCs/>
                <w:sz w:val="32"/>
                <w:szCs w:val="32"/>
              </w:rPr>
            </w:pPr>
            <w:r>
              <w:rPr>
                <w:b/>
                <w:bCs/>
                <w:sz w:val="32"/>
                <w:szCs w:val="32"/>
              </w:rPr>
              <w:t>：</w:t>
            </w:r>
          </w:p>
        </w:tc>
        <w:tc>
          <w:tcPr>
            <w:tcW w:w="5703" w:type="dxa"/>
            <w:noWrap w:val="0"/>
            <w:vAlign w:val="bottom"/>
          </w:tcPr>
          <w:p w14:paraId="6C3AE794">
            <w:pPr>
              <w:pStyle w:val="2"/>
              <w:spacing w:before="169" w:line="221" w:lineRule="auto"/>
              <w:jc w:val="center"/>
              <w:rPr>
                <w:rFonts w:hint="eastAsia"/>
                <w:b/>
                <w:bCs/>
                <w:sz w:val="32"/>
                <w:szCs w:val="32"/>
                <w:lang w:eastAsia="zh-CN"/>
              </w:rPr>
            </w:pPr>
            <w:r>
              <w:rPr>
                <w:rFonts w:hint="eastAsia"/>
                <w:b/>
                <w:bCs/>
                <w:sz w:val="32"/>
                <w:szCs w:val="32"/>
                <w:lang w:eastAsia="zh-CN"/>
              </w:rPr>
              <w:t>遗鸥种群数量动态监测技术规范</w:t>
            </w:r>
          </w:p>
          <w:p w14:paraId="630E31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b/>
                <w:bCs/>
                <w:sz w:val="32"/>
                <w:szCs w:val="32"/>
                <w:lang w:val="en-US" w:eastAsia="zh-CN"/>
              </w:rPr>
            </w:pPr>
          </w:p>
        </w:tc>
      </w:tr>
      <w:tr w14:paraId="7727BBC5">
        <w:tblPrEx>
          <w:tblCellMar>
            <w:top w:w="0" w:type="dxa"/>
            <w:left w:w="108" w:type="dxa"/>
            <w:bottom w:w="0" w:type="dxa"/>
            <w:right w:w="108" w:type="dxa"/>
          </w:tblCellMar>
        </w:tblPrEx>
        <w:trPr>
          <w:jc w:val="right"/>
        </w:trPr>
        <w:tc>
          <w:tcPr>
            <w:tcW w:w="3045" w:type="dxa"/>
            <w:noWrap w:val="0"/>
            <w:vAlign w:val="bottom"/>
          </w:tcPr>
          <w:p w14:paraId="18EB70CA">
            <w:pPr>
              <w:spacing w:line="720" w:lineRule="auto"/>
              <w:jc w:val="both"/>
              <w:rPr>
                <w:b/>
                <w:bCs/>
                <w:sz w:val="32"/>
                <w:szCs w:val="32"/>
              </w:rPr>
            </w:pPr>
            <w:r>
              <w:rPr>
                <w:b/>
                <w:bCs/>
                <w:sz w:val="32"/>
                <w:szCs w:val="32"/>
              </w:rPr>
              <w:t>委托单位（甲方）</w:t>
            </w:r>
          </w:p>
        </w:tc>
        <w:tc>
          <w:tcPr>
            <w:tcW w:w="538" w:type="dxa"/>
            <w:noWrap w:val="0"/>
            <w:vAlign w:val="top"/>
          </w:tcPr>
          <w:p w14:paraId="0F6122FF">
            <w:pPr>
              <w:spacing w:line="720" w:lineRule="auto"/>
              <w:rPr>
                <w:b/>
                <w:bCs/>
                <w:sz w:val="32"/>
                <w:szCs w:val="32"/>
              </w:rPr>
            </w:pPr>
            <w:r>
              <w:rPr>
                <w:b/>
                <w:bCs/>
                <w:sz w:val="32"/>
                <w:szCs w:val="32"/>
              </w:rPr>
              <w:t>：</w:t>
            </w:r>
          </w:p>
        </w:tc>
        <w:tc>
          <w:tcPr>
            <w:tcW w:w="5703" w:type="dxa"/>
            <w:noWrap w:val="0"/>
            <w:vAlign w:val="bottom"/>
          </w:tcPr>
          <w:p w14:paraId="1D49B10C">
            <w:pPr>
              <w:spacing w:line="720" w:lineRule="auto"/>
              <w:jc w:val="center"/>
              <w:rPr>
                <w:b/>
                <w:bCs/>
                <w:sz w:val="32"/>
                <w:szCs w:val="32"/>
              </w:rPr>
            </w:pPr>
            <w:r>
              <w:rPr>
                <w:b/>
                <w:bCs/>
                <w:sz w:val="32"/>
                <w:szCs w:val="32"/>
              </w:rPr>
              <w:t>陕西省市场监督管理局</w:t>
            </w:r>
          </w:p>
        </w:tc>
      </w:tr>
      <w:tr w14:paraId="1F95F3BF">
        <w:tblPrEx>
          <w:tblCellMar>
            <w:top w:w="0" w:type="dxa"/>
            <w:left w:w="108" w:type="dxa"/>
            <w:bottom w:w="0" w:type="dxa"/>
            <w:right w:w="108" w:type="dxa"/>
          </w:tblCellMar>
        </w:tblPrEx>
        <w:trPr>
          <w:trHeight w:val="736" w:hRule="atLeast"/>
          <w:jc w:val="right"/>
        </w:trPr>
        <w:tc>
          <w:tcPr>
            <w:tcW w:w="3045" w:type="dxa"/>
            <w:noWrap w:val="0"/>
            <w:vAlign w:val="bottom"/>
          </w:tcPr>
          <w:p w14:paraId="7F6380D5">
            <w:pPr>
              <w:spacing w:line="480" w:lineRule="auto"/>
              <w:jc w:val="both"/>
              <w:rPr>
                <w:b/>
                <w:bCs/>
                <w:sz w:val="32"/>
                <w:szCs w:val="32"/>
              </w:rPr>
            </w:pPr>
            <w:r>
              <w:rPr>
                <w:b/>
                <w:bCs/>
                <w:sz w:val="32"/>
                <w:szCs w:val="32"/>
              </w:rPr>
              <w:t>承担单位（乙方）</w:t>
            </w:r>
          </w:p>
        </w:tc>
        <w:tc>
          <w:tcPr>
            <w:tcW w:w="538" w:type="dxa"/>
            <w:noWrap w:val="0"/>
            <w:vAlign w:val="top"/>
          </w:tcPr>
          <w:p w14:paraId="64720AF4">
            <w:pPr>
              <w:spacing w:line="720" w:lineRule="auto"/>
              <w:rPr>
                <w:b/>
                <w:bCs/>
                <w:sz w:val="32"/>
                <w:szCs w:val="32"/>
              </w:rPr>
            </w:pPr>
            <w:r>
              <w:rPr>
                <w:b/>
                <w:bCs/>
                <w:sz w:val="32"/>
                <w:szCs w:val="32"/>
              </w:rPr>
              <w:t>：</w:t>
            </w:r>
          </w:p>
        </w:tc>
        <w:tc>
          <w:tcPr>
            <w:tcW w:w="5703" w:type="dxa"/>
            <w:noWrap w:val="0"/>
            <w:vAlign w:val="bottom"/>
          </w:tcPr>
          <w:p w14:paraId="5C1FFE44">
            <w:pPr>
              <w:spacing w:line="720" w:lineRule="auto"/>
              <w:jc w:val="center"/>
              <w:rPr>
                <w:rFonts w:hint="eastAsia" w:eastAsia="宋体"/>
                <w:b/>
                <w:bCs/>
                <w:sz w:val="32"/>
                <w:szCs w:val="32"/>
                <w:lang w:val="en-US" w:eastAsia="zh-CN"/>
              </w:rPr>
            </w:pPr>
            <w:r>
              <w:rPr>
                <w:rFonts w:hint="eastAsia"/>
                <w:b/>
                <w:bCs/>
                <w:sz w:val="32"/>
                <w:szCs w:val="32"/>
                <w:lang w:eastAsia="zh-CN"/>
              </w:rPr>
              <w:t>榆林市林业工作站</w:t>
            </w:r>
          </w:p>
        </w:tc>
      </w:tr>
      <w:tr w14:paraId="79C49923">
        <w:tblPrEx>
          <w:tblCellMar>
            <w:top w:w="0" w:type="dxa"/>
            <w:left w:w="108" w:type="dxa"/>
            <w:bottom w:w="0" w:type="dxa"/>
            <w:right w:w="108" w:type="dxa"/>
          </w:tblCellMar>
        </w:tblPrEx>
        <w:trPr>
          <w:jc w:val="right"/>
        </w:trPr>
        <w:tc>
          <w:tcPr>
            <w:tcW w:w="3045" w:type="dxa"/>
            <w:noWrap w:val="0"/>
            <w:vAlign w:val="bottom"/>
          </w:tcPr>
          <w:p w14:paraId="479EB27A">
            <w:pPr>
              <w:spacing w:line="720" w:lineRule="auto"/>
              <w:jc w:val="both"/>
              <w:rPr>
                <w:b/>
                <w:bCs/>
                <w:sz w:val="32"/>
                <w:szCs w:val="32"/>
              </w:rPr>
            </w:pPr>
            <w:r>
              <w:rPr>
                <w:b/>
                <w:bCs/>
                <w:sz w:val="32"/>
                <w:szCs w:val="32"/>
              </w:rPr>
              <w:t>起止年限</w:t>
            </w:r>
          </w:p>
        </w:tc>
        <w:tc>
          <w:tcPr>
            <w:tcW w:w="538" w:type="dxa"/>
            <w:noWrap w:val="0"/>
            <w:vAlign w:val="top"/>
          </w:tcPr>
          <w:p w14:paraId="5668F221">
            <w:pPr>
              <w:spacing w:line="720" w:lineRule="auto"/>
              <w:rPr>
                <w:b/>
                <w:bCs/>
                <w:sz w:val="32"/>
                <w:szCs w:val="32"/>
              </w:rPr>
            </w:pPr>
            <w:r>
              <w:rPr>
                <w:b/>
                <w:bCs/>
                <w:sz w:val="32"/>
                <w:szCs w:val="32"/>
              </w:rPr>
              <w:t>：</w:t>
            </w:r>
          </w:p>
        </w:tc>
        <w:tc>
          <w:tcPr>
            <w:tcW w:w="5703" w:type="dxa"/>
            <w:noWrap w:val="0"/>
            <w:vAlign w:val="bottom"/>
          </w:tcPr>
          <w:p w14:paraId="5DEE756F">
            <w:pPr>
              <w:spacing w:line="720" w:lineRule="auto"/>
              <w:jc w:val="center"/>
              <w:rPr>
                <w:b/>
                <w:bCs/>
                <w:sz w:val="32"/>
                <w:szCs w:val="32"/>
              </w:rPr>
            </w:pPr>
            <w:r>
              <w:rPr>
                <w:b/>
                <w:bCs/>
                <w:sz w:val="32"/>
                <w:szCs w:val="32"/>
              </w:rPr>
              <w:t>202</w:t>
            </w:r>
            <w:r>
              <w:rPr>
                <w:rFonts w:hint="eastAsia"/>
                <w:b/>
                <w:bCs/>
                <w:sz w:val="32"/>
                <w:szCs w:val="32"/>
                <w:lang w:val="en-US" w:eastAsia="zh-CN"/>
              </w:rPr>
              <w:t>4</w:t>
            </w:r>
            <w:r>
              <w:rPr>
                <w:b/>
                <w:bCs/>
                <w:sz w:val="32"/>
                <w:szCs w:val="32"/>
              </w:rPr>
              <w:t xml:space="preserve">年 </w:t>
            </w:r>
            <w:r>
              <w:rPr>
                <w:rFonts w:hint="eastAsia"/>
                <w:b/>
                <w:bCs/>
                <w:sz w:val="32"/>
                <w:szCs w:val="32"/>
                <w:lang w:val="en-US" w:eastAsia="zh-CN"/>
              </w:rPr>
              <w:t>9</w:t>
            </w:r>
            <w:r>
              <w:rPr>
                <w:b/>
                <w:bCs/>
                <w:sz w:val="32"/>
                <w:szCs w:val="32"/>
              </w:rPr>
              <w:t>月-202</w:t>
            </w:r>
            <w:r>
              <w:rPr>
                <w:rFonts w:hint="eastAsia"/>
                <w:b/>
                <w:bCs/>
                <w:sz w:val="32"/>
                <w:szCs w:val="32"/>
                <w:lang w:val="en-US" w:eastAsia="zh-CN"/>
              </w:rPr>
              <w:t>5</w:t>
            </w:r>
            <w:r>
              <w:rPr>
                <w:b/>
                <w:bCs/>
                <w:sz w:val="32"/>
                <w:szCs w:val="32"/>
              </w:rPr>
              <w:t xml:space="preserve">年 </w:t>
            </w:r>
            <w:r>
              <w:rPr>
                <w:rFonts w:hint="eastAsia"/>
                <w:b/>
                <w:bCs/>
                <w:sz w:val="32"/>
                <w:szCs w:val="32"/>
                <w:lang w:val="en-US" w:eastAsia="zh-CN"/>
              </w:rPr>
              <w:t>9</w:t>
            </w:r>
            <w:r>
              <w:rPr>
                <w:b/>
                <w:bCs/>
                <w:sz w:val="32"/>
                <w:szCs w:val="32"/>
              </w:rPr>
              <w:t xml:space="preserve"> 月</w:t>
            </w:r>
          </w:p>
        </w:tc>
      </w:tr>
    </w:tbl>
    <w:p w14:paraId="4C51DD67">
      <w:pPr>
        <w:spacing w:line="720" w:lineRule="auto"/>
        <w:ind w:firstLine="482" w:firstLineChars="150"/>
        <w:rPr>
          <w:rFonts w:hint="eastAsia" w:ascii="宋体" w:hAnsi="宋体"/>
          <w:b/>
          <w:bCs/>
          <w:sz w:val="32"/>
          <w:szCs w:val="32"/>
        </w:rPr>
      </w:pPr>
    </w:p>
    <w:p w14:paraId="1CD7BE2D">
      <w:pPr>
        <w:widowControl/>
        <w:spacing w:line="360" w:lineRule="auto"/>
        <w:rPr>
          <w:rFonts w:hint="eastAsia" w:ascii="宋体" w:hAnsi="宋体"/>
          <w:b/>
          <w:sz w:val="32"/>
          <w:szCs w:val="32"/>
        </w:rPr>
        <w:sectPr>
          <w:pgSz w:w="11906" w:h="16838"/>
          <w:pgMar w:top="1440" w:right="1418" w:bottom="1440" w:left="1418" w:header="851" w:footer="992" w:gutter="0"/>
          <w:cols w:space="720" w:num="1"/>
          <w:docGrid w:type="lines" w:linePitch="312" w:charSpace="0"/>
        </w:sectPr>
      </w:pPr>
    </w:p>
    <w:p w14:paraId="33B68107">
      <w:pPr>
        <w:spacing w:line="360" w:lineRule="auto"/>
        <w:ind w:firstLine="6"/>
        <w:jc w:val="center"/>
        <w:rPr>
          <w:rFonts w:hint="eastAsia" w:ascii="宋体" w:hAnsi="宋体" w:cs="宋体"/>
          <w:b/>
          <w:bCs/>
          <w:kern w:val="0"/>
          <w:sz w:val="32"/>
          <w:szCs w:val="32"/>
        </w:rPr>
        <w:sectPr>
          <w:footerReference r:id="rId3" w:type="default"/>
          <w:pgSz w:w="11906" w:h="16838"/>
          <w:pgMar w:top="1440" w:right="1700" w:bottom="1440" w:left="1800" w:header="851" w:footer="992" w:gutter="0"/>
          <w:pgNumType w:fmt="decimal" w:start="1"/>
          <w:cols w:space="720" w:num="1"/>
          <w:docGrid w:type="lines" w:linePitch="312" w:charSpace="0"/>
        </w:sectPr>
      </w:pPr>
    </w:p>
    <w:p w14:paraId="03BAE4B9">
      <w:pPr>
        <w:spacing w:line="360" w:lineRule="auto"/>
        <w:ind w:firstLine="6"/>
        <w:jc w:val="center"/>
        <w:rPr>
          <w:rFonts w:hint="eastAsia"/>
          <w:b/>
          <w:bCs/>
          <w:sz w:val="32"/>
          <w:szCs w:val="32"/>
          <w:lang w:eastAsia="zh-CN"/>
        </w:rPr>
      </w:pPr>
      <w:r>
        <w:rPr>
          <w:rFonts w:hint="eastAsia"/>
          <w:b/>
          <w:bCs/>
          <w:sz w:val="32"/>
          <w:szCs w:val="32"/>
          <w:lang w:eastAsia="zh-CN"/>
        </w:rPr>
        <w:t>遗鸥种群数量动态监测技术规范</w:t>
      </w:r>
    </w:p>
    <w:p w14:paraId="33A39818">
      <w:pPr>
        <w:spacing w:line="360" w:lineRule="auto"/>
        <w:ind w:firstLine="6"/>
        <w:jc w:val="center"/>
        <w:rPr>
          <w:rFonts w:hint="eastAsia" w:ascii="宋体" w:hAnsi="宋体"/>
          <w:b/>
          <w:bCs/>
          <w:sz w:val="32"/>
          <w:szCs w:val="32"/>
        </w:rPr>
      </w:pPr>
      <w:r>
        <w:rPr>
          <w:rFonts w:hint="eastAsia" w:ascii="宋体" w:hAnsi="宋体"/>
          <w:b/>
          <w:bCs/>
          <w:sz w:val="32"/>
          <w:szCs w:val="32"/>
        </w:rPr>
        <w:t>编制说明</w:t>
      </w:r>
    </w:p>
    <w:p w14:paraId="1663E837">
      <w:pPr>
        <w:spacing w:line="560" w:lineRule="exact"/>
        <w:ind w:firstLine="562" w:firstLineChars="200"/>
        <w:jc w:val="both"/>
        <w:rPr>
          <w:rFonts w:ascii="Times New Roman" w:hAnsi="Times New Roman" w:cs="Times New Roman"/>
          <w:b/>
          <w:sz w:val="28"/>
          <w:szCs w:val="28"/>
        </w:rPr>
      </w:pPr>
      <w:r>
        <w:rPr>
          <w:rFonts w:hint="eastAsia" w:ascii="Times New Roman" w:hAnsi="Times New Roman" w:cs="Times New Roman"/>
          <w:b/>
          <w:sz w:val="28"/>
          <w:szCs w:val="28"/>
          <w:lang w:eastAsia="zh-CN"/>
        </w:rPr>
        <w:t>一、</w:t>
      </w:r>
      <w:r>
        <w:rPr>
          <w:rFonts w:hint="eastAsia" w:ascii="Times New Roman" w:hAnsi="Times New Roman" w:cs="Times New Roman"/>
          <w:b/>
          <w:sz w:val="28"/>
          <w:szCs w:val="28"/>
        </w:rPr>
        <w:t>编制概况</w:t>
      </w:r>
    </w:p>
    <w:p w14:paraId="2F37803E">
      <w:pPr>
        <w:spacing w:line="560" w:lineRule="exact"/>
        <w:ind w:firstLine="562" w:firstLineChars="200"/>
        <w:jc w:val="both"/>
        <w:rPr>
          <w:b/>
          <w:sz w:val="28"/>
          <w:szCs w:val="28"/>
        </w:rPr>
      </w:pPr>
      <w:r>
        <w:rPr>
          <w:b/>
          <w:sz w:val="28"/>
          <w:szCs w:val="28"/>
        </w:rPr>
        <w:t>1</w:t>
      </w:r>
      <w:r>
        <w:rPr>
          <w:rFonts w:hint="eastAsia"/>
          <w:b/>
          <w:sz w:val="28"/>
          <w:szCs w:val="28"/>
          <w:lang w:eastAsia="zh-CN"/>
        </w:rPr>
        <w:t>.</w:t>
      </w:r>
      <w:r>
        <w:rPr>
          <w:b/>
          <w:sz w:val="28"/>
          <w:szCs w:val="28"/>
        </w:rPr>
        <w:t xml:space="preserve"> 任务来源</w:t>
      </w:r>
    </w:p>
    <w:p w14:paraId="1E24656B">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sz w:val="28"/>
          <w:szCs w:val="28"/>
          <w:highlight w:val="none"/>
          <w:lang w:val="en-US" w:eastAsia="zh-CN"/>
        </w:rPr>
      </w:pPr>
      <w:r>
        <w:rPr>
          <w:rFonts w:hint="eastAsia"/>
          <w:sz w:val="28"/>
          <w:szCs w:val="28"/>
          <w:highlight w:val="none"/>
          <w:lang w:val="en-US" w:eastAsia="zh-CN"/>
        </w:rPr>
        <w:t>根据陕西省市场监督管理局《陕西省市场监督管理局关于下达2024年第二批地方标准制修订计划的函》（陕市监函（2024）590号）</w:t>
      </w:r>
      <w:r>
        <w:rPr>
          <w:rFonts w:hint="eastAsia" w:ascii="Times New Roman" w:hAnsi="Times New Roman" w:cs="Times New Roman"/>
          <w:sz w:val="28"/>
          <w:szCs w:val="28"/>
          <w:highlight w:val="none"/>
          <w:lang w:val="en-US" w:eastAsia="zh-CN"/>
        </w:rPr>
        <w:t>文件，《遗鸥种群数量动态监测技术规范》（项目计划号：</w:t>
      </w:r>
      <w:r>
        <w:rPr>
          <w:rFonts w:hint="eastAsia"/>
          <w:sz w:val="28"/>
          <w:szCs w:val="28"/>
          <w:highlight w:val="none"/>
          <w:lang w:val="en-US" w:eastAsia="zh-CN"/>
        </w:rPr>
        <w:t>SDBXM268-2024），被列为2024年第二批陕西省地方标准制修订计划计划项目。本标准为推荐性涉林地方标准，由陕西省林业局提出并归口管理，榆林市林业工作站、陕西省林业科技推广与国际项目管理中心、延安市林业工作站、榆林学院联合申报并共同编制完成。</w:t>
      </w:r>
    </w:p>
    <w:p w14:paraId="2AF24CB3">
      <w:pPr>
        <w:spacing w:line="560" w:lineRule="exact"/>
        <w:ind w:firstLine="562" w:firstLineChars="200"/>
        <w:jc w:val="both"/>
        <w:rPr>
          <w:b/>
          <w:color w:val="auto"/>
          <w:sz w:val="28"/>
          <w:szCs w:val="28"/>
          <w:highlight w:val="none"/>
        </w:rPr>
      </w:pPr>
      <w:r>
        <w:rPr>
          <w:rFonts w:hint="eastAsia"/>
          <w:b/>
          <w:color w:val="auto"/>
          <w:sz w:val="28"/>
          <w:szCs w:val="28"/>
          <w:highlight w:val="none"/>
          <w:lang w:val="en-US" w:eastAsia="zh-CN"/>
        </w:rPr>
        <w:t>2</w:t>
      </w:r>
      <w:r>
        <w:rPr>
          <w:b/>
          <w:color w:val="auto"/>
          <w:sz w:val="28"/>
          <w:szCs w:val="28"/>
          <w:highlight w:val="none"/>
        </w:rPr>
        <w:t>.目的意义</w:t>
      </w:r>
    </w:p>
    <w:p w14:paraId="2552D9B5">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Times New Roman" w:hAnsi="Times New Roman" w:cs="Times New Roman"/>
          <w:sz w:val="28"/>
          <w:szCs w:val="28"/>
          <w:highlight w:val="none"/>
          <w:lang w:val="en-US" w:eastAsia="zh-CN"/>
        </w:rPr>
      </w:pPr>
      <w:r>
        <w:rPr>
          <w:rFonts w:hint="eastAsia" w:ascii="Times New Roman" w:hAnsi="Times New Roman" w:cs="Times New Roman"/>
          <w:sz w:val="28"/>
          <w:szCs w:val="28"/>
          <w:highlight w:val="none"/>
          <w:lang w:val="en-US" w:eastAsia="zh-CN"/>
        </w:rPr>
        <w:t>遗鸥（</w:t>
      </w:r>
      <w:r>
        <w:rPr>
          <w:rFonts w:hint="default" w:ascii="Times New Roman" w:hAnsi="Times New Roman" w:cs="Times New Roman"/>
          <w:sz w:val="28"/>
          <w:szCs w:val="28"/>
          <w:highlight w:val="none"/>
          <w:lang w:val="en-US" w:eastAsia="zh-CN"/>
        </w:rPr>
        <w:t>Larus relictus）鸥科鸥属濒危候鸟</w:t>
      </w:r>
      <w:r>
        <w:rPr>
          <w:rFonts w:hint="eastAsia" w:ascii="Times New Roman" w:hAnsi="Times New Roman" w:cs="Times New Roman"/>
          <w:sz w:val="28"/>
          <w:szCs w:val="28"/>
          <w:highlight w:val="none"/>
          <w:lang w:val="en-US" w:eastAsia="zh-CN"/>
        </w:rPr>
        <w:t>，中型水禽，体长为40厘米左右，是世界濒危鸟类之一，属国家一级保护动物，每年3月，遗鸥陆续北迁，繁殖期在5月初至7月初，10月南迁。国内迁徙常见于陕西北部，但在延安、渭南、安康、汉中、宝鸡也发现了该鸟类的暂留迁徙。</w:t>
      </w:r>
    </w:p>
    <w:p w14:paraId="57141412">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Times New Roman" w:hAnsi="Times New Roman" w:cs="Times New Roman"/>
          <w:sz w:val="28"/>
          <w:szCs w:val="28"/>
          <w:highlight w:val="none"/>
          <w:lang w:val="en-US" w:eastAsia="zh-CN"/>
        </w:rPr>
      </w:pPr>
      <w:r>
        <w:rPr>
          <w:rFonts w:hint="default" w:ascii="Times New Roman" w:hAnsi="Times New Roman" w:cs="Times New Roman"/>
          <w:sz w:val="28"/>
          <w:szCs w:val="28"/>
          <w:highlight w:val="none"/>
          <w:lang w:val="en-US" w:eastAsia="zh-CN"/>
        </w:rPr>
        <w:t>《中华人民共和国野生动物保护法》</w:t>
      </w:r>
      <w:r>
        <w:rPr>
          <w:rFonts w:hint="eastAsia" w:ascii="Times New Roman" w:hAnsi="Times New Roman" w:cs="Times New Roman"/>
          <w:sz w:val="28"/>
          <w:szCs w:val="28"/>
          <w:highlight w:val="none"/>
          <w:lang w:val="en-US" w:eastAsia="zh-CN"/>
        </w:rPr>
        <w:t>（2023年5月1日起施行）明文规定，</w:t>
      </w:r>
      <w:r>
        <w:rPr>
          <w:rFonts w:hint="default" w:ascii="Times New Roman" w:hAnsi="Times New Roman" w:cs="Times New Roman"/>
          <w:sz w:val="28"/>
          <w:szCs w:val="28"/>
          <w:highlight w:val="none"/>
          <w:lang w:val="en-US" w:eastAsia="zh-CN"/>
        </w:rPr>
        <w:t>为保护、拯救珍贵、濒危野生动物，维护生态平衡</w:t>
      </w:r>
      <w:r>
        <w:rPr>
          <w:rFonts w:hint="eastAsia" w:ascii="Times New Roman" w:hAnsi="Times New Roman" w:cs="Times New Roman"/>
          <w:sz w:val="28"/>
          <w:szCs w:val="28"/>
          <w:highlight w:val="none"/>
          <w:lang w:val="en-US" w:eastAsia="zh-CN"/>
        </w:rPr>
        <w:t>，县级以上人民政府野生动物保护主管部门，应当定期组织或者委托有关科学研究机构对野生动物及其栖息地状况进行调查、监测和评估，建立健全野生动物及其栖息地档案。 对野生动物及其栖息地状况的调查、监测和评估应当包括下列内容：</w:t>
      </w:r>
    </w:p>
    <w:p w14:paraId="176141FC">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Times New Roman" w:hAnsi="Times New Roman" w:cs="Times New Roman"/>
          <w:sz w:val="28"/>
          <w:szCs w:val="28"/>
          <w:highlight w:val="none"/>
          <w:lang w:val="en-US" w:eastAsia="zh-CN"/>
        </w:rPr>
      </w:pPr>
      <w:r>
        <w:rPr>
          <w:rFonts w:hint="eastAsia" w:ascii="Times New Roman" w:hAnsi="Times New Roman" w:cs="Times New Roman"/>
          <w:sz w:val="28"/>
          <w:szCs w:val="28"/>
          <w:highlight w:val="none"/>
          <w:lang w:val="en-US" w:eastAsia="zh-CN"/>
        </w:rPr>
        <w:t>（1）野生动物野外分布区域、种群数量及结构；（2）野生动物栖息地的面积、生态状况；（3）野生动物及其栖息地的主要威胁因素；（4）野生动物人工繁育情况等其他需要调查、监测和评估的内容。遗鸥作为对繁殖、栖息环境相当严苛的湿地鸟类，繁殖筑巢数量的变动能充分反映当地湿地环境的变化。探讨其2013年、2014年在陕西北部红碱淖湿地遗鸥巢数5036巢减少至3875巢的直接的原因是水体退缩，湖面减少，湖心岛生态环境脆弱有关。</w:t>
      </w:r>
    </w:p>
    <w:p w14:paraId="3E6F329D">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Times New Roman" w:hAnsi="Times New Roman" w:cs="Times New Roman"/>
          <w:sz w:val="28"/>
          <w:szCs w:val="28"/>
          <w:highlight w:val="none"/>
          <w:lang w:val="en-US" w:eastAsia="zh-CN"/>
        </w:rPr>
      </w:pPr>
      <w:r>
        <w:rPr>
          <w:rFonts w:hint="eastAsia" w:ascii="Times New Roman" w:hAnsi="Times New Roman" w:cs="Times New Roman"/>
          <w:sz w:val="28"/>
          <w:szCs w:val="28"/>
          <w:highlight w:val="none"/>
          <w:lang w:val="en-US" w:eastAsia="zh-CN"/>
        </w:rPr>
        <w:t>针对此现象，为了规范遗鸥动态监测与保护，当地林业部门从已进行了保护红碱淖湖心岛周围湿地、环湖周边半荒漠化草原生态环境保护与修复、环湖周边退化林地修复等生态修复技术措施，使遗鸥等鸟类有丰富的食物来源，经监测其筑巢数量已增加至8300多巢，筑巢数量明显增加，说明其生态位已趋良好方向发展，林业保护与生态修得技术措施发挥了明显作用，为规范遗鸥种群数量动态监测技术措施，项目特提出遗鸥种群数量动态监测技术规范，以便为遗鸥保护提供技术支撑。</w:t>
      </w:r>
    </w:p>
    <w:p w14:paraId="658C802D">
      <w:pPr>
        <w:keepNext w:val="0"/>
        <w:keepLines w:val="0"/>
        <w:pageBreakBefore w:val="0"/>
        <w:widowControl/>
        <w:suppressLineNumbers w:val="0"/>
        <w:kinsoku/>
        <w:wordWrap/>
        <w:overflowPunct/>
        <w:topLinePunct w:val="0"/>
        <w:autoSpaceDE/>
        <w:autoSpaceDN/>
        <w:bidi w:val="0"/>
        <w:adjustRightInd/>
        <w:snapToGrid/>
        <w:ind w:firstLine="562" w:firstLineChars="200"/>
        <w:jc w:val="both"/>
        <w:textAlignment w:val="auto"/>
        <w:rPr>
          <w:b/>
          <w:sz w:val="28"/>
          <w:szCs w:val="28"/>
        </w:rPr>
      </w:pPr>
      <w:r>
        <w:rPr>
          <w:rFonts w:hint="eastAsia"/>
          <w:b/>
          <w:sz w:val="28"/>
          <w:szCs w:val="28"/>
          <w:lang w:val="en-US" w:eastAsia="zh-CN"/>
        </w:rPr>
        <w:t>3.</w:t>
      </w:r>
      <w:r>
        <w:rPr>
          <w:rFonts w:hint="eastAsia"/>
          <w:b/>
          <w:sz w:val="28"/>
          <w:szCs w:val="28"/>
        </w:rPr>
        <w:t>起草单位</w:t>
      </w:r>
      <w:r>
        <w:rPr>
          <w:rFonts w:hint="eastAsia"/>
          <w:b/>
          <w:sz w:val="28"/>
          <w:szCs w:val="28"/>
          <w:lang w:eastAsia="zh-CN"/>
        </w:rPr>
        <w:t>及人员</w:t>
      </w:r>
    </w:p>
    <w:p w14:paraId="1AD46E12">
      <w:pPr>
        <w:spacing w:line="560" w:lineRule="exact"/>
        <w:ind w:firstLine="560" w:firstLineChars="200"/>
        <w:jc w:val="both"/>
        <w:rPr>
          <w:bCs/>
          <w:sz w:val="28"/>
          <w:szCs w:val="28"/>
        </w:rPr>
      </w:pPr>
      <w:r>
        <w:rPr>
          <w:rFonts w:hint="eastAsia"/>
          <w:sz w:val="28"/>
          <w:szCs w:val="28"/>
          <w:lang w:eastAsia="zh-CN"/>
        </w:rPr>
        <w:t>本标准起草单位有</w:t>
      </w:r>
      <w:r>
        <w:rPr>
          <w:rFonts w:hint="eastAsia"/>
          <w:sz w:val="28"/>
          <w:szCs w:val="28"/>
          <w:highlight w:val="none"/>
          <w:lang w:val="en-US" w:eastAsia="zh-CN"/>
        </w:rPr>
        <w:t>榆林市林业工作站、陕西省林业科技推广与国际项目管理中心、延安市林业工作站、榆林学院。</w:t>
      </w:r>
    </w:p>
    <w:p w14:paraId="672F77D7">
      <w:pPr>
        <w:spacing w:line="560" w:lineRule="exact"/>
        <w:ind w:firstLine="560" w:firstLineChars="200"/>
        <w:jc w:val="both"/>
        <w:rPr>
          <w:rFonts w:hint="eastAsia" w:ascii="Times New Roman" w:hAnsi="Times New Roman" w:cs="Times New Roman"/>
          <w:color w:val="auto"/>
          <w:sz w:val="28"/>
          <w:szCs w:val="28"/>
          <w:highlight w:val="none"/>
          <w:lang w:val="en-US" w:eastAsia="zh-CN"/>
        </w:rPr>
      </w:pPr>
      <w:r>
        <w:rPr>
          <w:rFonts w:hint="default" w:ascii="Times New Roman" w:hAnsi="Times New Roman" w:cs="Times New Roman"/>
          <w:sz w:val="28"/>
          <w:szCs w:val="28"/>
          <w:highlight w:val="none"/>
          <w:lang w:val="en-US" w:eastAsia="zh-CN"/>
        </w:rPr>
        <w:t>本标准主要起草人：</w:t>
      </w:r>
      <w:r>
        <w:rPr>
          <w:rFonts w:hint="eastAsia" w:ascii="Times New Roman" w:hAnsi="Times New Roman" w:cs="Times New Roman"/>
          <w:sz w:val="28"/>
          <w:szCs w:val="28"/>
          <w:highlight w:val="none"/>
          <w:lang w:val="en-US" w:eastAsia="zh-CN"/>
        </w:rPr>
        <w:t>曹东平、王建新、高艳波、陈富彩、王涛、徐伟洲、李红娟、吕俊林、李焕蓉、高乙博、齐延巧、刘雅娟、</w:t>
      </w:r>
      <w:bookmarkStart w:id="19" w:name="_GoBack"/>
      <w:bookmarkEnd w:id="19"/>
      <w:r>
        <w:rPr>
          <w:rFonts w:hint="eastAsia" w:ascii="Times New Roman" w:hAnsi="Times New Roman" w:cs="Times New Roman"/>
          <w:sz w:val="28"/>
          <w:szCs w:val="28"/>
          <w:highlight w:val="none"/>
          <w:lang w:val="en-US" w:eastAsia="zh-CN"/>
        </w:rPr>
        <w:t>梁莹、康彩云、李瑞、高蕊、贺晓荷、郑琳、封凯、姜黎黎、吴志茹、孙蕾、曹艳。</w:t>
      </w:r>
    </w:p>
    <w:p w14:paraId="79204117">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sz w:val="28"/>
          <w:szCs w:val="28"/>
          <w:highlight w:val="none"/>
          <w:lang w:val="en-US" w:eastAsia="zh-CN"/>
        </w:rPr>
      </w:pPr>
      <w:r>
        <w:rPr>
          <w:rFonts w:hint="eastAsia"/>
          <w:sz w:val="28"/>
          <w:szCs w:val="28"/>
          <w:highlight w:val="none"/>
          <w:lang w:val="en-US" w:eastAsia="zh-CN"/>
        </w:rPr>
        <w:t>本标准编制组有正高级工程师1名，教授1名，高级工程师7名，工程师5名，助理工程师5名，人员由省级单位（陕西省林业科技推广与国际项目管理中心、榆林学院）、市级单位（榆林市林业工作站、延安市林业工作站）一线科技和生产人员组成，既有生产经验、又有理论基础，真正体现了科研与生产的紧密结合，为编制出更符合生产实际，更有利于指导生产，更具可操作性技术标准提供了保证。</w:t>
      </w:r>
    </w:p>
    <w:p w14:paraId="45B462E6">
      <w:pPr>
        <w:numPr>
          <w:ilvl w:val="0"/>
          <w:numId w:val="0"/>
        </w:numPr>
        <w:spacing w:line="360" w:lineRule="auto"/>
        <w:ind w:firstLine="560" w:firstLineChars="200"/>
        <w:rPr>
          <w:rFonts w:hint="eastAsia"/>
          <w:sz w:val="28"/>
          <w:szCs w:val="28"/>
          <w:highlight w:val="none"/>
          <w:lang w:val="en-US" w:eastAsia="zh-CN"/>
        </w:rPr>
      </w:pPr>
      <w:r>
        <w:rPr>
          <w:rFonts w:hint="eastAsia" w:ascii="Times New Roman" w:hAnsi="Times New Roman" w:cs="Times New Roman"/>
          <w:sz w:val="28"/>
          <w:szCs w:val="28"/>
          <w:highlight w:val="none"/>
          <w:lang w:val="en-US" w:eastAsia="zh-CN"/>
        </w:rPr>
        <w:t>本标准主导单位是榆林市林业工作站。该站是榆林市唯一从事野生动植物保护及野生动物疫源疫病监测的全额事业单位。该站成立于上世纪50年代，属榆林市林业和草原局，副县级建制。编制数38名，内设科室8个，专业技术人员36名（其中正高级工程师2名，副高级工程师8名，工程师15名），专业学科分布在林学、生态、治沙、水保、地理、土壤、园艺、森保等领域。在野生动植物保护和种群动枋监测方面取得了卓越的成绩。</w:t>
      </w:r>
      <w:r>
        <w:rPr>
          <w:rFonts w:hint="eastAsia" w:ascii="Times New Roman" w:hAnsi="Times New Roman" w:cs="Times New Roman"/>
          <w:sz w:val="28"/>
          <w:szCs w:val="28"/>
          <w:highlight w:val="none"/>
          <w:lang w:val="zh-CN" w:eastAsia="zh-CN"/>
        </w:rPr>
        <w:t>原本在黄土高原丘陵区分布的百灵鸟、红隼、沙狐等野生动物出现在了毛乌素沙区；每年四月至八月，有占全球</w:t>
      </w:r>
      <w:r>
        <w:rPr>
          <w:rFonts w:hint="eastAsia" w:ascii="Times New Roman" w:hAnsi="Times New Roman" w:cs="Times New Roman"/>
          <w:sz w:val="28"/>
          <w:szCs w:val="28"/>
          <w:highlight w:val="none"/>
          <w:lang w:val="en-US" w:eastAsia="zh-CN"/>
        </w:rPr>
        <w:t>90%约2万多只</w:t>
      </w:r>
      <w:r>
        <w:rPr>
          <w:rFonts w:hint="eastAsia" w:ascii="Times New Roman" w:hAnsi="Times New Roman" w:cs="Times New Roman"/>
          <w:sz w:val="28"/>
          <w:szCs w:val="28"/>
          <w:highlight w:val="none"/>
          <w:lang w:val="zh-CN" w:eastAsia="zh-CN"/>
        </w:rPr>
        <w:t>遗鸥成群飞抵红碱淖，在这里繁衍生息，规模壮观。但在2001年，这里仅有87巢遗鸥作尝试性营巢，此后随着我们对湿地岸边营造防护林，加大水体保护等技术措施的实施，遗鸥繁殖种群数量逐年增长，</w:t>
      </w:r>
      <w:r>
        <w:rPr>
          <w:rFonts w:hint="eastAsia" w:ascii="Times New Roman" w:hAnsi="Times New Roman" w:cs="Times New Roman"/>
          <w:sz w:val="28"/>
          <w:szCs w:val="28"/>
          <w:highlight w:val="none"/>
          <w:lang w:val="en-US" w:eastAsia="zh-CN"/>
        </w:rPr>
        <w:t>目前营</w:t>
      </w:r>
      <w:r>
        <w:rPr>
          <w:rFonts w:hint="eastAsia" w:ascii="Times New Roman" w:hAnsi="Times New Roman" w:cs="Times New Roman"/>
          <w:sz w:val="28"/>
          <w:szCs w:val="28"/>
          <w:highlight w:val="none"/>
          <w:lang w:val="zh-CN" w:eastAsia="zh-CN"/>
        </w:rPr>
        <w:t>巢数</w:t>
      </w:r>
      <w:r>
        <w:rPr>
          <w:rFonts w:hint="eastAsia" w:ascii="Times New Roman" w:hAnsi="Times New Roman" w:cs="Times New Roman"/>
          <w:sz w:val="28"/>
          <w:szCs w:val="28"/>
          <w:highlight w:val="none"/>
          <w:lang w:val="en-US" w:eastAsia="zh-CN"/>
        </w:rPr>
        <w:t>已达到七千多</w:t>
      </w:r>
      <w:r>
        <w:rPr>
          <w:rFonts w:hint="eastAsia" w:ascii="Times New Roman" w:hAnsi="Times New Roman" w:cs="Times New Roman"/>
          <w:sz w:val="28"/>
          <w:szCs w:val="28"/>
          <w:highlight w:val="none"/>
          <w:lang w:val="zh-CN" w:eastAsia="zh-CN"/>
        </w:rPr>
        <w:t>巢。还有少量遗鸥飞在定边盐湖湿地栖息繁殖。近年来我们还在横山区无定河建设起了“沙漠—湿地—稻田—森林”四位一体的复合生态系统，这里生态秀美、气候湿润，飞鸟翔集、稻鱼共生，是候鸟迁徙中转、越冬繁殖的重要栖息地，为朱鹮重归陕北创造了基本条件</w:t>
      </w:r>
      <w:r>
        <w:rPr>
          <w:rFonts w:hint="eastAsia" w:ascii="仿宋" w:hAnsi="仿宋" w:eastAsia="仿宋" w:cs="仿宋"/>
          <w:sz w:val="32"/>
          <w:szCs w:val="32"/>
          <w:lang w:eastAsia="zh-CN"/>
        </w:rPr>
        <w:t>。</w:t>
      </w:r>
      <w:r>
        <w:rPr>
          <w:rFonts w:hint="eastAsia" w:ascii="Times New Roman" w:hAnsi="Times New Roman" w:cs="Times New Roman"/>
          <w:sz w:val="28"/>
          <w:szCs w:val="28"/>
          <w:highlight w:val="none"/>
          <w:lang w:val="en-US" w:eastAsia="zh-CN"/>
        </w:rPr>
        <w:t>2023年10月10日，号称中华神鸟的国家一级保护动物—20只朱鹮穿越秦岭，一路北上，也在榆林横山区无定河畔白界镇黑峁墩村安家落户，至今已繁育出14只朱鹮宝宝，正在茁壮成长。在野生动物种群数量动态监测方面，我站</w:t>
      </w:r>
      <w:r>
        <w:rPr>
          <w:rFonts w:hint="eastAsia"/>
          <w:sz w:val="28"/>
          <w:szCs w:val="28"/>
          <w:highlight w:val="none"/>
          <w:lang w:val="en-US" w:eastAsia="zh-CN"/>
        </w:rPr>
        <w:t>与中国林科院、北京林业大学、西北农林科科大学等多家科研院所建立了学术交流关系，研究成果和技术已推广辐射到陕西、甘肃、青海、宁夏、内蒙、山西等省区。</w:t>
      </w:r>
    </w:p>
    <w:p w14:paraId="10DD270A">
      <w:pPr>
        <w:spacing w:line="560" w:lineRule="exact"/>
        <w:ind w:firstLine="562" w:firstLineChars="200"/>
        <w:jc w:val="both"/>
        <w:rPr>
          <w:rFonts w:hint="default" w:ascii="Times New Roman" w:hAnsi="Times New Roman" w:cs="Times New Roman"/>
          <w:b/>
          <w:sz w:val="28"/>
          <w:szCs w:val="28"/>
          <w:lang w:val="en-US" w:eastAsia="zh-CN"/>
        </w:rPr>
      </w:pPr>
      <w:r>
        <w:rPr>
          <w:rFonts w:hint="eastAsia" w:ascii="Times New Roman" w:hAnsi="Times New Roman" w:cs="Times New Roman"/>
          <w:b/>
          <w:sz w:val="28"/>
          <w:szCs w:val="28"/>
          <w:lang w:val="en-US" w:eastAsia="zh-CN"/>
        </w:rPr>
        <w:t>4.查阅资料</w:t>
      </w:r>
    </w:p>
    <w:p w14:paraId="5F3CE442">
      <w:pPr>
        <w:numPr>
          <w:ilvl w:val="0"/>
          <w:numId w:val="0"/>
        </w:numPr>
        <w:spacing w:line="360" w:lineRule="auto"/>
        <w:ind w:firstLine="560" w:firstLineChars="200"/>
        <w:jc w:val="both"/>
        <w:rPr>
          <w:rFonts w:hint="eastAsia" w:ascii="Times New Roman" w:hAnsi="Times New Roman" w:cs="Times New Roman"/>
          <w:sz w:val="28"/>
          <w:szCs w:val="28"/>
          <w:highlight w:val="none"/>
          <w:lang w:val="en-US" w:eastAsia="zh-CN"/>
        </w:rPr>
      </w:pPr>
      <w:r>
        <w:rPr>
          <w:rFonts w:hint="eastAsia" w:ascii="Times New Roman" w:hAnsi="Times New Roman" w:cs="Times New Roman"/>
          <w:sz w:val="28"/>
          <w:szCs w:val="28"/>
          <w:highlight w:val="none"/>
          <w:lang w:val="en-US" w:eastAsia="zh-CN"/>
        </w:rPr>
        <w:t>榆林市地处黄土高原与毛乌素沙地交汇地带，从地理带上看，从东南向西北是森林草原-干旱草原-荒漠草原的过渡带，分为鄂尔多斯风沙区和黄土高原丘陵沟壑区，野生动物既有华北区黄土高原亚区成分，也有蒙新区西部荒漠亚区成分。野生动物资源丰富，据监测统计，全市共有陆生野生动物360余种，主要以鸟类为主。其中鸟类310余种、哺乳动物39种、爬行动物11种、两栖动物7种。值得一提的是，随着生态环境的明显改善，近10年来野生鸟类增加了80多种。</w:t>
      </w:r>
    </w:p>
    <w:p w14:paraId="51C81F11">
      <w:pPr>
        <w:numPr>
          <w:ilvl w:val="0"/>
          <w:numId w:val="0"/>
        </w:numPr>
        <w:spacing w:line="360" w:lineRule="auto"/>
        <w:ind w:firstLine="560" w:firstLineChars="200"/>
        <w:jc w:val="both"/>
        <w:rPr>
          <w:rFonts w:hint="eastAsia" w:ascii="Times New Roman" w:hAnsi="Times New Roman" w:cs="Times New Roman"/>
          <w:sz w:val="28"/>
          <w:szCs w:val="28"/>
          <w:highlight w:val="none"/>
          <w:lang w:val="en-US" w:eastAsia="zh-CN"/>
        </w:rPr>
      </w:pPr>
      <w:r>
        <w:rPr>
          <w:rFonts w:hint="eastAsia" w:ascii="Times New Roman" w:hAnsi="Times New Roman" w:cs="Times New Roman"/>
          <w:sz w:val="28"/>
          <w:szCs w:val="28"/>
          <w:highlight w:val="none"/>
          <w:lang w:val="en-US" w:eastAsia="zh-CN"/>
        </w:rPr>
        <w:t>分布在榆林的国家一级保护野生动物主要有：遗鸥、大鸨、黑鹳、玉带海雕、白尾海雕、草原雕、金雕、卷羽鹈鹕、白枕鹤、青头潜鸭、白肩雕、乌雕、秃鹫、猎隼、东方白鹳、褐马鸡、荒漠猫等17种。</w:t>
      </w:r>
    </w:p>
    <w:p w14:paraId="44ABAF91">
      <w:pPr>
        <w:numPr>
          <w:ilvl w:val="0"/>
          <w:numId w:val="0"/>
        </w:numPr>
        <w:spacing w:line="360" w:lineRule="auto"/>
        <w:ind w:firstLine="560" w:firstLineChars="200"/>
        <w:jc w:val="both"/>
        <w:rPr>
          <w:rFonts w:hint="eastAsia" w:ascii="Times New Roman" w:hAnsi="Times New Roman" w:cs="Times New Roman"/>
          <w:sz w:val="28"/>
          <w:szCs w:val="28"/>
          <w:highlight w:val="none"/>
          <w:lang w:val="en-US" w:eastAsia="zh-CN"/>
        </w:rPr>
      </w:pPr>
      <w:r>
        <w:rPr>
          <w:rFonts w:hint="eastAsia" w:ascii="Times New Roman" w:hAnsi="Times New Roman" w:cs="Times New Roman"/>
          <w:sz w:val="28"/>
          <w:szCs w:val="28"/>
          <w:highlight w:val="none"/>
          <w:lang w:val="en-US" w:eastAsia="zh-CN"/>
        </w:rPr>
        <w:t>分布在榆林的国家二级保护野生动物主要有：赤狐、沙狐、石貂、青鼬、豹猫、鸿雁、白额雁、疣鼻天鹅、大天鹅、小天鹅、鸳鸯、灰鹤、蓑羽鹤、白腰杓鹬、白琵鹭、蒙古百灵、蓝喉歌鸲、红喉歌鸲、贺兰山红尾鸲、北朱雀、红交嘴雀、云雀、雀鹰、苍鹰、凤头蜂鹰、白尾鹞、白腹鹞、白头鹞、黑鸢、雕鸮、纵纹腹小鸮、长耳鸮、短耳鸮、灰林鸮、红隼、红脚隼、灰背隼、黄爪隼、燕隼、游隼、斑头秋沙鸭、花脸鸭、短趾雕、水雉等55种。</w:t>
      </w:r>
    </w:p>
    <w:p w14:paraId="05D3A6B3">
      <w:pPr>
        <w:numPr>
          <w:ilvl w:val="0"/>
          <w:numId w:val="0"/>
        </w:numPr>
        <w:spacing w:line="360" w:lineRule="auto"/>
        <w:ind w:firstLine="560" w:firstLineChars="200"/>
        <w:jc w:val="both"/>
        <w:rPr>
          <w:rFonts w:hint="eastAsia" w:ascii="仿宋" w:hAnsi="仿宋" w:eastAsia="仿宋" w:cs="仿宋"/>
          <w:sz w:val="32"/>
          <w:szCs w:val="32"/>
        </w:rPr>
      </w:pPr>
      <w:r>
        <w:rPr>
          <w:rFonts w:hint="eastAsia" w:ascii="Times New Roman" w:hAnsi="Times New Roman" w:cs="Times New Roman"/>
          <w:sz w:val="28"/>
          <w:szCs w:val="28"/>
          <w:highlight w:val="none"/>
          <w:lang w:val="en-US" w:eastAsia="zh-CN"/>
        </w:rPr>
        <w:t>分布在榆林的陕西省重点保护野生动物：艾鼬、虎鼬、亚洲狗獾、猪獾、小齿猬、短嘴豆雁、斑头雁、翘鼻麻鸭、罗纹鸭、绿头鸭、斑嘴鸭、赤嘴潜鸭、白眼潜鸭、彩鹬、长尾鸭、红腹滨鹬、草鹭、中白鹭、斑脸海番鸭等19种。</w:t>
      </w:r>
    </w:p>
    <w:p w14:paraId="75FC034A">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color w:val="auto"/>
          <w:sz w:val="28"/>
          <w:szCs w:val="28"/>
          <w:highlight w:val="none"/>
        </w:rPr>
      </w:pPr>
      <w:r>
        <w:rPr>
          <w:rFonts w:hint="eastAsia"/>
          <w:color w:val="auto"/>
          <w:sz w:val="28"/>
          <w:szCs w:val="28"/>
          <w:highlight w:val="none"/>
          <w:lang w:eastAsia="zh-CN"/>
        </w:rPr>
        <w:t>因此，榆林在野生动物保护和种群数量动态监测取得了可喜的成绩，但</w:t>
      </w:r>
      <w:r>
        <w:rPr>
          <w:rFonts w:hint="eastAsia"/>
          <w:color w:val="auto"/>
          <w:sz w:val="28"/>
          <w:szCs w:val="28"/>
          <w:highlight w:val="none"/>
        </w:rPr>
        <w:t>经系统整理、分类汇总、分析研判，</w:t>
      </w:r>
      <w:r>
        <w:rPr>
          <w:rFonts w:hint="eastAsia"/>
          <w:color w:val="auto"/>
          <w:sz w:val="28"/>
          <w:szCs w:val="28"/>
          <w:highlight w:val="none"/>
          <w:lang w:eastAsia="zh-CN"/>
        </w:rPr>
        <w:t>发现现有的资料和相关技术规程</w:t>
      </w:r>
      <w:r>
        <w:rPr>
          <w:rFonts w:hint="eastAsia"/>
          <w:sz w:val="28"/>
          <w:szCs w:val="28"/>
        </w:rPr>
        <w:t>中，都没有涉及到本规范所定</w:t>
      </w:r>
      <w:r>
        <w:rPr>
          <w:rFonts w:hint="eastAsia" w:ascii="Times New Roman" w:hAnsi="Times New Roman" w:cs="Times New Roman"/>
          <w:color w:val="auto"/>
          <w:sz w:val="28"/>
          <w:szCs w:val="28"/>
          <w:highlight w:val="none"/>
        </w:rPr>
        <w:t>义的</w:t>
      </w:r>
      <w:r>
        <w:rPr>
          <w:rFonts w:hint="eastAsia" w:ascii="Times New Roman" w:hAnsi="Times New Roman" w:cs="Times New Roman"/>
          <w:color w:val="auto"/>
          <w:sz w:val="28"/>
          <w:szCs w:val="28"/>
          <w:highlight w:val="none"/>
          <w:lang w:eastAsia="zh-CN"/>
        </w:rPr>
        <w:t>遗鸥种群数量动态监测技术规范问题。有些</w:t>
      </w:r>
      <w:r>
        <w:rPr>
          <w:rFonts w:hint="eastAsia" w:ascii="Times New Roman" w:hAnsi="Times New Roman" w:cs="Times New Roman"/>
          <w:color w:val="auto"/>
          <w:sz w:val="28"/>
          <w:szCs w:val="28"/>
          <w:highlight w:val="none"/>
        </w:rPr>
        <w:t>内容已完全不适宜当前的生</w:t>
      </w:r>
      <w:r>
        <w:rPr>
          <w:rFonts w:hint="eastAsia"/>
          <w:sz w:val="28"/>
          <w:szCs w:val="28"/>
        </w:rPr>
        <w:t>产实际，亟需制订。鉴于此，本</w:t>
      </w:r>
      <w:r>
        <w:rPr>
          <w:rFonts w:hint="eastAsia"/>
          <w:sz w:val="28"/>
          <w:szCs w:val="28"/>
          <w:lang w:eastAsia="zh-CN"/>
        </w:rPr>
        <w:t>规程的制定，</w:t>
      </w:r>
      <w:r>
        <w:rPr>
          <w:rFonts w:hint="eastAsia"/>
          <w:sz w:val="28"/>
          <w:szCs w:val="28"/>
        </w:rPr>
        <w:t>对指导</w:t>
      </w:r>
      <w:r>
        <w:rPr>
          <w:rFonts w:hint="eastAsia"/>
          <w:sz w:val="28"/>
          <w:szCs w:val="28"/>
          <w:lang w:eastAsia="zh-CN"/>
        </w:rPr>
        <w:t>当</w:t>
      </w:r>
      <w:r>
        <w:rPr>
          <w:rFonts w:hint="eastAsia" w:ascii="Times New Roman" w:hAnsi="Times New Roman" w:cs="Times New Roman"/>
          <w:color w:val="auto"/>
          <w:sz w:val="28"/>
          <w:szCs w:val="28"/>
          <w:highlight w:val="none"/>
          <w:lang w:eastAsia="zh-CN"/>
        </w:rPr>
        <w:t>前遗鸥种群数量动态监测和</w:t>
      </w:r>
      <w:r>
        <w:rPr>
          <w:rFonts w:hint="eastAsia" w:ascii="Times New Roman" w:hAnsi="Times New Roman" w:cs="Times New Roman"/>
          <w:color w:val="auto"/>
          <w:sz w:val="28"/>
          <w:szCs w:val="28"/>
          <w:highlight w:val="none"/>
        </w:rPr>
        <w:t>促进</w:t>
      </w:r>
      <w:r>
        <w:rPr>
          <w:rFonts w:hint="eastAsia" w:ascii="Times New Roman" w:hAnsi="Times New Roman" w:cs="Times New Roman"/>
          <w:color w:val="auto"/>
          <w:sz w:val="28"/>
          <w:szCs w:val="28"/>
          <w:highlight w:val="none"/>
          <w:lang w:eastAsia="zh-CN"/>
        </w:rPr>
        <w:t>黄河“几字弯”攻坚战中生物多样性保护</w:t>
      </w:r>
      <w:r>
        <w:rPr>
          <w:rFonts w:hint="eastAsia" w:ascii="Times New Roman" w:hAnsi="Times New Roman" w:cs="Times New Roman"/>
          <w:color w:val="auto"/>
          <w:sz w:val="28"/>
          <w:szCs w:val="28"/>
          <w:highlight w:val="none"/>
        </w:rPr>
        <w:t>，保障</w:t>
      </w:r>
      <w:r>
        <w:rPr>
          <w:rFonts w:hint="eastAsia" w:ascii="Times New Roman" w:hAnsi="Times New Roman" w:cs="Times New Roman"/>
          <w:color w:val="auto"/>
          <w:sz w:val="28"/>
          <w:szCs w:val="28"/>
          <w:highlight w:val="none"/>
          <w:lang w:eastAsia="zh-CN"/>
        </w:rPr>
        <w:t>生态</w:t>
      </w:r>
      <w:r>
        <w:rPr>
          <w:rFonts w:hint="eastAsia" w:ascii="Times New Roman" w:hAnsi="Times New Roman" w:cs="Times New Roman"/>
          <w:color w:val="auto"/>
          <w:sz w:val="28"/>
          <w:szCs w:val="28"/>
          <w:highlight w:val="none"/>
        </w:rPr>
        <w:t>安全具有重要的实践意义。</w:t>
      </w:r>
    </w:p>
    <w:p w14:paraId="1A780674">
      <w:pPr>
        <w:adjustRightInd w:val="0"/>
        <w:spacing w:line="560" w:lineRule="exact"/>
        <w:ind w:firstLine="562" w:firstLineChars="200"/>
        <w:jc w:val="both"/>
        <w:rPr>
          <w:rFonts w:hint="eastAsia" w:ascii="Times New Roman" w:hAnsi="Times New Roman" w:cs="Times New Roman"/>
          <w:b/>
          <w:bCs/>
          <w:color w:val="auto"/>
          <w:sz w:val="28"/>
          <w:szCs w:val="28"/>
          <w:highlight w:val="none"/>
        </w:rPr>
      </w:pPr>
      <w:r>
        <w:rPr>
          <w:rFonts w:hint="eastAsia" w:ascii="Times New Roman" w:hAnsi="Times New Roman" w:cs="Times New Roman"/>
          <w:b/>
          <w:bCs/>
          <w:color w:val="auto"/>
          <w:sz w:val="28"/>
          <w:szCs w:val="28"/>
          <w:highlight w:val="none"/>
          <w:lang w:val="en-US" w:eastAsia="zh-CN"/>
        </w:rPr>
        <w:t>5.</w:t>
      </w:r>
      <w:r>
        <w:rPr>
          <w:rFonts w:hint="eastAsia" w:ascii="Times New Roman" w:hAnsi="Times New Roman" w:cs="Times New Roman"/>
          <w:b/>
          <w:bCs/>
          <w:color w:val="auto"/>
          <w:sz w:val="28"/>
          <w:szCs w:val="28"/>
          <w:highlight w:val="none"/>
          <w:lang w:eastAsia="zh-CN"/>
        </w:rPr>
        <w:t>遗鸥种群数量动态监测技术的</w:t>
      </w:r>
      <w:r>
        <w:rPr>
          <w:rFonts w:hint="eastAsia" w:ascii="Times New Roman" w:hAnsi="Times New Roman" w:cs="Times New Roman"/>
          <w:b/>
          <w:bCs/>
          <w:color w:val="auto"/>
          <w:sz w:val="28"/>
          <w:szCs w:val="28"/>
          <w:highlight w:val="none"/>
        </w:rPr>
        <w:t>积累</w:t>
      </w:r>
    </w:p>
    <w:p w14:paraId="12CD1F9A">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科研成果：“红碱淖遗鸥种群动态监测与湿地保护技术研究”</w:t>
      </w:r>
    </w:p>
    <w:p w14:paraId="2F7E299E">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5.1项目编号：中国科学院“西部之光”人才培养计划项目(2006DF02)， 陕西省科学院科技计划项目(2008K-11)；</w:t>
      </w:r>
    </w:p>
    <w:p w14:paraId="7B0B461A">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5.2单位：陕西省动物研究所承担，陕西省自然保护区和野生动物保护管理站、榆林市林业工作站；</w:t>
      </w:r>
    </w:p>
    <w:p w14:paraId="2EB78558">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5.3立项时间：2000年，结题时间2008年；</w:t>
      </w:r>
    </w:p>
    <w:p w14:paraId="210AE262">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5.4</w:t>
      </w:r>
      <w:r>
        <w:rPr>
          <w:rFonts w:hint="eastAsia" w:ascii="Times New Roman" w:hAnsi="Times New Roman" w:cs="Times New Roman"/>
          <w:color w:val="auto"/>
          <w:sz w:val="28"/>
          <w:szCs w:val="28"/>
          <w:highlight w:val="none"/>
          <w:lang w:eastAsia="zh-CN"/>
        </w:rPr>
        <w:t>鉴定</w:t>
      </w:r>
      <w:r>
        <w:rPr>
          <w:rFonts w:hint="eastAsia" w:ascii="Times New Roman" w:hAnsi="Times New Roman" w:cs="Times New Roman"/>
          <w:color w:val="auto"/>
          <w:sz w:val="28"/>
          <w:szCs w:val="28"/>
          <w:highlight w:val="none"/>
          <w:lang w:val="en-US" w:eastAsia="zh-CN"/>
        </w:rPr>
        <w:t>单位：陕西省科技厅；</w:t>
      </w:r>
    </w:p>
    <w:p w14:paraId="2F8743BD">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5.5技术水平：国际先进。</w:t>
      </w:r>
    </w:p>
    <w:p w14:paraId="528AA5A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5.6成果内容简要如下：</w:t>
      </w:r>
    </w:p>
    <w:p w14:paraId="3086D99C">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2000年9月～2008年4月历时近8年。项目研究运用动物生态学、景观生态学、保护生物学等原理，对陕西省红碱淖湿地物种多样性、遗鸥种群动态、面临的主要干扰因素、保护管理现状等，进行了系统调查和研究，提出了红碱淖湿地和遗鸥等水禽及红碱淖湿地的保护对策，制定并实施了相应的保护措施和技术。具体内容包括以下几个方面：（1）2000年9月，课题组在陕西红碱淖首次发现了遗鸥的分布，是陕西省鸟类新纪录。研究和报道了红碱淖遗鸥种群繁殖生物学特征(包括遗鸥每年产卵数量、窝卵数、孵化率、雏鸟死亡率及繁殖其间的同类相食行为等)，并对其数量动态进行了系统监测，探讨了导致红碱淖遗鸥种群数量变动的原因。通过2000-2007年连续对遗鸥种群数量动态监测研究和对比全球遗鸥种群现状,确定了红碱淖遗鸥种群是目前全球最大的遗鸥繁殖种群(占全球数量的80%)，红碱淖湿地是全球最大的遗鸥种群繁殖地。（2）全面调查和研究了红碱淖湿地的动植物资源，特别是在红碱淖水禽的迁徙规律和分布特征研究，填补了该研究领域的空白。（3）调查和研究了红碱淖湿地及遗鸥等水禽面临的干扰因素，明确了旅游开发、自然及人类经济活动对水资源的影响、环境污染、保护管理现状堪忧等为主要因子。 （4）提出了植被恢复工程、湿地保护与恢复、保岛护岸、疏通河道和旅游规划调整等保护技术措施。</w:t>
      </w:r>
    </w:p>
    <w:p w14:paraId="3070EFB5">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研究成果先后列入了“全国湿地保护工程计划”、“陕西省湿地保护总体安排”、“陕西省野生动物疫源疫病监测站建设规划”等。 科学价值、社会效益和生态效益显著。</w:t>
      </w:r>
    </w:p>
    <w:p w14:paraId="6843CE4A">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陕西红碱淖首次发现遗鸥的分布，对研究遗鸥这一珍贵物种在我国的分布、遗鸥对环境变化以及繁殖地变迁的适应性具有重要的科学价值。项目研究成果为实现陕西省委、省政府提出的“在保护生态环境的前提下，大力发展陕北能源化工基地”战略提供了有力的支撑。研究工作得到了陕西省政府领导的肯定和支持,时任陕西省省长陈德铭、副省长王寿森分别作了“批示”。“批示”对推动红碱淖湿地及遗鸥的保护措施的落实起到了积极作用。</w:t>
      </w:r>
    </w:p>
    <w:p w14:paraId="367F0514">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 xml:space="preserve">研究成果应用后，红碱淖湿地及周边地区生态环境得到明显改善,红碱淖周边植被覆盖度由2000年的30%提高到2007年的60%。红碱淖湿地生态环境明显好转，遗鸥繁殖种群数量从2001年的174只发展到2007年的10072只，占全球遗鸥种群的80%。     </w:t>
      </w:r>
    </w:p>
    <w:p w14:paraId="3A3D2700">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“红碱淖遗鸥”也成为旅游的一大亮点，为旅游业带来了可观的经济收入。 本项目的研究成果为红碱淖建立国家级自然保护区和申报国际重要湿地奠定了基础。建议有关部门继续支持红碱淖湿地遗鸥保护研究工作，支持对鄂尔多斯高原遗鸥栖息地环境变迁及遗鸥种群动态监测研究工作，进一步深入开展遗鸥种群生存力分析、栖息地保护等方面的研究工作，为红碱淖湿地及生物多样性乃至整个鄂尔多斯高原遗鸥栖息地环境变迁及遗鸥种群动态进行长期监测，为遗鸥及其栖息地的保护工作提供科学依据。</w:t>
      </w:r>
    </w:p>
    <w:p w14:paraId="6F0E9662">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陕西省科技厅社会发展领域项目（2018SF-356）；陕西省科学院重大科学研究专项（2020k-03）项目也支持遗鸥种群数量动态监测。</w:t>
      </w:r>
    </w:p>
    <w:p w14:paraId="429F1DC1">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default" w:eastAsia="宋体"/>
          <w:sz w:val="28"/>
          <w:szCs w:val="28"/>
          <w:lang w:val="en-US" w:eastAsia="zh-CN"/>
        </w:rPr>
      </w:pPr>
      <w:r>
        <w:rPr>
          <w:rFonts w:hint="eastAsia"/>
          <w:sz w:val="28"/>
          <w:szCs w:val="28"/>
        </w:rPr>
        <w:t>综上所述</w:t>
      </w:r>
      <w:r>
        <w:rPr>
          <w:rFonts w:hint="eastAsia"/>
          <w:sz w:val="28"/>
          <w:szCs w:val="28"/>
          <w:lang w:eastAsia="zh-CN"/>
        </w:rPr>
        <w:t>，</w:t>
      </w:r>
      <w:r>
        <w:rPr>
          <w:rFonts w:hint="eastAsia"/>
          <w:sz w:val="28"/>
          <w:szCs w:val="28"/>
        </w:rPr>
        <w:t>课题组在全面</w:t>
      </w:r>
      <w:r>
        <w:rPr>
          <w:rFonts w:hint="eastAsia"/>
          <w:sz w:val="28"/>
          <w:szCs w:val="28"/>
          <w:lang w:eastAsia="zh-CN"/>
        </w:rPr>
        <w:t>掌握</w:t>
      </w:r>
      <w:r>
        <w:rPr>
          <w:rFonts w:hint="eastAsia" w:ascii="Times New Roman" w:hAnsi="Times New Roman" w:cs="Times New Roman"/>
          <w:color w:val="auto"/>
          <w:sz w:val="28"/>
          <w:szCs w:val="28"/>
          <w:highlight w:val="none"/>
          <w:lang w:val="en-US" w:eastAsia="zh-CN"/>
        </w:rPr>
        <w:t>遗鸥种群数量与动态变化</w:t>
      </w:r>
      <w:r>
        <w:rPr>
          <w:rFonts w:hint="eastAsia"/>
          <w:sz w:val="28"/>
          <w:szCs w:val="28"/>
          <w:lang w:eastAsia="zh-CN"/>
        </w:rPr>
        <w:t>的基础上</w:t>
      </w:r>
      <w:r>
        <w:rPr>
          <w:rFonts w:hint="eastAsia"/>
          <w:sz w:val="28"/>
          <w:szCs w:val="28"/>
        </w:rPr>
        <w:t>，进行</w:t>
      </w:r>
      <w:r>
        <w:rPr>
          <w:rFonts w:hint="eastAsia"/>
          <w:sz w:val="28"/>
          <w:szCs w:val="28"/>
          <w:lang w:eastAsia="zh-CN"/>
        </w:rPr>
        <w:t>陕西</w:t>
      </w:r>
      <w:r>
        <w:rPr>
          <w:rFonts w:hint="eastAsia"/>
          <w:sz w:val="28"/>
          <w:szCs w:val="28"/>
        </w:rPr>
        <w:t>地方标</w:t>
      </w:r>
      <w:r>
        <w:rPr>
          <w:rFonts w:hint="eastAsia" w:ascii="Times New Roman" w:hAnsi="Times New Roman" w:cs="Times New Roman"/>
          <w:color w:val="auto"/>
          <w:sz w:val="28"/>
          <w:szCs w:val="28"/>
          <w:highlight w:val="none"/>
          <w:lang w:val="en-US" w:eastAsia="zh-CN"/>
        </w:rPr>
        <w:t>准《遗鸥种群数量动态监测技术规范》（</w:t>
      </w:r>
      <w:r>
        <w:rPr>
          <w:rFonts w:hint="eastAsia"/>
          <w:sz w:val="28"/>
          <w:szCs w:val="28"/>
          <w:lang w:eastAsia="zh-CN"/>
        </w:rPr>
        <w:t>征求意见</w:t>
      </w:r>
      <w:r>
        <w:rPr>
          <w:rFonts w:hint="eastAsia"/>
          <w:sz w:val="28"/>
          <w:szCs w:val="28"/>
        </w:rPr>
        <w:t>稿）的编制工作。</w:t>
      </w:r>
    </w:p>
    <w:p w14:paraId="5944A603">
      <w:pPr>
        <w:adjustRightInd w:val="0"/>
        <w:spacing w:line="560" w:lineRule="exact"/>
        <w:ind w:firstLine="562" w:firstLineChars="200"/>
        <w:jc w:val="both"/>
        <w:rPr>
          <w:rFonts w:hint="eastAsia" w:ascii="Times New Roman" w:hAnsi="Times New Roman" w:cs="Times New Roman"/>
          <w:b/>
          <w:bCs/>
          <w:color w:val="auto"/>
          <w:sz w:val="28"/>
          <w:szCs w:val="28"/>
          <w:highlight w:val="none"/>
          <w:lang w:val="en-US" w:eastAsia="zh-CN"/>
        </w:rPr>
      </w:pPr>
      <w:r>
        <w:rPr>
          <w:rFonts w:hint="eastAsia" w:ascii="Times New Roman" w:hAnsi="Times New Roman" w:cs="Times New Roman"/>
          <w:b/>
          <w:bCs/>
          <w:color w:val="auto"/>
          <w:sz w:val="28"/>
          <w:szCs w:val="28"/>
          <w:highlight w:val="none"/>
          <w:lang w:val="en-US" w:eastAsia="zh-CN"/>
        </w:rPr>
        <w:t>6.编制与征求意见</w:t>
      </w:r>
    </w:p>
    <w:p w14:paraId="213940F0">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榆林市林业工作站</w:t>
      </w:r>
      <w:r>
        <w:rPr>
          <w:rFonts w:hint="eastAsia"/>
          <w:color w:val="auto"/>
          <w:sz w:val="28"/>
          <w:szCs w:val="28"/>
          <w:highlight w:val="none"/>
          <w:lang w:val="en-US" w:eastAsia="zh-CN"/>
        </w:rPr>
        <w:t>在2024年申请立项前的</w:t>
      </w:r>
      <w:r>
        <w:rPr>
          <w:rFonts w:hint="eastAsia" w:ascii="Times New Roman" w:hAnsi="Times New Roman" w:cs="Times New Roman"/>
          <w:color w:val="auto"/>
          <w:sz w:val="28"/>
          <w:szCs w:val="28"/>
          <w:highlight w:val="none"/>
          <w:lang w:val="en-US" w:eastAsia="zh-CN"/>
        </w:rPr>
        <w:t>从2001年至今，历时23年，一直在监测遗鸥种群数量与动态变化。</w:t>
      </w:r>
      <w:r>
        <w:rPr>
          <w:rFonts w:hint="eastAsia"/>
          <w:color w:val="auto"/>
          <w:sz w:val="28"/>
          <w:szCs w:val="28"/>
          <w:highlight w:val="none"/>
          <w:lang w:val="en-US" w:eastAsia="zh-CN"/>
        </w:rPr>
        <w:t>在执行</w:t>
      </w:r>
      <w:r>
        <w:rPr>
          <w:rFonts w:hint="eastAsia" w:ascii="Times New Roman" w:hAnsi="Times New Roman" w:cs="Times New Roman"/>
          <w:color w:val="auto"/>
          <w:sz w:val="28"/>
          <w:szCs w:val="28"/>
          <w:highlight w:val="none"/>
          <w:lang w:val="en-US" w:eastAsia="zh-CN"/>
        </w:rPr>
        <w:t>“红碱淖遗鸥种群动态监测与湿地保护技术研究”</w:t>
      </w:r>
      <w:r>
        <w:rPr>
          <w:rFonts w:hint="eastAsia"/>
          <w:color w:val="auto"/>
          <w:sz w:val="28"/>
          <w:szCs w:val="28"/>
          <w:highlight w:val="none"/>
          <w:lang w:val="en-US" w:eastAsia="zh-CN"/>
        </w:rPr>
        <w:t>项目时，</w:t>
      </w:r>
      <w:r>
        <w:rPr>
          <w:rFonts w:hint="eastAsia"/>
          <w:color w:val="auto"/>
          <w:sz w:val="28"/>
          <w:szCs w:val="28"/>
          <w:highlight w:val="none"/>
          <w:lang w:eastAsia="zh-CN"/>
        </w:rPr>
        <w:t>已</w:t>
      </w:r>
      <w:r>
        <w:rPr>
          <w:rFonts w:hint="eastAsia"/>
          <w:color w:val="auto"/>
          <w:sz w:val="28"/>
          <w:szCs w:val="28"/>
          <w:highlight w:val="none"/>
        </w:rPr>
        <w:t>深入实际，开展调研，收集分析</w:t>
      </w:r>
      <w:r>
        <w:rPr>
          <w:rFonts w:hint="eastAsia" w:ascii="Times New Roman" w:hAnsi="Times New Roman" w:cs="Times New Roman"/>
          <w:color w:val="auto"/>
          <w:sz w:val="28"/>
          <w:szCs w:val="28"/>
          <w:highlight w:val="none"/>
          <w:lang w:val="en-US" w:eastAsia="zh-CN"/>
        </w:rPr>
        <w:t>红碱淖湿地及周边地区生态环境</w:t>
      </w:r>
      <w:r>
        <w:rPr>
          <w:rFonts w:hint="eastAsia"/>
          <w:color w:val="auto"/>
          <w:sz w:val="28"/>
          <w:szCs w:val="28"/>
          <w:highlight w:val="none"/>
        </w:rPr>
        <w:t>基本情况现状、</w:t>
      </w:r>
      <w:r>
        <w:rPr>
          <w:rFonts w:hint="eastAsia" w:ascii="Times New Roman" w:hAnsi="Times New Roman" w:cs="Times New Roman"/>
          <w:color w:val="auto"/>
          <w:sz w:val="28"/>
          <w:szCs w:val="28"/>
          <w:highlight w:val="none"/>
          <w:lang w:val="en-US" w:eastAsia="zh-CN"/>
        </w:rPr>
        <w:t>遗鸥迁徙栖息</w:t>
      </w:r>
      <w:r>
        <w:rPr>
          <w:rFonts w:hint="eastAsia"/>
          <w:color w:val="auto"/>
          <w:sz w:val="28"/>
          <w:szCs w:val="28"/>
          <w:highlight w:val="none"/>
        </w:rPr>
        <w:t>存在问题、</w:t>
      </w:r>
      <w:r>
        <w:rPr>
          <w:rFonts w:hint="eastAsia"/>
          <w:color w:val="auto"/>
          <w:sz w:val="28"/>
          <w:szCs w:val="28"/>
          <w:highlight w:val="none"/>
          <w:lang w:eastAsia="zh-CN"/>
        </w:rPr>
        <w:t>种群数量</w:t>
      </w:r>
      <w:r>
        <w:rPr>
          <w:rFonts w:hint="eastAsia"/>
          <w:color w:val="auto"/>
          <w:sz w:val="28"/>
          <w:szCs w:val="28"/>
          <w:highlight w:val="none"/>
        </w:rPr>
        <w:t>发展思路等情况</w:t>
      </w:r>
      <w:r>
        <w:rPr>
          <w:rFonts w:hint="eastAsia"/>
          <w:color w:val="auto"/>
          <w:sz w:val="28"/>
          <w:szCs w:val="28"/>
          <w:highlight w:val="none"/>
          <w:lang w:eastAsia="zh-CN"/>
        </w:rPr>
        <w:t>。</w:t>
      </w:r>
      <w:r>
        <w:rPr>
          <w:color w:val="auto"/>
          <w:sz w:val="28"/>
          <w:szCs w:val="28"/>
          <w:highlight w:val="none"/>
        </w:rPr>
        <w:t>202</w:t>
      </w:r>
      <w:r>
        <w:rPr>
          <w:rFonts w:hint="eastAsia"/>
          <w:color w:val="auto"/>
          <w:sz w:val="28"/>
          <w:szCs w:val="28"/>
          <w:highlight w:val="none"/>
          <w:lang w:val="en-US" w:eastAsia="zh-CN"/>
        </w:rPr>
        <w:t>4</w:t>
      </w:r>
      <w:r>
        <w:rPr>
          <w:color w:val="auto"/>
          <w:sz w:val="28"/>
          <w:szCs w:val="28"/>
          <w:highlight w:val="none"/>
        </w:rPr>
        <w:t>年</w:t>
      </w:r>
      <w:r>
        <w:rPr>
          <w:rFonts w:hint="eastAsia"/>
          <w:color w:val="auto"/>
          <w:sz w:val="28"/>
          <w:szCs w:val="28"/>
          <w:highlight w:val="none"/>
          <w:lang w:val="en-US" w:eastAsia="zh-CN"/>
        </w:rPr>
        <w:t>9</w:t>
      </w:r>
      <w:r>
        <w:rPr>
          <w:color w:val="auto"/>
          <w:sz w:val="28"/>
          <w:szCs w:val="28"/>
          <w:highlight w:val="none"/>
        </w:rPr>
        <w:t>月</w:t>
      </w:r>
      <w:r>
        <w:rPr>
          <w:rFonts w:hint="eastAsia"/>
          <w:color w:val="auto"/>
          <w:sz w:val="28"/>
          <w:szCs w:val="28"/>
          <w:highlight w:val="none"/>
          <w:lang w:eastAsia="zh-CN"/>
        </w:rPr>
        <w:t>标准</w:t>
      </w:r>
      <w:r>
        <w:rPr>
          <w:color w:val="auto"/>
          <w:sz w:val="28"/>
          <w:szCs w:val="28"/>
          <w:highlight w:val="none"/>
        </w:rPr>
        <w:t>立项后</w:t>
      </w:r>
      <w:r>
        <w:rPr>
          <w:rFonts w:hint="eastAsia"/>
          <w:color w:val="auto"/>
          <w:sz w:val="28"/>
          <w:szCs w:val="28"/>
          <w:highlight w:val="none"/>
          <w:lang w:eastAsia="zh-CN"/>
        </w:rPr>
        <w:t>，</w:t>
      </w:r>
      <w:r>
        <w:rPr>
          <w:color w:val="auto"/>
          <w:sz w:val="28"/>
          <w:szCs w:val="28"/>
          <w:highlight w:val="none"/>
        </w:rPr>
        <w:t>项目组</w:t>
      </w:r>
      <w:r>
        <w:rPr>
          <w:rFonts w:hint="eastAsia"/>
          <w:color w:val="auto"/>
          <w:sz w:val="28"/>
          <w:szCs w:val="28"/>
          <w:highlight w:val="none"/>
          <w:lang w:eastAsia="zh-CN"/>
        </w:rPr>
        <w:t>立即</w:t>
      </w:r>
      <w:r>
        <w:rPr>
          <w:color w:val="auto"/>
          <w:sz w:val="28"/>
          <w:szCs w:val="28"/>
          <w:highlight w:val="none"/>
        </w:rPr>
        <w:t>组织了标准起</w:t>
      </w:r>
      <w:r>
        <w:rPr>
          <w:rFonts w:hint="eastAsia" w:ascii="Times New Roman" w:hAnsi="Times New Roman" w:cs="Times New Roman"/>
          <w:color w:val="auto"/>
          <w:sz w:val="28"/>
          <w:szCs w:val="28"/>
          <w:highlight w:val="none"/>
          <w:lang w:val="en-US" w:eastAsia="zh-CN"/>
        </w:rPr>
        <w:t>草小组召开了首次标准编制会议，对编制的专业人员、任务分工、编制计划等做了落实，制定了切实可行的编制方案。</w:t>
      </w:r>
    </w:p>
    <w:p w14:paraId="43FEC149">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整个编制过程经历三个主要阶段：第一阶段是编制单位的确定。2000-2008年，榆林市林业工作站参加完成中国科学院“西部之光”人才培养计划项目(2006DF02)， 陕西省科学院科技计划项(2008K-11)；</w:t>
      </w:r>
    </w:p>
    <w:p w14:paraId="61BF5A36">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sz w:val="28"/>
          <w:szCs w:val="28"/>
          <w:lang w:val="en-US" w:eastAsia="zh-CN"/>
        </w:rPr>
      </w:pPr>
      <w:r>
        <w:rPr>
          <w:rFonts w:hint="eastAsia" w:ascii="Times New Roman" w:hAnsi="Times New Roman" w:cs="Times New Roman"/>
          <w:color w:val="auto"/>
          <w:sz w:val="28"/>
          <w:szCs w:val="28"/>
          <w:highlight w:val="none"/>
          <w:lang w:val="en-US" w:eastAsia="zh-CN"/>
        </w:rPr>
        <w:t>暨“红碱淖遗鸥种群动态监测与湿地保护技术研究”</w:t>
      </w:r>
      <w:r>
        <w:rPr>
          <w:rFonts w:hint="eastAsia"/>
          <w:sz w:val="28"/>
          <w:szCs w:val="28"/>
          <w:highlight w:val="none"/>
          <w:lang w:val="en-US" w:eastAsia="zh-CN"/>
        </w:rPr>
        <w:t>项目并获得国际先进水平后，</w:t>
      </w:r>
      <w:r>
        <w:rPr>
          <w:rFonts w:hint="eastAsia"/>
          <w:sz w:val="28"/>
          <w:szCs w:val="28"/>
          <w:lang w:eastAsia="zh-CN"/>
        </w:rPr>
        <w:t>榆林市林业和草原局即</w:t>
      </w:r>
      <w:r>
        <w:rPr>
          <w:rFonts w:hint="eastAsia"/>
          <w:sz w:val="28"/>
          <w:szCs w:val="28"/>
        </w:rPr>
        <w:t>提出编制本规程的设想，并初步选定了</w:t>
      </w:r>
      <w:r>
        <w:rPr>
          <w:rFonts w:hint="eastAsia"/>
          <w:sz w:val="28"/>
          <w:szCs w:val="28"/>
          <w:lang w:eastAsia="zh-CN"/>
        </w:rPr>
        <w:t>榆林市林业工作站为本规程的主导</w:t>
      </w:r>
      <w:r>
        <w:rPr>
          <w:rFonts w:hint="eastAsia"/>
          <w:sz w:val="28"/>
          <w:szCs w:val="28"/>
        </w:rPr>
        <w:t>编</w:t>
      </w:r>
      <w:r>
        <w:rPr>
          <w:rFonts w:hint="eastAsia"/>
          <w:sz w:val="28"/>
          <w:szCs w:val="28"/>
          <w:lang w:eastAsia="zh-CN"/>
        </w:rPr>
        <w:t>制单位</w:t>
      </w:r>
      <w:r>
        <w:rPr>
          <w:rFonts w:hint="eastAsia"/>
          <w:sz w:val="28"/>
          <w:szCs w:val="28"/>
        </w:rPr>
        <w:t>。第二阶段是</w:t>
      </w:r>
      <w:r>
        <w:rPr>
          <w:rFonts w:hint="eastAsia"/>
          <w:sz w:val="28"/>
          <w:szCs w:val="28"/>
          <w:lang w:eastAsia="zh-CN"/>
        </w:rPr>
        <w:t>“</w:t>
      </w:r>
      <w:r>
        <w:rPr>
          <w:rFonts w:hint="eastAsia" w:ascii="Times New Roman" w:hAnsi="Times New Roman" w:cs="Times New Roman"/>
          <w:color w:val="auto"/>
          <w:sz w:val="28"/>
          <w:szCs w:val="28"/>
          <w:highlight w:val="none"/>
          <w:lang w:val="en-US" w:eastAsia="zh-CN"/>
        </w:rPr>
        <w:t>红碱淖遗鸥种群动态监测与湿地保护技术研究”</w:t>
      </w:r>
      <w:r>
        <w:rPr>
          <w:rFonts w:hint="eastAsia"/>
          <w:sz w:val="28"/>
          <w:szCs w:val="28"/>
        </w:rPr>
        <w:t>过程中</w:t>
      </w:r>
      <w:r>
        <w:rPr>
          <w:rFonts w:hint="eastAsia"/>
          <w:sz w:val="28"/>
          <w:szCs w:val="28"/>
          <w:lang w:eastAsia="zh-CN"/>
        </w:rPr>
        <w:t>技术总结</w:t>
      </w:r>
      <w:r>
        <w:rPr>
          <w:rFonts w:hint="eastAsia"/>
          <w:sz w:val="28"/>
          <w:szCs w:val="28"/>
        </w:rPr>
        <w:t>。这一阶段先后在</w:t>
      </w:r>
      <w:r>
        <w:rPr>
          <w:rFonts w:hint="eastAsia"/>
          <w:sz w:val="28"/>
          <w:szCs w:val="28"/>
          <w:lang w:eastAsia="zh-CN"/>
        </w:rPr>
        <w:t>项目实施区的神木、定边等地</w:t>
      </w:r>
      <w:r>
        <w:rPr>
          <w:rFonts w:hint="eastAsia"/>
          <w:sz w:val="28"/>
          <w:szCs w:val="28"/>
        </w:rPr>
        <w:t>摸底调查，初步</w:t>
      </w:r>
      <w:r>
        <w:rPr>
          <w:rFonts w:hint="eastAsia"/>
          <w:sz w:val="28"/>
          <w:szCs w:val="28"/>
          <w:lang w:eastAsia="zh-CN"/>
        </w:rPr>
        <w:t>集成</w:t>
      </w:r>
      <w:r>
        <w:rPr>
          <w:rFonts w:hint="eastAsia"/>
          <w:sz w:val="28"/>
          <w:szCs w:val="28"/>
        </w:rPr>
        <w:t>了</w:t>
      </w:r>
      <w:r>
        <w:rPr>
          <w:rFonts w:hint="eastAsia" w:ascii="Times New Roman" w:hAnsi="Times New Roman" w:cs="Times New Roman"/>
          <w:color w:val="auto"/>
          <w:sz w:val="28"/>
          <w:szCs w:val="28"/>
          <w:highlight w:val="none"/>
          <w:lang w:val="en-US" w:eastAsia="zh-CN"/>
        </w:rPr>
        <w:t>遗鸥种群数量动态监测技术规范</w:t>
      </w:r>
      <w:r>
        <w:rPr>
          <w:rFonts w:hint="eastAsia"/>
          <w:sz w:val="28"/>
          <w:szCs w:val="28"/>
          <w:lang w:eastAsia="zh-CN"/>
        </w:rPr>
        <w:t>的关键</w:t>
      </w:r>
      <w:r>
        <w:rPr>
          <w:rFonts w:hint="eastAsia"/>
          <w:sz w:val="28"/>
          <w:szCs w:val="28"/>
        </w:rPr>
        <w:t>技术。第三阶段为规程的编制阶段。通过大量查找资料，结合生产实践和相关调研摸底等工作，于20</w:t>
      </w:r>
      <w:r>
        <w:rPr>
          <w:rFonts w:hint="eastAsia"/>
          <w:sz w:val="28"/>
          <w:szCs w:val="28"/>
          <w:lang w:val="en-US" w:eastAsia="zh-CN"/>
        </w:rPr>
        <w:t>24</w:t>
      </w:r>
      <w:r>
        <w:rPr>
          <w:rFonts w:hint="eastAsia" w:ascii="Times New Roman" w:hAnsi="Times New Roman" w:cs="Times New Roman"/>
          <w:sz w:val="28"/>
          <w:szCs w:val="28"/>
        </w:rPr>
        <w:t>年</w:t>
      </w:r>
      <w:r>
        <w:rPr>
          <w:rFonts w:hint="eastAsia" w:ascii="Times New Roman" w:hAnsi="Times New Roman" w:cs="Times New Roman"/>
          <w:sz w:val="28"/>
          <w:szCs w:val="28"/>
          <w:lang w:val="en-US" w:eastAsia="zh-CN"/>
        </w:rPr>
        <w:t>3</w:t>
      </w:r>
      <w:r>
        <w:rPr>
          <w:rFonts w:hint="eastAsia" w:ascii="Times New Roman" w:hAnsi="Times New Roman" w:cs="Times New Roman"/>
          <w:sz w:val="28"/>
          <w:szCs w:val="28"/>
        </w:rPr>
        <w:t>月</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10月，</w:t>
      </w:r>
      <w:r>
        <w:rPr>
          <w:rFonts w:hint="eastAsia" w:ascii="宋体" w:hAnsi="宋体" w:eastAsia="宋体" w:cs="宋体"/>
          <w:color w:val="000000"/>
          <w:kern w:val="0"/>
          <w:sz w:val="28"/>
          <w:szCs w:val="28"/>
          <w:lang w:val="en-US" w:eastAsia="zh-CN" w:bidi="ar"/>
        </w:rPr>
        <w:t>标准起草小组经过多次交流、讨论与修改，</w:t>
      </w:r>
      <w:r>
        <w:rPr>
          <w:rFonts w:hint="eastAsia" w:ascii="Times New Roman" w:hAnsi="Times New Roman" w:cs="Times New Roman"/>
          <w:sz w:val="28"/>
          <w:szCs w:val="28"/>
        </w:rPr>
        <w:t>起草完成了《</w:t>
      </w:r>
      <w:r>
        <w:rPr>
          <w:rFonts w:hint="eastAsia" w:ascii="Times New Roman" w:hAnsi="Times New Roman" w:cs="Times New Roman"/>
          <w:color w:val="auto"/>
          <w:sz w:val="28"/>
          <w:szCs w:val="28"/>
          <w:highlight w:val="none"/>
          <w:lang w:val="en-US" w:eastAsia="zh-CN"/>
        </w:rPr>
        <w:t>遗鸥种群数量动态监测技术规范</w:t>
      </w:r>
      <w:r>
        <w:rPr>
          <w:rFonts w:hint="eastAsia" w:ascii="Times New Roman" w:hAnsi="Times New Roman" w:cs="Times New Roman"/>
          <w:sz w:val="28"/>
          <w:szCs w:val="28"/>
        </w:rPr>
        <w:t>》</w:t>
      </w:r>
      <w:r>
        <w:rPr>
          <w:rFonts w:hint="eastAsia" w:ascii="Times New Roman" w:hAnsi="Times New Roman" w:cs="Times New Roman"/>
          <w:sz w:val="28"/>
          <w:szCs w:val="28"/>
          <w:lang w:eastAsia="zh-CN"/>
        </w:rPr>
        <w:t>（征求意见</w:t>
      </w:r>
      <w:r>
        <w:rPr>
          <w:rFonts w:hint="eastAsia"/>
          <w:sz w:val="28"/>
          <w:szCs w:val="28"/>
        </w:rPr>
        <w:t>稿</w:t>
      </w:r>
      <w:r>
        <w:rPr>
          <w:rFonts w:hint="eastAsia"/>
          <w:sz w:val="28"/>
          <w:szCs w:val="28"/>
          <w:lang w:eastAsia="zh-CN"/>
        </w:rPr>
        <w:t>）</w:t>
      </w:r>
      <w:r>
        <w:rPr>
          <w:rFonts w:hint="eastAsia"/>
          <w:sz w:val="28"/>
          <w:szCs w:val="28"/>
          <w:lang w:val="en-US" w:eastAsia="zh-CN"/>
        </w:rPr>
        <w:t>。</w:t>
      </w:r>
    </w:p>
    <w:p w14:paraId="51A1EC17">
      <w:pPr>
        <w:spacing w:line="560" w:lineRule="exact"/>
        <w:ind w:firstLine="562" w:firstLineChars="200"/>
        <w:jc w:val="both"/>
        <w:rPr>
          <w:rFonts w:hint="eastAsia" w:ascii="Times New Roman" w:hAnsi="Times New Roman" w:cs="Times New Roman"/>
          <w:b/>
          <w:sz w:val="28"/>
          <w:szCs w:val="28"/>
        </w:rPr>
      </w:pPr>
      <w:r>
        <w:rPr>
          <w:rFonts w:hint="eastAsia" w:ascii="Times New Roman" w:hAnsi="Times New Roman" w:cs="Times New Roman"/>
          <w:b/>
          <w:sz w:val="28"/>
          <w:szCs w:val="28"/>
        </w:rPr>
        <w:t>二、标准主要内容的确定依据及内容的说明</w:t>
      </w:r>
    </w:p>
    <w:p w14:paraId="47CB75B0">
      <w:pPr>
        <w:adjustRightInd w:val="0"/>
        <w:snapToGrid w:val="0"/>
        <w:spacing w:line="560" w:lineRule="exact"/>
        <w:ind w:firstLine="562" w:firstLineChars="200"/>
        <w:jc w:val="both"/>
        <w:rPr>
          <w:b/>
          <w:bCs/>
          <w:color w:val="auto"/>
          <w:kern w:val="0"/>
          <w:sz w:val="28"/>
          <w:szCs w:val="28"/>
          <w:highlight w:val="none"/>
        </w:rPr>
      </w:pPr>
      <w:r>
        <w:rPr>
          <w:b/>
          <w:bCs/>
          <w:color w:val="auto"/>
          <w:kern w:val="0"/>
          <w:sz w:val="28"/>
          <w:szCs w:val="28"/>
          <w:highlight w:val="none"/>
        </w:rPr>
        <w:t>1</w:t>
      </w:r>
      <w:r>
        <w:rPr>
          <w:rFonts w:hint="eastAsia"/>
          <w:b/>
          <w:bCs/>
          <w:color w:val="auto"/>
          <w:kern w:val="0"/>
          <w:sz w:val="28"/>
          <w:szCs w:val="28"/>
          <w:highlight w:val="none"/>
          <w:lang w:eastAsia="zh-CN"/>
        </w:rPr>
        <w:t>.</w:t>
      </w:r>
      <w:r>
        <w:rPr>
          <w:b/>
          <w:bCs/>
          <w:color w:val="auto"/>
          <w:kern w:val="0"/>
          <w:sz w:val="28"/>
          <w:szCs w:val="28"/>
          <w:highlight w:val="none"/>
        </w:rPr>
        <w:t xml:space="preserve"> 编制原则</w:t>
      </w:r>
    </w:p>
    <w:p w14:paraId="21DB1FE0">
      <w:pPr>
        <w:adjustRightInd w:val="0"/>
        <w:snapToGrid w:val="0"/>
        <w:spacing w:line="560" w:lineRule="exact"/>
        <w:ind w:firstLine="560" w:firstLineChars="200"/>
        <w:jc w:val="both"/>
        <w:rPr>
          <w:color w:val="auto"/>
          <w:sz w:val="28"/>
          <w:szCs w:val="28"/>
          <w:highlight w:val="none"/>
        </w:rPr>
      </w:pPr>
      <w:r>
        <w:rPr>
          <w:rFonts w:hint="eastAsia"/>
          <w:color w:val="auto"/>
          <w:sz w:val="28"/>
          <w:szCs w:val="28"/>
          <w:highlight w:val="none"/>
        </w:rPr>
        <w:t>本标准编著的基本原则是：遵循“科学、实际、可行、可操作性强”，既考虑规范科学性又顾及林业的生产实际，促进黄河流域生态保护和高质量发展及打造榆林黄土高原生态文明示范区建设为主要目标，同时，充分听取各方的意见，确保规范可以作为林业部门指导生产的依据，在生产上切实可行。</w:t>
      </w:r>
      <w:r>
        <w:rPr>
          <w:color w:val="auto"/>
          <w:sz w:val="28"/>
          <w:szCs w:val="28"/>
          <w:highlight w:val="none"/>
        </w:rPr>
        <w:t>编写格式</w:t>
      </w:r>
      <w:r>
        <w:rPr>
          <w:rFonts w:hint="eastAsia"/>
          <w:color w:val="auto"/>
          <w:sz w:val="28"/>
          <w:szCs w:val="28"/>
          <w:highlight w:val="none"/>
        </w:rPr>
        <w:t>在</w:t>
      </w:r>
      <w:r>
        <w:rPr>
          <w:color w:val="auto"/>
          <w:sz w:val="28"/>
          <w:szCs w:val="28"/>
          <w:highlight w:val="none"/>
        </w:rPr>
        <w:t>中华人民共和国</w:t>
      </w:r>
      <w:r>
        <w:rPr>
          <w:rFonts w:hint="eastAsia"/>
          <w:color w:val="auto"/>
          <w:sz w:val="28"/>
          <w:szCs w:val="28"/>
          <w:highlight w:val="none"/>
        </w:rPr>
        <w:t>GB/T 1.1-2020《标准化工作导则》和GB/T 20001《标准编写规则》的指导下，尽可能使本规程与国内先进水平和时代接轨。</w:t>
      </w:r>
    </w:p>
    <w:p w14:paraId="7DC2779D">
      <w:pPr>
        <w:spacing w:before="65" w:line="260" w:lineRule="auto"/>
        <w:ind w:left="3" w:right="56" w:firstLine="421"/>
        <w:rPr>
          <w:rFonts w:hint="eastAsia"/>
          <w:color w:val="auto"/>
          <w:sz w:val="28"/>
          <w:szCs w:val="28"/>
          <w:highlight w:val="none"/>
        </w:rPr>
      </w:pPr>
      <w:r>
        <w:rPr>
          <w:rFonts w:hint="eastAsia" w:ascii="Times New Roman" w:hAnsi="Times New Roman" w:cs="Times New Roman"/>
          <w:color w:val="auto"/>
          <w:sz w:val="28"/>
          <w:szCs w:val="28"/>
          <w:highlight w:val="none"/>
          <w:lang w:eastAsia="zh-CN"/>
        </w:rPr>
        <w:t>标准内容紧密联系红碱淖国家湿地的保护与发展现状，围绕</w:t>
      </w:r>
      <w:r>
        <w:rPr>
          <w:rFonts w:hint="eastAsia" w:ascii="Times New Roman" w:hAnsi="Times New Roman" w:cs="Times New Roman"/>
          <w:color w:val="auto"/>
          <w:sz w:val="28"/>
          <w:szCs w:val="28"/>
          <w:highlight w:val="none"/>
          <w:lang w:val="en-US" w:eastAsia="zh-CN"/>
        </w:rPr>
        <w:t>遗鸥种群数量动态变化中</w:t>
      </w:r>
      <w:r>
        <w:rPr>
          <w:rFonts w:hint="eastAsia" w:ascii="Times New Roman" w:hAnsi="Times New Roman" w:cs="Times New Roman"/>
          <w:color w:val="auto"/>
          <w:sz w:val="28"/>
          <w:szCs w:val="28"/>
          <w:highlight w:val="none"/>
          <w:lang w:eastAsia="zh-CN"/>
        </w:rPr>
        <w:t>有关监测范围和对象、监测时间和频次、监测器材、监测方法、监测要求、数据处理与分析、监测报告和监测档案工作程序</w:t>
      </w:r>
      <w:r>
        <w:rPr>
          <w:rFonts w:hint="eastAsia"/>
          <w:color w:val="auto"/>
          <w:sz w:val="28"/>
          <w:szCs w:val="28"/>
          <w:highlight w:val="none"/>
        </w:rPr>
        <w:t>等进行规范，充分吸收当前最新研究成果，使本标准更科学、更具体、更实用，为今后</w:t>
      </w:r>
      <w:r>
        <w:rPr>
          <w:rFonts w:hint="eastAsia" w:ascii="Times New Roman" w:hAnsi="Times New Roman" w:cs="Times New Roman"/>
          <w:color w:val="auto"/>
          <w:sz w:val="28"/>
          <w:szCs w:val="28"/>
          <w:highlight w:val="none"/>
          <w:lang w:val="en-US" w:eastAsia="zh-CN"/>
        </w:rPr>
        <w:t>遗鸥种群数量动态监测技术</w:t>
      </w:r>
      <w:r>
        <w:rPr>
          <w:rFonts w:hint="eastAsia"/>
          <w:color w:val="auto"/>
          <w:sz w:val="28"/>
          <w:szCs w:val="28"/>
          <w:highlight w:val="none"/>
        </w:rPr>
        <w:t>的推广与应用起到示范作用，对</w:t>
      </w:r>
      <w:r>
        <w:rPr>
          <w:rFonts w:hint="eastAsia"/>
          <w:color w:val="auto"/>
          <w:sz w:val="28"/>
          <w:szCs w:val="28"/>
          <w:highlight w:val="none"/>
          <w:lang w:val="en-US" w:eastAsia="zh-CN"/>
        </w:rPr>
        <w:t>攻克</w:t>
      </w:r>
      <w:r>
        <w:rPr>
          <w:rFonts w:hint="eastAsia" w:ascii="Times New Roman" w:hAnsi="Times New Roman" w:cs="Times New Roman"/>
          <w:color w:val="auto"/>
          <w:sz w:val="28"/>
          <w:szCs w:val="28"/>
          <w:highlight w:val="none"/>
          <w:lang w:val="en-US" w:eastAsia="zh-CN"/>
        </w:rPr>
        <w:t>遗鸥种群数量动态监测的准确性</w:t>
      </w:r>
      <w:r>
        <w:rPr>
          <w:rFonts w:hint="eastAsia"/>
          <w:color w:val="auto"/>
          <w:sz w:val="28"/>
          <w:szCs w:val="28"/>
          <w:highlight w:val="none"/>
        </w:rPr>
        <w:t>提供科学决策。</w:t>
      </w:r>
    </w:p>
    <w:p w14:paraId="7E81B672">
      <w:pPr>
        <w:adjustRightInd w:val="0"/>
        <w:snapToGrid w:val="0"/>
        <w:spacing w:line="560" w:lineRule="exact"/>
        <w:ind w:firstLine="562" w:firstLineChars="200"/>
        <w:jc w:val="both"/>
        <w:rPr>
          <w:b/>
          <w:color w:val="auto"/>
          <w:kern w:val="0"/>
          <w:sz w:val="28"/>
          <w:szCs w:val="28"/>
          <w:highlight w:val="none"/>
        </w:rPr>
      </w:pPr>
      <w:r>
        <w:rPr>
          <w:b/>
          <w:color w:val="auto"/>
          <w:kern w:val="0"/>
          <w:sz w:val="28"/>
          <w:szCs w:val="28"/>
          <w:highlight w:val="none"/>
        </w:rPr>
        <w:t>2.主要内容</w:t>
      </w:r>
    </w:p>
    <w:p w14:paraId="1F78BA48">
      <w:pPr>
        <w:spacing w:before="65" w:line="260" w:lineRule="auto"/>
        <w:ind w:left="3" w:right="56" w:firstLine="421"/>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本标准规定了遗鸥种群监测范围和对象、监测时间和频次、监测器材、监测方法、监测要求、数据处理与分析、监测报告和监测档案工作程序。</w:t>
      </w:r>
    </w:p>
    <w:p w14:paraId="233ED61C">
      <w:pPr>
        <w:spacing w:before="65" w:line="260" w:lineRule="auto"/>
        <w:ind w:left="3" w:right="56" w:firstLine="421"/>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本标准适用红碱淖遗鸥种群监测工作程序。</w:t>
      </w:r>
    </w:p>
    <w:p w14:paraId="354F8685">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rPr>
      </w:pPr>
      <w:r>
        <w:rPr>
          <w:rFonts w:hint="eastAsia"/>
          <w:sz w:val="28"/>
          <w:szCs w:val="28"/>
        </w:rPr>
        <w:t>各部分均是在</w:t>
      </w:r>
      <w:r>
        <w:rPr>
          <w:rFonts w:hint="eastAsia"/>
          <w:sz w:val="28"/>
          <w:szCs w:val="28"/>
          <w:lang w:eastAsia="zh-CN"/>
        </w:rPr>
        <w:t>多年来对</w:t>
      </w:r>
      <w:r>
        <w:rPr>
          <w:rFonts w:hint="eastAsia" w:ascii="Times New Roman" w:hAnsi="Times New Roman" w:cs="Times New Roman"/>
          <w:color w:val="auto"/>
          <w:sz w:val="28"/>
          <w:szCs w:val="28"/>
          <w:highlight w:val="none"/>
          <w:lang w:val="en-US" w:eastAsia="zh-CN"/>
        </w:rPr>
        <w:t>遗鸥种群数量监测</w:t>
      </w:r>
      <w:r>
        <w:rPr>
          <w:rFonts w:hint="eastAsia"/>
          <w:sz w:val="28"/>
          <w:szCs w:val="28"/>
          <w:lang w:eastAsia="zh-CN"/>
        </w:rPr>
        <w:t>一线的工作的基础上，参考</w:t>
      </w:r>
      <w:r>
        <w:rPr>
          <w:rFonts w:hint="eastAsia"/>
          <w:sz w:val="28"/>
          <w:szCs w:val="28"/>
        </w:rPr>
        <w:t>国内外文献</w:t>
      </w:r>
      <w:r>
        <w:rPr>
          <w:rFonts w:hint="eastAsia"/>
          <w:sz w:val="28"/>
          <w:szCs w:val="28"/>
          <w:lang w:eastAsia="zh-CN"/>
        </w:rPr>
        <w:t>有关</w:t>
      </w:r>
      <w:r>
        <w:rPr>
          <w:rFonts w:hint="eastAsia"/>
          <w:sz w:val="28"/>
          <w:szCs w:val="28"/>
        </w:rPr>
        <w:t>资料，结合多年的</w:t>
      </w:r>
      <w:r>
        <w:rPr>
          <w:rFonts w:hint="eastAsia" w:ascii="Times New Roman" w:hAnsi="Times New Roman" w:cs="Times New Roman"/>
          <w:color w:val="auto"/>
          <w:sz w:val="28"/>
          <w:szCs w:val="28"/>
          <w:highlight w:val="none"/>
          <w:lang w:val="en-US" w:eastAsia="zh-CN"/>
        </w:rPr>
        <w:t>遗鸥种群数量监测</w:t>
      </w:r>
      <w:r>
        <w:rPr>
          <w:rFonts w:hint="eastAsia"/>
          <w:sz w:val="28"/>
          <w:szCs w:val="28"/>
          <w:lang w:eastAsia="zh-CN"/>
        </w:rPr>
        <w:t>生产</w:t>
      </w:r>
      <w:r>
        <w:rPr>
          <w:rFonts w:hint="eastAsia"/>
          <w:sz w:val="28"/>
          <w:szCs w:val="28"/>
        </w:rPr>
        <w:t>实践编写而成。</w:t>
      </w:r>
    </w:p>
    <w:p w14:paraId="29C1AE6F">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rPr>
      </w:pPr>
      <w:r>
        <w:rPr>
          <w:rFonts w:hint="eastAsia"/>
          <w:sz w:val="28"/>
          <w:szCs w:val="28"/>
        </w:rPr>
        <w:t>本规程主要采用了一般性标准起草的基本构架，前言说明了本规程的提出单位和起草人员以及规程归口的管理单位，明确了本规程的解释单位及联系电话。前言之后为本规程的正式文本，其主要内容有：</w:t>
      </w:r>
    </w:p>
    <w:p w14:paraId="26D4FDD7">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rPr>
      </w:pPr>
      <w:r>
        <w:rPr>
          <w:rFonts w:hint="eastAsia"/>
          <w:sz w:val="28"/>
          <w:szCs w:val="28"/>
        </w:rPr>
        <w:t>（1）范围</w:t>
      </w:r>
      <w:r>
        <w:rPr>
          <w:rFonts w:hint="eastAsia"/>
          <w:sz w:val="28"/>
          <w:szCs w:val="28"/>
          <w:lang w:eastAsia="zh-CN"/>
        </w:rPr>
        <w:t>。</w:t>
      </w:r>
      <w:r>
        <w:rPr>
          <w:rFonts w:hint="eastAsia"/>
          <w:sz w:val="28"/>
          <w:szCs w:val="28"/>
        </w:rPr>
        <w:t>说明了本规程的适用范围。</w:t>
      </w:r>
    </w:p>
    <w:p w14:paraId="1E95C96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rPr>
      </w:pPr>
      <w:r>
        <w:rPr>
          <w:rFonts w:hint="eastAsia"/>
          <w:sz w:val="28"/>
          <w:szCs w:val="28"/>
        </w:rPr>
        <w:t>（2）规范性引用文件。本规程的引用文件，凡是注日期的引用文件，仅所注日期的版本适用于本文件。凡是不注日期的引用文件，其最新版本（包括所有的修改单）适用于本规程。</w:t>
      </w:r>
    </w:p>
    <w:p w14:paraId="45CE6FA1">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lang w:eastAsia="zh-CN"/>
        </w:rPr>
      </w:pPr>
      <w:r>
        <w:rPr>
          <w:rFonts w:hint="eastAsia" w:ascii="Times New Roman" w:hAnsi="Times New Roman" w:cs="Times New Roman"/>
          <w:sz w:val="28"/>
          <w:szCs w:val="28"/>
        </w:rPr>
        <w:t>（3）术语及定义。规范性的术语及定义，列出了规范性术语</w:t>
      </w:r>
      <w:r>
        <w:rPr>
          <w:rFonts w:hint="eastAsia" w:ascii="Times New Roman" w:hAnsi="Times New Roman" w:cs="Times New Roman"/>
          <w:sz w:val="28"/>
          <w:szCs w:val="28"/>
          <w:lang w:val="en-US" w:eastAsia="zh-CN"/>
        </w:rPr>
        <w:t>1</w:t>
      </w:r>
      <w:r>
        <w:rPr>
          <w:rFonts w:hint="eastAsia" w:ascii="Times New Roman" w:hAnsi="Times New Roman" w:cs="Times New Roman"/>
          <w:sz w:val="28"/>
          <w:szCs w:val="28"/>
        </w:rPr>
        <w:t>个。定义了</w:t>
      </w:r>
      <w:r>
        <w:rPr>
          <w:rFonts w:hint="eastAsia" w:ascii="Times New Roman" w:hAnsi="Times New Roman" w:cs="Times New Roman"/>
          <w:sz w:val="28"/>
          <w:szCs w:val="28"/>
          <w:lang w:eastAsia="zh-CN"/>
        </w:rPr>
        <w:t>遗鸥这一常用的术语。</w:t>
      </w:r>
    </w:p>
    <w:p w14:paraId="2655BAB2">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rPr>
      </w:pPr>
      <w:r>
        <w:rPr>
          <w:rFonts w:hint="eastAsia" w:ascii="Times New Roman" w:hAnsi="Times New Roman" w:cs="Times New Roman"/>
          <w:sz w:val="28"/>
          <w:szCs w:val="28"/>
        </w:rPr>
        <w:t>（4）</w:t>
      </w:r>
      <w:r>
        <w:rPr>
          <w:rFonts w:hint="eastAsia" w:ascii="Times New Roman" w:hAnsi="Times New Roman" w:cs="Times New Roman"/>
          <w:sz w:val="28"/>
          <w:szCs w:val="28"/>
          <w:lang w:eastAsia="zh-CN"/>
        </w:rPr>
        <w:t>监测造林技术流程图</w:t>
      </w:r>
      <w:r>
        <w:rPr>
          <w:rFonts w:hint="eastAsia" w:ascii="Times New Roman" w:hAnsi="Times New Roman" w:cs="Times New Roman"/>
          <w:sz w:val="28"/>
          <w:szCs w:val="28"/>
        </w:rPr>
        <w:t>。</w:t>
      </w:r>
      <w:bookmarkStart w:id="0" w:name="_Toc10672_WPSOffice_Level2"/>
      <w:r>
        <w:rPr>
          <w:rFonts w:hint="eastAsia" w:ascii="Times New Roman" w:hAnsi="Times New Roman" w:cs="Times New Roman"/>
          <w:sz w:val="28"/>
          <w:szCs w:val="28"/>
          <w:lang w:val="en-US" w:eastAsia="zh-CN"/>
        </w:rPr>
        <w:t>主要</w:t>
      </w:r>
      <w:r>
        <w:rPr>
          <w:rFonts w:hint="eastAsia" w:ascii="Times New Roman" w:hAnsi="Times New Roman" w:cs="Times New Roman"/>
          <w:sz w:val="28"/>
          <w:szCs w:val="28"/>
          <w:lang w:eastAsia="zh-CN"/>
        </w:rPr>
        <w:t>给出了</w:t>
      </w:r>
      <w:r>
        <w:rPr>
          <w:rFonts w:hint="eastAsia" w:ascii="Times New Roman" w:hAnsi="Times New Roman" w:cs="Times New Roman"/>
          <w:color w:val="auto"/>
          <w:sz w:val="28"/>
          <w:szCs w:val="28"/>
          <w:highlight w:val="none"/>
          <w:lang w:eastAsia="zh-CN"/>
        </w:rPr>
        <w:t>监测范围和对象</w:t>
      </w:r>
      <w:r>
        <w:rPr>
          <w:rFonts w:hint="eastAsia" w:ascii="Times New Roman" w:hAnsi="Times New Roman" w:cs="Times New Roman"/>
          <w:sz w:val="28"/>
          <w:szCs w:val="28"/>
        </w:rPr>
        <w:t>、</w:t>
      </w:r>
      <w:r>
        <w:rPr>
          <w:rFonts w:hint="eastAsia" w:ascii="Times New Roman" w:hAnsi="Times New Roman" w:cs="Times New Roman"/>
          <w:color w:val="auto"/>
          <w:sz w:val="28"/>
          <w:szCs w:val="28"/>
          <w:highlight w:val="none"/>
          <w:lang w:eastAsia="zh-CN"/>
        </w:rPr>
        <w:t>监测设备</w:t>
      </w:r>
      <w:r>
        <w:rPr>
          <w:rFonts w:hint="eastAsia" w:ascii="Times New Roman" w:hAnsi="Times New Roman" w:cs="Times New Roman"/>
          <w:sz w:val="28"/>
          <w:szCs w:val="28"/>
        </w:rPr>
        <w:t>、</w:t>
      </w:r>
      <w:r>
        <w:rPr>
          <w:rFonts w:hint="eastAsia" w:cs="Times New Roman"/>
          <w:sz w:val="28"/>
          <w:szCs w:val="28"/>
          <w:lang w:eastAsia="zh-CN"/>
        </w:rPr>
        <w:t>监测方法</w:t>
      </w:r>
      <w:r>
        <w:rPr>
          <w:rFonts w:hint="eastAsia" w:ascii="Times New Roman" w:hAnsi="Times New Roman" w:cs="Times New Roman"/>
          <w:sz w:val="28"/>
          <w:szCs w:val="28"/>
        </w:rPr>
        <w:t>、</w:t>
      </w:r>
      <w:bookmarkEnd w:id="0"/>
      <w:r>
        <w:rPr>
          <w:rFonts w:hint="eastAsia" w:cs="Times New Roman"/>
          <w:sz w:val="28"/>
          <w:szCs w:val="28"/>
          <w:lang w:eastAsia="zh-CN"/>
        </w:rPr>
        <w:t>统计种群数量</w:t>
      </w:r>
      <w:r>
        <w:rPr>
          <w:rFonts w:hint="eastAsia" w:ascii="Times New Roman" w:hAnsi="Times New Roman" w:cs="Times New Roman"/>
          <w:sz w:val="28"/>
          <w:szCs w:val="28"/>
          <w:lang w:val="en-US" w:eastAsia="zh-CN"/>
        </w:rPr>
        <w:t>的技术流程。</w:t>
      </w:r>
    </w:p>
    <w:p w14:paraId="0EB1BD09">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（5）</w:t>
      </w:r>
      <w:r>
        <w:rPr>
          <w:rFonts w:hint="eastAsia" w:ascii="Times New Roman" w:hAnsi="Times New Roman" w:cs="Times New Roman"/>
          <w:sz w:val="28"/>
          <w:szCs w:val="28"/>
          <w:lang w:val="en-US" w:eastAsia="zh-CN"/>
        </w:rPr>
        <w:t>监测范围、对象、时间和频次。主要</w:t>
      </w:r>
      <w:r>
        <w:rPr>
          <w:rFonts w:hint="eastAsia" w:ascii="Times New Roman" w:hAnsi="Times New Roman" w:cs="Times New Roman"/>
          <w:sz w:val="28"/>
          <w:szCs w:val="28"/>
          <w:lang w:eastAsia="zh-CN"/>
        </w:rPr>
        <w:t>给出了</w:t>
      </w:r>
      <w:r>
        <w:rPr>
          <w:rFonts w:hint="eastAsia" w:ascii="Times New Roman" w:hAnsi="Times New Roman" w:cs="Times New Roman"/>
          <w:color w:val="auto"/>
          <w:sz w:val="28"/>
          <w:szCs w:val="28"/>
          <w:highlight w:val="none"/>
          <w:lang w:eastAsia="zh-CN"/>
        </w:rPr>
        <w:t>监测范围、监测对象</w:t>
      </w:r>
      <w:r>
        <w:rPr>
          <w:rFonts w:hint="eastAsia" w:ascii="Times New Roman" w:hAnsi="Times New Roman" w:cs="Times New Roman"/>
          <w:sz w:val="28"/>
          <w:szCs w:val="28"/>
          <w:lang w:val="en-US" w:eastAsia="zh-CN"/>
        </w:rPr>
        <w:t>、</w:t>
      </w:r>
      <w:r>
        <w:rPr>
          <w:rFonts w:hint="eastAsia" w:cs="Times New Roman"/>
          <w:sz w:val="28"/>
          <w:szCs w:val="28"/>
          <w:lang w:eastAsia="zh-CN"/>
        </w:rPr>
        <w:t>监测时间</w:t>
      </w:r>
      <w:r>
        <w:rPr>
          <w:rFonts w:hint="eastAsia" w:ascii="Times New Roman" w:hAnsi="Times New Roman" w:cs="Times New Roman"/>
          <w:sz w:val="28"/>
          <w:szCs w:val="28"/>
          <w:lang w:val="en-US" w:eastAsia="zh-CN"/>
        </w:rPr>
        <w:t>、</w:t>
      </w:r>
      <w:r>
        <w:rPr>
          <w:rFonts w:hint="eastAsia" w:cs="Times New Roman"/>
          <w:sz w:val="28"/>
          <w:szCs w:val="28"/>
          <w:lang w:eastAsia="zh-CN"/>
        </w:rPr>
        <w:t>监测频次</w:t>
      </w:r>
      <w:r>
        <w:rPr>
          <w:rFonts w:hint="eastAsia" w:ascii="Times New Roman" w:hAnsi="Times New Roman" w:cs="Times New Roman"/>
          <w:sz w:val="28"/>
          <w:szCs w:val="28"/>
          <w:lang w:eastAsia="zh-CN"/>
        </w:rPr>
        <w:t>。</w:t>
      </w:r>
    </w:p>
    <w:p w14:paraId="02D3E6BE">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（6）监测器材。主要</w:t>
      </w:r>
      <w:r>
        <w:rPr>
          <w:rFonts w:hint="eastAsia" w:ascii="Times New Roman" w:hAnsi="Times New Roman" w:cs="Times New Roman"/>
          <w:sz w:val="28"/>
          <w:szCs w:val="28"/>
          <w:lang w:eastAsia="zh-CN"/>
        </w:rPr>
        <w:t>给出了</w:t>
      </w:r>
      <w:r>
        <w:rPr>
          <w:rFonts w:hint="eastAsia" w:cs="Times New Roman"/>
          <w:sz w:val="28"/>
          <w:szCs w:val="28"/>
          <w:lang w:eastAsia="zh-CN"/>
        </w:rPr>
        <w:t>监测地图</w:t>
      </w:r>
      <w:r>
        <w:rPr>
          <w:rFonts w:hint="eastAsia" w:ascii="Times New Roman" w:hAnsi="Times New Roman" w:cs="Times New Roman"/>
          <w:sz w:val="28"/>
          <w:szCs w:val="28"/>
          <w:lang w:val="en-US" w:eastAsia="zh-CN"/>
        </w:rPr>
        <w:t>、观测设备、</w:t>
      </w:r>
      <w:r>
        <w:rPr>
          <w:rFonts w:hint="eastAsia" w:ascii="Times New Roman" w:hAnsi="Times New Roman" w:cs="Times New Roman"/>
          <w:sz w:val="28"/>
          <w:szCs w:val="28"/>
          <w:lang w:eastAsia="zh-CN"/>
        </w:rPr>
        <w:t>混交方式 通讯设备、</w:t>
      </w:r>
      <w:r>
        <w:rPr>
          <w:rFonts w:hint="eastAsia" w:cs="Times New Roman"/>
          <w:sz w:val="28"/>
          <w:szCs w:val="28"/>
          <w:lang w:eastAsia="zh-CN"/>
        </w:rPr>
        <w:t>交通设备</w:t>
      </w:r>
      <w:r>
        <w:rPr>
          <w:rFonts w:hint="eastAsia" w:ascii="Times New Roman" w:hAnsi="Times New Roman" w:cs="Times New Roman"/>
          <w:sz w:val="28"/>
          <w:szCs w:val="28"/>
          <w:lang w:eastAsia="zh-CN"/>
        </w:rPr>
        <w:t>、记录及数据处理设备</w:t>
      </w:r>
      <w:r>
        <w:rPr>
          <w:rFonts w:hint="eastAsia" w:ascii="Times New Roman" w:hAnsi="Times New Roman" w:cs="Times New Roman"/>
          <w:sz w:val="28"/>
          <w:szCs w:val="28"/>
          <w:lang w:val="en-US" w:eastAsia="zh-CN"/>
        </w:rPr>
        <w:t xml:space="preserve">。 </w:t>
      </w:r>
    </w:p>
    <w:p w14:paraId="03D2D8C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sz w:val="28"/>
          <w:szCs w:val="28"/>
          <w:lang w:eastAsia="zh-CN"/>
        </w:rPr>
      </w:pPr>
      <w:bookmarkStart w:id="1" w:name="_Toc21153_WPSOffice_Level1"/>
      <w:r>
        <w:rPr>
          <w:rFonts w:hint="eastAsia" w:ascii="Times New Roman" w:hAnsi="Times New Roman" w:cs="Times New Roman"/>
          <w:sz w:val="28"/>
          <w:szCs w:val="28"/>
          <w:lang w:val="en-US" w:eastAsia="zh-CN"/>
        </w:rPr>
        <w:t>（7）</w:t>
      </w:r>
      <w:bookmarkStart w:id="2" w:name="_Toc155110141"/>
      <w:r>
        <w:rPr>
          <w:rFonts w:hint="eastAsia" w:ascii="Times New Roman" w:hAnsi="Times New Roman" w:cs="Times New Roman"/>
          <w:sz w:val="28"/>
          <w:szCs w:val="28"/>
          <w:lang w:val="en-US" w:eastAsia="zh-CN"/>
        </w:rPr>
        <w:t>监测方法</w:t>
      </w:r>
      <w:r>
        <w:rPr>
          <w:rFonts w:hint="eastAsia" w:ascii="Times New Roman" w:hAnsi="Times New Roman" w:cs="Times New Roman"/>
          <w:sz w:val="28"/>
          <w:szCs w:val="28"/>
          <w:lang w:eastAsia="zh-CN"/>
        </w:rPr>
        <w:t>。主要给出了</w:t>
      </w:r>
      <w:bookmarkEnd w:id="2"/>
      <w:r>
        <w:rPr>
          <w:rFonts w:hint="eastAsia" w:ascii="Times New Roman" w:hAnsi="Times New Roman" w:cs="Times New Roman"/>
          <w:sz w:val="28"/>
          <w:szCs w:val="28"/>
          <w:lang w:eastAsia="zh-CN"/>
        </w:rPr>
        <w:t>样线法、</w:t>
      </w:r>
      <w:bookmarkStart w:id="3" w:name="_Toc155110143"/>
      <w:bookmarkStart w:id="4" w:name="_Toc155110291"/>
      <w:bookmarkStart w:id="5" w:name="_Toc155110193"/>
      <w:r>
        <w:rPr>
          <w:rFonts w:hint="eastAsia" w:ascii="Times New Roman" w:hAnsi="Times New Roman" w:cs="Times New Roman"/>
          <w:sz w:val="28"/>
          <w:szCs w:val="28"/>
          <w:lang w:eastAsia="zh-CN"/>
        </w:rPr>
        <w:t>样点法</w:t>
      </w:r>
      <w:r>
        <w:rPr>
          <w:rFonts w:hint="eastAsia" w:ascii="Times New Roman" w:hAnsi="Times New Roman" w:cs="Times New Roman"/>
          <w:sz w:val="28"/>
          <w:szCs w:val="28"/>
          <w:lang w:val="en-US" w:eastAsia="zh-CN"/>
        </w:rPr>
        <w:t>、</w:t>
      </w:r>
      <w:bookmarkEnd w:id="3"/>
      <w:bookmarkEnd w:id="4"/>
      <w:bookmarkEnd w:id="5"/>
      <w:r>
        <w:rPr>
          <w:rFonts w:hint="eastAsia" w:ascii="Times New Roman" w:hAnsi="Times New Roman" w:cs="Times New Roman"/>
          <w:sz w:val="28"/>
          <w:szCs w:val="28"/>
          <w:lang w:val="en-US" w:eastAsia="zh-CN"/>
        </w:rPr>
        <w:t>分区直接计数法三种</w:t>
      </w:r>
      <w:r>
        <w:rPr>
          <w:rFonts w:hint="eastAsia" w:ascii="Times New Roman" w:hAnsi="Times New Roman" w:cs="Times New Roman"/>
          <w:sz w:val="28"/>
          <w:szCs w:val="28"/>
          <w:lang w:eastAsia="zh-CN"/>
        </w:rPr>
        <w:t>技术。</w:t>
      </w:r>
    </w:p>
    <w:p w14:paraId="1C0F8A28">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sz w:val="28"/>
          <w:szCs w:val="28"/>
          <w:lang w:val="en-US" w:eastAsia="zh-CN"/>
        </w:rPr>
      </w:pPr>
      <w:bookmarkStart w:id="6" w:name="_Toc5319"/>
      <w:bookmarkStart w:id="7" w:name="_Toc155110200"/>
      <w:bookmarkStart w:id="8" w:name="_Toc155110298"/>
      <w:bookmarkStart w:id="9" w:name="_Toc155110155"/>
      <w:r>
        <w:rPr>
          <w:rFonts w:hint="eastAsia" w:ascii="Times New Roman" w:hAnsi="Times New Roman" w:cs="Times New Roman"/>
          <w:sz w:val="28"/>
          <w:szCs w:val="28"/>
          <w:lang w:val="en-US" w:eastAsia="zh-CN"/>
        </w:rPr>
        <w:t>（8）</w:t>
      </w:r>
      <w:bookmarkEnd w:id="6"/>
      <w:bookmarkEnd w:id="7"/>
      <w:bookmarkEnd w:id="8"/>
      <w:bookmarkEnd w:id="9"/>
      <w:bookmarkStart w:id="10" w:name="_Toc155110201"/>
      <w:bookmarkStart w:id="11" w:name="_Toc155110299"/>
      <w:bookmarkStart w:id="12" w:name="_Toc155110156"/>
      <w:r>
        <w:rPr>
          <w:rFonts w:hint="eastAsia" w:ascii="Times New Roman" w:hAnsi="Times New Roman" w:cs="Times New Roman"/>
          <w:sz w:val="28"/>
          <w:szCs w:val="28"/>
          <w:lang w:val="en-US" w:eastAsia="zh-CN"/>
        </w:rPr>
        <w:t>监测要求</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主要给出监测条件、样线设置、样点设置、</w:t>
      </w:r>
      <w:bookmarkEnd w:id="10"/>
      <w:bookmarkEnd w:id="11"/>
      <w:bookmarkEnd w:id="12"/>
      <w:r>
        <w:rPr>
          <w:rFonts w:hint="eastAsia" w:ascii="Times New Roman" w:hAnsi="Times New Roman" w:cs="Times New Roman"/>
          <w:sz w:val="28"/>
          <w:szCs w:val="28"/>
          <w:lang w:val="en-US" w:eastAsia="zh-CN"/>
        </w:rPr>
        <w:t>分区直接计数法设置技术。</w:t>
      </w:r>
    </w:p>
    <w:p w14:paraId="0B6AEF33">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sz w:val="28"/>
          <w:szCs w:val="28"/>
          <w:lang w:val="en-US" w:eastAsia="zh-CN"/>
        </w:rPr>
      </w:pPr>
      <w:bookmarkStart w:id="13" w:name="_Toc17457"/>
      <w:bookmarkStart w:id="14" w:name="_Toc155110158"/>
      <w:bookmarkStart w:id="15" w:name="_Toc155110301"/>
      <w:bookmarkStart w:id="16" w:name="_Toc155110203"/>
      <w:r>
        <w:rPr>
          <w:rFonts w:hint="eastAsia" w:ascii="Times New Roman" w:hAnsi="Times New Roman" w:cs="Times New Roman"/>
          <w:sz w:val="28"/>
          <w:szCs w:val="28"/>
          <w:lang w:val="en-US" w:eastAsia="zh-CN"/>
        </w:rPr>
        <w:t>（9）</w:t>
      </w:r>
      <w:bookmarkEnd w:id="13"/>
      <w:bookmarkEnd w:id="14"/>
      <w:bookmarkEnd w:id="15"/>
      <w:bookmarkEnd w:id="16"/>
      <w:r>
        <w:rPr>
          <w:rFonts w:hint="eastAsia" w:ascii="Times New Roman" w:hAnsi="Times New Roman" w:cs="Times New Roman"/>
          <w:sz w:val="28"/>
          <w:szCs w:val="28"/>
          <w:lang w:val="en-US" w:eastAsia="zh-CN"/>
        </w:rPr>
        <w:t>数据处理与分析。主要给出了种群密度计算方法和种群数量统计方法。</w:t>
      </w:r>
    </w:p>
    <w:p w14:paraId="13D2E3C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（10）监测报告。给出了监测报告的格式与内容要求。</w:t>
      </w:r>
    </w:p>
    <w:p w14:paraId="610311A7">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（11）监测档案。给出了监测档案的建立内容，主要包括遗鸥种群监测范围和对象、监测时间和频次、监测器材、监测方法、监测要求、数据处理与分析。</w:t>
      </w:r>
    </w:p>
    <w:p w14:paraId="212583EB">
      <w:pPr>
        <w:pStyle w:val="2"/>
        <w:rPr>
          <w:rFonts w:hint="eastAsia" w:cs="Times New Roman"/>
          <w:sz w:val="28"/>
          <w:szCs w:val="28"/>
          <w:lang w:eastAsia="zh-CN"/>
        </w:rPr>
      </w:pPr>
    </w:p>
    <w:bookmarkEnd w:id="1"/>
    <w:p w14:paraId="5F91AA42">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Times New Roman" w:hAnsi="Times New Roman" w:cs="Times New Roman"/>
          <w:sz w:val="28"/>
          <w:szCs w:val="28"/>
          <w:lang w:val="en-US" w:eastAsia="zh-CN"/>
        </w:rPr>
      </w:pPr>
      <w:bookmarkStart w:id="17" w:name="_Toc20463_WPSOffice_Level1"/>
      <w:r>
        <w:rPr>
          <w:rFonts w:hint="eastAsia" w:ascii="Times New Roman" w:hAnsi="Times New Roman" w:cs="Times New Roman"/>
          <w:sz w:val="28"/>
          <w:szCs w:val="28"/>
          <w:lang w:val="en-US" w:eastAsia="zh-CN"/>
        </w:rPr>
        <w:t>附录。附录A：主要</w:t>
      </w:r>
      <w:bookmarkEnd w:id="17"/>
      <w:bookmarkStart w:id="18" w:name="_Toc15668_WPSOffice_Level1"/>
      <w:r>
        <w:rPr>
          <w:rFonts w:hint="eastAsia" w:ascii="Times New Roman" w:hAnsi="Times New Roman" w:cs="Times New Roman"/>
          <w:sz w:val="28"/>
          <w:szCs w:val="28"/>
          <w:lang w:val="en-US" w:eastAsia="zh-CN"/>
        </w:rPr>
        <w:t>给出了遗鸥与红碱淖基本情况介绍。附录B：给出了遗鸥野外动态监测记录表。附录 C：给出了遗鸥分区直接计数法动态监测记录表。</w:t>
      </w:r>
    </w:p>
    <w:bookmarkEnd w:id="18"/>
    <w:p w14:paraId="18B42C81">
      <w:pPr>
        <w:spacing w:line="560" w:lineRule="exact"/>
        <w:ind w:firstLine="562" w:firstLineChars="200"/>
        <w:jc w:val="both"/>
        <w:rPr>
          <w:rFonts w:hint="eastAsia" w:ascii="Times New Roman" w:hAnsi="Times New Roman" w:cs="Times New Roman"/>
          <w:b/>
          <w:sz w:val="28"/>
          <w:szCs w:val="28"/>
          <w:lang w:val="en-US" w:eastAsia="zh-CN"/>
        </w:rPr>
      </w:pPr>
      <w:r>
        <w:rPr>
          <w:rFonts w:hint="eastAsia" w:ascii="Times New Roman" w:hAnsi="Times New Roman" w:cs="Times New Roman"/>
          <w:b/>
          <w:sz w:val="28"/>
          <w:szCs w:val="28"/>
        </w:rPr>
        <w:t>三、试验验证</w:t>
      </w:r>
    </w:p>
    <w:p w14:paraId="61270221">
      <w:pPr>
        <w:adjustRightInd w:val="0"/>
        <w:snapToGrid w:val="0"/>
        <w:spacing w:line="560" w:lineRule="exact"/>
        <w:ind w:firstLine="560" w:firstLineChars="200"/>
        <w:jc w:val="both"/>
        <w:rPr>
          <w:b/>
          <w:bCs/>
          <w:color w:val="auto"/>
          <w:sz w:val="28"/>
          <w:szCs w:val="28"/>
          <w:highlight w:val="none"/>
        </w:rPr>
      </w:pPr>
      <w:r>
        <w:rPr>
          <w:rFonts w:hint="eastAsia" w:ascii="Times New Roman" w:hAnsi="Times New Roman" w:cs="Times New Roman"/>
          <w:sz w:val="28"/>
          <w:szCs w:val="28"/>
        </w:rPr>
        <w:t>本标准主要内容是在</w:t>
      </w:r>
      <w:r>
        <w:rPr>
          <w:rFonts w:hint="eastAsia" w:ascii="Times New Roman" w:hAnsi="Times New Roman" w:cs="Times New Roman"/>
          <w:sz w:val="28"/>
          <w:szCs w:val="28"/>
          <w:lang w:val="en-US" w:eastAsia="zh-CN"/>
        </w:rPr>
        <w:t>23年</w:t>
      </w:r>
      <w:r>
        <w:rPr>
          <w:rFonts w:hint="eastAsia" w:ascii="Times New Roman" w:hAnsi="Times New Roman" w:cs="Times New Roman"/>
          <w:sz w:val="28"/>
          <w:szCs w:val="28"/>
        </w:rPr>
        <w:t>实践经验的基础上</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在执行“红碱淖遗鸥种群动态监测与湿地保护技术研究”</w:t>
      </w:r>
      <w:r>
        <w:rPr>
          <w:rFonts w:hint="eastAsia" w:ascii="Times New Roman" w:hAnsi="Times New Roman" w:cs="Times New Roman"/>
          <w:sz w:val="28"/>
          <w:szCs w:val="28"/>
          <w:lang w:eastAsia="zh-CN"/>
        </w:rPr>
        <w:t>项目</w:t>
      </w:r>
      <w:r>
        <w:rPr>
          <w:rFonts w:hint="eastAsia" w:ascii="Times New Roman" w:hAnsi="Times New Roman" w:cs="Times New Roman"/>
          <w:sz w:val="28"/>
          <w:szCs w:val="28"/>
          <w:lang w:val="en-US" w:eastAsia="zh-CN"/>
        </w:rPr>
        <w:t>课题</w:t>
      </w:r>
      <w:r>
        <w:rPr>
          <w:rFonts w:hint="eastAsia" w:ascii="Times New Roman" w:hAnsi="Times New Roman" w:cs="Times New Roman"/>
          <w:sz w:val="28"/>
          <w:szCs w:val="28"/>
          <w:lang w:eastAsia="zh-CN"/>
        </w:rPr>
        <w:t>的</w:t>
      </w:r>
      <w:r>
        <w:rPr>
          <w:rFonts w:hint="eastAsia" w:ascii="Times New Roman" w:hAnsi="Times New Roman" w:cs="Times New Roman"/>
          <w:sz w:val="28"/>
          <w:szCs w:val="28"/>
        </w:rPr>
        <w:t>实践中，不断总结提炼。经</w:t>
      </w:r>
      <w:r>
        <w:rPr>
          <w:rFonts w:hint="eastAsia" w:ascii="Times New Roman" w:hAnsi="Times New Roman" w:cs="Times New Roman"/>
          <w:sz w:val="28"/>
          <w:szCs w:val="28"/>
          <w:lang w:eastAsia="zh-CN"/>
        </w:rPr>
        <w:t>过</w:t>
      </w:r>
      <w:r>
        <w:rPr>
          <w:rFonts w:hint="eastAsia" w:ascii="Times New Roman" w:hAnsi="Times New Roman" w:cs="Times New Roman"/>
          <w:sz w:val="28"/>
          <w:szCs w:val="28"/>
        </w:rPr>
        <w:t>在</w:t>
      </w:r>
      <w:r>
        <w:rPr>
          <w:rFonts w:hint="eastAsia" w:ascii="Times New Roman" w:hAnsi="Times New Roman" w:cs="Times New Roman"/>
          <w:sz w:val="28"/>
          <w:szCs w:val="28"/>
          <w:lang w:eastAsia="zh-CN"/>
        </w:rPr>
        <w:t>神木</w:t>
      </w:r>
      <w:r>
        <w:rPr>
          <w:rFonts w:hint="eastAsia" w:ascii="Times New Roman" w:hAnsi="Times New Roman" w:cs="Times New Roman"/>
          <w:sz w:val="28"/>
          <w:szCs w:val="28"/>
          <w:lang w:val="en-US" w:eastAsia="zh-CN"/>
        </w:rPr>
        <w:t>红碱淖这一世界上最大的遗鸥繁殖与栖息地，进行种群数量动态监测基础上验证证明了的</w:t>
      </w:r>
      <w:r>
        <w:rPr>
          <w:rFonts w:hint="eastAsia"/>
          <w:sz w:val="28"/>
          <w:szCs w:val="28"/>
        </w:rPr>
        <w:t>，具有准确度高，可靠性及操作性强等特点，实际推广取得了明显的社会效益、经济效益和生态效益，受到了基层业务部门和广大</w:t>
      </w:r>
      <w:r>
        <w:rPr>
          <w:rFonts w:hint="eastAsia"/>
          <w:sz w:val="28"/>
          <w:szCs w:val="28"/>
          <w:lang w:eastAsia="zh-CN"/>
        </w:rPr>
        <w:t>林</w:t>
      </w:r>
      <w:r>
        <w:rPr>
          <w:rFonts w:hint="eastAsia"/>
          <w:sz w:val="28"/>
          <w:szCs w:val="28"/>
        </w:rPr>
        <w:t>农的肯定与好评。</w:t>
      </w:r>
    </w:p>
    <w:p w14:paraId="2F096298">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sz w:val="28"/>
          <w:szCs w:val="28"/>
          <w:highlight w:val="none"/>
          <w:lang w:val="en-US" w:eastAsia="zh-CN"/>
        </w:rPr>
      </w:pPr>
      <w:r>
        <w:rPr>
          <w:rFonts w:hint="eastAsia"/>
          <w:sz w:val="28"/>
          <w:szCs w:val="28"/>
          <w:highlight w:val="none"/>
          <w:lang w:val="en-US" w:eastAsia="zh-CN"/>
        </w:rPr>
        <w:t>在</w:t>
      </w:r>
      <w:r>
        <w:rPr>
          <w:rFonts w:hint="eastAsia" w:ascii="Times New Roman" w:hAnsi="Times New Roman" w:cs="Times New Roman"/>
          <w:sz w:val="28"/>
          <w:szCs w:val="28"/>
          <w:lang w:val="en-US" w:eastAsia="zh-CN"/>
        </w:rPr>
        <w:t>遗鸥种群动态监测</w:t>
      </w:r>
      <w:r>
        <w:rPr>
          <w:rFonts w:hint="eastAsia"/>
          <w:sz w:val="28"/>
          <w:szCs w:val="28"/>
          <w:highlight w:val="none"/>
          <w:lang w:val="en-US" w:eastAsia="zh-CN"/>
        </w:rPr>
        <w:t>技术研究与技术推广方面，项目主导单位已有执行市级项目多个，积累并验证了本标准中的相关技术和经验。</w:t>
      </w:r>
    </w:p>
    <w:p w14:paraId="1F88E763">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default"/>
          <w:sz w:val="28"/>
          <w:szCs w:val="28"/>
          <w:highlight w:val="none"/>
          <w:lang w:val="en-US" w:eastAsia="zh-CN"/>
        </w:rPr>
      </w:pPr>
      <w:r>
        <w:rPr>
          <w:rFonts w:hint="eastAsia"/>
          <w:sz w:val="28"/>
          <w:szCs w:val="28"/>
          <w:highlight w:val="none"/>
          <w:lang w:val="en-US" w:eastAsia="zh-CN"/>
        </w:rPr>
        <w:t>（1）2020-2022年，2020年中央财政林业科技推广暨“榆林黄河沿岸困难立地造林技术示范”项目（编号SLTG[2020] 01号，资金100万元），承担单位：榆林市林业工作站，项目在佳县、绥德两地沿黄土石山区建立侧柏混交黄刺玫等景观树种示范林1100亩，技术推广神木、佳县、清涧、延安、韩城等地沿黄土石山区造林14.8万亩。2023年3月15日项目通过陕西省林业局验收。</w:t>
      </w:r>
    </w:p>
    <w:p w14:paraId="4628D822">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sz w:val="28"/>
          <w:szCs w:val="28"/>
          <w:highlight w:val="none"/>
          <w:lang w:val="en-US" w:eastAsia="zh-CN"/>
        </w:rPr>
      </w:pPr>
      <w:r>
        <w:rPr>
          <w:rFonts w:hint="eastAsia"/>
          <w:sz w:val="28"/>
          <w:szCs w:val="28"/>
          <w:highlight w:val="none"/>
          <w:lang w:val="en-US" w:eastAsia="zh-CN"/>
        </w:rPr>
        <w:t xml:space="preserve">（2）2021-2023年，2021年中央财政林业科技推广暨“榆林沿黄土石山区困难立地造林技术示范”项目 （编号SLTG[2021] 10号，资金100万元），承担单位：榆林市林业工作站，项目在吴堡、清涧两地沿黄土石山区建立侧柏混交黄刺玫等景观树种示范林1006亩，技术推广神木、佳县、清涧、延安、韩城等地沿黄土石山区造林17.8万亩。2024年1月4日项目通过陕西省林业局验收。                          </w:t>
      </w:r>
    </w:p>
    <w:p w14:paraId="44882650">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sz w:val="28"/>
          <w:szCs w:val="28"/>
          <w:highlight w:val="none"/>
          <w:lang w:val="en-US" w:eastAsia="zh-CN"/>
        </w:rPr>
      </w:pPr>
      <w:r>
        <w:rPr>
          <w:rFonts w:hint="eastAsia"/>
          <w:sz w:val="28"/>
          <w:szCs w:val="28"/>
          <w:highlight w:val="none"/>
          <w:lang w:val="en-US" w:eastAsia="zh-CN"/>
        </w:rPr>
        <w:t>项目的实施，为当前沿黄土石山区造林技术的推广与应用起到示范作用，为本标准的制定奠定了深厚基础。因此，本标准编制主要是依托联合申报单位，以及承担的2个“沿黄土石山区困难立地造林技术示范”项目应用实施情况，通过收集、查阅并整理了有关沿黄土石山区生态修复资料，系统总结沿黄土石山区困难立地植补恢复技术，形成了该标准。</w:t>
      </w:r>
    </w:p>
    <w:p w14:paraId="2BFEB312">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Times New Roman" w:hAnsi="Times New Roman" w:cs="Times New Roman"/>
          <w:sz w:val="28"/>
          <w:szCs w:val="28"/>
          <w:highlight w:val="none"/>
          <w:lang w:val="en-US" w:eastAsia="zh-CN"/>
        </w:rPr>
      </w:pPr>
      <w:r>
        <w:rPr>
          <w:rFonts w:hint="eastAsia" w:ascii="Times New Roman" w:hAnsi="Times New Roman" w:cs="Times New Roman"/>
          <w:sz w:val="28"/>
          <w:szCs w:val="28"/>
          <w:highlight w:val="none"/>
          <w:lang w:val="en-US" w:eastAsia="zh-CN"/>
        </w:rPr>
        <w:t>（3）验证结果</w:t>
      </w:r>
    </w:p>
    <w:p w14:paraId="6D5FC378">
      <w:pPr>
        <w:pStyle w:val="3"/>
        <w:keepNext w:val="0"/>
        <w:keepLines w:val="0"/>
        <w:pageBreakBefore w:val="0"/>
        <w:widowControl w:val="0"/>
        <w:kinsoku/>
        <w:wordWrap/>
        <w:overflowPunct/>
        <w:topLinePunct w:val="0"/>
        <w:autoSpaceDE/>
        <w:autoSpaceDN/>
        <w:bidi w:val="0"/>
        <w:adjustRightInd/>
        <w:snapToGrid/>
        <w:ind w:left="0" w:leftChars="0" w:firstLine="560" w:firstLineChars="200"/>
        <w:jc w:val="both"/>
        <w:textAlignment w:val="auto"/>
        <w:rPr>
          <w:rFonts w:hint="eastAsia" w:ascii="Times New Roman" w:hAnsi="Times New Roman" w:eastAsia="宋体" w:cs="Times New Roman"/>
          <w:kern w:val="2"/>
          <w:sz w:val="28"/>
          <w:szCs w:val="28"/>
          <w:lang w:val="en-US" w:eastAsia="zh-CN" w:bidi="ar-SA"/>
        </w:rPr>
      </w:pPr>
      <w:r>
        <w:rPr>
          <w:rFonts w:hint="eastAsia" w:ascii="Times New Roman" w:hAnsi="Times New Roman" w:eastAsia="宋体" w:cs="Times New Roman"/>
          <w:kern w:val="2"/>
          <w:sz w:val="28"/>
          <w:szCs w:val="28"/>
          <w:lang w:val="en-US" w:eastAsia="zh-CN" w:bidi="ar-SA"/>
        </w:rPr>
        <w:t>当乔木覆膜规格为1.</w:t>
      </w:r>
      <w:r>
        <w:rPr>
          <w:rFonts w:hint="eastAsia" w:ascii="Times New Roman" w:hAnsi="Times New Roman" w:cs="Times New Roman"/>
          <w:kern w:val="2"/>
          <w:sz w:val="28"/>
          <w:szCs w:val="28"/>
          <w:lang w:val="en-US" w:eastAsia="zh-CN" w:bidi="ar-SA"/>
        </w:rPr>
        <w:t>0</w:t>
      </w:r>
      <w:r>
        <w:rPr>
          <w:rFonts w:hint="eastAsia" w:ascii="Times New Roman" w:hAnsi="Times New Roman" w:eastAsia="宋体" w:cs="Times New Roman"/>
          <w:kern w:val="2"/>
          <w:sz w:val="28"/>
          <w:szCs w:val="28"/>
          <w:lang w:val="en-US" w:eastAsia="zh-CN" w:bidi="ar-SA"/>
        </w:rPr>
        <w:t>×0.8m、灌木覆膜规格为0.8×0.6m时，株高生长量和地径生长量两项指标值达到最大，植株生长最好。因此，对乔木来讲，坑长径1.</w:t>
      </w:r>
      <w:r>
        <w:rPr>
          <w:rFonts w:hint="eastAsia" w:ascii="Times New Roman" w:hAnsi="Times New Roman" w:cs="Times New Roman"/>
          <w:kern w:val="2"/>
          <w:sz w:val="28"/>
          <w:szCs w:val="28"/>
          <w:lang w:val="en-US" w:eastAsia="zh-CN" w:bidi="ar-SA"/>
        </w:rPr>
        <w:t>0</w:t>
      </w:r>
      <w:r>
        <w:rPr>
          <w:rFonts w:hint="eastAsia" w:ascii="Times New Roman" w:hAnsi="Times New Roman" w:eastAsia="宋体" w:cs="Times New Roman"/>
          <w:kern w:val="2"/>
          <w:sz w:val="28"/>
          <w:szCs w:val="28"/>
          <w:lang w:val="en-US" w:eastAsia="zh-CN" w:bidi="ar-SA"/>
        </w:rPr>
        <w:t xml:space="preserve"> m，短径0.8 m，坑深0.3 m~0.4 m；对灌木来讲，坑长径0.8 m，短径0.6 m，坑深0.3 m~0.4 m可作为</w:t>
      </w:r>
      <w:r>
        <w:rPr>
          <w:rFonts w:hint="eastAsia" w:ascii="Times New Roman" w:hAnsi="Times New Roman" w:cs="Times New Roman"/>
          <w:kern w:val="2"/>
          <w:sz w:val="28"/>
          <w:szCs w:val="28"/>
          <w:lang w:val="en-US" w:eastAsia="zh-CN" w:bidi="ar-SA"/>
        </w:rPr>
        <w:t>沿黄土石</w:t>
      </w:r>
      <w:r>
        <w:rPr>
          <w:rFonts w:hint="eastAsia" w:ascii="Times New Roman" w:hAnsi="Times New Roman" w:eastAsia="宋体" w:cs="Times New Roman"/>
          <w:kern w:val="2"/>
          <w:sz w:val="28"/>
          <w:szCs w:val="28"/>
          <w:lang w:val="en-US" w:eastAsia="zh-CN" w:bidi="ar-SA"/>
        </w:rPr>
        <w:t>山区石坎鱼鳞坑整地集雨水造林的最佳规格。</w:t>
      </w:r>
    </w:p>
    <w:p w14:paraId="2EE0D66E">
      <w:pPr>
        <w:pStyle w:val="3"/>
        <w:keepNext w:val="0"/>
        <w:keepLines w:val="0"/>
        <w:pageBreakBefore w:val="0"/>
        <w:widowControl w:val="0"/>
        <w:kinsoku/>
        <w:wordWrap/>
        <w:overflowPunct/>
        <w:topLinePunct w:val="0"/>
        <w:autoSpaceDE/>
        <w:autoSpaceDN/>
        <w:bidi w:val="0"/>
        <w:adjustRightInd/>
        <w:snapToGrid/>
        <w:ind w:left="0" w:leftChars="0" w:firstLine="480" w:firstLineChars="200"/>
        <w:jc w:val="center"/>
        <w:textAlignment w:val="auto"/>
        <w:rPr>
          <w:rFonts w:hint="default" w:ascii="Times New Roman" w:hAnsi="Times New Roman" w:eastAsia="宋体" w:cs="Times New Roman"/>
          <w:b/>
          <w:bCs/>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表1 石坎</w:t>
      </w:r>
      <w:r>
        <w:rPr>
          <w:rFonts w:hint="default" w:ascii="Times New Roman" w:hAnsi="Times New Roman" w:eastAsia="宋体" w:cs="Times New Roman"/>
          <w:b w:val="0"/>
          <w:bCs w:val="0"/>
          <w:kern w:val="2"/>
          <w:sz w:val="24"/>
          <w:szCs w:val="24"/>
          <w:lang w:val="en-US" w:eastAsia="zh-CN" w:bidi="ar-SA"/>
        </w:rPr>
        <w:t>鱼鳞坑整地不同集水处理土壤含水量对比</w:t>
      </w:r>
    </w:p>
    <w:tbl>
      <w:tblPr>
        <w:tblStyle w:val="6"/>
        <w:tblW w:w="81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94"/>
        <w:gridCol w:w="1244"/>
        <w:gridCol w:w="1183"/>
        <w:gridCol w:w="1571"/>
        <w:gridCol w:w="1081"/>
        <w:gridCol w:w="1104"/>
      </w:tblGrid>
      <w:tr w14:paraId="18F3F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blHeader/>
          <w:jc w:val="center"/>
        </w:trPr>
        <w:tc>
          <w:tcPr>
            <w:tcW w:w="199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D3E1DE8">
            <w:pPr>
              <w:pStyle w:val="5"/>
              <w:keepNext w:val="0"/>
              <w:keepLines w:val="0"/>
              <w:widowControl/>
              <w:suppressLineNumbers w:val="0"/>
              <w:kinsoku/>
              <w:wordWrap/>
              <w:overflowPunct/>
              <w:bidi w:val="0"/>
              <w:spacing w:before="0" w:beforeAutospacing="0" w:after="0" w:afterAutospacing="0"/>
              <w:ind w:left="0"/>
              <w:jc w:val="center"/>
              <w:textAlignment w:val="center"/>
              <w:rPr>
                <w:b w:val="0"/>
                <w:bCs w:val="0"/>
                <w:sz w:val="22"/>
                <w:szCs w:val="21"/>
              </w:rPr>
            </w:pPr>
            <w:r>
              <w:rPr>
                <w:rFonts w:hint="eastAsia" w:ascii="Times New Roman" w:hAnsi="宋体" w:eastAsia="宋体" w:cs="Times New Roman"/>
                <w:b w:val="0"/>
                <w:bCs w:val="0"/>
                <w:i w:val="0"/>
                <w:iCs w:val="0"/>
                <w:color w:val="000000"/>
                <w:kern w:val="24"/>
                <w:sz w:val="24"/>
                <w:szCs w:val="24"/>
                <w:u w:val="none"/>
              </w:rPr>
              <w:t>处理</w:t>
            </w:r>
          </w:p>
        </w:tc>
        <w:tc>
          <w:tcPr>
            <w:tcW w:w="124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E1125FA">
            <w:pPr>
              <w:pStyle w:val="5"/>
              <w:keepNext w:val="0"/>
              <w:keepLines w:val="0"/>
              <w:widowControl/>
              <w:suppressLineNumbers w:val="0"/>
              <w:kinsoku/>
              <w:wordWrap/>
              <w:overflowPunct/>
              <w:bidi w:val="0"/>
              <w:spacing w:before="0" w:beforeAutospacing="0" w:after="0" w:afterAutospacing="0"/>
              <w:ind w:left="0"/>
              <w:jc w:val="center"/>
              <w:textAlignment w:val="center"/>
              <w:rPr>
                <w:b w:val="0"/>
                <w:bCs w:val="0"/>
                <w:sz w:val="22"/>
                <w:szCs w:val="21"/>
              </w:rPr>
            </w:pPr>
            <w:r>
              <w:rPr>
                <w:rFonts w:hint="eastAsia" w:ascii="Times New Roman" w:hAnsi="宋体" w:eastAsia="宋体" w:cs="Times New Roman"/>
                <w:b w:val="0"/>
                <w:bCs w:val="0"/>
                <w:i w:val="0"/>
                <w:iCs w:val="0"/>
                <w:color w:val="000000"/>
                <w:kern w:val="24"/>
                <w:sz w:val="24"/>
                <w:szCs w:val="24"/>
                <w:u w:val="none"/>
              </w:rPr>
              <w:t>类型</w:t>
            </w:r>
          </w:p>
        </w:tc>
        <w:tc>
          <w:tcPr>
            <w:tcW w:w="1183"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803BD2F">
            <w:pPr>
              <w:pStyle w:val="5"/>
              <w:keepNext w:val="0"/>
              <w:keepLines w:val="0"/>
              <w:widowControl/>
              <w:suppressLineNumbers w:val="0"/>
              <w:kinsoku/>
              <w:wordWrap/>
              <w:overflowPunct/>
              <w:bidi w:val="0"/>
              <w:spacing w:before="0" w:beforeAutospacing="0" w:after="0" w:afterAutospacing="0"/>
              <w:ind w:left="0"/>
              <w:jc w:val="center"/>
              <w:textAlignment w:val="center"/>
              <w:rPr>
                <w:b w:val="0"/>
                <w:bCs w:val="0"/>
                <w:sz w:val="22"/>
                <w:szCs w:val="21"/>
              </w:rPr>
            </w:pPr>
            <w:r>
              <w:rPr>
                <w:rFonts w:hint="eastAsia" w:ascii="Times New Roman" w:hAnsi="宋体" w:eastAsia="宋体" w:cs="Times New Roman"/>
                <w:b w:val="0"/>
                <w:bCs w:val="0"/>
                <w:i w:val="0"/>
                <w:iCs w:val="0"/>
                <w:color w:val="000000"/>
                <w:kern w:val="24"/>
                <w:sz w:val="24"/>
                <w:szCs w:val="24"/>
                <w:u w:val="none"/>
              </w:rPr>
              <w:t>树种</w:t>
            </w:r>
          </w:p>
        </w:tc>
        <w:tc>
          <w:tcPr>
            <w:tcW w:w="3756" w:type="dxa"/>
            <w:gridSpan w:val="3"/>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369BCEE">
            <w:pPr>
              <w:pStyle w:val="5"/>
              <w:keepNext w:val="0"/>
              <w:keepLines w:val="0"/>
              <w:widowControl/>
              <w:suppressLineNumbers w:val="0"/>
              <w:kinsoku/>
              <w:wordWrap/>
              <w:overflowPunct/>
              <w:bidi w:val="0"/>
              <w:spacing w:before="0" w:beforeAutospacing="0" w:after="0" w:afterAutospacing="0"/>
              <w:ind w:left="0"/>
              <w:jc w:val="center"/>
              <w:textAlignment w:val="center"/>
              <w:rPr>
                <w:b w:val="0"/>
                <w:bCs w:val="0"/>
                <w:sz w:val="22"/>
                <w:szCs w:val="21"/>
              </w:rPr>
            </w:pPr>
            <w:r>
              <w:rPr>
                <w:rFonts w:hint="eastAsia" w:ascii="Times New Roman" w:hAnsi="宋体" w:eastAsia="宋体" w:cs="Times New Roman"/>
                <w:b w:val="0"/>
                <w:bCs w:val="0"/>
                <w:i w:val="0"/>
                <w:iCs w:val="0"/>
                <w:color w:val="000000"/>
                <w:kern w:val="24"/>
                <w:sz w:val="24"/>
                <w:szCs w:val="24"/>
                <w:u w:val="none"/>
              </w:rPr>
              <w:t>土壤含水量（</w:t>
            </w:r>
            <w:r>
              <w:rPr>
                <w:rFonts w:hint="default" w:ascii="Times New Roman" w:hAnsi="Times New Roman" w:eastAsia="宋体" w:cs="Times New Roman"/>
                <w:b w:val="0"/>
                <w:bCs w:val="0"/>
                <w:i w:val="0"/>
                <w:iCs w:val="0"/>
                <w:color w:val="000000"/>
                <w:kern w:val="24"/>
                <w:sz w:val="24"/>
                <w:szCs w:val="24"/>
                <w:u w:val="none"/>
              </w:rPr>
              <w:t>%</w:t>
            </w:r>
            <w:r>
              <w:rPr>
                <w:rFonts w:hint="eastAsia" w:ascii="Times New Roman" w:hAnsi="宋体" w:eastAsia="宋体" w:cs="Times New Roman"/>
                <w:b w:val="0"/>
                <w:bCs w:val="0"/>
                <w:i w:val="0"/>
                <w:iCs w:val="0"/>
                <w:color w:val="000000"/>
                <w:kern w:val="24"/>
                <w:sz w:val="24"/>
                <w:szCs w:val="24"/>
                <w:u w:val="none"/>
              </w:rPr>
              <w:t>）</w:t>
            </w:r>
          </w:p>
        </w:tc>
      </w:tr>
      <w:tr w14:paraId="6BE11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blHeader/>
          <w:jc w:val="center"/>
        </w:trPr>
        <w:tc>
          <w:tcPr>
            <w:tcW w:w="199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5EA0A8C">
            <w:pPr>
              <w:jc w:val="center"/>
              <w:rPr>
                <w:rFonts w:hint="eastAsia" w:ascii="Arial" w:hAnsi="Arial" w:cs="Arial"/>
                <w:b w:val="0"/>
                <w:bCs w:val="0"/>
                <w:i w:val="0"/>
                <w:iCs w:val="0"/>
                <w:color w:val="auto"/>
                <w:sz w:val="32"/>
                <w:szCs w:val="32"/>
                <w:u w:val="none"/>
              </w:rPr>
            </w:pPr>
          </w:p>
        </w:tc>
        <w:tc>
          <w:tcPr>
            <w:tcW w:w="124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E113129">
            <w:pPr>
              <w:jc w:val="center"/>
              <w:rPr>
                <w:rFonts w:hint="default" w:ascii="Arial" w:hAnsi="Arial" w:cs="Arial"/>
                <w:b w:val="0"/>
                <w:bCs w:val="0"/>
                <w:i w:val="0"/>
                <w:iCs w:val="0"/>
                <w:color w:val="auto"/>
                <w:sz w:val="32"/>
                <w:szCs w:val="32"/>
                <w:u w:val="none"/>
              </w:rPr>
            </w:pPr>
          </w:p>
        </w:tc>
        <w:tc>
          <w:tcPr>
            <w:tcW w:w="1183"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4AF22F0">
            <w:pPr>
              <w:jc w:val="center"/>
              <w:rPr>
                <w:rFonts w:hint="default" w:ascii="Arial" w:hAnsi="Arial" w:cs="Arial"/>
                <w:b w:val="0"/>
                <w:bCs w:val="0"/>
                <w:i w:val="0"/>
                <w:iCs w:val="0"/>
                <w:color w:val="auto"/>
                <w:sz w:val="32"/>
                <w:szCs w:val="32"/>
                <w:u w:val="none"/>
              </w:rPr>
            </w:pP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E6AF623">
            <w:pPr>
              <w:pStyle w:val="5"/>
              <w:keepNext w:val="0"/>
              <w:keepLines w:val="0"/>
              <w:widowControl/>
              <w:suppressLineNumbers w:val="0"/>
              <w:kinsoku/>
              <w:wordWrap/>
              <w:overflowPunct/>
              <w:bidi w:val="0"/>
              <w:spacing w:before="0" w:beforeAutospacing="0" w:after="0" w:afterAutospacing="0"/>
              <w:ind w:left="0"/>
              <w:jc w:val="center"/>
              <w:textAlignment w:val="center"/>
              <w:rPr>
                <w:rFonts w:hint="default" w:eastAsia="宋体"/>
                <w:b w:val="0"/>
                <w:bCs w:val="0"/>
                <w:sz w:val="22"/>
                <w:szCs w:val="21"/>
                <w:lang w:val="en-US" w:eastAsia="zh-CN"/>
              </w:rPr>
            </w:pPr>
            <w:r>
              <w:rPr>
                <w:rFonts w:hint="default" w:ascii="Times New Roman" w:hAnsi="Times New Roman" w:eastAsia="宋体" w:cs="Times New Roman"/>
                <w:b w:val="0"/>
                <w:bCs w:val="0"/>
                <w:i w:val="0"/>
                <w:iCs w:val="0"/>
                <w:color w:val="000000"/>
                <w:kern w:val="24"/>
                <w:sz w:val="24"/>
                <w:szCs w:val="24"/>
                <w:u w:val="none"/>
              </w:rPr>
              <w:t>0-20</w:t>
            </w:r>
            <w:r>
              <w:rPr>
                <w:rFonts w:hint="eastAsia" w:ascii="Times New Roman" w:hAnsi="Times New Roman" w:cs="Times New Roman"/>
                <w:b w:val="0"/>
                <w:bCs w:val="0"/>
                <w:i w:val="0"/>
                <w:iCs w:val="0"/>
                <w:color w:val="000000"/>
                <w:kern w:val="24"/>
                <w:sz w:val="24"/>
                <w:szCs w:val="24"/>
                <w:u w:val="none"/>
                <w:lang w:val="en-US" w:eastAsia="zh-CN"/>
              </w:rPr>
              <w:t>cm</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5DDDBFF">
            <w:pPr>
              <w:pStyle w:val="5"/>
              <w:keepNext w:val="0"/>
              <w:keepLines w:val="0"/>
              <w:widowControl/>
              <w:suppressLineNumbers w:val="0"/>
              <w:kinsoku/>
              <w:wordWrap/>
              <w:overflowPunct/>
              <w:bidi w:val="0"/>
              <w:spacing w:before="0" w:beforeAutospacing="0" w:after="0" w:afterAutospacing="0"/>
              <w:ind w:left="0"/>
              <w:jc w:val="center"/>
              <w:textAlignment w:val="center"/>
              <w:rPr>
                <w:rFonts w:hint="default" w:eastAsia="宋体"/>
                <w:b w:val="0"/>
                <w:bCs w:val="0"/>
                <w:sz w:val="22"/>
                <w:szCs w:val="21"/>
                <w:lang w:val="en-US" w:eastAsia="zh-CN"/>
              </w:rPr>
            </w:pPr>
            <w:r>
              <w:rPr>
                <w:rFonts w:hint="default" w:ascii="Times New Roman" w:hAnsi="Times New Roman" w:eastAsia="宋体" w:cs="Times New Roman"/>
                <w:b w:val="0"/>
                <w:bCs w:val="0"/>
                <w:i w:val="0"/>
                <w:iCs w:val="0"/>
                <w:color w:val="000000"/>
                <w:kern w:val="24"/>
                <w:sz w:val="24"/>
                <w:szCs w:val="24"/>
                <w:u w:val="none"/>
              </w:rPr>
              <w:t>20-40</w:t>
            </w:r>
            <w:r>
              <w:rPr>
                <w:rFonts w:hint="eastAsia" w:ascii="Times New Roman" w:hAnsi="Times New Roman" w:cs="Times New Roman"/>
                <w:b w:val="0"/>
                <w:bCs w:val="0"/>
                <w:i w:val="0"/>
                <w:iCs w:val="0"/>
                <w:color w:val="000000"/>
                <w:kern w:val="24"/>
                <w:sz w:val="24"/>
                <w:szCs w:val="24"/>
                <w:u w:val="none"/>
                <w:lang w:val="en-US" w:eastAsia="zh-CN"/>
              </w:rPr>
              <w:t>cm</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73A1C26">
            <w:pPr>
              <w:pStyle w:val="5"/>
              <w:keepNext w:val="0"/>
              <w:keepLines w:val="0"/>
              <w:widowControl/>
              <w:suppressLineNumbers w:val="0"/>
              <w:kinsoku/>
              <w:wordWrap/>
              <w:overflowPunct/>
              <w:bidi w:val="0"/>
              <w:spacing w:before="0" w:beforeAutospacing="0" w:after="0" w:afterAutospacing="0"/>
              <w:ind w:left="0"/>
              <w:jc w:val="center"/>
              <w:textAlignment w:val="center"/>
              <w:rPr>
                <w:rFonts w:hint="default" w:eastAsia="宋体"/>
                <w:b w:val="0"/>
                <w:bCs w:val="0"/>
                <w:sz w:val="22"/>
                <w:szCs w:val="21"/>
                <w:lang w:val="en-US" w:eastAsia="zh-CN"/>
              </w:rPr>
            </w:pPr>
            <w:r>
              <w:rPr>
                <w:rFonts w:hint="default" w:ascii="Times New Roman" w:hAnsi="Times New Roman" w:eastAsia="宋体" w:cs="Times New Roman"/>
                <w:b w:val="0"/>
                <w:bCs w:val="0"/>
                <w:i w:val="0"/>
                <w:iCs w:val="0"/>
                <w:color w:val="000000"/>
                <w:kern w:val="24"/>
                <w:sz w:val="24"/>
                <w:szCs w:val="24"/>
                <w:u w:val="none"/>
              </w:rPr>
              <w:t>40-60</w:t>
            </w:r>
            <w:r>
              <w:rPr>
                <w:rFonts w:hint="eastAsia" w:ascii="Times New Roman" w:hAnsi="Times New Roman" w:cs="Times New Roman"/>
                <w:b w:val="0"/>
                <w:bCs w:val="0"/>
                <w:i w:val="0"/>
                <w:iCs w:val="0"/>
                <w:color w:val="000000"/>
                <w:kern w:val="24"/>
                <w:sz w:val="24"/>
                <w:szCs w:val="24"/>
                <w:u w:val="none"/>
                <w:lang w:val="en-US" w:eastAsia="zh-CN"/>
              </w:rPr>
              <w:t>cm</w:t>
            </w:r>
          </w:p>
        </w:tc>
      </w:tr>
      <w:tr w14:paraId="4455F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7C22C64">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保水剂</w:t>
            </w:r>
            <w:r>
              <w:rPr>
                <w:rFonts w:hint="default" w:ascii="Times New Roman" w:hAnsi="Times New Roman" w:eastAsia="宋体" w:cs="Times New Roman"/>
                <w:b w:val="0"/>
                <w:bCs w:val="0"/>
                <w:i w:val="0"/>
                <w:iCs w:val="0"/>
                <w:color w:val="000000"/>
                <w:kern w:val="24"/>
                <w:sz w:val="24"/>
                <w:szCs w:val="24"/>
                <w:u w:val="none"/>
              </w:rPr>
              <w:t>B</w:t>
            </w:r>
          </w:p>
        </w:tc>
        <w:tc>
          <w:tcPr>
            <w:tcW w:w="124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4178874">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乔木</w:t>
            </w: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C858C73">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油松</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68F5929">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11.61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30E21FE">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12.99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07753C3">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13.23 </w:t>
            </w:r>
          </w:p>
        </w:tc>
      </w:tr>
      <w:tr w14:paraId="0CC07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2DD93C9">
            <w:pPr>
              <w:jc w:val="center"/>
              <w:rPr>
                <w:rFonts w:hint="default" w:ascii="Arial" w:hAnsi="Arial" w:cs="Arial"/>
                <w:i w:val="0"/>
                <w:iCs w:val="0"/>
                <w:color w:val="auto"/>
                <w:sz w:val="32"/>
                <w:szCs w:val="32"/>
                <w:u w:val="none"/>
              </w:rPr>
            </w:pPr>
          </w:p>
        </w:tc>
        <w:tc>
          <w:tcPr>
            <w:tcW w:w="124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62A4178">
            <w:pPr>
              <w:jc w:val="center"/>
              <w:rPr>
                <w:rFonts w:hint="default" w:ascii="Arial" w:hAnsi="Arial" w:cs="Arial"/>
                <w:i w:val="0"/>
                <w:iCs w:val="0"/>
                <w:color w:val="auto"/>
                <w:sz w:val="32"/>
                <w:szCs w:val="32"/>
                <w:u w:val="none"/>
              </w:rPr>
            </w:pP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D68F3B6">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侧柏</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401F04D">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9.97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321FE59">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11.11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4B6F895">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13.43 </w:t>
            </w:r>
          </w:p>
        </w:tc>
      </w:tr>
      <w:tr w14:paraId="795DA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2F499F0">
            <w:pPr>
              <w:jc w:val="center"/>
              <w:rPr>
                <w:rFonts w:hint="default" w:ascii="Arial" w:hAnsi="Arial" w:cs="Arial"/>
                <w:i w:val="0"/>
                <w:iCs w:val="0"/>
                <w:color w:val="auto"/>
                <w:sz w:val="32"/>
                <w:szCs w:val="32"/>
                <w:u w:val="none"/>
              </w:rPr>
            </w:pPr>
          </w:p>
        </w:tc>
        <w:tc>
          <w:tcPr>
            <w:tcW w:w="124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2680392">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灌木</w:t>
            </w: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42EB697">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柠条</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3198E91">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7.35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37021D3">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8.04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68D318B">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9.35 </w:t>
            </w:r>
          </w:p>
        </w:tc>
      </w:tr>
      <w:tr w14:paraId="5733A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FBA58A9">
            <w:pPr>
              <w:jc w:val="center"/>
              <w:rPr>
                <w:rFonts w:hint="default" w:ascii="Arial" w:hAnsi="Arial" w:cs="Arial"/>
                <w:i w:val="0"/>
                <w:iCs w:val="0"/>
                <w:color w:val="auto"/>
                <w:sz w:val="32"/>
                <w:szCs w:val="32"/>
                <w:u w:val="none"/>
              </w:rPr>
            </w:pPr>
          </w:p>
        </w:tc>
        <w:tc>
          <w:tcPr>
            <w:tcW w:w="124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7106198">
            <w:pPr>
              <w:jc w:val="center"/>
              <w:rPr>
                <w:rFonts w:hint="default" w:ascii="Arial" w:hAnsi="Arial" w:cs="Arial"/>
                <w:i w:val="0"/>
                <w:iCs w:val="0"/>
                <w:color w:val="auto"/>
                <w:sz w:val="32"/>
                <w:szCs w:val="32"/>
                <w:u w:val="none"/>
              </w:rPr>
            </w:pP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EE57A5E">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黄刺玫</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FABD157">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7.14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38ABBCF">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7.98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762C4A6">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8.89 </w:t>
            </w:r>
          </w:p>
        </w:tc>
      </w:tr>
      <w:tr w14:paraId="0DFAD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restart"/>
            <w:tcBorders>
              <w:top w:val="single" w:color="000000" w:sz="4" w:space="0"/>
              <w:left w:val="single" w:color="000000" w:sz="4" w:space="0"/>
              <w:right w:val="single" w:color="000000" w:sz="4" w:space="0"/>
            </w:tcBorders>
            <w:noWrap w:val="0"/>
            <w:tcMar>
              <w:top w:w="9" w:type="dxa"/>
              <w:left w:w="9" w:type="dxa"/>
              <w:right w:w="9" w:type="dxa"/>
            </w:tcMar>
            <w:vAlign w:val="center"/>
          </w:tcPr>
          <w:p w14:paraId="6B15F2EB">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覆膜</w:t>
            </w:r>
          </w:p>
        </w:tc>
        <w:tc>
          <w:tcPr>
            <w:tcW w:w="124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602DEC7">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乔木</w:t>
            </w: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7C84D12">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油松</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F7BE5BD">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12.42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DD705A4">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13.02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55D2AC0">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15.40 </w:t>
            </w:r>
          </w:p>
        </w:tc>
      </w:tr>
      <w:tr w14:paraId="3D691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continue"/>
            <w:tcBorders>
              <w:left w:val="single" w:color="000000" w:sz="4" w:space="0"/>
              <w:right w:val="single" w:color="000000" w:sz="4" w:space="0"/>
            </w:tcBorders>
            <w:noWrap w:val="0"/>
            <w:tcMar>
              <w:top w:w="9" w:type="dxa"/>
              <w:left w:w="9" w:type="dxa"/>
              <w:right w:w="9" w:type="dxa"/>
            </w:tcMar>
            <w:vAlign w:val="center"/>
          </w:tcPr>
          <w:p w14:paraId="7C415CAE">
            <w:pPr>
              <w:jc w:val="center"/>
              <w:rPr>
                <w:rFonts w:hint="default" w:ascii="Arial" w:hAnsi="Arial" w:cs="Arial"/>
                <w:i w:val="0"/>
                <w:iCs w:val="0"/>
                <w:color w:val="auto"/>
                <w:sz w:val="32"/>
                <w:szCs w:val="32"/>
                <w:u w:val="none"/>
              </w:rPr>
            </w:pPr>
          </w:p>
        </w:tc>
        <w:tc>
          <w:tcPr>
            <w:tcW w:w="124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2186F52">
            <w:pPr>
              <w:jc w:val="center"/>
              <w:rPr>
                <w:rFonts w:hint="default" w:ascii="Arial" w:hAnsi="Arial" w:cs="Arial"/>
                <w:i w:val="0"/>
                <w:iCs w:val="0"/>
                <w:color w:val="auto"/>
                <w:sz w:val="32"/>
                <w:szCs w:val="32"/>
                <w:u w:val="none"/>
              </w:rPr>
            </w:pP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1C617FE">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侧柏</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424F025">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11.49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5EC84C4">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13.93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8EFBC7E">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14.12 </w:t>
            </w:r>
          </w:p>
        </w:tc>
      </w:tr>
      <w:tr w14:paraId="6CB37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continue"/>
            <w:tcBorders>
              <w:left w:val="single" w:color="000000" w:sz="4" w:space="0"/>
              <w:right w:val="single" w:color="000000" w:sz="4" w:space="0"/>
            </w:tcBorders>
            <w:noWrap w:val="0"/>
            <w:tcMar>
              <w:top w:w="9" w:type="dxa"/>
              <w:left w:w="9" w:type="dxa"/>
              <w:right w:w="9" w:type="dxa"/>
            </w:tcMar>
            <w:vAlign w:val="center"/>
          </w:tcPr>
          <w:p w14:paraId="4E8F22C7">
            <w:pPr>
              <w:jc w:val="center"/>
              <w:rPr>
                <w:rFonts w:hint="default" w:ascii="Arial" w:hAnsi="Arial" w:cs="Arial"/>
                <w:i w:val="0"/>
                <w:iCs w:val="0"/>
                <w:color w:val="auto"/>
                <w:sz w:val="32"/>
                <w:szCs w:val="32"/>
                <w:u w:val="none"/>
              </w:rPr>
            </w:pPr>
          </w:p>
        </w:tc>
        <w:tc>
          <w:tcPr>
            <w:tcW w:w="124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1093F2C">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灌木</w:t>
            </w: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9C4E330">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柠条</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D706E5B">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6.99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ACFA14E">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7.06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8C3ABA9">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10.04 </w:t>
            </w:r>
          </w:p>
        </w:tc>
      </w:tr>
      <w:tr w14:paraId="33385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continue"/>
            <w:tcBorders>
              <w:left w:val="single" w:color="000000" w:sz="4" w:space="0"/>
              <w:bottom w:val="single" w:color="000000" w:sz="4" w:space="0"/>
              <w:right w:val="single" w:color="000000" w:sz="4" w:space="0"/>
            </w:tcBorders>
            <w:noWrap w:val="0"/>
            <w:tcMar>
              <w:top w:w="9" w:type="dxa"/>
              <w:left w:w="9" w:type="dxa"/>
              <w:right w:w="9" w:type="dxa"/>
            </w:tcMar>
            <w:vAlign w:val="center"/>
          </w:tcPr>
          <w:p w14:paraId="3DAFD483">
            <w:pPr>
              <w:jc w:val="center"/>
              <w:rPr>
                <w:rFonts w:hint="default" w:ascii="Arial" w:hAnsi="Arial" w:cs="Arial"/>
                <w:i w:val="0"/>
                <w:iCs w:val="0"/>
                <w:color w:val="auto"/>
                <w:sz w:val="32"/>
                <w:szCs w:val="32"/>
                <w:u w:val="none"/>
              </w:rPr>
            </w:pPr>
          </w:p>
        </w:tc>
        <w:tc>
          <w:tcPr>
            <w:tcW w:w="124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5AF5CC7">
            <w:pPr>
              <w:jc w:val="center"/>
              <w:rPr>
                <w:rFonts w:hint="default" w:ascii="Arial" w:hAnsi="Arial" w:cs="Arial"/>
                <w:i w:val="0"/>
                <w:iCs w:val="0"/>
                <w:color w:val="auto"/>
                <w:sz w:val="32"/>
                <w:szCs w:val="32"/>
                <w:u w:val="none"/>
              </w:rPr>
            </w:pP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EEA4E51">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黄刺玫</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427340F">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7.01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99E96AB">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8.24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D62C51E">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9.99 </w:t>
            </w:r>
          </w:p>
        </w:tc>
      </w:tr>
      <w:tr w14:paraId="7D2FE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396B57B">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对照</w:t>
            </w:r>
          </w:p>
          <w:p w14:paraId="1924F601">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（原状坡面）</w:t>
            </w:r>
          </w:p>
        </w:tc>
        <w:tc>
          <w:tcPr>
            <w:tcW w:w="124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C48A892">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乔木</w:t>
            </w: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BE3FFEB">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油松</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5DE02B9">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6.53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34AE011">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9.45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80E7821">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11.09 </w:t>
            </w:r>
          </w:p>
        </w:tc>
      </w:tr>
      <w:tr w14:paraId="7ED08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CD1C744">
            <w:pPr>
              <w:jc w:val="center"/>
              <w:rPr>
                <w:rFonts w:hint="default" w:ascii="Arial" w:hAnsi="Arial" w:cs="Arial"/>
                <w:i w:val="0"/>
                <w:iCs w:val="0"/>
                <w:color w:val="auto"/>
                <w:sz w:val="32"/>
                <w:szCs w:val="32"/>
                <w:u w:val="none"/>
              </w:rPr>
            </w:pPr>
          </w:p>
        </w:tc>
        <w:tc>
          <w:tcPr>
            <w:tcW w:w="124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5A3A7192">
            <w:pPr>
              <w:jc w:val="center"/>
              <w:rPr>
                <w:rFonts w:hint="default" w:ascii="Arial" w:hAnsi="Arial" w:cs="Arial"/>
                <w:i w:val="0"/>
                <w:iCs w:val="0"/>
                <w:color w:val="auto"/>
                <w:sz w:val="32"/>
                <w:szCs w:val="32"/>
                <w:u w:val="none"/>
              </w:rPr>
            </w:pP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EBAD310">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侧柏</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36AF63C4">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7.10 </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71F9C94">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9.74 </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7BAF434">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 xml:space="preserve">11.29 </w:t>
            </w:r>
          </w:p>
        </w:tc>
      </w:tr>
      <w:tr w14:paraId="6B173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199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12230F3">
            <w:pPr>
              <w:jc w:val="center"/>
              <w:rPr>
                <w:rFonts w:hint="default" w:ascii="Arial" w:hAnsi="Arial" w:cs="Arial"/>
                <w:i w:val="0"/>
                <w:iCs w:val="0"/>
                <w:color w:val="auto"/>
                <w:sz w:val="32"/>
                <w:szCs w:val="32"/>
                <w:u w:val="none"/>
              </w:rPr>
            </w:pPr>
          </w:p>
        </w:tc>
        <w:tc>
          <w:tcPr>
            <w:tcW w:w="1244" w:type="dxa"/>
            <w:vMerge w:val="restart"/>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77A4124">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灌木</w:t>
            </w: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7DFB603D">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柠条</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FC40E22">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6.46</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FA260D8">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7.58</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E2EBCB8">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8.99</w:t>
            </w:r>
          </w:p>
        </w:tc>
      </w:tr>
      <w:tr w14:paraId="0203D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1" w:hRule="atLeast"/>
          <w:jc w:val="center"/>
        </w:trPr>
        <w:tc>
          <w:tcPr>
            <w:tcW w:w="199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0D9F7A86">
            <w:pPr>
              <w:jc w:val="center"/>
              <w:rPr>
                <w:rFonts w:hint="default" w:ascii="Arial" w:hAnsi="Arial" w:cs="Arial"/>
                <w:i w:val="0"/>
                <w:iCs w:val="0"/>
                <w:color w:val="auto"/>
                <w:sz w:val="32"/>
                <w:szCs w:val="32"/>
                <w:u w:val="none"/>
              </w:rPr>
            </w:pPr>
          </w:p>
        </w:tc>
        <w:tc>
          <w:tcPr>
            <w:tcW w:w="1244" w:type="dxa"/>
            <w:vMerge w:val="continue"/>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6588B319">
            <w:pPr>
              <w:jc w:val="center"/>
              <w:rPr>
                <w:rFonts w:hint="default" w:ascii="Arial" w:hAnsi="Arial" w:cs="Arial"/>
                <w:i w:val="0"/>
                <w:iCs w:val="0"/>
                <w:color w:val="auto"/>
                <w:sz w:val="32"/>
                <w:szCs w:val="32"/>
                <w:u w:val="none"/>
              </w:rPr>
            </w:pPr>
          </w:p>
        </w:tc>
        <w:tc>
          <w:tcPr>
            <w:tcW w:w="1183"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237C4052">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eastAsia" w:ascii="Times New Roman" w:hAnsi="宋体" w:eastAsia="宋体" w:cs="Times New Roman"/>
                <w:b w:val="0"/>
                <w:bCs w:val="0"/>
                <w:i w:val="0"/>
                <w:iCs w:val="0"/>
                <w:color w:val="000000"/>
                <w:kern w:val="24"/>
                <w:sz w:val="24"/>
                <w:szCs w:val="24"/>
                <w:u w:val="none"/>
              </w:rPr>
              <w:t>黄刺玫</w:t>
            </w:r>
          </w:p>
        </w:tc>
        <w:tc>
          <w:tcPr>
            <w:tcW w:w="157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13F3CDBC">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5.34</w:t>
            </w:r>
          </w:p>
        </w:tc>
        <w:tc>
          <w:tcPr>
            <w:tcW w:w="1081"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85CF79D">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6.94</w:t>
            </w:r>
          </w:p>
        </w:tc>
        <w:tc>
          <w:tcPr>
            <w:tcW w:w="1104" w:type="dxa"/>
            <w:tcBorders>
              <w:top w:val="single" w:color="000000" w:sz="4" w:space="0"/>
              <w:left w:val="single" w:color="000000" w:sz="4" w:space="0"/>
              <w:bottom w:val="single" w:color="000000" w:sz="4" w:space="0"/>
              <w:right w:val="single" w:color="000000" w:sz="4" w:space="0"/>
            </w:tcBorders>
            <w:noWrap w:val="0"/>
            <w:tcMar>
              <w:top w:w="9" w:type="dxa"/>
              <w:left w:w="9" w:type="dxa"/>
              <w:right w:w="9" w:type="dxa"/>
            </w:tcMar>
            <w:vAlign w:val="center"/>
          </w:tcPr>
          <w:p w14:paraId="453CAEDB">
            <w:pPr>
              <w:pStyle w:val="5"/>
              <w:keepNext w:val="0"/>
              <w:keepLines w:val="0"/>
              <w:widowControl/>
              <w:suppressLineNumbers w:val="0"/>
              <w:kinsoku/>
              <w:wordWrap/>
              <w:overflowPunct/>
              <w:bidi w:val="0"/>
              <w:spacing w:before="0" w:beforeAutospacing="0" w:after="0" w:afterAutospacing="0"/>
              <w:ind w:left="0"/>
              <w:jc w:val="center"/>
              <w:textAlignment w:val="center"/>
              <w:rPr>
                <w:sz w:val="22"/>
                <w:szCs w:val="21"/>
              </w:rPr>
            </w:pPr>
            <w:r>
              <w:rPr>
                <w:rFonts w:hint="default" w:ascii="Times New Roman" w:hAnsi="Times New Roman" w:eastAsia="宋体" w:cs="Times New Roman"/>
                <w:b w:val="0"/>
                <w:bCs w:val="0"/>
                <w:i w:val="0"/>
                <w:iCs w:val="0"/>
                <w:color w:val="000000"/>
                <w:kern w:val="24"/>
                <w:sz w:val="24"/>
                <w:szCs w:val="24"/>
                <w:u w:val="none"/>
              </w:rPr>
              <w:t>9.05</w:t>
            </w:r>
          </w:p>
        </w:tc>
      </w:tr>
    </w:tbl>
    <w:p w14:paraId="05DFCFE8">
      <w:pPr>
        <w:pStyle w:val="3"/>
        <w:keepNext w:val="0"/>
        <w:keepLines w:val="0"/>
        <w:pageBreakBefore w:val="0"/>
        <w:widowControl w:val="0"/>
        <w:kinsoku/>
        <w:wordWrap/>
        <w:overflowPunct/>
        <w:topLinePunct w:val="0"/>
        <w:autoSpaceDE/>
        <w:autoSpaceDN/>
        <w:bidi w:val="0"/>
        <w:adjustRightInd/>
        <w:snapToGrid/>
        <w:ind w:left="0" w:leftChars="0" w:firstLine="560" w:firstLineChars="200"/>
        <w:jc w:val="both"/>
        <w:textAlignment w:val="auto"/>
        <w:rPr>
          <w:rFonts w:hint="default" w:ascii="Times New Roman" w:hAnsi="Times New Roman" w:eastAsia="宋体" w:cs="Times New Roman"/>
          <w:kern w:val="2"/>
          <w:sz w:val="28"/>
          <w:szCs w:val="28"/>
          <w:lang w:val="en-US" w:eastAsia="zh-CN" w:bidi="ar-SA"/>
        </w:rPr>
      </w:pPr>
      <w:r>
        <w:rPr>
          <w:rFonts w:hint="default" w:ascii="Times New Roman" w:hAnsi="Times New Roman" w:eastAsia="宋体" w:cs="Times New Roman"/>
          <w:kern w:val="2"/>
          <w:sz w:val="28"/>
          <w:szCs w:val="28"/>
          <w:lang w:val="en-US" w:eastAsia="zh-CN" w:bidi="ar-SA"/>
        </w:rPr>
        <w:t>数据分析表明，与CK相比，</w:t>
      </w:r>
      <w:r>
        <w:rPr>
          <w:rFonts w:hint="eastAsia" w:ascii="Times New Roman" w:hAnsi="Times New Roman" w:eastAsia="宋体" w:cs="Times New Roman"/>
          <w:kern w:val="2"/>
          <w:sz w:val="28"/>
          <w:szCs w:val="28"/>
          <w:lang w:val="en-US" w:eastAsia="zh-CN" w:bidi="ar-SA"/>
        </w:rPr>
        <w:t>石坎</w:t>
      </w:r>
      <w:r>
        <w:rPr>
          <w:rFonts w:hint="default" w:ascii="Times New Roman" w:hAnsi="Times New Roman" w:eastAsia="宋体" w:cs="Times New Roman"/>
          <w:kern w:val="2"/>
          <w:sz w:val="28"/>
          <w:szCs w:val="28"/>
          <w:lang w:val="en-US" w:eastAsia="zh-CN" w:bidi="ar-SA"/>
        </w:rPr>
        <w:t>鱼鳞坑整地模式下不同集水处理效果均有显著差异（P&lt;0.05），且都高于CK。土壤含水量随土层深度的增加而升高。</w:t>
      </w:r>
      <w:r>
        <w:rPr>
          <w:rFonts w:hint="eastAsia" w:ascii="Times New Roman" w:hAnsi="Times New Roman" w:cs="Times New Roman"/>
          <w:kern w:val="2"/>
          <w:sz w:val="28"/>
          <w:szCs w:val="28"/>
          <w:lang w:val="en-US" w:eastAsia="zh-CN" w:bidi="ar-SA"/>
        </w:rPr>
        <w:t>相应的植</w:t>
      </w:r>
      <w:r>
        <w:rPr>
          <w:rFonts w:hint="default" w:ascii="Times New Roman" w:hAnsi="Times New Roman" w:eastAsia="宋体" w:cs="Times New Roman"/>
          <w:kern w:val="2"/>
          <w:sz w:val="28"/>
          <w:szCs w:val="28"/>
          <w:lang w:val="en-US" w:eastAsia="zh-CN" w:bidi="ar-SA"/>
        </w:rPr>
        <w:t>株高生长量</w:t>
      </w:r>
      <w:r>
        <w:rPr>
          <w:rFonts w:hint="eastAsia" w:ascii="Times New Roman" w:hAnsi="Times New Roman" w:cs="Times New Roman"/>
          <w:kern w:val="2"/>
          <w:sz w:val="28"/>
          <w:szCs w:val="28"/>
          <w:lang w:val="en-US" w:eastAsia="zh-CN" w:bidi="ar-SA"/>
        </w:rPr>
        <w:t>直也较</w:t>
      </w:r>
      <w:r>
        <w:rPr>
          <w:rFonts w:hint="default" w:ascii="Times New Roman" w:hAnsi="Times New Roman" w:eastAsia="宋体" w:cs="Times New Roman"/>
          <w:kern w:val="2"/>
          <w:sz w:val="28"/>
          <w:szCs w:val="28"/>
          <w:lang w:val="en-US" w:eastAsia="zh-CN" w:bidi="ar-SA"/>
        </w:rPr>
        <w:t>大</w:t>
      </w:r>
      <w:r>
        <w:rPr>
          <w:rFonts w:hint="eastAsia" w:ascii="Times New Roman" w:hAnsi="Times New Roman" w:cs="Times New Roman"/>
          <w:kern w:val="2"/>
          <w:sz w:val="28"/>
          <w:szCs w:val="28"/>
          <w:lang w:val="en-US" w:eastAsia="zh-CN" w:bidi="ar-SA"/>
        </w:rPr>
        <w:t>，经测定，年高生长量方面，</w:t>
      </w:r>
      <w:r>
        <w:rPr>
          <w:rFonts w:hint="default" w:ascii="Times New Roman" w:hAnsi="Times New Roman" w:eastAsia="宋体" w:cs="Times New Roman"/>
          <w:kern w:val="2"/>
          <w:sz w:val="28"/>
          <w:szCs w:val="28"/>
          <w:lang w:val="en-US" w:eastAsia="zh-CN" w:bidi="ar-SA"/>
        </w:rPr>
        <w:t>油松</w:t>
      </w:r>
      <w:r>
        <w:rPr>
          <w:rFonts w:hint="eastAsia" w:ascii="Times New Roman" w:hAnsi="Times New Roman" w:cs="Times New Roman"/>
          <w:kern w:val="2"/>
          <w:sz w:val="28"/>
          <w:szCs w:val="28"/>
          <w:lang w:val="en-US" w:eastAsia="zh-CN" w:bidi="ar-SA"/>
        </w:rPr>
        <w:t>达到</w:t>
      </w:r>
      <w:r>
        <w:rPr>
          <w:rFonts w:hint="default" w:ascii="Times New Roman" w:hAnsi="Times New Roman" w:eastAsia="宋体" w:cs="Times New Roman"/>
          <w:kern w:val="2"/>
          <w:sz w:val="28"/>
          <w:szCs w:val="28"/>
          <w:lang w:val="en-US" w:eastAsia="zh-CN" w:bidi="ar-SA"/>
        </w:rPr>
        <w:t>36.79cm、侧柏</w:t>
      </w:r>
      <w:r>
        <w:rPr>
          <w:rFonts w:hint="eastAsia" w:ascii="Times New Roman" w:hAnsi="Times New Roman" w:cs="Times New Roman"/>
          <w:kern w:val="2"/>
          <w:sz w:val="28"/>
          <w:szCs w:val="28"/>
          <w:lang w:val="en-US" w:eastAsia="zh-CN" w:bidi="ar-SA"/>
        </w:rPr>
        <w:t>达到</w:t>
      </w:r>
      <w:r>
        <w:rPr>
          <w:rFonts w:hint="default" w:ascii="Times New Roman" w:hAnsi="Times New Roman" w:eastAsia="宋体" w:cs="Times New Roman"/>
          <w:kern w:val="2"/>
          <w:sz w:val="28"/>
          <w:szCs w:val="28"/>
          <w:lang w:val="en-US" w:eastAsia="zh-CN" w:bidi="ar-SA"/>
        </w:rPr>
        <w:t>33.15cm</w:t>
      </w:r>
      <w:r>
        <w:rPr>
          <w:rFonts w:hint="eastAsia" w:ascii="Times New Roman" w:hAnsi="Times New Roman" w:cs="Times New Roman"/>
          <w:kern w:val="2"/>
          <w:sz w:val="28"/>
          <w:szCs w:val="28"/>
          <w:lang w:val="en-US" w:eastAsia="zh-CN" w:bidi="ar-SA"/>
        </w:rPr>
        <w:t>，</w:t>
      </w:r>
      <w:r>
        <w:rPr>
          <w:rFonts w:hint="default" w:ascii="Times New Roman" w:hAnsi="Times New Roman" w:eastAsia="宋体" w:cs="Times New Roman"/>
          <w:kern w:val="2"/>
          <w:sz w:val="28"/>
          <w:szCs w:val="28"/>
          <w:lang w:val="en-US" w:eastAsia="zh-CN" w:bidi="ar-SA"/>
        </w:rPr>
        <w:t>柠条</w:t>
      </w:r>
      <w:r>
        <w:rPr>
          <w:rFonts w:hint="eastAsia" w:ascii="Times New Roman" w:hAnsi="Times New Roman" w:cs="Times New Roman"/>
          <w:kern w:val="2"/>
          <w:sz w:val="28"/>
          <w:szCs w:val="28"/>
          <w:lang w:val="en-US" w:eastAsia="zh-CN" w:bidi="ar-SA"/>
        </w:rPr>
        <w:t>达到</w:t>
      </w:r>
      <w:r>
        <w:rPr>
          <w:rFonts w:hint="default" w:ascii="Times New Roman" w:hAnsi="Times New Roman" w:eastAsia="宋体" w:cs="Times New Roman"/>
          <w:kern w:val="2"/>
          <w:sz w:val="28"/>
          <w:szCs w:val="28"/>
          <w:lang w:val="en-US" w:eastAsia="zh-CN" w:bidi="ar-SA"/>
        </w:rPr>
        <w:t>50.56cm、黄刺玫</w:t>
      </w:r>
      <w:r>
        <w:rPr>
          <w:rFonts w:hint="eastAsia" w:ascii="Times New Roman" w:hAnsi="Times New Roman" w:cs="Times New Roman"/>
          <w:kern w:val="2"/>
          <w:sz w:val="28"/>
          <w:szCs w:val="28"/>
          <w:lang w:val="en-US" w:eastAsia="zh-CN" w:bidi="ar-SA"/>
        </w:rPr>
        <w:t>达到</w:t>
      </w:r>
      <w:r>
        <w:rPr>
          <w:rFonts w:hint="default" w:ascii="Times New Roman" w:hAnsi="Times New Roman" w:eastAsia="宋体" w:cs="Times New Roman"/>
          <w:kern w:val="2"/>
          <w:sz w:val="28"/>
          <w:szCs w:val="28"/>
          <w:lang w:val="en-US" w:eastAsia="zh-CN" w:bidi="ar-SA"/>
        </w:rPr>
        <w:t>16.79cm。</w:t>
      </w:r>
    </w:p>
    <w:p w14:paraId="72BC9163">
      <w:pPr>
        <w:spacing w:line="560" w:lineRule="exact"/>
        <w:ind w:firstLine="562" w:firstLineChars="200"/>
        <w:jc w:val="both"/>
        <w:rPr>
          <w:rFonts w:hint="eastAsia" w:ascii="Times New Roman" w:hAnsi="Times New Roman" w:cs="Times New Roman"/>
          <w:b/>
          <w:sz w:val="28"/>
          <w:szCs w:val="28"/>
        </w:rPr>
      </w:pPr>
      <w:r>
        <w:rPr>
          <w:rFonts w:hint="eastAsia" w:ascii="Times New Roman" w:hAnsi="Times New Roman" w:cs="Times New Roman"/>
          <w:b/>
          <w:sz w:val="28"/>
          <w:szCs w:val="28"/>
        </w:rPr>
        <w:t>四、知识产权说明</w:t>
      </w:r>
    </w:p>
    <w:p w14:paraId="70EABABB">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rPr>
      </w:pPr>
      <w:r>
        <w:rPr>
          <w:rFonts w:hint="eastAsia"/>
          <w:sz w:val="28"/>
          <w:szCs w:val="28"/>
        </w:rPr>
        <w:t>拟</w:t>
      </w:r>
      <w:r>
        <w:rPr>
          <w:rFonts w:hint="eastAsia" w:ascii="Times New Roman" w:hAnsi="Times New Roman" w:eastAsia="宋体" w:cs="Times New Roman"/>
          <w:kern w:val="2"/>
          <w:sz w:val="28"/>
          <w:szCs w:val="28"/>
          <w:lang w:val="en-US" w:eastAsia="zh-CN" w:bidi="ar-SA"/>
        </w:rPr>
        <w:t>制定的《沿黄土石山区造林技术规范》</w:t>
      </w:r>
      <w:r>
        <w:rPr>
          <w:rFonts w:hint="eastAsia"/>
          <w:sz w:val="28"/>
          <w:szCs w:val="28"/>
        </w:rPr>
        <w:t>是在申请人长期从事、承担</w:t>
      </w:r>
      <w:r>
        <w:rPr>
          <w:rFonts w:hint="eastAsia"/>
          <w:sz w:val="28"/>
          <w:szCs w:val="28"/>
          <w:lang w:eastAsia="zh-CN"/>
        </w:rPr>
        <w:t>并</w:t>
      </w:r>
      <w:r>
        <w:rPr>
          <w:rFonts w:hint="eastAsia"/>
          <w:sz w:val="28"/>
          <w:szCs w:val="28"/>
        </w:rPr>
        <w:t>完成</w:t>
      </w:r>
      <w:r>
        <w:rPr>
          <w:rFonts w:hint="eastAsia"/>
          <w:sz w:val="28"/>
          <w:szCs w:val="28"/>
          <w:lang w:eastAsia="zh-CN"/>
        </w:rPr>
        <w:t>了</w:t>
      </w:r>
      <w:r>
        <w:rPr>
          <w:rFonts w:hint="eastAsia"/>
          <w:sz w:val="28"/>
          <w:szCs w:val="28"/>
        </w:rPr>
        <w:t>多项</w:t>
      </w:r>
      <w:r>
        <w:rPr>
          <w:rFonts w:hint="eastAsia" w:ascii="Times New Roman" w:hAnsi="Times New Roman" w:eastAsia="宋体" w:cs="Times New Roman"/>
          <w:kern w:val="2"/>
          <w:sz w:val="28"/>
          <w:szCs w:val="28"/>
          <w:lang w:val="en-US" w:eastAsia="zh-CN" w:bidi="ar-SA"/>
        </w:rPr>
        <w:t>沿黄土石山区</w:t>
      </w:r>
      <w:r>
        <w:rPr>
          <w:rFonts w:hint="eastAsia" w:ascii="Times New Roman" w:hAnsi="Times New Roman" w:cs="Times New Roman"/>
          <w:kern w:val="2"/>
          <w:sz w:val="28"/>
          <w:szCs w:val="28"/>
          <w:lang w:val="en-US" w:eastAsia="zh-CN" w:bidi="ar-SA"/>
        </w:rPr>
        <w:t>造林技术示范</w:t>
      </w:r>
      <w:r>
        <w:rPr>
          <w:rFonts w:hint="eastAsia"/>
          <w:sz w:val="28"/>
          <w:szCs w:val="28"/>
        </w:rPr>
        <w:t>推广项目</w:t>
      </w:r>
      <w:r>
        <w:rPr>
          <w:rFonts w:hint="eastAsia"/>
          <w:sz w:val="28"/>
          <w:szCs w:val="28"/>
          <w:lang w:eastAsia="zh-CN"/>
        </w:rPr>
        <w:t>、</w:t>
      </w:r>
      <w:r>
        <w:rPr>
          <w:rFonts w:hint="eastAsia"/>
          <w:sz w:val="28"/>
          <w:szCs w:val="28"/>
        </w:rPr>
        <w:t>获得多项创新成果和自主知识产权的基础上，充分借鉴和利用国内外最新的</w:t>
      </w:r>
      <w:r>
        <w:rPr>
          <w:rFonts w:hint="eastAsia"/>
          <w:sz w:val="28"/>
          <w:szCs w:val="28"/>
          <w:lang w:eastAsia="zh-CN"/>
        </w:rPr>
        <w:t>造林技术规程</w:t>
      </w:r>
      <w:r>
        <w:rPr>
          <w:rFonts w:hint="eastAsia"/>
          <w:sz w:val="28"/>
          <w:szCs w:val="28"/>
        </w:rPr>
        <w:t>来完成</w:t>
      </w:r>
      <w:r>
        <w:rPr>
          <w:rFonts w:hint="eastAsia"/>
          <w:sz w:val="28"/>
          <w:szCs w:val="28"/>
          <w:lang w:eastAsia="zh-CN"/>
        </w:rPr>
        <w:t>的</w:t>
      </w:r>
      <w:r>
        <w:rPr>
          <w:rFonts w:hint="eastAsia"/>
          <w:sz w:val="28"/>
          <w:szCs w:val="28"/>
        </w:rPr>
        <w:t>。截至目前</w:t>
      </w:r>
      <w:r>
        <w:rPr>
          <w:rFonts w:hint="eastAsia"/>
          <w:sz w:val="28"/>
          <w:szCs w:val="28"/>
          <w:lang w:eastAsia="zh-CN"/>
        </w:rPr>
        <w:t>，</w:t>
      </w:r>
      <w:r>
        <w:rPr>
          <w:rFonts w:hint="eastAsia"/>
          <w:sz w:val="28"/>
          <w:szCs w:val="28"/>
        </w:rPr>
        <w:t>国内外尚未见同类</w:t>
      </w:r>
      <w:r>
        <w:rPr>
          <w:rFonts w:hint="eastAsia"/>
          <w:sz w:val="28"/>
          <w:szCs w:val="28"/>
          <w:lang w:eastAsia="zh-CN"/>
        </w:rPr>
        <w:t>技术规程</w:t>
      </w:r>
      <w:r>
        <w:rPr>
          <w:rFonts w:hint="eastAsia"/>
          <w:sz w:val="28"/>
          <w:szCs w:val="28"/>
        </w:rPr>
        <w:t>的发布，不存在知识产权纠纷。</w:t>
      </w:r>
    </w:p>
    <w:p w14:paraId="132D1E48">
      <w:pPr>
        <w:spacing w:line="560" w:lineRule="exact"/>
        <w:ind w:firstLine="562" w:firstLineChars="200"/>
        <w:jc w:val="both"/>
      </w:pPr>
      <w:r>
        <w:rPr>
          <w:rFonts w:hint="eastAsia" w:ascii="Times New Roman" w:hAnsi="Times New Roman" w:cs="Times New Roman"/>
          <w:b/>
          <w:sz w:val="28"/>
          <w:szCs w:val="28"/>
        </w:rPr>
        <w:t>五、主要参考标准及技术资料</w:t>
      </w:r>
    </w:p>
    <w:p w14:paraId="6AAD4437">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eastAsia="宋体"/>
          <w:sz w:val="28"/>
          <w:szCs w:val="28"/>
          <w:lang w:eastAsia="zh-CN"/>
        </w:rPr>
      </w:pPr>
      <w:r>
        <w:rPr>
          <w:rFonts w:hint="eastAsia"/>
          <w:sz w:val="28"/>
          <w:szCs w:val="28"/>
        </w:rPr>
        <w:t>本标准在制定过程中，依据参考了以下标准的内容。</w:t>
      </w:r>
      <w:r>
        <w:rPr>
          <w:rFonts w:hint="eastAsia"/>
          <w:sz w:val="28"/>
          <w:szCs w:val="28"/>
          <w:lang w:val="en-US" w:eastAsia="zh-CN"/>
        </w:rPr>
        <w:t>G</w:t>
      </w:r>
      <w:r>
        <w:rPr>
          <w:rFonts w:hint="eastAsia"/>
          <w:sz w:val="28"/>
          <w:szCs w:val="28"/>
        </w:rPr>
        <w:t>B/ T</w:t>
      </w:r>
      <w:r>
        <w:rPr>
          <w:rFonts w:hint="eastAsia"/>
          <w:sz w:val="28"/>
          <w:szCs w:val="28"/>
          <w:lang w:val="en-US" w:eastAsia="zh-CN"/>
        </w:rPr>
        <w:t>15776</w:t>
      </w:r>
      <w:r>
        <w:rPr>
          <w:rFonts w:hint="eastAsia"/>
          <w:sz w:val="28"/>
          <w:szCs w:val="28"/>
        </w:rPr>
        <w:t>-20</w:t>
      </w:r>
      <w:r>
        <w:rPr>
          <w:rFonts w:hint="eastAsia"/>
          <w:sz w:val="28"/>
          <w:szCs w:val="28"/>
          <w:lang w:val="en-US" w:eastAsia="zh-CN"/>
        </w:rPr>
        <w:t>23</w:t>
      </w:r>
      <w:r>
        <w:rPr>
          <w:rFonts w:hint="eastAsia"/>
          <w:sz w:val="28"/>
          <w:szCs w:val="28"/>
        </w:rPr>
        <w:t>《</w:t>
      </w:r>
      <w:r>
        <w:rPr>
          <w:rFonts w:hint="eastAsia"/>
          <w:sz w:val="28"/>
          <w:szCs w:val="28"/>
          <w:lang w:eastAsia="zh-CN"/>
        </w:rPr>
        <w:t>造林</w:t>
      </w:r>
      <w:r>
        <w:rPr>
          <w:rFonts w:hint="eastAsia"/>
          <w:sz w:val="28"/>
          <w:szCs w:val="28"/>
        </w:rPr>
        <w:t>技术规程》</w:t>
      </w:r>
      <w:r>
        <w:rPr>
          <w:rFonts w:hint="eastAsia"/>
          <w:sz w:val="28"/>
          <w:szCs w:val="28"/>
          <w:lang w:eastAsia="zh-CN"/>
        </w:rPr>
        <w:t>的有关内容。</w:t>
      </w:r>
    </w:p>
    <w:p w14:paraId="2DC5FC55">
      <w:pPr>
        <w:adjustRightInd w:val="0"/>
        <w:spacing w:line="560" w:lineRule="exact"/>
        <w:ind w:firstLine="562" w:firstLineChars="200"/>
        <w:jc w:val="both"/>
        <w:rPr>
          <w:b/>
          <w:color w:val="000000"/>
          <w:sz w:val="28"/>
          <w:szCs w:val="28"/>
        </w:rPr>
      </w:pPr>
      <w:r>
        <w:rPr>
          <w:rFonts w:hint="eastAsia"/>
          <w:b/>
          <w:color w:val="000000"/>
          <w:sz w:val="28"/>
          <w:szCs w:val="28"/>
          <w:lang w:eastAsia="zh-CN"/>
        </w:rPr>
        <w:t>六</w:t>
      </w:r>
      <w:r>
        <w:rPr>
          <w:rFonts w:hint="eastAsia" w:ascii="Times New Roman" w:hAnsi="Times New Roman" w:cs="Times New Roman"/>
          <w:b/>
          <w:sz w:val="28"/>
          <w:szCs w:val="28"/>
        </w:rPr>
        <w:t>、</w:t>
      </w:r>
      <w:r>
        <w:rPr>
          <w:b/>
          <w:color w:val="000000"/>
          <w:sz w:val="28"/>
          <w:szCs w:val="28"/>
        </w:rPr>
        <w:t>重大分歧意见的处理经过和依据</w:t>
      </w:r>
    </w:p>
    <w:p w14:paraId="4BAF547E">
      <w:pPr>
        <w:adjustRightInd w:val="0"/>
        <w:spacing w:line="560" w:lineRule="exact"/>
        <w:ind w:firstLine="560" w:firstLineChars="200"/>
        <w:jc w:val="both"/>
        <w:rPr>
          <w:color w:val="000000"/>
          <w:sz w:val="28"/>
          <w:szCs w:val="28"/>
        </w:rPr>
      </w:pPr>
      <w:r>
        <w:rPr>
          <w:color w:val="000000"/>
          <w:sz w:val="28"/>
          <w:szCs w:val="28"/>
        </w:rPr>
        <w:t>本标准现处于征求意见阶段，欢迎</w:t>
      </w:r>
      <w:r>
        <w:rPr>
          <w:rFonts w:hint="eastAsia"/>
          <w:color w:val="000000"/>
          <w:sz w:val="28"/>
          <w:szCs w:val="28"/>
          <w:lang w:eastAsia="zh-CN"/>
        </w:rPr>
        <w:t>省内外</w:t>
      </w:r>
      <w:r>
        <w:rPr>
          <w:color w:val="000000"/>
          <w:sz w:val="28"/>
          <w:szCs w:val="28"/>
          <w:highlight w:val="none"/>
        </w:rPr>
        <w:t>有关科研、管理和生产单位提出修改意见。同时本标准属于推荐性</w:t>
      </w:r>
      <w:r>
        <w:rPr>
          <w:rFonts w:hint="eastAsia"/>
          <w:color w:val="000000"/>
          <w:sz w:val="28"/>
          <w:szCs w:val="28"/>
          <w:highlight w:val="none"/>
          <w:lang w:eastAsia="zh-CN"/>
        </w:rPr>
        <w:t>省</w:t>
      </w:r>
      <w:r>
        <w:rPr>
          <w:color w:val="000000"/>
          <w:sz w:val="28"/>
          <w:szCs w:val="28"/>
        </w:rPr>
        <w:t>级地方标准，所规定的技术内容和要求具有普遍指导作用，建议使用单位结合生产实际情况，加以灵活应用，有不同意见时欢迎与标准起草人员进行沟通与讨论，在沟通无果的情况下，可本着求同存异的理念加以应用，或修订、研发、执行新的适用技术标准。</w:t>
      </w:r>
    </w:p>
    <w:p w14:paraId="44DC2C32">
      <w:pPr>
        <w:adjustRightInd w:val="0"/>
        <w:spacing w:line="560" w:lineRule="exact"/>
        <w:ind w:firstLine="562" w:firstLineChars="200"/>
        <w:jc w:val="both"/>
        <w:rPr>
          <w:rFonts w:ascii="Times New Roman" w:hAnsi="Times New Roman" w:cs="Times New Roman"/>
          <w:b/>
          <w:color w:val="000000"/>
          <w:sz w:val="28"/>
          <w:szCs w:val="28"/>
        </w:rPr>
      </w:pPr>
      <w:r>
        <w:rPr>
          <w:rFonts w:hint="eastAsia" w:ascii="Times New Roman" w:hAnsi="Times New Roman" w:cs="Times New Roman"/>
          <w:b/>
          <w:color w:val="000000"/>
          <w:sz w:val="28"/>
          <w:szCs w:val="28"/>
        </w:rPr>
        <w:t>七、标准性质的建议说明</w:t>
      </w:r>
    </w:p>
    <w:p w14:paraId="75CF2B17">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rPr>
      </w:pPr>
      <w:r>
        <w:rPr>
          <w:rFonts w:hint="eastAsia"/>
          <w:sz w:val="28"/>
          <w:szCs w:val="28"/>
          <w:lang w:eastAsia="zh-CN"/>
        </w:rPr>
        <w:t>《</w:t>
      </w:r>
      <w:r>
        <w:rPr>
          <w:rFonts w:hint="eastAsia" w:ascii="Times New Roman" w:hAnsi="Times New Roman" w:eastAsia="宋体" w:cs="Times New Roman"/>
          <w:kern w:val="2"/>
          <w:sz w:val="28"/>
          <w:szCs w:val="28"/>
          <w:lang w:val="en-US" w:eastAsia="zh-CN" w:bidi="ar-SA"/>
        </w:rPr>
        <w:t>沿黄土石山区造林技术规范</w:t>
      </w:r>
      <w:r>
        <w:rPr>
          <w:rFonts w:hint="eastAsia"/>
          <w:sz w:val="28"/>
          <w:szCs w:val="28"/>
          <w:lang w:eastAsia="zh-CN"/>
        </w:rPr>
        <w:t>》</w:t>
      </w:r>
      <w:r>
        <w:rPr>
          <w:rFonts w:hint="eastAsia"/>
          <w:sz w:val="28"/>
          <w:szCs w:val="28"/>
        </w:rPr>
        <w:t>属于技术标准，旨在对</w:t>
      </w:r>
      <w:r>
        <w:rPr>
          <w:rFonts w:hint="eastAsia"/>
          <w:sz w:val="28"/>
          <w:szCs w:val="28"/>
          <w:lang w:eastAsia="zh-CN"/>
        </w:rPr>
        <w:t>陕西省沿黄土石山区防护林建设和生产</w:t>
      </w:r>
      <w:r>
        <w:rPr>
          <w:rFonts w:hint="eastAsia"/>
          <w:sz w:val="28"/>
          <w:szCs w:val="28"/>
        </w:rPr>
        <w:t>起到指导作用，提出的主要是技术要求，不涉及保障人体健康、人身、财产安全等具体指标。新标准实施的过程也是积累经验、找出差距与不足的过程。故建议发布为推荐性地方标准。</w:t>
      </w:r>
    </w:p>
    <w:p w14:paraId="541D79C6">
      <w:pPr>
        <w:adjustRightInd w:val="0"/>
        <w:spacing w:line="560" w:lineRule="exact"/>
        <w:ind w:firstLine="562" w:firstLineChars="200"/>
        <w:jc w:val="both"/>
        <w:rPr>
          <w:b/>
          <w:color w:val="000000"/>
          <w:sz w:val="28"/>
          <w:szCs w:val="28"/>
        </w:rPr>
      </w:pPr>
      <w:r>
        <w:rPr>
          <w:rFonts w:hint="eastAsia"/>
          <w:b/>
          <w:color w:val="000000"/>
          <w:sz w:val="28"/>
          <w:szCs w:val="28"/>
          <w:lang w:eastAsia="zh-CN"/>
        </w:rPr>
        <w:t>八、</w:t>
      </w:r>
      <w:r>
        <w:rPr>
          <w:b/>
          <w:color w:val="000000"/>
          <w:sz w:val="28"/>
          <w:szCs w:val="28"/>
        </w:rPr>
        <w:t>贯彻标准的要求、措施和建议，包括组织措施、技术措施、过渡办法等内容</w:t>
      </w:r>
    </w:p>
    <w:p w14:paraId="0A7D0605">
      <w:pPr>
        <w:adjustRightInd w:val="0"/>
        <w:spacing w:line="560" w:lineRule="exact"/>
        <w:ind w:firstLine="560" w:firstLineChars="200"/>
        <w:jc w:val="both"/>
        <w:rPr>
          <w:color w:val="000000"/>
          <w:sz w:val="28"/>
          <w:szCs w:val="28"/>
        </w:rPr>
      </w:pPr>
      <w:r>
        <w:rPr>
          <w:color w:val="000000"/>
          <w:sz w:val="28"/>
          <w:szCs w:val="28"/>
        </w:rPr>
        <w:t>建议我</w:t>
      </w:r>
      <w:r>
        <w:rPr>
          <w:rFonts w:hint="eastAsia"/>
          <w:color w:val="000000"/>
          <w:sz w:val="28"/>
          <w:szCs w:val="28"/>
          <w:highlight w:val="none"/>
          <w:lang w:val="en-US" w:eastAsia="zh-CN"/>
        </w:rPr>
        <w:t>省涉及沿黄土</w:t>
      </w:r>
      <w:r>
        <w:rPr>
          <w:rFonts w:hint="eastAsia" w:ascii="Times New Roman" w:hAnsi="Times New Roman" w:eastAsia="宋体" w:cs="Times New Roman"/>
          <w:kern w:val="2"/>
          <w:sz w:val="28"/>
          <w:szCs w:val="28"/>
          <w:lang w:val="en-US" w:eastAsia="zh-CN" w:bidi="ar-SA"/>
        </w:rPr>
        <w:t>石山区</w:t>
      </w:r>
      <w:r>
        <w:rPr>
          <w:rFonts w:hint="eastAsia" w:ascii="Times New Roman" w:hAnsi="Times New Roman" w:cs="Times New Roman"/>
          <w:kern w:val="2"/>
          <w:sz w:val="28"/>
          <w:szCs w:val="28"/>
          <w:lang w:val="en-US" w:eastAsia="zh-CN" w:bidi="ar-SA"/>
        </w:rPr>
        <w:t>的</w:t>
      </w:r>
      <w:r>
        <w:rPr>
          <w:color w:val="000000"/>
          <w:sz w:val="28"/>
          <w:szCs w:val="28"/>
        </w:rPr>
        <w:t>各级林业单位以项目的形式对本标准进行推广应用，通过建立示范点（示范片）进行辐射推广，同时，加强对标准使用指导与培训，让标准发挥应有的作用。</w:t>
      </w:r>
    </w:p>
    <w:p w14:paraId="4825C3C7">
      <w:pPr>
        <w:adjustRightInd w:val="0"/>
        <w:spacing w:line="560" w:lineRule="exact"/>
        <w:ind w:firstLine="562" w:firstLineChars="200"/>
        <w:jc w:val="both"/>
        <w:rPr>
          <w:b/>
          <w:color w:val="000000"/>
          <w:sz w:val="28"/>
          <w:szCs w:val="28"/>
        </w:rPr>
      </w:pPr>
      <w:r>
        <w:rPr>
          <w:rFonts w:hint="eastAsia"/>
          <w:b/>
          <w:color w:val="000000"/>
          <w:sz w:val="28"/>
          <w:szCs w:val="28"/>
          <w:lang w:eastAsia="zh-CN"/>
        </w:rPr>
        <w:t>九、</w:t>
      </w:r>
      <w:r>
        <w:rPr>
          <w:b/>
          <w:color w:val="000000"/>
          <w:sz w:val="28"/>
          <w:szCs w:val="28"/>
        </w:rPr>
        <w:t>废止现行有关标准的建议</w:t>
      </w:r>
    </w:p>
    <w:p w14:paraId="0B7F7128">
      <w:pPr>
        <w:adjustRightInd w:val="0"/>
        <w:spacing w:line="560" w:lineRule="exact"/>
        <w:ind w:firstLine="560" w:firstLineChars="200"/>
        <w:jc w:val="both"/>
        <w:rPr>
          <w:color w:val="000000"/>
          <w:sz w:val="28"/>
          <w:szCs w:val="28"/>
        </w:rPr>
      </w:pPr>
      <w:r>
        <w:rPr>
          <w:color w:val="000000"/>
          <w:sz w:val="28"/>
          <w:szCs w:val="28"/>
        </w:rPr>
        <w:t>无</w:t>
      </w:r>
    </w:p>
    <w:p w14:paraId="49CC0136">
      <w:pPr>
        <w:keepNext w:val="0"/>
        <w:keepLines w:val="0"/>
        <w:pageBreakBefore w:val="0"/>
        <w:widowControl/>
        <w:numPr>
          <w:ilvl w:val="0"/>
          <w:numId w:val="0"/>
        </w:numPr>
        <w:suppressLineNumbers w:val="0"/>
        <w:kinsoku/>
        <w:wordWrap/>
        <w:overflowPunct/>
        <w:topLinePunct w:val="0"/>
        <w:autoSpaceDE/>
        <w:autoSpaceDN/>
        <w:bidi w:val="0"/>
        <w:adjustRightInd/>
        <w:snapToGrid/>
        <w:ind w:firstLine="562" w:firstLineChars="200"/>
        <w:jc w:val="both"/>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十、其他应予说明的事项</w:t>
      </w:r>
    </w:p>
    <w:p w14:paraId="5E5A8631">
      <w:pPr>
        <w:adjustRightInd w:val="0"/>
        <w:spacing w:line="560" w:lineRule="exact"/>
        <w:ind w:firstLine="560" w:firstLineChars="200"/>
        <w:jc w:val="both"/>
        <w:rPr>
          <w:rFonts w:hint="eastAsia" w:ascii="Times New Roman" w:hAnsi="Times New Roman" w:cs="Times New Roman"/>
          <w:color w:val="000000"/>
          <w:sz w:val="28"/>
          <w:szCs w:val="28"/>
          <w:lang w:val="en-US" w:eastAsia="zh-CN"/>
        </w:rPr>
      </w:pPr>
      <w:r>
        <w:rPr>
          <w:rFonts w:hint="eastAsia" w:ascii="Times New Roman" w:hAnsi="Times New Roman" w:cs="Times New Roman"/>
          <w:color w:val="000000"/>
          <w:sz w:val="28"/>
          <w:szCs w:val="28"/>
          <w:lang w:val="en-US" w:eastAsia="zh-CN"/>
        </w:rPr>
        <w:t>无</w:t>
      </w:r>
    </w:p>
    <w:p w14:paraId="79B79019">
      <w:pPr>
        <w:snapToGrid w:val="0"/>
        <w:spacing w:line="560" w:lineRule="exact"/>
        <w:jc w:val="right"/>
        <w:rPr>
          <w:rFonts w:hint="eastAsia" w:ascii="宋体" w:hAnsi="宋体"/>
          <w:color w:val="000000"/>
          <w:sz w:val="28"/>
          <w:szCs w:val="28"/>
        </w:rPr>
      </w:pPr>
    </w:p>
    <w:p w14:paraId="0B001C0F">
      <w:pPr>
        <w:snapToGrid w:val="0"/>
        <w:spacing w:line="560" w:lineRule="exact"/>
        <w:jc w:val="right"/>
        <w:rPr>
          <w:rFonts w:hint="eastAsia" w:ascii="宋体" w:hAnsi="宋体"/>
          <w:color w:val="000000"/>
          <w:sz w:val="28"/>
          <w:szCs w:val="28"/>
        </w:rPr>
      </w:pPr>
    </w:p>
    <w:p w14:paraId="1BCF542E">
      <w:pPr>
        <w:snapToGrid w:val="0"/>
        <w:spacing w:line="560" w:lineRule="exact"/>
        <w:jc w:val="right"/>
        <w:rPr>
          <w:rFonts w:hint="eastAsia" w:ascii="宋体" w:hAnsi="宋体"/>
          <w:color w:val="000000"/>
          <w:sz w:val="28"/>
          <w:szCs w:val="28"/>
        </w:rPr>
      </w:pPr>
    </w:p>
    <w:p w14:paraId="69E3CCEE">
      <w:pPr>
        <w:snapToGrid w:val="0"/>
        <w:spacing w:line="560" w:lineRule="exact"/>
        <w:jc w:val="right"/>
        <w:rPr>
          <w:rFonts w:ascii="宋体" w:hAnsi="宋体"/>
          <w:color w:val="000000"/>
          <w:sz w:val="28"/>
          <w:szCs w:val="28"/>
        </w:rPr>
      </w:pPr>
      <w:r>
        <w:rPr>
          <w:rFonts w:hint="eastAsia" w:ascii="宋体" w:hAnsi="宋体"/>
          <w:color w:val="000000"/>
          <w:sz w:val="28"/>
          <w:szCs w:val="28"/>
        </w:rPr>
        <w:t>《</w:t>
      </w:r>
      <w:r>
        <w:rPr>
          <w:rFonts w:hint="eastAsia" w:ascii="Times New Roman" w:hAnsi="Times New Roman" w:eastAsia="宋体" w:cs="Times New Roman"/>
          <w:kern w:val="2"/>
          <w:sz w:val="28"/>
          <w:szCs w:val="28"/>
          <w:lang w:val="en-US" w:eastAsia="zh-CN" w:bidi="ar-SA"/>
        </w:rPr>
        <w:t>沿黄土石山区造林技术规范</w:t>
      </w:r>
      <w:r>
        <w:rPr>
          <w:rFonts w:hint="eastAsia" w:ascii="宋体" w:hAnsi="宋体"/>
          <w:color w:val="000000"/>
          <w:sz w:val="28"/>
          <w:szCs w:val="28"/>
        </w:rPr>
        <w:t>》起草</w:t>
      </w:r>
      <w:r>
        <w:rPr>
          <w:rFonts w:hint="eastAsia" w:ascii="宋体" w:hAnsi="宋体"/>
          <w:color w:val="000000"/>
          <w:sz w:val="28"/>
          <w:szCs w:val="28"/>
          <w:lang w:eastAsia="zh-CN"/>
        </w:rPr>
        <w:t>小</w:t>
      </w:r>
      <w:r>
        <w:rPr>
          <w:rFonts w:hint="eastAsia" w:ascii="宋体" w:hAnsi="宋体"/>
          <w:color w:val="000000"/>
          <w:sz w:val="28"/>
          <w:szCs w:val="28"/>
        </w:rPr>
        <w:t>组</w:t>
      </w:r>
    </w:p>
    <w:p w14:paraId="58D1130D">
      <w:pPr>
        <w:adjustRightInd w:val="0"/>
        <w:spacing w:line="560" w:lineRule="exact"/>
        <w:jc w:val="center"/>
        <w:rPr>
          <w:rFonts w:hint="eastAsia" w:ascii="宋体" w:hAnsi="宋体" w:eastAsia="宋体"/>
          <w:color w:val="000000"/>
          <w:sz w:val="28"/>
          <w:szCs w:val="28"/>
          <w:lang w:val="en-US" w:eastAsia="zh-CN"/>
        </w:rPr>
      </w:pPr>
      <w:r>
        <w:rPr>
          <w:rFonts w:hint="eastAsia" w:ascii="宋体" w:hAnsi="宋体"/>
          <w:color w:val="000000"/>
          <w:sz w:val="28"/>
          <w:szCs w:val="28"/>
          <w:lang w:val="en-US" w:eastAsia="zh-CN"/>
        </w:rPr>
        <w:t xml:space="preserve">                       2024</w:t>
      </w:r>
      <w:r>
        <w:rPr>
          <w:rFonts w:hint="eastAsia" w:ascii="宋体" w:hAnsi="宋体"/>
          <w:color w:val="000000"/>
          <w:sz w:val="28"/>
          <w:szCs w:val="28"/>
        </w:rPr>
        <w:t>年</w:t>
      </w:r>
      <w:r>
        <w:rPr>
          <w:rFonts w:hint="eastAsia" w:ascii="宋体" w:hAnsi="宋体"/>
          <w:color w:val="000000"/>
          <w:sz w:val="28"/>
          <w:szCs w:val="28"/>
          <w:lang w:val="en-US" w:eastAsia="zh-CN"/>
        </w:rPr>
        <w:t>11</w:t>
      </w:r>
      <w:r>
        <w:rPr>
          <w:rFonts w:hint="eastAsia" w:ascii="宋体" w:hAnsi="宋体"/>
          <w:color w:val="000000"/>
          <w:sz w:val="28"/>
          <w:szCs w:val="28"/>
        </w:rPr>
        <w:t>月</w:t>
      </w:r>
      <w:r>
        <w:rPr>
          <w:rFonts w:hint="eastAsia" w:ascii="宋体" w:hAnsi="宋体"/>
          <w:color w:val="000000"/>
          <w:sz w:val="28"/>
          <w:szCs w:val="28"/>
          <w:lang w:val="en-US" w:eastAsia="zh-CN"/>
        </w:rPr>
        <w:t>1日</w:t>
      </w:r>
    </w:p>
    <w:p w14:paraId="4C37703F"/>
    <w:p w14:paraId="344E44D2"/>
    <w:sectPr>
      <w:footerReference r:id="rId4" w:type="default"/>
      <w:pgSz w:w="11906" w:h="16838"/>
      <w:pgMar w:top="1440" w:right="17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8A61D">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A401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C91B">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C91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MDBhMTIzZDc1YTQ0M2Y1MGMzM2RiZDg2YTcwMTUifQ=="/>
  </w:docVars>
  <w:rsids>
    <w:rsidRoot w:val="044073DC"/>
    <w:rsid w:val="044073DC"/>
    <w:rsid w:val="1C737230"/>
    <w:rsid w:val="30AA27E5"/>
    <w:rsid w:val="346F6E14"/>
    <w:rsid w:val="3B4414C7"/>
    <w:rsid w:val="3D98669F"/>
    <w:rsid w:val="48681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8"/>
      <w:szCs w:val="28"/>
      <w:lang w:val="en-US" w:eastAsia="en-US" w:bidi="ar-SA"/>
    </w:rPr>
  </w:style>
  <w:style w:type="paragraph" w:styleId="3">
    <w:name w:val="table of authorities"/>
    <w:basedOn w:val="1"/>
    <w:next w:val="1"/>
    <w:qFormat/>
    <w:uiPriority w:val="0"/>
    <w:pPr>
      <w:ind w:left="420" w:leftChars="200"/>
    </w:pPr>
  </w:style>
  <w:style w:type="paragraph" w:styleId="4">
    <w:name w:val="footer"/>
    <w:basedOn w:val="1"/>
    <w:unhideWhenUsed/>
    <w:qFormat/>
    <w:uiPriority w:val="99"/>
    <w:pPr>
      <w:tabs>
        <w:tab w:val="center" w:pos="4153"/>
        <w:tab w:val="right" w:pos="8306"/>
      </w:tabs>
      <w:snapToGrid w:val="0"/>
    </w:pPr>
    <w:rPr>
      <w:sz w:val="18"/>
      <w:szCs w:val="18"/>
    </w:rPr>
  </w:style>
  <w:style w:type="paragraph" w:styleId="5">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customStyle="1" w:styleId="8">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7642</Words>
  <Characters>8187</Characters>
  <Lines>0</Lines>
  <Paragraphs>0</Paragraphs>
  <TotalTime>0</TotalTime>
  <ScaleCrop>false</ScaleCrop>
  <LinksUpToDate>false</LinksUpToDate>
  <CharactersWithSpaces>8302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2024-10-30T09:32:00Z</dcterms:created>
  <dc:creator>沙漠风</dc:creator>
  <cp:lastModifiedBy>棍儿</cp:lastModifiedBy>
  <dcterms:modified xsi:type="dcterms:W3CDTF">2024-11-05T08:22:21Z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96C5EE50EF6D424A9C41380E6E53AD8E_11</vt:lpwstr>
  </property>
</Properties>
</file>