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B0AC2">
      <w:pPr>
        <w:spacing w:line="360" w:lineRule="auto"/>
        <w:ind w:firstLine="6"/>
        <w:jc w:val="center"/>
        <w:rPr>
          <w:rFonts w:ascii="宋体" w:hAnsi="宋体"/>
          <w:b/>
          <w:sz w:val="28"/>
          <w:szCs w:val="28"/>
        </w:rPr>
      </w:pPr>
    </w:p>
    <w:p w14:paraId="1068046A">
      <w:pPr>
        <w:spacing w:line="720" w:lineRule="auto"/>
        <w:jc w:val="center"/>
        <w:rPr>
          <w:rFonts w:ascii="黑体" w:hAnsi="黑体" w:eastAsia="黑体" w:cs="宋体"/>
          <w:kern w:val="0"/>
          <w:sz w:val="44"/>
          <w:szCs w:val="44"/>
        </w:rPr>
      </w:pPr>
      <w:bookmarkStart w:id="0" w:name="_Hlk116149818"/>
    </w:p>
    <w:p w14:paraId="7DC776A2">
      <w:pPr>
        <w:spacing w:line="720" w:lineRule="auto"/>
        <w:jc w:val="center"/>
        <w:rPr>
          <w:rFonts w:hint="eastAsia" w:ascii="黑体" w:hAnsi="黑体" w:eastAsia="黑体" w:cs="宋体"/>
          <w:b/>
          <w:bCs/>
          <w:kern w:val="0"/>
          <w:sz w:val="44"/>
          <w:szCs w:val="44"/>
          <w:lang w:val="en-US" w:eastAsia="zh-CN"/>
        </w:rPr>
      </w:pPr>
      <w:r>
        <w:rPr>
          <w:rFonts w:hint="eastAsia" w:ascii="黑体" w:hAnsi="黑体" w:eastAsia="黑体" w:cs="宋体"/>
          <w:b/>
          <w:bCs/>
          <w:kern w:val="0"/>
          <w:sz w:val="44"/>
          <w:szCs w:val="44"/>
          <w:lang w:val="en-US" w:eastAsia="zh-CN"/>
        </w:rPr>
        <w:t>沿黄土石山区造林技术规范</w:t>
      </w:r>
      <w:bookmarkEnd w:id="0"/>
      <w:r>
        <w:rPr>
          <w:rFonts w:hint="eastAsia" w:ascii="黑体" w:hAnsi="黑体" w:eastAsia="黑体" w:cs="宋体"/>
          <w:b/>
          <w:bCs/>
          <w:kern w:val="0"/>
          <w:sz w:val="44"/>
          <w:szCs w:val="44"/>
          <w:lang w:val="en-US" w:eastAsia="zh-CN"/>
        </w:rPr>
        <w:t xml:space="preserve"> </w:t>
      </w:r>
    </w:p>
    <w:p w14:paraId="71BC2901">
      <w:pPr>
        <w:spacing w:line="720" w:lineRule="auto"/>
        <w:jc w:val="center"/>
        <w:rPr>
          <w:rFonts w:hint="eastAsia" w:ascii="黑体" w:hAnsi="黑体" w:eastAsia="黑体" w:cs="宋体"/>
          <w:kern w:val="0"/>
          <w:sz w:val="44"/>
          <w:szCs w:val="44"/>
          <w:lang w:val="en-US" w:eastAsia="zh-CN"/>
        </w:rPr>
      </w:pPr>
    </w:p>
    <w:p w14:paraId="6859853D">
      <w:pPr>
        <w:spacing w:line="720" w:lineRule="auto"/>
        <w:jc w:val="center"/>
        <w:rPr>
          <w:rFonts w:hint="eastAsia" w:ascii="黑体" w:hAnsi="黑体" w:eastAsia="黑体" w:cs="Times New Roman"/>
          <w:bCs/>
          <w:sz w:val="40"/>
          <w:szCs w:val="40"/>
        </w:rPr>
      </w:pPr>
      <w:r>
        <w:rPr>
          <w:rFonts w:hint="eastAsia" w:ascii="黑体" w:hAnsi="黑体" w:eastAsia="黑体" w:cs="Times New Roman"/>
          <w:bCs/>
          <w:sz w:val="40"/>
          <w:szCs w:val="40"/>
        </w:rPr>
        <w:t>编制说明</w:t>
      </w:r>
    </w:p>
    <w:p w14:paraId="6AAAEE5A">
      <w:pPr>
        <w:spacing w:line="360" w:lineRule="auto"/>
        <w:jc w:val="center"/>
        <w:rPr>
          <w:rFonts w:ascii="宋体" w:hAnsi="宋体"/>
          <w:sz w:val="28"/>
          <w:szCs w:val="28"/>
        </w:rPr>
      </w:pPr>
    </w:p>
    <w:p w14:paraId="3D951FC9">
      <w:pPr>
        <w:spacing w:line="360" w:lineRule="auto"/>
        <w:jc w:val="center"/>
        <w:rPr>
          <w:rFonts w:ascii="宋体" w:hAnsi="宋体"/>
          <w:sz w:val="28"/>
          <w:szCs w:val="28"/>
        </w:rPr>
      </w:pPr>
    </w:p>
    <w:p w14:paraId="4BB7C100">
      <w:pPr>
        <w:spacing w:line="360" w:lineRule="auto"/>
        <w:jc w:val="center"/>
        <w:rPr>
          <w:rFonts w:ascii="宋体" w:hAnsi="宋体"/>
          <w:sz w:val="28"/>
          <w:szCs w:val="28"/>
        </w:rPr>
      </w:pPr>
    </w:p>
    <w:p w14:paraId="1391A7A8">
      <w:pPr>
        <w:spacing w:line="360" w:lineRule="auto"/>
        <w:jc w:val="center"/>
        <w:rPr>
          <w:rFonts w:hint="eastAsia" w:ascii="宋体" w:hAnsi="宋体"/>
          <w:sz w:val="28"/>
          <w:szCs w:val="28"/>
        </w:rPr>
      </w:pPr>
    </w:p>
    <w:tbl>
      <w:tblPr>
        <w:tblStyle w:val="5"/>
        <w:tblW w:w="0" w:type="auto"/>
        <w:jc w:val="right"/>
        <w:tblLayout w:type="autofit"/>
        <w:tblCellMar>
          <w:top w:w="0" w:type="dxa"/>
          <w:left w:w="108" w:type="dxa"/>
          <w:bottom w:w="0" w:type="dxa"/>
          <w:right w:w="108" w:type="dxa"/>
        </w:tblCellMar>
      </w:tblPr>
      <w:tblGrid>
        <w:gridCol w:w="3045"/>
        <w:gridCol w:w="538"/>
        <w:gridCol w:w="5703"/>
      </w:tblGrid>
      <w:tr w14:paraId="6C49FE5E">
        <w:tblPrEx>
          <w:tblCellMar>
            <w:top w:w="0" w:type="dxa"/>
            <w:left w:w="108" w:type="dxa"/>
            <w:bottom w:w="0" w:type="dxa"/>
            <w:right w:w="108" w:type="dxa"/>
          </w:tblCellMar>
        </w:tblPrEx>
        <w:trPr>
          <w:jc w:val="right"/>
        </w:trPr>
        <w:tc>
          <w:tcPr>
            <w:tcW w:w="3045" w:type="dxa"/>
            <w:noWrap w:val="0"/>
            <w:vAlign w:val="bottom"/>
          </w:tcPr>
          <w:p w14:paraId="099BC60B">
            <w:pPr>
              <w:spacing w:line="720" w:lineRule="auto"/>
              <w:jc w:val="both"/>
              <w:rPr>
                <w:b/>
                <w:bCs/>
                <w:sz w:val="32"/>
                <w:szCs w:val="32"/>
              </w:rPr>
            </w:pPr>
            <w:r>
              <w:rPr>
                <w:b/>
                <w:bCs/>
                <w:sz w:val="32"/>
                <w:szCs w:val="32"/>
              </w:rPr>
              <w:t>项目编号</w:t>
            </w:r>
          </w:p>
        </w:tc>
        <w:tc>
          <w:tcPr>
            <w:tcW w:w="538" w:type="dxa"/>
            <w:noWrap w:val="0"/>
            <w:vAlign w:val="top"/>
          </w:tcPr>
          <w:p w14:paraId="4E2E60CF">
            <w:pPr>
              <w:spacing w:line="720" w:lineRule="auto"/>
              <w:rPr>
                <w:b/>
                <w:bCs/>
                <w:sz w:val="32"/>
                <w:szCs w:val="32"/>
              </w:rPr>
            </w:pPr>
            <w:r>
              <w:rPr>
                <w:b/>
                <w:bCs/>
                <w:sz w:val="32"/>
                <w:szCs w:val="32"/>
              </w:rPr>
              <w:t>：</w:t>
            </w:r>
          </w:p>
        </w:tc>
        <w:tc>
          <w:tcPr>
            <w:tcW w:w="5703" w:type="dxa"/>
            <w:noWrap w:val="0"/>
            <w:vAlign w:val="bottom"/>
          </w:tcPr>
          <w:p w14:paraId="73FDE10C">
            <w:pPr>
              <w:spacing w:line="720" w:lineRule="auto"/>
              <w:jc w:val="center"/>
              <w:rPr>
                <w:b/>
                <w:bCs/>
                <w:sz w:val="32"/>
                <w:szCs w:val="32"/>
              </w:rPr>
            </w:pPr>
            <w:r>
              <w:rPr>
                <w:rFonts w:hint="eastAsia"/>
                <w:b/>
                <w:bCs/>
                <w:sz w:val="32"/>
                <w:szCs w:val="32"/>
                <w:highlight w:val="none"/>
              </w:rPr>
              <w:t>SDBXM 267-2024</w:t>
            </w:r>
          </w:p>
        </w:tc>
      </w:tr>
      <w:tr w14:paraId="44793AAE">
        <w:tblPrEx>
          <w:tblCellMar>
            <w:top w:w="0" w:type="dxa"/>
            <w:left w:w="108" w:type="dxa"/>
            <w:bottom w:w="0" w:type="dxa"/>
            <w:right w:w="108" w:type="dxa"/>
          </w:tblCellMar>
        </w:tblPrEx>
        <w:trPr>
          <w:trHeight w:val="934" w:hRule="atLeast"/>
          <w:jc w:val="right"/>
        </w:trPr>
        <w:tc>
          <w:tcPr>
            <w:tcW w:w="3045" w:type="dxa"/>
            <w:noWrap w:val="0"/>
            <w:vAlign w:val="bottom"/>
          </w:tcPr>
          <w:p w14:paraId="11750A7B">
            <w:pPr>
              <w:spacing w:line="720" w:lineRule="auto"/>
              <w:jc w:val="both"/>
              <w:rPr>
                <w:b/>
                <w:bCs/>
                <w:sz w:val="32"/>
                <w:szCs w:val="32"/>
              </w:rPr>
            </w:pPr>
            <w:r>
              <w:rPr>
                <w:b/>
                <w:bCs/>
                <w:sz w:val="32"/>
                <w:szCs w:val="32"/>
              </w:rPr>
              <w:t>项目名称</w:t>
            </w:r>
          </w:p>
        </w:tc>
        <w:tc>
          <w:tcPr>
            <w:tcW w:w="538" w:type="dxa"/>
            <w:noWrap w:val="0"/>
            <w:vAlign w:val="top"/>
          </w:tcPr>
          <w:p w14:paraId="434FBBA8">
            <w:pPr>
              <w:spacing w:line="720" w:lineRule="auto"/>
              <w:rPr>
                <w:b/>
                <w:bCs/>
                <w:sz w:val="32"/>
                <w:szCs w:val="32"/>
              </w:rPr>
            </w:pPr>
            <w:r>
              <w:rPr>
                <w:b/>
                <w:bCs/>
                <w:sz w:val="32"/>
                <w:szCs w:val="32"/>
              </w:rPr>
              <w:t>：</w:t>
            </w:r>
          </w:p>
        </w:tc>
        <w:tc>
          <w:tcPr>
            <w:tcW w:w="5703" w:type="dxa"/>
            <w:noWrap w:val="0"/>
            <w:vAlign w:val="bottom"/>
          </w:tcPr>
          <w:p w14:paraId="6AFD5D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sz w:val="32"/>
                <w:szCs w:val="32"/>
                <w:lang w:val="en-US" w:eastAsia="zh-CN"/>
              </w:rPr>
            </w:pPr>
            <w:r>
              <w:rPr>
                <w:rFonts w:hint="eastAsia"/>
                <w:b/>
                <w:bCs/>
                <w:sz w:val="32"/>
                <w:szCs w:val="32"/>
                <w:lang w:eastAsia="zh-CN"/>
              </w:rPr>
              <w:t>沿黄土石山区造林技术规范</w:t>
            </w:r>
          </w:p>
        </w:tc>
      </w:tr>
      <w:tr w14:paraId="7727BBC5">
        <w:tblPrEx>
          <w:tblCellMar>
            <w:top w:w="0" w:type="dxa"/>
            <w:left w:w="108" w:type="dxa"/>
            <w:bottom w:w="0" w:type="dxa"/>
            <w:right w:w="108" w:type="dxa"/>
          </w:tblCellMar>
        </w:tblPrEx>
        <w:trPr>
          <w:jc w:val="right"/>
        </w:trPr>
        <w:tc>
          <w:tcPr>
            <w:tcW w:w="3045" w:type="dxa"/>
            <w:noWrap w:val="0"/>
            <w:vAlign w:val="bottom"/>
          </w:tcPr>
          <w:p w14:paraId="18EB70CA">
            <w:pPr>
              <w:spacing w:line="720" w:lineRule="auto"/>
              <w:jc w:val="both"/>
              <w:rPr>
                <w:b/>
                <w:bCs/>
                <w:sz w:val="32"/>
                <w:szCs w:val="32"/>
              </w:rPr>
            </w:pPr>
            <w:r>
              <w:rPr>
                <w:b/>
                <w:bCs/>
                <w:sz w:val="32"/>
                <w:szCs w:val="32"/>
              </w:rPr>
              <w:t>委托单位（甲方）</w:t>
            </w:r>
          </w:p>
        </w:tc>
        <w:tc>
          <w:tcPr>
            <w:tcW w:w="538" w:type="dxa"/>
            <w:noWrap w:val="0"/>
            <w:vAlign w:val="top"/>
          </w:tcPr>
          <w:p w14:paraId="0F6122FF">
            <w:pPr>
              <w:spacing w:line="720" w:lineRule="auto"/>
              <w:rPr>
                <w:b/>
                <w:bCs/>
                <w:sz w:val="32"/>
                <w:szCs w:val="32"/>
              </w:rPr>
            </w:pPr>
            <w:r>
              <w:rPr>
                <w:b/>
                <w:bCs/>
                <w:sz w:val="32"/>
                <w:szCs w:val="32"/>
              </w:rPr>
              <w:t>：</w:t>
            </w:r>
          </w:p>
        </w:tc>
        <w:tc>
          <w:tcPr>
            <w:tcW w:w="5703" w:type="dxa"/>
            <w:noWrap w:val="0"/>
            <w:vAlign w:val="bottom"/>
          </w:tcPr>
          <w:p w14:paraId="1D49B10C">
            <w:pPr>
              <w:spacing w:line="720" w:lineRule="auto"/>
              <w:jc w:val="center"/>
              <w:rPr>
                <w:b/>
                <w:bCs/>
                <w:sz w:val="32"/>
                <w:szCs w:val="32"/>
              </w:rPr>
            </w:pPr>
            <w:r>
              <w:rPr>
                <w:b/>
                <w:bCs/>
                <w:sz w:val="32"/>
                <w:szCs w:val="32"/>
              </w:rPr>
              <w:t>陕西省市场监督管理局</w:t>
            </w:r>
          </w:p>
        </w:tc>
      </w:tr>
      <w:tr w14:paraId="1F95F3BF">
        <w:tblPrEx>
          <w:tblCellMar>
            <w:top w:w="0" w:type="dxa"/>
            <w:left w:w="108" w:type="dxa"/>
            <w:bottom w:w="0" w:type="dxa"/>
            <w:right w:w="108" w:type="dxa"/>
          </w:tblCellMar>
        </w:tblPrEx>
        <w:trPr>
          <w:trHeight w:val="736" w:hRule="atLeast"/>
          <w:jc w:val="right"/>
        </w:trPr>
        <w:tc>
          <w:tcPr>
            <w:tcW w:w="3045" w:type="dxa"/>
            <w:noWrap w:val="0"/>
            <w:vAlign w:val="bottom"/>
          </w:tcPr>
          <w:p w14:paraId="7F6380D5">
            <w:pPr>
              <w:spacing w:line="480" w:lineRule="auto"/>
              <w:jc w:val="both"/>
              <w:rPr>
                <w:b/>
                <w:bCs/>
                <w:sz w:val="32"/>
                <w:szCs w:val="32"/>
              </w:rPr>
            </w:pPr>
            <w:r>
              <w:rPr>
                <w:b/>
                <w:bCs/>
                <w:sz w:val="32"/>
                <w:szCs w:val="32"/>
              </w:rPr>
              <w:t>承担单位（乙方）</w:t>
            </w:r>
          </w:p>
        </w:tc>
        <w:tc>
          <w:tcPr>
            <w:tcW w:w="538" w:type="dxa"/>
            <w:noWrap w:val="0"/>
            <w:vAlign w:val="top"/>
          </w:tcPr>
          <w:p w14:paraId="64720AF4">
            <w:pPr>
              <w:spacing w:line="720" w:lineRule="auto"/>
              <w:rPr>
                <w:b/>
                <w:bCs/>
                <w:sz w:val="32"/>
                <w:szCs w:val="32"/>
              </w:rPr>
            </w:pPr>
            <w:r>
              <w:rPr>
                <w:b/>
                <w:bCs/>
                <w:sz w:val="32"/>
                <w:szCs w:val="32"/>
              </w:rPr>
              <w:t>：</w:t>
            </w:r>
          </w:p>
        </w:tc>
        <w:tc>
          <w:tcPr>
            <w:tcW w:w="5703" w:type="dxa"/>
            <w:noWrap w:val="0"/>
            <w:vAlign w:val="bottom"/>
          </w:tcPr>
          <w:p w14:paraId="5C1FFE44">
            <w:pPr>
              <w:spacing w:line="720" w:lineRule="auto"/>
              <w:jc w:val="center"/>
              <w:rPr>
                <w:rFonts w:hint="eastAsia" w:eastAsia="宋体"/>
                <w:b/>
                <w:bCs/>
                <w:sz w:val="32"/>
                <w:szCs w:val="32"/>
                <w:lang w:val="en-US" w:eastAsia="zh-CN"/>
              </w:rPr>
            </w:pPr>
            <w:r>
              <w:rPr>
                <w:rFonts w:hint="eastAsia"/>
                <w:b/>
                <w:bCs/>
                <w:sz w:val="32"/>
                <w:szCs w:val="32"/>
                <w:lang w:eastAsia="zh-CN"/>
              </w:rPr>
              <w:t>榆林市林业工作站</w:t>
            </w:r>
          </w:p>
        </w:tc>
      </w:tr>
      <w:tr w14:paraId="79C49923">
        <w:tblPrEx>
          <w:tblCellMar>
            <w:top w:w="0" w:type="dxa"/>
            <w:left w:w="108" w:type="dxa"/>
            <w:bottom w:w="0" w:type="dxa"/>
            <w:right w:w="108" w:type="dxa"/>
          </w:tblCellMar>
        </w:tblPrEx>
        <w:trPr>
          <w:jc w:val="right"/>
        </w:trPr>
        <w:tc>
          <w:tcPr>
            <w:tcW w:w="3045" w:type="dxa"/>
            <w:noWrap w:val="0"/>
            <w:vAlign w:val="bottom"/>
          </w:tcPr>
          <w:p w14:paraId="479EB27A">
            <w:pPr>
              <w:spacing w:line="720" w:lineRule="auto"/>
              <w:jc w:val="both"/>
              <w:rPr>
                <w:b/>
                <w:bCs/>
                <w:sz w:val="32"/>
                <w:szCs w:val="32"/>
              </w:rPr>
            </w:pPr>
            <w:r>
              <w:rPr>
                <w:b/>
                <w:bCs/>
                <w:sz w:val="32"/>
                <w:szCs w:val="32"/>
              </w:rPr>
              <w:t>起止年限</w:t>
            </w:r>
          </w:p>
        </w:tc>
        <w:tc>
          <w:tcPr>
            <w:tcW w:w="538" w:type="dxa"/>
            <w:noWrap w:val="0"/>
            <w:vAlign w:val="top"/>
          </w:tcPr>
          <w:p w14:paraId="5668F221">
            <w:pPr>
              <w:spacing w:line="720" w:lineRule="auto"/>
              <w:rPr>
                <w:b/>
                <w:bCs/>
                <w:sz w:val="32"/>
                <w:szCs w:val="32"/>
              </w:rPr>
            </w:pPr>
            <w:r>
              <w:rPr>
                <w:b/>
                <w:bCs/>
                <w:sz w:val="32"/>
                <w:szCs w:val="32"/>
              </w:rPr>
              <w:t>：</w:t>
            </w:r>
          </w:p>
        </w:tc>
        <w:tc>
          <w:tcPr>
            <w:tcW w:w="5703" w:type="dxa"/>
            <w:noWrap w:val="0"/>
            <w:vAlign w:val="bottom"/>
          </w:tcPr>
          <w:p w14:paraId="5DEE756F">
            <w:pPr>
              <w:spacing w:line="720" w:lineRule="auto"/>
              <w:jc w:val="center"/>
              <w:rPr>
                <w:b/>
                <w:bCs/>
                <w:sz w:val="32"/>
                <w:szCs w:val="32"/>
              </w:rPr>
            </w:pPr>
            <w:r>
              <w:rPr>
                <w:b/>
                <w:bCs/>
                <w:sz w:val="32"/>
                <w:szCs w:val="32"/>
              </w:rPr>
              <w:t>202</w:t>
            </w:r>
            <w:r>
              <w:rPr>
                <w:rFonts w:hint="eastAsia"/>
                <w:b/>
                <w:bCs/>
                <w:sz w:val="32"/>
                <w:szCs w:val="32"/>
                <w:lang w:val="en-US" w:eastAsia="zh-CN"/>
              </w:rPr>
              <w:t>4</w:t>
            </w:r>
            <w:r>
              <w:rPr>
                <w:b/>
                <w:bCs/>
                <w:sz w:val="32"/>
                <w:szCs w:val="32"/>
              </w:rPr>
              <w:t xml:space="preserve">年 </w:t>
            </w:r>
            <w:r>
              <w:rPr>
                <w:rFonts w:hint="eastAsia"/>
                <w:b/>
                <w:bCs/>
                <w:sz w:val="32"/>
                <w:szCs w:val="32"/>
                <w:lang w:val="en-US" w:eastAsia="zh-CN"/>
              </w:rPr>
              <w:t>9</w:t>
            </w:r>
            <w:r>
              <w:rPr>
                <w:b/>
                <w:bCs/>
                <w:sz w:val="32"/>
                <w:szCs w:val="32"/>
              </w:rPr>
              <w:t>月-202</w:t>
            </w:r>
            <w:r>
              <w:rPr>
                <w:rFonts w:hint="eastAsia"/>
                <w:b/>
                <w:bCs/>
                <w:sz w:val="32"/>
                <w:szCs w:val="32"/>
                <w:lang w:val="en-US" w:eastAsia="zh-CN"/>
              </w:rPr>
              <w:t>5</w:t>
            </w:r>
            <w:r>
              <w:rPr>
                <w:b/>
                <w:bCs/>
                <w:sz w:val="32"/>
                <w:szCs w:val="32"/>
              </w:rPr>
              <w:t xml:space="preserve">年 </w:t>
            </w:r>
            <w:r>
              <w:rPr>
                <w:rFonts w:hint="eastAsia"/>
                <w:b/>
                <w:bCs/>
                <w:sz w:val="32"/>
                <w:szCs w:val="32"/>
                <w:lang w:val="en-US" w:eastAsia="zh-CN"/>
              </w:rPr>
              <w:t>9</w:t>
            </w:r>
            <w:r>
              <w:rPr>
                <w:b/>
                <w:bCs/>
                <w:sz w:val="32"/>
                <w:szCs w:val="32"/>
              </w:rPr>
              <w:t xml:space="preserve"> 月</w:t>
            </w:r>
          </w:p>
        </w:tc>
      </w:tr>
    </w:tbl>
    <w:p w14:paraId="4C51DD67">
      <w:pPr>
        <w:spacing w:line="720" w:lineRule="auto"/>
        <w:ind w:firstLine="482" w:firstLineChars="150"/>
        <w:rPr>
          <w:rFonts w:hint="eastAsia" w:ascii="宋体" w:hAnsi="宋体"/>
          <w:b/>
          <w:bCs/>
          <w:sz w:val="32"/>
          <w:szCs w:val="32"/>
        </w:rPr>
      </w:pPr>
    </w:p>
    <w:p w14:paraId="1226929A">
      <w:pPr>
        <w:widowControl/>
        <w:spacing w:line="360" w:lineRule="auto"/>
        <w:rPr>
          <w:rFonts w:hint="eastAsia" w:ascii="宋体" w:hAnsi="宋体"/>
          <w:b/>
          <w:sz w:val="32"/>
          <w:szCs w:val="32"/>
        </w:rPr>
        <w:sectPr>
          <w:pgSz w:w="11906" w:h="16838"/>
          <w:pgMar w:top="1440" w:right="1418" w:bottom="1440" w:left="1418" w:header="851" w:footer="992" w:gutter="0"/>
          <w:cols w:space="720" w:num="1"/>
          <w:docGrid w:type="lines" w:linePitch="312" w:charSpace="0"/>
        </w:sectPr>
      </w:pPr>
    </w:p>
    <w:p w14:paraId="66EA6BCB">
      <w:pPr>
        <w:spacing w:line="360" w:lineRule="auto"/>
        <w:ind w:firstLine="6"/>
        <w:jc w:val="center"/>
        <w:rPr>
          <w:rFonts w:hint="eastAsia" w:ascii="宋体" w:hAnsi="宋体" w:cs="宋体"/>
          <w:b/>
          <w:bCs/>
          <w:kern w:val="0"/>
          <w:sz w:val="32"/>
          <w:szCs w:val="32"/>
        </w:rPr>
        <w:sectPr>
          <w:footerReference r:id="rId3" w:type="default"/>
          <w:pgSz w:w="11906" w:h="16838"/>
          <w:pgMar w:top="1440" w:right="1700" w:bottom="1440" w:left="1800" w:header="851" w:footer="992" w:gutter="0"/>
          <w:pgNumType w:fmt="decimal" w:start="1"/>
          <w:cols w:space="720" w:num="1"/>
          <w:docGrid w:type="lines" w:linePitch="312" w:charSpace="0"/>
        </w:sectPr>
      </w:pPr>
    </w:p>
    <w:p w14:paraId="03BAE4B9">
      <w:pPr>
        <w:spacing w:line="360" w:lineRule="auto"/>
        <w:ind w:firstLine="6"/>
        <w:jc w:val="center"/>
        <w:rPr>
          <w:rFonts w:hint="eastAsia"/>
          <w:b/>
          <w:bCs/>
          <w:sz w:val="32"/>
          <w:szCs w:val="32"/>
          <w:lang w:eastAsia="zh-CN"/>
        </w:rPr>
      </w:pPr>
      <w:r>
        <w:rPr>
          <w:rFonts w:hint="eastAsia"/>
          <w:b/>
          <w:bCs/>
          <w:sz w:val="32"/>
          <w:szCs w:val="32"/>
          <w:lang w:eastAsia="zh-CN"/>
        </w:rPr>
        <w:t>沿黄土石山区造林技术规范</w:t>
      </w:r>
    </w:p>
    <w:p w14:paraId="33A39818">
      <w:pPr>
        <w:spacing w:line="360" w:lineRule="auto"/>
        <w:ind w:firstLine="6"/>
        <w:jc w:val="center"/>
        <w:rPr>
          <w:rFonts w:hint="eastAsia" w:ascii="宋体" w:hAnsi="宋体"/>
          <w:b/>
          <w:bCs/>
          <w:sz w:val="32"/>
          <w:szCs w:val="32"/>
        </w:rPr>
      </w:pPr>
      <w:r>
        <w:rPr>
          <w:rFonts w:hint="eastAsia" w:ascii="宋体" w:hAnsi="宋体"/>
          <w:b/>
          <w:bCs/>
          <w:sz w:val="32"/>
          <w:szCs w:val="32"/>
        </w:rPr>
        <w:t>编制说明</w:t>
      </w:r>
    </w:p>
    <w:p w14:paraId="1663E837">
      <w:pPr>
        <w:spacing w:line="560" w:lineRule="exact"/>
        <w:ind w:firstLine="562" w:firstLineChars="200"/>
        <w:jc w:val="both"/>
        <w:rPr>
          <w:rFonts w:ascii="Times New Roman" w:hAnsi="Times New Roman" w:cs="Times New Roman"/>
          <w:b/>
          <w:sz w:val="28"/>
          <w:szCs w:val="28"/>
        </w:rPr>
      </w:pPr>
      <w:r>
        <w:rPr>
          <w:rFonts w:hint="eastAsia" w:ascii="Times New Roman" w:hAnsi="Times New Roman" w:cs="Times New Roman"/>
          <w:b/>
          <w:sz w:val="28"/>
          <w:szCs w:val="28"/>
          <w:lang w:eastAsia="zh-CN"/>
        </w:rPr>
        <w:t>一、</w:t>
      </w:r>
      <w:r>
        <w:rPr>
          <w:rFonts w:hint="eastAsia" w:ascii="Times New Roman" w:hAnsi="Times New Roman" w:cs="Times New Roman"/>
          <w:b/>
          <w:sz w:val="28"/>
          <w:szCs w:val="28"/>
        </w:rPr>
        <w:t>编制概况</w:t>
      </w:r>
    </w:p>
    <w:p w14:paraId="2F37803E">
      <w:pPr>
        <w:keepNext w:val="0"/>
        <w:keepLines w:val="0"/>
        <w:pageBreakBefore w:val="0"/>
        <w:widowControl w:val="0"/>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eastAsia="宋体" w:cs="宋体"/>
          <w:b/>
          <w:sz w:val="28"/>
          <w:szCs w:val="28"/>
        </w:rPr>
      </w:pPr>
      <w:r>
        <w:rPr>
          <w:rFonts w:hint="eastAsia" w:ascii="宋体" w:hAnsi="宋体" w:eastAsia="宋体" w:cs="宋体"/>
          <w:b/>
          <w:sz w:val="28"/>
          <w:szCs w:val="28"/>
        </w:rPr>
        <w:t>1</w:t>
      </w:r>
      <w:r>
        <w:rPr>
          <w:rFonts w:hint="eastAsia" w:ascii="宋体" w:hAnsi="宋体" w:eastAsia="宋体" w:cs="宋体"/>
          <w:b/>
          <w:sz w:val="28"/>
          <w:szCs w:val="28"/>
          <w:lang w:eastAsia="zh-CN"/>
        </w:rPr>
        <w:t>.</w:t>
      </w:r>
      <w:r>
        <w:rPr>
          <w:rFonts w:hint="eastAsia" w:ascii="宋体" w:hAnsi="宋体" w:eastAsia="宋体" w:cs="宋体"/>
          <w:b/>
          <w:sz w:val="28"/>
          <w:szCs w:val="28"/>
        </w:rPr>
        <w:t>任务来源</w:t>
      </w:r>
    </w:p>
    <w:p w14:paraId="1E24656B">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根据陕西省市场监督管理局《陕西省市场监督管理局关于下达2024年第二批地方标准制修订计划的函》（陕市监函（2024）590号）文件，《沿黄土石山区造林技术规范》（项目计划号：SDBXM267-2024），被列为2024年第二批陕西省地方标准制修订计划计划项目。本标准为推荐性涉林地方标准，由陕西省林业局提出并归口管理，榆林市林业工作站、陕西省林业科技推广与国际项目管理中心、延安市林业工作站、榆林学院联合申报并共同编制完成。</w:t>
      </w:r>
    </w:p>
    <w:p w14:paraId="2AF24CB3">
      <w:pPr>
        <w:keepNext w:val="0"/>
        <w:keepLines w:val="0"/>
        <w:pageBreakBefore w:val="0"/>
        <w:widowControl w:val="0"/>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2</w:t>
      </w:r>
      <w:r>
        <w:rPr>
          <w:rFonts w:hint="eastAsia" w:ascii="宋体" w:hAnsi="宋体" w:eastAsia="宋体" w:cs="宋体"/>
          <w:b/>
          <w:sz w:val="28"/>
          <w:szCs w:val="28"/>
        </w:rPr>
        <w:t>.目的意义</w:t>
      </w:r>
    </w:p>
    <w:p w14:paraId="053564BD">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黄河在陕西境内全长719千米，其土石丘陵地带重点在榆林市、延安市、韩城市，在三市流域全长667千米，以黄河干流西岸为起点，土石丘陵地带宽度约15 km，总面积约10005平方千米，地貌特点为山高坡陡、地形破碎、沟壑纵横、岩石裸露,土薄砂多，植被稀疏，水土流失严重，是沿黄防护林建设的重点区域。</w:t>
      </w:r>
    </w:p>
    <w:p w14:paraId="16109F7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为全力打赢黄河“几字弯”攻坚战，全面贯彻落实《黄河流域生态保护和高质量发展规划纲要》（中共中央、国务院2021年10月8日印发）和陕西省林业局、陕西省发展和改革委员会、陕西省财政厅、陕西省自然资源厅、陕西省生态环境厅、陕西省水利厅、陕西省农业农村厅共同制定《关于实施沿黄防护林提质增效和高质量发展工程的意见》（陕林财发〔2020〕133号）,《意见》明确提出，加快提升沿黄防护林质量，着力构筑沿黄森林生态廊道，到2025年，黄河干流及其主要支流（渭河、窟野河、无定河、延河、洛河）沿线45个县（市、区）沿岸（有堤防地段黄河干堤背水侧护堤地外、临水侧护堤地一定范围内，无堤防地段两岸第一山脊线以内的区域）国土增绿全面完成，实现应绿尽绿，退化防护林、低产低效林改造基本完成，森林质量明显提升，沿黄防护林体系基本完善，连续完整、结构稳定、功能完备的沿黄防护林体系初步形成，岸绿境美、绵延千里的沿黄森林生态廊道基本建成。完成造林绿化面积190万亩、退化林分修复30万亩、森林抚育200万亩，建成“三化一片林”森林乡村180个，新增森林面积120万亩，单位面积森林蓄积量增加0.5-1立方米/亩。</w:t>
      </w:r>
    </w:p>
    <w:p w14:paraId="7D575FFB">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针对该地带的生态空间治理，特别是生态修复技术措施，目前还没有一个统一的标准尺度，在抗逆树种选择、造林优化模式配置、综合抗旱造林（选择优质壮苗、根系保护处理、抗旱整地、垒砌石坑、换土、蘸生根粉泥浆、浇足定根水、地膜覆盖）、幼林抚育与管护技术（加强补植、培修树盘、施肥、病虫害防治等和防火、防人畜破坏、防鼠兔危害）等方面还没有一个成型的造林技术规程和模式去参考，因此，加强黄河西岸生态空间综合治理，为陕西沿黄土石山区植被恢复提供技术经验，出台《沿黄土石山区造林技术规范》，从而规范、引领该区域生态保护和林业重点工程建设又好又快有序高质量发展。</w:t>
      </w:r>
    </w:p>
    <w:p w14:paraId="62B8BFF4">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eastAsia="宋体" w:cs="宋体"/>
          <w:b/>
          <w:sz w:val="28"/>
          <w:szCs w:val="28"/>
          <w:lang w:eastAsia="zh-CN"/>
        </w:rPr>
      </w:pPr>
      <w:r>
        <w:rPr>
          <w:rFonts w:hint="eastAsia" w:ascii="宋体" w:hAnsi="宋体" w:cs="宋体"/>
          <w:b/>
          <w:sz w:val="28"/>
          <w:szCs w:val="28"/>
          <w:lang w:val="en-US" w:eastAsia="zh-CN"/>
        </w:rPr>
        <w:t>3.</w:t>
      </w:r>
      <w:r>
        <w:rPr>
          <w:rFonts w:hint="eastAsia" w:ascii="宋体" w:hAnsi="宋体" w:eastAsia="宋体" w:cs="宋体"/>
          <w:b/>
          <w:sz w:val="28"/>
          <w:szCs w:val="28"/>
        </w:rPr>
        <w:t>起草单位</w:t>
      </w:r>
      <w:r>
        <w:rPr>
          <w:rFonts w:hint="eastAsia" w:ascii="宋体" w:hAnsi="宋体" w:eastAsia="宋体" w:cs="宋体"/>
          <w:b/>
          <w:sz w:val="28"/>
          <w:szCs w:val="28"/>
          <w:lang w:eastAsia="zh-CN"/>
        </w:rPr>
        <w:t>及人员</w:t>
      </w:r>
    </w:p>
    <w:p w14:paraId="1AD46E12">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本标准起草单位有榆林市林业工作站、陕西省林业科技推广与国际项目管理中心、延安市林业工作站、榆林学院。</w:t>
      </w:r>
    </w:p>
    <w:p w14:paraId="672F77D7">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default"/>
          <w:sz w:val="28"/>
          <w:szCs w:val="28"/>
          <w:highlight w:val="none"/>
          <w:lang w:val="en-US" w:eastAsia="zh-CN"/>
        </w:rPr>
        <w:t>本标准主要起草人：</w:t>
      </w:r>
      <w:r>
        <w:rPr>
          <w:rFonts w:hint="eastAsia"/>
          <w:sz w:val="28"/>
          <w:szCs w:val="28"/>
          <w:highlight w:val="none"/>
          <w:lang w:val="en-US" w:eastAsia="zh-CN"/>
        </w:rPr>
        <w:t>曹东平、王建新、高艳波、陈富彩、</w:t>
      </w:r>
      <w:bookmarkStart w:id="33" w:name="_GoBack"/>
      <w:bookmarkEnd w:id="33"/>
      <w:r>
        <w:rPr>
          <w:rFonts w:hint="eastAsia"/>
          <w:sz w:val="28"/>
          <w:szCs w:val="28"/>
          <w:highlight w:val="none"/>
          <w:lang w:val="en-US" w:eastAsia="zh-CN"/>
        </w:rPr>
        <w:t>徐伟洲、王涛、李红娟、陈振宏、张成榆、高乙博、齐延巧、刘雅娟、梁莹、康彩云、李焕蓉、李瑞、高蕊、贺晓荷、吕俊林、郑琳、吴志茹、孙蕾、曹艳、封凯。</w:t>
      </w:r>
    </w:p>
    <w:p w14:paraId="7920411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本标准编制组有正高级工程师1名，教授1名，高级工程师7名，工程师5名，助理工程师5名，人员由省级单位（陕西省林业科技推广与国际项目管理中心、榆林学院）、市级单位（榆林市林业工作站、延安市林业工作站）一线科技和生产人员组成，既有生产经验、又有理论基础，真正体现了科研与生产的紧密结合，为编制出更符合生产实际，更有利于指导生产，更具可操作性技术标准提供了保证。</w:t>
      </w:r>
    </w:p>
    <w:p w14:paraId="45B462E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本标准主导单位是榆林市林业工作站。该站是榆林市唯一从事林业技术推广和新品种引进试验示范及业务培训，全市林业有害生物的预测预报和防治检疫及防治试验研究，野生动植物保护及野生动物疫源疫病监测，各类自然保护地与湿地保护利用和生态修复及林草资源保护宣传教育督导检查，国家退耕还林（草）项目实施，全市林业和草原调查规划设计及国土绿化、生态治理技术指导等工作的全额事业单位。该站成立于上世纪50年代，属榆林市林业和草原局，副县级建制。编制数38名，内设科室8个，专业技术人员36名（其中正高级工程师2名，副高级工程师8名，工程师15名），专业学科分布在林学、生态、治沙、水保、地理、土壤、园艺、森保等领域。该站自成立以来，立足于榆林北部毛乌素沙区、榆林东部沿黄土石山区、榆林西部白于山区、榆林南部黄土丘陵沟壑区等不同立地类型的植被恢复与生态修复，积极开展沙漠化治理与生物多样性保护及沙产业开发利用研究，在毛乌素沙地樟子松配套造林、元宝枫和文冠果等木本油料树种培育、大果沙棘和树莓新品种引进、红枣抗裂果新品种培育与示范推广、菌草、高丹草等优良牧草引进培育及林下种植等方面取得了优异的成绩，先后承担完成了多项国家林业技术推广课题，有5项成果获省(部)级科技奖、12项成果获市(厅)级科技奖。本单位科研力量雄厚，有实验苗圃等良种引进试验场所，配套设施齐全。近年来先后主持制定省级和市级地方标准5个，在国内外学术刊物上发表科技论文130多篇，编写科技专著5部，与中国林科院、北京林业大学、西北农林科科大学等多家科研院所建立了学术交流关系，研究成果和技术已推广辐射到陕西、甘肃、青海、宁夏、内蒙、山西等省区。</w:t>
      </w:r>
    </w:p>
    <w:p w14:paraId="10DD270A">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2" w:firstLineChars="200"/>
        <w:jc w:val="both"/>
        <w:textAlignment w:val="auto"/>
        <w:rPr>
          <w:rFonts w:hint="default" w:ascii="宋体" w:hAnsi="宋体" w:cs="宋体"/>
          <w:b/>
          <w:sz w:val="28"/>
          <w:szCs w:val="28"/>
          <w:lang w:val="en-US" w:eastAsia="zh-CN"/>
        </w:rPr>
      </w:pPr>
      <w:r>
        <w:rPr>
          <w:rFonts w:hint="eastAsia" w:ascii="宋体" w:hAnsi="宋体" w:cs="宋体"/>
          <w:b/>
          <w:sz w:val="28"/>
          <w:szCs w:val="28"/>
          <w:lang w:val="en-US" w:eastAsia="zh-CN"/>
        </w:rPr>
        <w:t>4.查阅资料</w:t>
      </w:r>
    </w:p>
    <w:p w14:paraId="75FC034A">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通过广泛查阅相关国家标准、其他相关省市地方标准和相关文献资料的基础上，经分类汇总、分析研判，检索目前国内现有的同类标准、规范和规程，收集整理相关科技论文和技术资料，系统整理2020年-2024年在榆林地区开展的沿黄土石山区困难立地造林试验、适地适树造林试验等资料。通过对这些资料的收集整理和研究分析，发现现有的资料和相关技术规程中，都没有涉及到本规范所定义的在沿黄土石山区困难立地条件下有关规范的造林技术问题。有些内容已完全不适宜当前的生产实际，亟需制订。鉴于此，本规程的制定，对指导当前沿黄土石山区困难立地条件下防护林的科学栽植，对促进陕西沿黄防护林提质增效和高质量发展，保障沿黄防护林建设生产安全等均具有重要的实践意义。</w:t>
      </w:r>
    </w:p>
    <w:p w14:paraId="1A780674">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cs="宋体"/>
          <w:b/>
          <w:sz w:val="28"/>
          <w:szCs w:val="28"/>
          <w:lang w:val="en-US" w:eastAsia="zh-CN"/>
        </w:rPr>
      </w:pPr>
      <w:r>
        <w:rPr>
          <w:rFonts w:hint="eastAsia" w:ascii="宋体" w:hAnsi="宋体" w:cs="宋体"/>
          <w:b/>
          <w:sz w:val="28"/>
          <w:szCs w:val="28"/>
          <w:lang w:val="en-US" w:eastAsia="zh-CN"/>
        </w:rPr>
        <w:t>5.沿黄土石山区造林技术规范经验的积累</w:t>
      </w:r>
    </w:p>
    <w:p w14:paraId="7A69159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课题组专家从2020年起作为科技特派员在榆林、延安两地从事与该标准内容有关的沿黄土石山区困难立地条件下的防护林建设工作，通过多年的田间调查，采取试验与示范相结合、推广与生产相结合、基地与企业（农户）相结合，在神木、府谷、佳县、吴堡、绥德、清涧、延川建立以侧柏和油松为主，配套黄刺玫、山桃、山杏等具有景观效应的示范林2106亩，技术推广神木、佳县、清涧、延安、韩城等地沿黄土石山区造林32.6万亩，编写了《沿黄土石山区造林技术手册》，培训林农680多人次，发表相关论文3篇。论文“榆林黄河沿岸土石山区坡面生态综合治理技术探析”发表在《防护林科技》（2021年11月第6期）上。论文“榆林沿黄土石山区防护林的防风及水文效应分析”发表在《防护林科技》（2022年5月第3期）上，论文“榆林市沿黄土石山地侧柏造林试验初报”发表在《陕西林业科技》（2022年4月第2期）。2024年在榆阳区、佳县等地将再次进行沿黄土石山区示范林项目的试验示范与推广工作。通过建立示范点，提高沿黄土石山区防护林建设的栽培技术水平；通过技术培训、现场示范与观摩，进行技术扩散；通过技术咨询、技术服务，解决沿黄土石山区防护林建设的关键技术问题；通过技术总结和交流，促进沿黄土石山区防护林建设整体水平的提高。观察在该标准条件下示范林建设所涉及的造林树种的生长情况并得出有效的结论。项目的实施为沿黄土石山区造林技术规程提供了丰富的一线实践经验。</w:t>
      </w:r>
    </w:p>
    <w:p w14:paraId="429F1DC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default"/>
          <w:sz w:val="28"/>
          <w:szCs w:val="28"/>
          <w:highlight w:val="none"/>
          <w:lang w:val="en-US" w:eastAsia="zh-CN"/>
        </w:rPr>
      </w:pPr>
      <w:r>
        <w:rPr>
          <w:rFonts w:hint="eastAsia"/>
          <w:sz w:val="28"/>
          <w:szCs w:val="28"/>
          <w:highlight w:val="none"/>
          <w:lang w:val="en-US" w:eastAsia="zh-CN"/>
        </w:rPr>
        <w:t>综上所述，课题组在全面掌握榆林、延安、韩城等地沿黄土石山区地形地貌特征，总结示范林建设技术与研究的基础上，进行陕西地方标准《沿黄土石山区造林技术规范》（征求意见稿）的编制工作。</w:t>
      </w:r>
    </w:p>
    <w:p w14:paraId="5944A603">
      <w:pPr>
        <w:adjustRightInd w:val="0"/>
        <w:spacing w:line="560" w:lineRule="exact"/>
        <w:ind w:firstLine="562" w:firstLineChars="200"/>
        <w:jc w:val="both"/>
        <w:rPr>
          <w:rFonts w:hint="eastAsia" w:ascii="Times New Roman" w:hAnsi="Times New Roman" w:cs="Times New Roman"/>
          <w:b/>
          <w:bCs/>
          <w:color w:val="auto"/>
          <w:sz w:val="28"/>
          <w:szCs w:val="28"/>
          <w:highlight w:val="none"/>
          <w:lang w:val="en-US" w:eastAsia="zh-CN"/>
        </w:rPr>
      </w:pPr>
      <w:r>
        <w:rPr>
          <w:rFonts w:hint="eastAsia" w:ascii="宋体" w:hAnsi="宋体" w:cs="宋体"/>
          <w:b/>
          <w:sz w:val="28"/>
          <w:szCs w:val="28"/>
          <w:lang w:val="en-US" w:eastAsia="zh-CN"/>
        </w:rPr>
        <w:t>6.编制与征求意见</w:t>
      </w:r>
    </w:p>
    <w:p w14:paraId="213940F0">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项目组在2024年申请立项前的2020-2023年4年期间内，在执行两个沿黄土石山区困难立地造林技术示范项目时，已深入实际，开展调研，收集分析沿黄土石山区的基本情况、造林整地现状、存在问题、发展思路等情况。2024年9月标准立项后，项目组立即组织了标准起草小组召开了首次标准编制会议，对编制的专业人员、任务分工、编制计划等做了落实，制定了切实可行的编制方案。</w:t>
      </w:r>
    </w:p>
    <w:p w14:paraId="61BF5A3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整个编制过程经历三个主要阶段：第一阶段是编制单位的确定。2020-2022年，榆林市林业工作站主持完成2020年陕西省中央财政林业科技推广暨“榆林黄河沿岸困难立地造林技术示范”项目（编号SLTG[2020] 01号），2021-2023年，榆林市林业工作站主持完成2021年陕西省中央财政林业科技推广暨“榆林沿黄土石山区困难立地造林技术示范”项目 （编号SLTG[2021] 10号），榆林市林业和草原局即提出编制本规程的设想，并初步选定了榆林市林业工作站为本规程的具编制单位。第二阶段是沿黄土石山区防护林建设过程中技术总结。这一阶段先后在项目实施区的佳县、清涧、吴堡摸底调查，初步集成了沿黄土石山区防护林建设的关键技术。第三阶段为规程的编制阶段。通过大量查找资料，结合生产实践和相关调研摸底等工作，于2024年3月—10月，标准起草小组经过多次交流、讨论与修改，起草完成了《沿黄土石山区造林技术规范》（征求意见稿）。</w:t>
      </w:r>
    </w:p>
    <w:p w14:paraId="51A1EC17">
      <w:pPr>
        <w:spacing w:line="560" w:lineRule="exact"/>
        <w:ind w:firstLine="562" w:firstLineChars="200"/>
        <w:jc w:val="both"/>
        <w:rPr>
          <w:rFonts w:hint="eastAsia" w:ascii="Times New Roman" w:hAnsi="Times New Roman" w:cs="Times New Roman"/>
          <w:b/>
          <w:sz w:val="28"/>
          <w:szCs w:val="28"/>
        </w:rPr>
      </w:pPr>
      <w:r>
        <w:rPr>
          <w:rFonts w:hint="eastAsia" w:ascii="Times New Roman" w:hAnsi="Times New Roman" w:cs="Times New Roman"/>
          <w:b/>
          <w:sz w:val="28"/>
          <w:szCs w:val="28"/>
        </w:rPr>
        <w:t>二、标准主要内容的确定依据及内容的说明</w:t>
      </w:r>
    </w:p>
    <w:p w14:paraId="47CB75B0">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cs="宋体"/>
          <w:b/>
          <w:sz w:val="28"/>
          <w:szCs w:val="28"/>
          <w:lang w:val="en-US" w:eastAsia="zh-CN"/>
        </w:rPr>
      </w:pPr>
      <w:r>
        <w:rPr>
          <w:rFonts w:hint="eastAsia" w:ascii="宋体" w:hAnsi="宋体" w:cs="宋体"/>
          <w:b/>
          <w:sz w:val="28"/>
          <w:szCs w:val="28"/>
          <w:lang w:val="en-US" w:eastAsia="zh-CN"/>
        </w:rPr>
        <w:t>1. 编制原则</w:t>
      </w:r>
    </w:p>
    <w:p w14:paraId="21DB1FE0">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本标准编著的基本原则是：遵循“科学、实际、可行、可操作性强”，既考虑规范科学性又顾及林业的生产实际，促进黄河流域生态保护和高质量发展及打造榆林黄土高原生态文明示范区建设为主要目标，同时，充分听取各方的意见，确保规范可以作为林业部门指导生产的依据，在生产上切实可行。编写格式在中华人民共和国GB/T 1.1-2020《标准化工作导则》和GB/T 20001《标准编写规则》的指导下，尽可能使本规程与国内先进水平和时代接轨。</w:t>
      </w:r>
    </w:p>
    <w:p w14:paraId="7DC2779D">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标准内容紧密联系陕西沿黄土石山区鱼鳞坑（垒石坑）整地造林模式发展与应用，围绕垒石坑集雨水造林中有关造林准备、造林、抚育管护、有害生物防治和档案管理等进行规范，立足沿黄土石山区困难立地条件下鱼鳞坑（垒石坑）整地集雨水造林现状，积极借鉴国内先进技术。形成的技术在改善沿黄土石山区造林生境的同时，又充分吸收当前最新研究成果，使本标准更科学、更具体、更实用，为今后沿黄土石山区鱼鳞坑整地造林技术的推广与应用起到示范作用，对攻克沿黄土石山生态治理难题提供科学决策。</w:t>
      </w:r>
    </w:p>
    <w:p w14:paraId="7E81B672">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firstLine="562" w:firstLineChars="200"/>
        <w:jc w:val="both"/>
        <w:textAlignment w:val="auto"/>
        <w:rPr>
          <w:rFonts w:hint="eastAsia" w:ascii="宋体" w:hAnsi="宋体" w:cs="宋体"/>
          <w:b/>
          <w:sz w:val="28"/>
          <w:szCs w:val="28"/>
          <w:lang w:val="en-US" w:eastAsia="zh-CN"/>
        </w:rPr>
      </w:pPr>
      <w:r>
        <w:rPr>
          <w:rFonts w:hint="eastAsia" w:ascii="宋体" w:hAnsi="宋体" w:cs="宋体"/>
          <w:b/>
          <w:sz w:val="28"/>
          <w:szCs w:val="28"/>
          <w:lang w:val="en-US" w:eastAsia="zh-CN"/>
        </w:rPr>
        <w:t>2.主要内容</w:t>
      </w:r>
    </w:p>
    <w:p w14:paraId="5A135285">
      <w:pPr>
        <w:pStyle w:val="7"/>
        <w:ind w:firstLine="420"/>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标准主要内容规定了陕西北部沿黄土石山区营造林建设中造林准备、造林、抚育管护、有害生物防治和档案管理。</w:t>
      </w:r>
    </w:p>
    <w:p w14:paraId="2EB84578">
      <w:pPr>
        <w:pStyle w:val="7"/>
        <w:ind w:firstLine="420"/>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标准适用于陕西北部沿黄土石山区荒山及类似地域。</w:t>
      </w:r>
    </w:p>
    <w:p w14:paraId="354F8685">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各部分均是在榆林、延安、韩城沿黄土石山区困难立地条件下防护林建设生产一线的基础上，参考国内外文献有关资料，结合多年的防护林生产实践编写而成。</w:t>
      </w:r>
    </w:p>
    <w:p w14:paraId="29C1AE6F">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本规程主要采用了一般性标准起草的基本构架，前言说明了本规程的提出单位和起草人员以及规程归口的管理单位，明确了本规程的解释单位及联系电话。前言之后为本规程的正式文本，其主要内容有：</w:t>
      </w:r>
    </w:p>
    <w:p w14:paraId="26D4FDD7">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（1）范围。说明了本规程的适用范围。</w:t>
      </w:r>
    </w:p>
    <w:p w14:paraId="1E95C96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（2）规范性引用文件。本规程的引用文件，凡是注日期的引用文件，仅所注日期的版本适用于本文件。凡是不注日期的引用文件，其最新版本（包括所有的修改单）适用于本规程。</w:t>
      </w:r>
    </w:p>
    <w:p w14:paraId="45CE6FA1">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（3）术语及定义。规范性的术语及定义，列出了规范性术语3个。定义了沿黄土石山区造林技术中常用的术语。</w:t>
      </w:r>
    </w:p>
    <w:p w14:paraId="2655BAB2">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（4）造林技术流程图。</w:t>
      </w:r>
      <w:bookmarkStart w:id="1" w:name="_Toc10672_WPSOffice_Level2"/>
      <w:r>
        <w:rPr>
          <w:rFonts w:hint="eastAsia" w:ascii="Times New Roman" w:hAnsi="Times New Roman" w:eastAsia="宋体" w:cs="Times New Roman"/>
          <w:kern w:val="2"/>
          <w:sz w:val="28"/>
          <w:szCs w:val="28"/>
          <w:highlight w:val="none"/>
          <w:lang w:val="en-US" w:eastAsia="zh-CN" w:bidi="ar-SA"/>
        </w:rPr>
        <w:t>主要给出了造林准备、造林、抚育管护、有害生物防治和档案管理</w:t>
      </w:r>
      <w:bookmarkEnd w:id="1"/>
      <w:r>
        <w:rPr>
          <w:rFonts w:hint="eastAsia" w:ascii="Times New Roman" w:hAnsi="Times New Roman" w:eastAsia="宋体" w:cs="Times New Roman"/>
          <w:kern w:val="2"/>
          <w:sz w:val="28"/>
          <w:szCs w:val="28"/>
          <w:highlight w:val="none"/>
          <w:lang w:val="en-US" w:eastAsia="zh-CN" w:bidi="ar-SA"/>
        </w:rPr>
        <w:t>的技术流程。</w:t>
      </w:r>
    </w:p>
    <w:p w14:paraId="0EB1BD09">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（5）造林准备。主要给出了立地类型划分、造林地踏勘、作业设计、整地等技术。</w:t>
      </w:r>
    </w:p>
    <w:p w14:paraId="02D3E6BE">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 xml:space="preserve">（6）造林。主要给出了树种选择、造林方式、混交方式、造林密度、造林季节、苗木选择、苗木栽植、滴管管网铺设等技术。 </w:t>
      </w:r>
    </w:p>
    <w:p w14:paraId="03D2D8C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bookmarkStart w:id="2" w:name="_Toc21153_WPSOffice_Level1"/>
      <w:r>
        <w:rPr>
          <w:rFonts w:hint="eastAsia" w:ascii="Times New Roman" w:hAnsi="Times New Roman" w:eastAsia="宋体" w:cs="Times New Roman"/>
          <w:kern w:val="2"/>
          <w:sz w:val="28"/>
          <w:szCs w:val="28"/>
          <w:highlight w:val="none"/>
          <w:lang w:val="en-US" w:eastAsia="zh-CN" w:bidi="ar-SA"/>
        </w:rPr>
        <w:t>（7）</w:t>
      </w:r>
      <w:bookmarkStart w:id="3" w:name="_Toc155110290"/>
      <w:bookmarkStart w:id="4" w:name="_Toc155110192"/>
      <w:bookmarkStart w:id="5" w:name="_Toc155110142"/>
      <w:bookmarkStart w:id="6" w:name="_Toc25343"/>
      <w:r>
        <w:rPr>
          <w:rFonts w:hint="eastAsia" w:ascii="Times New Roman" w:hAnsi="Times New Roman" w:eastAsia="宋体" w:cs="Times New Roman"/>
          <w:kern w:val="2"/>
          <w:sz w:val="28"/>
          <w:szCs w:val="28"/>
          <w:highlight w:val="none"/>
          <w:lang w:val="en-US" w:eastAsia="zh-CN" w:bidi="ar-SA"/>
        </w:rPr>
        <w:t>抚育管</w:t>
      </w:r>
      <w:bookmarkEnd w:id="3"/>
      <w:bookmarkEnd w:id="4"/>
      <w:bookmarkEnd w:id="5"/>
      <w:r>
        <w:rPr>
          <w:rFonts w:hint="eastAsia" w:ascii="Times New Roman" w:hAnsi="Times New Roman" w:eastAsia="宋体" w:cs="Times New Roman"/>
          <w:kern w:val="2"/>
          <w:sz w:val="28"/>
          <w:szCs w:val="28"/>
          <w:highlight w:val="none"/>
          <w:lang w:val="en-US" w:eastAsia="zh-CN" w:bidi="ar-SA"/>
        </w:rPr>
        <w:t>护</w:t>
      </w:r>
      <w:bookmarkEnd w:id="6"/>
      <w:bookmarkStart w:id="7" w:name="_Toc155110141"/>
      <w:r>
        <w:rPr>
          <w:rFonts w:hint="eastAsia" w:ascii="Times New Roman" w:hAnsi="Times New Roman" w:eastAsia="宋体" w:cs="Times New Roman"/>
          <w:kern w:val="2"/>
          <w:sz w:val="28"/>
          <w:szCs w:val="28"/>
          <w:highlight w:val="none"/>
          <w:lang w:val="en-US" w:eastAsia="zh-CN" w:bidi="ar-SA"/>
        </w:rPr>
        <w:t>。主要给出了穴面覆盖</w:t>
      </w:r>
      <w:bookmarkEnd w:id="7"/>
      <w:r>
        <w:rPr>
          <w:rFonts w:hint="eastAsia" w:ascii="Times New Roman" w:hAnsi="Times New Roman" w:eastAsia="宋体" w:cs="Times New Roman"/>
          <w:kern w:val="2"/>
          <w:sz w:val="28"/>
          <w:szCs w:val="28"/>
          <w:highlight w:val="none"/>
          <w:lang w:val="en-US" w:eastAsia="zh-CN" w:bidi="ar-SA"/>
        </w:rPr>
        <w:t>、灌水、查苗扶正</w:t>
      </w:r>
      <w:bookmarkStart w:id="8" w:name="_Toc155110143"/>
      <w:bookmarkStart w:id="9" w:name="_Toc155110291"/>
      <w:bookmarkStart w:id="10" w:name="_Toc155110193"/>
      <w:r>
        <w:rPr>
          <w:rFonts w:hint="eastAsia" w:ascii="Times New Roman" w:hAnsi="Times New Roman" w:eastAsia="宋体" w:cs="Times New Roman"/>
          <w:kern w:val="2"/>
          <w:sz w:val="28"/>
          <w:szCs w:val="28"/>
          <w:highlight w:val="none"/>
          <w:lang w:val="en-US" w:eastAsia="zh-CN" w:bidi="ar-SA"/>
        </w:rPr>
        <w:t>、补植补造</w:t>
      </w:r>
      <w:bookmarkEnd w:id="8"/>
      <w:bookmarkEnd w:id="9"/>
      <w:bookmarkEnd w:id="10"/>
      <w:bookmarkStart w:id="11" w:name="_Toc155110196"/>
      <w:bookmarkStart w:id="12" w:name="_Toc155110294"/>
      <w:bookmarkStart w:id="13" w:name="_Toc155110149"/>
      <w:r>
        <w:rPr>
          <w:rFonts w:hint="eastAsia" w:ascii="Times New Roman" w:hAnsi="Times New Roman" w:eastAsia="宋体" w:cs="Times New Roman"/>
          <w:kern w:val="2"/>
          <w:sz w:val="28"/>
          <w:szCs w:val="28"/>
          <w:highlight w:val="none"/>
          <w:lang w:val="en-US" w:eastAsia="zh-CN" w:bidi="ar-SA"/>
        </w:rPr>
        <w:t>、松土除草</w:t>
      </w:r>
      <w:bookmarkEnd w:id="11"/>
      <w:bookmarkEnd w:id="12"/>
      <w:bookmarkEnd w:id="13"/>
      <w:bookmarkStart w:id="14" w:name="_Toc155110295"/>
      <w:bookmarkStart w:id="15" w:name="_Toc155110150"/>
      <w:bookmarkStart w:id="16" w:name="_Toc155110197"/>
      <w:r>
        <w:rPr>
          <w:rFonts w:hint="eastAsia" w:ascii="Times New Roman" w:hAnsi="Times New Roman" w:eastAsia="宋体" w:cs="Times New Roman"/>
          <w:kern w:val="2"/>
          <w:sz w:val="28"/>
          <w:szCs w:val="28"/>
          <w:highlight w:val="none"/>
          <w:lang w:val="en-US" w:eastAsia="zh-CN" w:bidi="ar-SA"/>
        </w:rPr>
        <w:t>、树干保护</w:t>
      </w:r>
      <w:bookmarkEnd w:id="14"/>
      <w:bookmarkEnd w:id="15"/>
      <w:bookmarkEnd w:id="16"/>
      <w:r>
        <w:rPr>
          <w:rFonts w:hint="eastAsia" w:ascii="Times New Roman" w:hAnsi="Times New Roman" w:eastAsia="宋体" w:cs="Times New Roman"/>
          <w:kern w:val="2"/>
          <w:sz w:val="28"/>
          <w:szCs w:val="28"/>
          <w:highlight w:val="none"/>
          <w:lang w:val="en-US" w:eastAsia="zh-CN" w:bidi="ar-SA"/>
        </w:rPr>
        <w:t>等技术。</w:t>
      </w:r>
    </w:p>
    <w:p w14:paraId="1C0F8A28">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bookmarkStart w:id="17" w:name="_Toc155110200"/>
      <w:bookmarkStart w:id="18" w:name="_Toc5319"/>
      <w:bookmarkStart w:id="19" w:name="_Toc155110298"/>
      <w:bookmarkStart w:id="20" w:name="_Toc155110155"/>
      <w:r>
        <w:rPr>
          <w:rFonts w:hint="eastAsia" w:ascii="Times New Roman" w:hAnsi="Times New Roman" w:eastAsia="宋体" w:cs="Times New Roman"/>
          <w:kern w:val="2"/>
          <w:sz w:val="28"/>
          <w:szCs w:val="28"/>
          <w:highlight w:val="none"/>
          <w:lang w:val="en-US" w:eastAsia="zh-CN" w:bidi="ar-SA"/>
        </w:rPr>
        <w:t>（8）有害生物防治</w:t>
      </w:r>
      <w:bookmarkEnd w:id="17"/>
      <w:bookmarkEnd w:id="18"/>
      <w:bookmarkEnd w:id="19"/>
      <w:bookmarkEnd w:id="20"/>
      <w:bookmarkStart w:id="21" w:name="_Toc155110299"/>
      <w:bookmarkStart w:id="22" w:name="_Toc155110201"/>
      <w:bookmarkStart w:id="23" w:name="_Toc155110156"/>
      <w:r>
        <w:rPr>
          <w:rFonts w:hint="eastAsia" w:ascii="Times New Roman" w:hAnsi="Times New Roman" w:eastAsia="宋体" w:cs="Times New Roman"/>
          <w:kern w:val="2"/>
          <w:sz w:val="28"/>
          <w:szCs w:val="28"/>
          <w:highlight w:val="none"/>
          <w:lang w:val="en-US" w:eastAsia="zh-CN" w:bidi="ar-SA"/>
        </w:rPr>
        <w:t>。主要给出病虫害防治</w:t>
      </w:r>
      <w:bookmarkEnd w:id="21"/>
      <w:bookmarkEnd w:id="22"/>
      <w:bookmarkEnd w:id="23"/>
      <w:bookmarkStart w:id="24" w:name="_Toc155110157"/>
      <w:bookmarkStart w:id="25" w:name="_Toc155110300"/>
      <w:bookmarkStart w:id="26" w:name="_Toc155110202"/>
      <w:r>
        <w:rPr>
          <w:rFonts w:hint="eastAsia" w:ascii="Times New Roman" w:hAnsi="Times New Roman" w:eastAsia="宋体" w:cs="Times New Roman"/>
          <w:kern w:val="2"/>
          <w:sz w:val="28"/>
          <w:szCs w:val="28"/>
          <w:highlight w:val="none"/>
          <w:lang w:val="en-US" w:eastAsia="zh-CN" w:bidi="ar-SA"/>
        </w:rPr>
        <w:t>和兔害防治</w:t>
      </w:r>
      <w:bookmarkEnd w:id="24"/>
      <w:bookmarkEnd w:id="25"/>
      <w:bookmarkEnd w:id="26"/>
      <w:r>
        <w:rPr>
          <w:rFonts w:hint="eastAsia" w:ascii="Times New Roman" w:hAnsi="Times New Roman" w:eastAsia="宋体" w:cs="Times New Roman"/>
          <w:kern w:val="2"/>
          <w:sz w:val="28"/>
          <w:szCs w:val="28"/>
          <w:highlight w:val="none"/>
          <w:lang w:val="en-US" w:eastAsia="zh-CN" w:bidi="ar-SA"/>
        </w:rPr>
        <w:t>技术。</w:t>
      </w:r>
    </w:p>
    <w:p w14:paraId="0B6AEF33">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bookmarkStart w:id="27" w:name="_Toc17457"/>
      <w:bookmarkStart w:id="28" w:name="_Toc155110203"/>
      <w:bookmarkStart w:id="29" w:name="_Toc155110158"/>
      <w:bookmarkStart w:id="30" w:name="_Toc155110301"/>
      <w:r>
        <w:rPr>
          <w:rFonts w:hint="eastAsia" w:ascii="Times New Roman" w:hAnsi="Times New Roman" w:eastAsia="宋体" w:cs="Times New Roman"/>
          <w:kern w:val="2"/>
          <w:sz w:val="28"/>
          <w:szCs w:val="28"/>
          <w:highlight w:val="none"/>
          <w:lang w:val="en-US" w:eastAsia="zh-CN" w:bidi="ar-SA"/>
        </w:rPr>
        <w:t>（9）档案管理</w:t>
      </w:r>
      <w:bookmarkEnd w:id="27"/>
      <w:bookmarkEnd w:id="28"/>
      <w:bookmarkEnd w:id="29"/>
      <w:bookmarkEnd w:id="30"/>
      <w:r>
        <w:rPr>
          <w:rFonts w:hint="eastAsia" w:ascii="Times New Roman" w:hAnsi="Times New Roman" w:eastAsia="宋体" w:cs="Times New Roman"/>
          <w:kern w:val="2"/>
          <w:sz w:val="28"/>
          <w:szCs w:val="28"/>
          <w:highlight w:val="none"/>
          <w:lang w:val="en-US" w:eastAsia="zh-CN" w:bidi="ar-SA"/>
        </w:rPr>
        <w:t>。主要是指造林计划文件、资金下达文件，造林作业设计、设计变更资料，作业小班矢量化文件、招标投标文件、监理报告、竣工验收报告、竣工结算资料、种苗“两证一签”，造林检查验收报告、统计表、图纸、外业表，以及造林施工期间的图片视频等资料的管理。</w:t>
      </w:r>
    </w:p>
    <w:bookmarkEnd w:id="2"/>
    <w:p w14:paraId="36FBD93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eastAsia="宋体" w:cs="Times New Roman"/>
          <w:kern w:val="2"/>
          <w:sz w:val="28"/>
          <w:szCs w:val="28"/>
          <w:highlight w:val="none"/>
          <w:lang w:val="en-US" w:eastAsia="zh-CN" w:bidi="ar-SA"/>
        </w:rPr>
      </w:pPr>
      <w:bookmarkStart w:id="31" w:name="_Toc20463_WPSOffice_Level1"/>
      <w:r>
        <w:rPr>
          <w:rFonts w:hint="eastAsia" w:ascii="Times New Roman" w:hAnsi="Times New Roman" w:eastAsia="宋体" w:cs="Times New Roman"/>
          <w:kern w:val="2"/>
          <w:sz w:val="28"/>
          <w:szCs w:val="28"/>
          <w:highlight w:val="none"/>
          <w:lang w:val="en-US" w:eastAsia="zh-CN" w:bidi="ar-SA"/>
        </w:rPr>
        <w:t>附录。附录A主要给出了</w:t>
      </w:r>
      <w:bookmarkEnd w:id="31"/>
      <w:r>
        <w:rPr>
          <w:rFonts w:hint="eastAsia" w:ascii="Times New Roman" w:hAnsi="Times New Roman" w:eastAsia="宋体" w:cs="Times New Roman"/>
          <w:kern w:val="2"/>
          <w:sz w:val="28"/>
          <w:szCs w:val="28"/>
          <w:highlight w:val="none"/>
          <w:lang w:val="en-US" w:eastAsia="zh-CN" w:bidi="ar-SA"/>
        </w:rPr>
        <w:t>沿黄土石山区常用造林树种及苗木规格。</w:t>
      </w:r>
      <w:bookmarkStart w:id="32" w:name="_Toc15668_WPSOffice_Level1"/>
      <w:r>
        <w:rPr>
          <w:rFonts w:hint="eastAsia" w:ascii="Times New Roman" w:hAnsi="Times New Roman" w:eastAsia="宋体" w:cs="Times New Roman"/>
          <w:kern w:val="2"/>
          <w:sz w:val="28"/>
          <w:szCs w:val="28"/>
          <w:highlight w:val="none"/>
          <w:lang w:val="en-US" w:eastAsia="zh-CN" w:bidi="ar-SA"/>
        </w:rPr>
        <w:t>附录B主要给出了</w:t>
      </w:r>
      <w:bookmarkEnd w:id="32"/>
      <w:r>
        <w:rPr>
          <w:rFonts w:hint="eastAsia" w:ascii="Times New Roman" w:hAnsi="Times New Roman" w:eastAsia="宋体" w:cs="Times New Roman"/>
          <w:kern w:val="2"/>
          <w:sz w:val="28"/>
          <w:szCs w:val="28"/>
          <w:highlight w:val="none"/>
          <w:lang w:val="en-US" w:eastAsia="zh-CN" w:bidi="ar-SA"/>
        </w:rPr>
        <w:t>沿黄山土石区造林树种配置。便于本规程的应用者更好的理解和掌握本规程的内容。</w:t>
      </w:r>
    </w:p>
    <w:p w14:paraId="18B42C81">
      <w:pPr>
        <w:spacing w:line="560" w:lineRule="exact"/>
        <w:ind w:firstLine="562" w:firstLineChars="200"/>
        <w:jc w:val="both"/>
        <w:rPr>
          <w:rFonts w:hint="eastAsia" w:ascii="Times New Roman" w:hAnsi="Times New Roman" w:cs="Times New Roman"/>
          <w:b/>
          <w:sz w:val="28"/>
          <w:szCs w:val="28"/>
          <w:lang w:val="en-US" w:eastAsia="zh-CN"/>
        </w:rPr>
      </w:pPr>
      <w:r>
        <w:rPr>
          <w:rFonts w:hint="eastAsia" w:ascii="Times New Roman" w:hAnsi="Times New Roman" w:cs="Times New Roman"/>
          <w:b/>
          <w:sz w:val="28"/>
          <w:szCs w:val="28"/>
        </w:rPr>
        <w:t>三、试验验证</w:t>
      </w:r>
    </w:p>
    <w:p w14:paraId="6127022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本标准主要内容是在4年实践经验的基础上，结合两个中央财政林业科技推广示范项目的实践中，不断总结提炼。经过在榆林市的神木、府谷、佳县、绥德、吴堡、清涧和延安市的延川县等地沿黄土石山区防护林建设区的试验验证，具有准确度高，可靠性及操作性强等特点，实际推广取得了明显的社会效益、经济效益和生态效益，受到了基层业务部门和广大林农的肯定与好评。</w:t>
      </w:r>
    </w:p>
    <w:p w14:paraId="2F096298">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在沿黄土石山区造林技术研究与推广方面，项目主导单位已有执行中央财政林业科技推广示范项目2个，积累并验证了本标准中的相关技术和经验。</w:t>
      </w:r>
    </w:p>
    <w:p w14:paraId="1F88E763">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default"/>
          <w:sz w:val="28"/>
          <w:szCs w:val="28"/>
          <w:highlight w:val="none"/>
          <w:lang w:val="en-US" w:eastAsia="zh-CN"/>
        </w:rPr>
      </w:pPr>
      <w:r>
        <w:rPr>
          <w:rFonts w:hint="eastAsia"/>
          <w:sz w:val="28"/>
          <w:szCs w:val="28"/>
          <w:highlight w:val="none"/>
          <w:lang w:val="en-US" w:eastAsia="zh-CN"/>
        </w:rPr>
        <w:t>（1）2020-2022年，2020年中央财政林业科技推广暨“榆林黄河沿岸困难立地造林技术示范”项目（编号SLTG[2020] 01号，资金100万元），承担单位：榆林市林业工作站，项目在佳县、绥德两地沿黄土石山区建立侧柏混交黄刺玫等景观树种示范林1100亩，技术推广神木、佳县、清涧、延安、韩城等地沿黄土石山区造林14.8万亩。2023年3月15日项目通过陕西省林业局验收。</w:t>
      </w:r>
    </w:p>
    <w:p w14:paraId="4628D822">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 xml:space="preserve">（2）2021-2023年，2021年中央财政林业科技推广暨“榆林沿黄土石山区困难立地造林技术示范”项目 （编号SLTG[2021] 10号，资金100万元），承担单位：榆林市林业工作站，项目在吴堡、清涧两地沿黄土石山区建立侧柏混交黄刺玫等景观树种示范林1006亩，技术推广神木、佳县、清涧、延安、韩城等地沿黄土石山区造林17.8万亩。2024年1月4日项目通过陕西省林业局验收。                          </w:t>
      </w:r>
    </w:p>
    <w:p w14:paraId="44882650">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项目的实施，为当前沿黄土石山区造林技术的推广与应用起到示范作用，为本标准的制定奠定了深厚基础。因此，本标准编制主要是依托联合申报单位，以及承担的2个“沿黄土石山区困难立地造林技术示范”项目应用实施情况，通过收集、查阅并整理了有关沿黄土石山区生态修复资料，系统总结沿黄土石山区困难立地植补恢复技术，形成了该标准。</w:t>
      </w:r>
    </w:p>
    <w:p w14:paraId="2BFEB312">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（3）验证结果</w:t>
      </w:r>
    </w:p>
    <w:p w14:paraId="6D5FC378">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当乔木覆膜规格为1.0×0.8m、灌木覆膜规格为0.8×0.6m时，株高生长量和地径生长量两项指标值达到最大，植株生长最好。因此，对乔木来讲，坑长径1.0 m，短径0.8 m，坑深0.3 m~0.4 m；对灌木来讲，坑长径0.8 m，短径0.6 m，坑深0.3 m~0.4 m可作为沿黄土石山区石坎鱼鳞坑整地集雨水造林的最佳规格。</w:t>
      </w:r>
    </w:p>
    <w:p w14:paraId="2EE0D66E">
      <w:pPr>
        <w:pStyle w:val="2"/>
        <w:keepNext w:val="0"/>
        <w:keepLines w:val="0"/>
        <w:pageBreakBefore w:val="0"/>
        <w:widowControl w:val="0"/>
        <w:kinsoku/>
        <w:wordWrap/>
        <w:overflowPunct/>
        <w:topLinePunct w:val="0"/>
        <w:autoSpaceDE/>
        <w:autoSpaceDN/>
        <w:bidi w:val="0"/>
        <w:adjustRightInd/>
        <w:snapToGrid/>
        <w:ind w:left="0" w:leftChars="0" w:firstLine="480" w:firstLineChars="200"/>
        <w:jc w:val="center"/>
        <w:textAlignment w:val="auto"/>
        <w:rPr>
          <w:rFonts w:hint="default" w:ascii="Times New Roman" w:hAnsi="Times New Roman" w:eastAsia="宋体" w:cs="Times New Roman"/>
          <w:b/>
          <w:bCs/>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表1 石坎</w:t>
      </w:r>
      <w:r>
        <w:rPr>
          <w:rFonts w:hint="default" w:ascii="Times New Roman" w:hAnsi="Times New Roman" w:eastAsia="宋体" w:cs="Times New Roman"/>
          <w:b w:val="0"/>
          <w:bCs w:val="0"/>
          <w:kern w:val="2"/>
          <w:sz w:val="24"/>
          <w:szCs w:val="24"/>
          <w:lang w:val="en-US" w:eastAsia="zh-CN" w:bidi="ar-SA"/>
        </w:rPr>
        <w:t>鱼鳞坑整地不同集水处理土壤含水量对比</w:t>
      </w:r>
    </w:p>
    <w:tbl>
      <w:tblPr>
        <w:tblStyle w:val="5"/>
        <w:tblW w:w="82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014"/>
        <w:gridCol w:w="1256"/>
        <w:gridCol w:w="1195"/>
        <w:gridCol w:w="1586"/>
        <w:gridCol w:w="1091"/>
        <w:gridCol w:w="1117"/>
      </w:tblGrid>
      <w:tr w14:paraId="18F3F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tblHeader/>
          <w:jc w:val="center"/>
        </w:trPr>
        <w:tc>
          <w:tcPr>
            <w:tcW w:w="201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D3E1DE8">
            <w:pPr>
              <w:pStyle w:val="4"/>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处理</w:t>
            </w: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1125FA">
            <w:pPr>
              <w:pStyle w:val="4"/>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类型</w:t>
            </w:r>
          </w:p>
        </w:tc>
        <w:tc>
          <w:tcPr>
            <w:tcW w:w="1195"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03BD2F">
            <w:pPr>
              <w:pStyle w:val="4"/>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树种</w:t>
            </w:r>
          </w:p>
        </w:tc>
        <w:tc>
          <w:tcPr>
            <w:tcW w:w="3794" w:type="dxa"/>
            <w:gridSpan w:val="3"/>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369BCEE">
            <w:pPr>
              <w:pStyle w:val="4"/>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土壤含水量（</w:t>
            </w:r>
            <w:r>
              <w:rPr>
                <w:rFonts w:hint="default" w:ascii="Times New Roman" w:hAnsi="Times New Roman" w:eastAsia="宋体" w:cs="Times New Roman"/>
                <w:b w:val="0"/>
                <w:bCs w:val="0"/>
                <w:i w:val="0"/>
                <w:iCs w:val="0"/>
                <w:color w:val="000000"/>
                <w:kern w:val="24"/>
                <w:sz w:val="24"/>
                <w:szCs w:val="24"/>
                <w:u w:val="none"/>
              </w:rPr>
              <w:t>%</w:t>
            </w:r>
            <w:r>
              <w:rPr>
                <w:rFonts w:hint="eastAsia" w:ascii="Times New Roman" w:hAnsi="宋体" w:eastAsia="宋体" w:cs="Times New Roman"/>
                <w:b w:val="0"/>
                <w:bCs w:val="0"/>
                <w:i w:val="0"/>
                <w:iCs w:val="0"/>
                <w:color w:val="000000"/>
                <w:kern w:val="24"/>
                <w:sz w:val="24"/>
                <w:szCs w:val="24"/>
                <w:u w:val="none"/>
              </w:rPr>
              <w:t>）</w:t>
            </w:r>
          </w:p>
        </w:tc>
      </w:tr>
      <w:tr w14:paraId="6BE1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tblHeader/>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5EA0A8C">
            <w:pPr>
              <w:jc w:val="center"/>
              <w:rPr>
                <w:rFonts w:hint="eastAsia" w:ascii="Arial" w:hAnsi="Arial" w:cs="Arial"/>
                <w:b w:val="0"/>
                <w:bCs w:val="0"/>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113129">
            <w:pPr>
              <w:jc w:val="center"/>
              <w:rPr>
                <w:rFonts w:hint="default" w:ascii="Arial" w:hAnsi="Arial" w:cs="Arial"/>
                <w:b w:val="0"/>
                <w:bCs w:val="0"/>
                <w:i w:val="0"/>
                <w:iCs w:val="0"/>
                <w:color w:val="auto"/>
                <w:sz w:val="32"/>
                <w:szCs w:val="32"/>
                <w:u w:val="none"/>
              </w:rPr>
            </w:pPr>
          </w:p>
        </w:tc>
        <w:tc>
          <w:tcPr>
            <w:tcW w:w="1195"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4AF22F0">
            <w:pPr>
              <w:jc w:val="center"/>
              <w:rPr>
                <w:rFonts w:hint="default" w:ascii="Arial" w:hAnsi="Arial" w:cs="Arial"/>
                <w:b w:val="0"/>
                <w:bCs w:val="0"/>
                <w:i w:val="0"/>
                <w:iCs w:val="0"/>
                <w:color w:val="auto"/>
                <w:sz w:val="32"/>
                <w:szCs w:val="32"/>
                <w:u w:val="none"/>
              </w:rPr>
            </w:pP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6AF623">
            <w:pPr>
              <w:pStyle w:val="4"/>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0-20</w:t>
            </w:r>
            <w:r>
              <w:rPr>
                <w:rFonts w:hint="eastAsia" w:ascii="Times New Roman" w:hAnsi="Times New Roman" w:cs="Times New Roman"/>
                <w:b w:val="0"/>
                <w:bCs w:val="0"/>
                <w:i w:val="0"/>
                <w:iCs w:val="0"/>
                <w:color w:val="000000"/>
                <w:kern w:val="24"/>
                <w:sz w:val="24"/>
                <w:szCs w:val="24"/>
                <w:u w:val="none"/>
                <w:lang w:val="en-US" w:eastAsia="zh-CN"/>
              </w:rPr>
              <w:t>cm</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5DDDBFF">
            <w:pPr>
              <w:pStyle w:val="4"/>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20-40</w:t>
            </w:r>
            <w:r>
              <w:rPr>
                <w:rFonts w:hint="eastAsia" w:ascii="Times New Roman" w:hAnsi="Times New Roman" w:cs="Times New Roman"/>
                <w:b w:val="0"/>
                <w:bCs w:val="0"/>
                <w:i w:val="0"/>
                <w:iCs w:val="0"/>
                <w:color w:val="000000"/>
                <w:kern w:val="24"/>
                <w:sz w:val="24"/>
                <w:szCs w:val="24"/>
                <w:u w:val="none"/>
                <w:lang w:val="en-US" w:eastAsia="zh-CN"/>
              </w:rPr>
              <w:t>cm</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73A1C26">
            <w:pPr>
              <w:pStyle w:val="4"/>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40-60</w:t>
            </w:r>
            <w:r>
              <w:rPr>
                <w:rFonts w:hint="eastAsia" w:ascii="Times New Roman" w:hAnsi="Times New Roman" w:cs="Times New Roman"/>
                <w:b w:val="0"/>
                <w:bCs w:val="0"/>
                <w:i w:val="0"/>
                <w:iCs w:val="0"/>
                <w:color w:val="000000"/>
                <w:kern w:val="24"/>
                <w:sz w:val="24"/>
                <w:szCs w:val="24"/>
                <w:u w:val="none"/>
                <w:lang w:val="en-US" w:eastAsia="zh-CN"/>
              </w:rPr>
              <w:t>cm</w:t>
            </w:r>
          </w:p>
        </w:tc>
      </w:tr>
      <w:tr w14:paraId="4455F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C22C6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保水剂</w:t>
            </w:r>
            <w:r>
              <w:rPr>
                <w:rFonts w:hint="default" w:ascii="Times New Roman" w:hAnsi="Times New Roman" w:eastAsia="宋体" w:cs="Times New Roman"/>
                <w:b w:val="0"/>
                <w:bCs w:val="0"/>
                <w:i w:val="0"/>
                <w:iCs w:val="0"/>
                <w:color w:val="000000"/>
                <w:kern w:val="24"/>
                <w:sz w:val="24"/>
                <w:szCs w:val="24"/>
                <w:u w:val="none"/>
              </w:rPr>
              <w:t>B</w:t>
            </w: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417887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C858C73">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68F5929">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11.61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30E21F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12.99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07753C3">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13.23 </w:t>
            </w:r>
          </w:p>
        </w:tc>
      </w:tr>
      <w:tr w14:paraId="0CC07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2DD93C9">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62A4178">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D68F3B6">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401F04D">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9.97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321FE59">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11.11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4B6F895">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13.43 </w:t>
            </w:r>
          </w:p>
        </w:tc>
      </w:tr>
      <w:tr w14:paraId="795DA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2F499F0">
            <w:pPr>
              <w:jc w:val="center"/>
              <w:rPr>
                <w:rFonts w:hint="default" w:ascii="Arial" w:hAnsi="Arial" w:cs="Arial"/>
                <w:i w:val="0"/>
                <w:iCs w:val="0"/>
                <w:color w:val="auto"/>
                <w:sz w:val="32"/>
                <w:szCs w:val="32"/>
                <w:u w:val="none"/>
              </w:rPr>
            </w:pP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2680392">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42EB697">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3198E91">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7.35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37021D3">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8.04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68D318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9.35 </w:t>
            </w:r>
          </w:p>
        </w:tc>
      </w:tr>
      <w:tr w14:paraId="5733A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FBA58A9">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7106198">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E57A5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ABD157">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7.14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38ABBCF">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7.98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762C4A6">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8.89 </w:t>
            </w:r>
          </w:p>
        </w:tc>
      </w:tr>
      <w:tr w14:paraId="0DFAD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restart"/>
            <w:tcBorders>
              <w:top w:val="single" w:color="000000" w:sz="4" w:space="0"/>
              <w:left w:val="single" w:color="000000" w:sz="4" w:space="0"/>
              <w:right w:val="single" w:color="000000" w:sz="4" w:space="0"/>
            </w:tcBorders>
            <w:noWrap w:val="0"/>
            <w:tcMar>
              <w:top w:w="9" w:type="dxa"/>
              <w:left w:w="9" w:type="dxa"/>
              <w:right w:w="9" w:type="dxa"/>
            </w:tcMar>
            <w:vAlign w:val="center"/>
          </w:tcPr>
          <w:p w14:paraId="6B15F2E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覆膜</w:t>
            </w: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602DEC7">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C84D12">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7BE5BD">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12.42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DD705A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13.02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55D2AC0">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15.40 </w:t>
            </w:r>
          </w:p>
        </w:tc>
      </w:tr>
      <w:tr w14:paraId="3D691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left w:val="single" w:color="000000" w:sz="4" w:space="0"/>
              <w:right w:val="single" w:color="000000" w:sz="4" w:space="0"/>
            </w:tcBorders>
            <w:noWrap w:val="0"/>
            <w:tcMar>
              <w:top w:w="9" w:type="dxa"/>
              <w:left w:w="9" w:type="dxa"/>
              <w:right w:w="9" w:type="dxa"/>
            </w:tcMar>
            <w:vAlign w:val="center"/>
          </w:tcPr>
          <w:p w14:paraId="7C415CAE">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2186F52">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1C617F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424F025">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11.49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5EC84C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13.93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8EFBC7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14.12 </w:t>
            </w:r>
          </w:p>
        </w:tc>
      </w:tr>
      <w:tr w14:paraId="6CB37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left w:val="single" w:color="000000" w:sz="4" w:space="0"/>
              <w:right w:val="single" w:color="000000" w:sz="4" w:space="0"/>
            </w:tcBorders>
            <w:noWrap w:val="0"/>
            <w:tcMar>
              <w:top w:w="9" w:type="dxa"/>
              <w:left w:w="9" w:type="dxa"/>
              <w:right w:w="9" w:type="dxa"/>
            </w:tcMar>
            <w:vAlign w:val="center"/>
          </w:tcPr>
          <w:p w14:paraId="4E8F22C7">
            <w:pPr>
              <w:jc w:val="center"/>
              <w:rPr>
                <w:rFonts w:hint="default" w:ascii="Arial" w:hAnsi="Arial" w:cs="Arial"/>
                <w:i w:val="0"/>
                <w:iCs w:val="0"/>
                <w:color w:val="auto"/>
                <w:sz w:val="32"/>
                <w:szCs w:val="32"/>
                <w:u w:val="none"/>
              </w:rPr>
            </w:pP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1093F2C">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9C4E330">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D706E5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6.99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ACFA14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7.06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C3ABA9">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10.04 </w:t>
            </w:r>
          </w:p>
        </w:tc>
      </w:tr>
      <w:tr w14:paraId="33385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left w:val="single" w:color="000000" w:sz="4" w:space="0"/>
              <w:bottom w:val="single" w:color="000000" w:sz="4" w:space="0"/>
              <w:right w:val="single" w:color="000000" w:sz="4" w:space="0"/>
            </w:tcBorders>
            <w:noWrap w:val="0"/>
            <w:tcMar>
              <w:top w:w="9" w:type="dxa"/>
              <w:left w:w="9" w:type="dxa"/>
              <w:right w:w="9" w:type="dxa"/>
            </w:tcMar>
            <w:vAlign w:val="center"/>
          </w:tcPr>
          <w:p w14:paraId="3DAFD483">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5AF5CC7">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EA4E51">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427340F">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7.01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99E96A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8.24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D62C51E">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9.99 </w:t>
            </w:r>
          </w:p>
        </w:tc>
      </w:tr>
      <w:tr w14:paraId="7D2FE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396B57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对照</w:t>
            </w:r>
          </w:p>
          <w:p w14:paraId="1924F601">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（原状坡面）</w:t>
            </w: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C48A892">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BE3FFE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5DE02B9">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6.53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34AE011">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9.45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80E7821">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11.09 </w:t>
            </w:r>
          </w:p>
        </w:tc>
      </w:tr>
      <w:tr w14:paraId="7ED08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CD1C744">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A3A7192">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BAD310">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6AF63C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7.10 </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1F9C9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9.74 </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BAF43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11.29 </w:t>
            </w:r>
          </w:p>
        </w:tc>
      </w:tr>
      <w:tr w14:paraId="6B17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12230F3">
            <w:pPr>
              <w:jc w:val="center"/>
              <w:rPr>
                <w:rFonts w:hint="default" w:ascii="Arial" w:hAnsi="Arial" w:cs="Arial"/>
                <w:i w:val="0"/>
                <w:iCs w:val="0"/>
                <w:color w:val="auto"/>
                <w:sz w:val="32"/>
                <w:szCs w:val="32"/>
                <w:u w:val="none"/>
              </w:rPr>
            </w:pPr>
          </w:p>
        </w:tc>
        <w:tc>
          <w:tcPr>
            <w:tcW w:w="1256"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77A4124">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DFB603D">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C40E22">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6.46</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FA260D8">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7.58</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E2EBCB8">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8.99</w:t>
            </w:r>
          </w:p>
        </w:tc>
      </w:tr>
      <w:tr w14:paraId="0203D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4" w:hRule="atLeast"/>
          <w:jc w:val="center"/>
        </w:trPr>
        <w:tc>
          <w:tcPr>
            <w:tcW w:w="201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D9F7A86">
            <w:pPr>
              <w:jc w:val="center"/>
              <w:rPr>
                <w:rFonts w:hint="default" w:ascii="Arial" w:hAnsi="Arial" w:cs="Arial"/>
                <w:i w:val="0"/>
                <w:iCs w:val="0"/>
                <w:color w:val="auto"/>
                <w:sz w:val="32"/>
                <w:szCs w:val="32"/>
                <w:u w:val="none"/>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588B319">
            <w:pPr>
              <w:jc w:val="center"/>
              <w:rPr>
                <w:rFonts w:hint="default" w:ascii="Arial" w:hAnsi="Arial" w:cs="Arial"/>
                <w:i w:val="0"/>
                <w:iCs w:val="0"/>
                <w:color w:val="auto"/>
                <w:sz w:val="32"/>
                <w:szCs w:val="32"/>
                <w:u w:val="none"/>
              </w:rPr>
            </w:pPr>
          </w:p>
        </w:tc>
        <w:tc>
          <w:tcPr>
            <w:tcW w:w="1195"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37C4052">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86"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3F3CDBC">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5.34</w:t>
            </w:r>
          </w:p>
        </w:tc>
        <w:tc>
          <w:tcPr>
            <w:tcW w:w="109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5CF79D">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6.94</w:t>
            </w:r>
          </w:p>
        </w:tc>
        <w:tc>
          <w:tcPr>
            <w:tcW w:w="1117"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53CAEDB">
            <w:pPr>
              <w:pStyle w:val="4"/>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9.05</w:t>
            </w:r>
          </w:p>
        </w:tc>
      </w:tr>
    </w:tbl>
    <w:p w14:paraId="05DFCFE8">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both"/>
        <w:textAlignment w:val="auto"/>
        <w:rPr>
          <w:rFonts w:hint="default" w:ascii="Times New Roman" w:hAnsi="Times New Roman" w:eastAsia="宋体" w:cs="Times New Roman"/>
          <w:kern w:val="2"/>
          <w:sz w:val="28"/>
          <w:szCs w:val="28"/>
          <w:highlight w:val="none"/>
          <w:lang w:val="en-US" w:eastAsia="zh-CN" w:bidi="ar-SA"/>
        </w:rPr>
      </w:pPr>
      <w:r>
        <w:rPr>
          <w:rFonts w:hint="default" w:ascii="Times New Roman" w:hAnsi="Times New Roman" w:eastAsia="宋体" w:cs="Times New Roman"/>
          <w:kern w:val="2"/>
          <w:sz w:val="28"/>
          <w:szCs w:val="28"/>
          <w:highlight w:val="none"/>
          <w:lang w:val="en-US" w:eastAsia="zh-CN" w:bidi="ar-SA"/>
        </w:rPr>
        <w:t>数据分析表明，与CK相比，</w:t>
      </w:r>
      <w:r>
        <w:rPr>
          <w:rFonts w:hint="eastAsia" w:ascii="Times New Roman" w:hAnsi="Times New Roman" w:eastAsia="宋体" w:cs="Times New Roman"/>
          <w:kern w:val="2"/>
          <w:sz w:val="28"/>
          <w:szCs w:val="28"/>
          <w:highlight w:val="none"/>
          <w:lang w:val="en-US" w:eastAsia="zh-CN" w:bidi="ar-SA"/>
        </w:rPr>
        <w:t>石坎</w:t>
      </w:r>
      <w:r>
        <w:rPr>
          <w:rFonts w:hint="default" w:ascii="Times New Roman" w:hAnsi="Times New Roman" w:eastAsia="宋体" w:cs="Times New Roman"/>
          <w:kern w:val="2"/>
          <w:sz w:val="28"/>
          <w:szCs w:val="28"/>
          <w:highlight w:val="none"/>
          <w:lang w:val="en-US" w:eastAsia="zh-CN" w:bidi="ar-SA"/>
        </w:rPr>
        <w:t>鱼鳞坑整地模式下不同集水处理效果均有显著差异（P&lt;0.05），且都高于CK。土壤含水量随土层深度的增加而升高。</w:t>
      </w:r>
      <w:r>
        <w:rPr>
          <w:rFonts w:hint="eastAsia" w:ascii="Times New Roman" w:hAnsi="Times New Roman" w:eastAsia="宋体" w:cs="Times New Roman"/>
          <w:kern w:val="2"/>
          <w:sz w:val="28"/>
          <w:szCs w:val="28"/>
          <w:highlight w:val="none"/>
          <w:lang w:val="en-US" w:eastAsia="zh-CN" w:bidi="ar-SA"/>
        </w:rPr>
        <w:t>相应的植</w:t>
      </w:r>
      <w:r>
        <w:rPr>
          <w:rFonts w:hint="default" w:ascii="Times New Roman" w:hAnsi="Times New Roman" w:eastAsia="宋体" w:cs="Times New Roman"/>
          <w:kern w:val="2"/>
          <w:sz w:val="28"/>
          <w:szCs w:val="28"/>
          <w:highlight w:val="none"/>
          <w:lang w:val="en-US" w:eastAsia="zh-CN" w:bidi="ar-SA"/>
        </w:rPr>
        <w:t>株高生长量</w:t>
      </w:r>
      <w:r>
        <w:rPr>
          <w:rFonts w:hint="eastAsia" w:ascii="Times New Roman" w:hAnsi="Times New Roman" w:eastAsia="宋体" w:cs="Times New Roman"/>
          <w:kern w:val="2"/>
          <w:sz w:val="28"/>
          <w:szCs w:val="28"/>
          <w:highlight w:val="none"/>
          <w:lang w:val="en-US" w:eastAsia="zh-CN" w:bidi="ar-SA"/>
        </w:rPr>
        <w:t>直也较</w:t>
      </w:r>
      <w:r>
        <w:rPr>
          <w:rFonts w:hint="default" w:ascii="Times New Roman" w:hAnsi="Times New Roman" w:eastAsia="宋体" w:cs="Times New Roman"/>
          <w:kern w:val="2"/>
          <w:sz w:val="28"/>
          <w:szCs w:val="28"/>
          <w:highlight w:val="none"/>
          <w:lang w:val="en-US" w:eastAsia="zh-CN" w:bidi="ar-SA"/>
        </w:rPr>
        <w:t>大</w:t>
      </w:r>
      <w:r>
        <w:rPr>
          <w:rFonts w:hint="eastAsia" w:ascii="Times New Roman" w:hAnsi="Times New Roman" w:eastAsia="宋体" w:cs="Times New Roman"/>
          <w:kern w:val="2"/>
          <w:sz w:val="28"/>
          <w:szCs w:val="28"/>
          <w:highlight w:val="none"/>
          <w:lang w:val="en-US" w:eastAsia="zh-CN" w:bidi="ar-SA"/>
        </w:rPr>
        <w:t>，经测定，年高生长量方面，</w:t>
      </w:r>
      <w:r>
        <w:rPr>
          <w:rFonts w:hint="default" w:ascii="Times New Roman" w:hAnsi="Times New Roman" w:eastAsia="宋体" w:cs="Times New Roman"/>
          <w:kern w:val="2"/>
          <w:sz w:val="28"/>
          <w:szCs w:val="28"/>
          <w:highlight w:val="none"/>
          <w:lang w:val="en-US" w:eastAsia="zh-CN" w:bidi="ar-SA"/>
        </w:rPr>
        <w:t>油松</w:t>
      </w:r>
      <w:r>
        <w:rPr>
          <w:rFonts w:hint="eastAsia" w:ascii="Times New Roman" w:hAnsi="Times New Roman" w:eastAsia="宋体" w:cs="Times New Roman"/>
          <w:kern w:val="2"/>
          <w:sz w:val="28"/>
          <w:szCs w:val="28"/>
          <w:highlight w:val="none"/>
          <w:lang w:val="en-US" w:eastAsia="zh-CN" w:bidi="ar-SA"/>
        </w:rPr>
        <w:t>达到</w:t>
      </w:r>
      <w:r>
        <w:rPr>
          <w:rFonts w:hint="default" w:ascii="Times New Roman" w:hAnsi="Times New Roman" w:eastAsia="宋体" w:cs="Times New Roman"/>
          <w:kern w:val="2"/>
          <w:sz w:val="28"/>
          <w:szCs w:val="28"/>
          <w:highlight w:val="none"/>
          <w:lang w:val="en-US" w:eastAsia="zh-CN" w:bidi="ar-SA"/>
        </w:rPr>
        <w:t>36.79cm、侧柏</w:t>
      </w:r>
      <w:r>
        <w:rPr>
          <w:rFonts w:hint="eastAsia" w:ascii="Times New Roman" w:hAnsi="Times New Roman" w:eastAsia="宋体" w:cs="Times New Roman"/>
          <w:kern w:val="2"/>
          <w:sz w:val="28"/>
          <w:szCs w:val="28"/>
          <w:highlight w:val="none"/>
          <w:lang w:val="en-US" w:eastAsia="zh-CN" w:bidi="ar-SA"/>
        </w:rPr>
        <w:t>达到</w:t>
      </w:r>
      <w:r>
        <w:rPr>
          <w:rFonts w:hint="default" w:ascii="Times New Roman" w:hAnsi="Times New Roman" w:eastAsia="宋体" w:cs="Times New Roman"/>
          <w:kern w:val="2"/>
          <w:sz w:val="28"/>
          <w:szCs w:val="28"/>
          <w:highlight w:val="none"/>
          <w:lang w:val="en-US" w:eastAsia="zh-CN" w:bidi="ar-SA"/>
        </w:rPr>
        <w:t>33.15cm</w:t>
      </w:r>
      <w:r>
        <w:rPr>
          <w:rFonts w:hint="eastAsia" w:ascii="Times New Roman" w:hAnsi="Times New Roman" w:eastAsia="宋体" w:cs="Times New Roman"/>
          <w:kern w:val="2"/>
          <w:sz w:val="28"/>
          <w:szCs w:val="28"/>
          <w:highlight w:val="none"/>
          <w:lang w:val="en-US" w:eastAsia="zh-CN" w:bidi="ar-SA"/>
        </w:rPr>
        <w:t>，</w:t>
      </w:r>
      <w:r>
        <w:rPr>
          <w:rFonts w:hint="default" w:ascii="Times New Roman" w:hAnsi="Times New Roman" w:eastAsia="宋体" w:cs="Times New Roman"/>
          <w:kern w:val="2"/>
          <w:sz w:val="28"/>
          <w:szCs w:val="28"/>
          <w:highlight w:val="none"/>
          <w:lang w:val="en-US" w:eastAsia="zh-CN" w:bidi="ar-SA"/>
        </w:rPr>
        <w:t>柠条</w:t>
      </w:r>
      <w:r>
        <w:rPr>
          <w:rFonts w:hint="eastAsia" w:ascii="Times New Roman" w:hAnsi="Times New Roman" w:eastAsia="宋体" w:cs="Times New Roman"/>
          <w:kern w:val="2"/>
          <w:sz w:val="28"/>
          <w:szCs w:val="28"/>
          <w:highlight w:val="none"/>
          <w:lang w:val="en-US" w:eastAsia="zh-CN" w:bidi="ar-SA"/>
        </w:rPr>
        <w:t>达到</w:t>
      </w:r>
      <w:r>
        <w:rPr>
          <w:rFonts w:hint="default" w:ascii="Times New Roman" w:hAnsi="Times New Roman" w:eastAsia="宋体" w:cs="Times New Roman"/>
          <w:kern w:val="2"/>
          <w:sz w:val="28"/>
          <w:szCs w:val="28"/>
          <w:highlight w:val="none"/>
          <w:lang w:val="en-US" w:eastAsia="zh-CN" w:bidi="ar-SA"/>
        </w:rPr>
        <w:t>50.56cm、黄刺玫</w:t>
      </w:r>
      <w:r>
        <w:rPr>
          <w:rFonts w:hint="eastAsia" w:ascii="Times New Roman" w:hAnsi="Times New Roman" w:eastAsia="宋体" w:cs="Times New Roman"/>
          <w:kern w:val="2"/>
          <w:sz w:val="28"/>
          <w:szCs w:val="28"/>
          <w:highlight w:val="none"/>
          <w:lang w:val="en-US" w:eastAsia="zh-CN" w:bidi="ar-SA"/>
        </w:rPr>
        <w:t>达到</w:t>
      </w:r>
      <w:r>
        <w:rPr>
          <w:rFonts w:hint="default" w:ascii="Times New Roman" w:hAnsi="Times New Roman" w:eastAsia="宋体" w:cs="Times New Roman"/>
          <w:kern w:val="2"/>
          <w:sz w:val="28"/>
          <w:szCs w:val="28"/>
          <w:highlight w:val="none"/>
          <w:lang w:val="en-US" w:eastAsia="zh-CN" w:bidi="ar-SA"/>
        </w:rPr>
        <w:t>16.79cm。</w:t>
      </w:r>
    </w:p>
    <w:p w14:paraId="72BC9163">
      <w:pPr>
        <w:spacing w:line="560" w:lineRule="exact"/>
        <w:ind w:firstLine="562" w:firstLineChars="200"/>
        <w:jc w:val="both"/>
        <w:rPr>
          <w:rFonts w:hint="eastAsia" w:ascii="Times New Roman" w:hAnsi="Times New Roman" w:cs="Times New Roman"/>
          <w:b/>
          <w:sz w:val="28"/>
          <w:szCs w:val="28"/>
        </w:rPr>
      </w:pPr>
      <w:r>
        <w:rPr>
          <w:rFonts w:hint="eastAsia" w:ascii="Times New Roman" w:hAnsi="Times New Roman" w:cs="Times New Roman"/>
          <w:b/>
          <w:sz w:val="28"/>
          <w:szCs w:val="28"/>
        </w:rPr>
        <w:t>四、知识产权说明</w:t>
      </w:r>
    </w:p>
    <w:p w14:paraId="70EABABB">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拟制定的《沿黄土石山区造林技术规范》是在申请人长期从事、承担并完成了多项沿黄土石山区造林技术示范推广项目、获得多项创新成果和自主知识产权的基础上，充分借鉴和利用国内外最新的造林技术规程来完成的。截至目前，国内外尚未见同类技术规程的发布，不存在知识产权纠纷。</w:t>
      </w:r>
    </w:p>
    <w:p w14:paraId="132D1E48">
      <w:pPr>
        <w:spacing w:line="560" w:lineRule="exact"/>
        <w:ind w:firstLine="562" w:firstLineChars="200"/>
        <w:jc w:val="both"/>
      </w:pPr>
      <w:r>
        <w:rPr>
          <w:rFonts w:hint="eastAsia" w:ascii="Times New Roman" w:hAnsi="Times New Roman" w:cs="Times New Roman"/>
          <w:b/>
          <w:sz w:val="28"/>
          <w:szCs w:val="28"/>
        </w:rPr>
        <w:t>五、主要参考标准及技术资料</w:t>
      </w:r>
    </w:p>
    <w:p w14:paraId="6AAD4437">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本标准在制定过程中，依据参考了以下标准的内容。GB/ T15776-2023《造林技术规程》的有关内容。</w:t>
      </w:r>
    </w:p>
    <w:p w14:paraId="2DC5FC55">
      <w:pPr>
        <w:adjustRightInd w:val="0"/>
        <w:spacing w:line="560" w:lineRule="exact"/>
        <w:ind w:firstLine="562" w:firstLineChars="200"/>
        <w:jc w:val="both"/>
        <w:rPr>
          <w:b/>
          <w:color w:val="000000"/>
          <w:sz w:val="28"/>
          <w:szCs w:val="28"/>
        </w:rPr>
      </w:pPr>
      <w:r>
        <w:rPr>
          <w:rFonts w:hint="eastAsia"/>
          <w:b/>
          <w:color w:val="000000"/>
          <w:sz w:val="28"/>
          <w:szCs w:val="28"/>
          <w:lang w:eastAsia="zh-CN"/>
        </w:rPr>
        <w:t>六</w:t>
      </w:r>
      <w:r>
        <w:rPr>
          <w:rFonts w:hint="eastAsia" w:ascii="Times New Roman" w:hAnsi="Times New Roman" w:cs="Times New Roman"/>
          <w:b/>
          <w:sz w:val="28"/>
          <w:szCs w:val="28"/>
        </w:rPr>
        <w:t>、</w:t>
      </w:r>
      <w:r>
        <w:rPr>
          <w:b/>
          <w:color w:val="000000"/>
          <w:sz w:val="28"/>
          <w:szCs w:val="28"/>
        </w:rPr>
        <w:t>重大分歧意见的处理经过和依据</w:t>
      </w:r>
    </w:p>
    <w:p w14:paraId="4BAF547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本标准现处于征求意见阶段，欢迎省内外有关科研、管理和生产单位提出修改意见。同时本标准属于推荐性省级地方标准，所规定的技术内容和要求具有普遍指导作用，建议使用单位结合生产实际情况，加以灵活应用，有不同意见时欢迎与标准起草人员进行沟通与讨论，在沟通无果的情况下，可本着求同存异的理念加以应用，或修订、研发、执行新的适用技术标准。</w:t>
      </w:r>
    </w:p>
    <w:p w14:paraId="44DC2C32">
      <w:pPr>
        <w:adjustRightInd w:val="0"/>
        <w:spacing w:line="560" w:lineRule="exact"/>
        <w:ind w:firstLine="562" w:firstLineChars="200"/>
        <w:jc w:val="both"/>
        <w:rPr>
          <w:rFonts w:ascii="Times New Roman" w:hAnsi="Times New Roman" w:cs="Times New Roman"/>
          <w:b/>
          <w:color w:val="000000"/>
          <w:sz w:val="28"/>
          <w:szCs w:val="28"/>
        </w:rPr>
      </w:pPr>
      <w:r>
        <w:rPr>
          <w:rFonts w:hint="eastAsia" w:ascii="Times New Roman" w:hAnsi="Times New Roman" w:cs="Times New Roman"/>
          <w:b/>
          <w:color w:val="000000"/>
          <w:sz w:val="28"/>
          <w:szCs w:val="28"/>
        </w:rPr>
        <w:t>七、标准性质的建议说明</w:t>
      </w:r>
    </w:p>
    <w:p w14:paraId="75CF2B17">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沿黄土石山区造林技术规范》属于技术标准，旨在对陕西省沿黄土石山区防护林建设和生产起到指导作用，提出的主要是技术要求，不涉及保障人体健康、人身、财产安全等具体指标。新标准实施的过程也是积累经验、找出差距与不足的过程。故建议发布为推荐性地方标准。</w:t>
      </w:r>
    </w:p>
    <w:p w14:paraId="541D79C6">
      <w:pPr>
        <w:adjustRightInd w:val="0"/>
        <w:spacing w:line="560" w:lineRule="exact"/>
        <w:ind w:firstLine="562" w:firstLineChars="200"/>
        <w:jc w:val="both"/>
        <w:rPr>
          <w:b/>
          <w:color w:val="000000"/>
          <w:sz w:val="28"/>
          <w:szCs w:val="28"/>
        </w:rPr>
      </w:pPr>
      <w:r>
        <w:rPr>
          <w:rFonts w:hint="eastAsia"/>
          <w:b/>
          <w:color w:val="000000"/>
          <w:sz w:val="28"/>
          <w:szCs w:val="28"/>
          <w:lang w:eastAsia="zh-CN"/>
        </w:rPr>
        <w:t>八、</w:t>
      </w:r>
      <w:r>
        <w:rPr>
          <w:b/>
          <w:color w:val="000000"/>
          <w:sz w:val="28"/>
          <w:szCs w:val="28"/>
        </w:rPr>
        <w:t>贯彻标准的要求、措施和建议，包括组织措施、技术措施、过渡办法等内容</w:t>
      </w:r>
    </w:p>
    <w:p w14:paraId="0A7D0605">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建议我省涉及沿黄土石山区的各级林业单位以项目的形式对本标准进行推广应用，通过建立示范点（示范片）进行辐射推广，同时，加强对标准使用指导与培训，让标准发挥应有的作用。</w:t>
      </w:r>
    </w:p>
    <w:p w14:paraId="4825C3C7">
      <w:pPr>
        <w:adjustRightInd w:val="0"/>
        <w:spacing w:line="560" w:lineRule="exact"/>
        <w:ind w:firstLine="562" w:firstLineChars="200"/>
        <w:jc w:val="both"/>
        <w:rPr>
          <w:b/>
          <w:color w:val="000000"/>
          <w:sz w:val="28"/>
          <w:szCs w:val="28"/>
        </w:rPr>
      </w:pPr>
      <w:r>
        <w:rPr>
          <w:rFonts w:hint="eastAsia"/>
          <w:b/>
          <w:color w:val="000000"/>
          <w:sz w:val="28"/>
          <w:szCs w:val="28"/>
          <w:lang w:eastAsia="zh-CN"/>
        </w:rPr>
        <w:t>九、</w:t>
      </w:r>
      <w:r>
        <w:rPr>
          <w:b/>
          <w:color w:val="000000"/>
          <w:sz w:val="28"/>
          <w:szCs w:val="28"/>
        </w:rPr>
        <w:t>废止现行有关标准的建议</w:t>
      </w:r>
    </w:p>
    <w:p w14:paraId="0B7F7128">
      <w:pPr>
        <w:adjustRightInd w:val="0"/>
        <w:spacing w:line="560" w:lineRule="exact"/>
        <w:ind w:firstLine="560" w:firstLineChars="200"/>
        <w:jc w:val="both"/>
        <w:rPr>
          <w:color w:val="000000"/>
          <w:sz w:val="28"/>
          <w:szCs w:val="28"/>
        </w:rPr>
      </w:pPr>
      <w:r>
        <w:rPr>
          <w:color w:val="000000"/>
          <w:sz w:val="28"/>
          <w:szCs w:val="28"/>
        </w:rPr>
        <w:t>无</w:t>
      </w:r>
    </w:p>
    <w:p w14:paraId="49CC0136">
      <w:pPr>
        <w:keepNext w:val="0"/>
        <w:keepLines w:val="0"/>
        <w:pageBreakBefore w:val="0"/>
        <w:widowControl/>
        <w:numPr>
          <w:ilvl w:val="0"/>
          <w:numId w:val="0"/>
        </w:numPr>
        <w:suppressLineNumbers w:val="0"/>
        <w:kinsoku/>
        <w:wordWrap/>
        <w:overflowPunct/>
        <w:topLinePunct w:val="0"/>
        <w:autoSpaceDE/>
        <w:autoSpaceDN/>
        <w:bidi w:val="0"/>
        <w:adjustRightInd/>
        <w:snapToGrid/>
        <w:ind w:firstLine="562" w:firstLineChars="200"/>
        <w:jc w:val="both"/>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十、其他应予说明的事项</w:t>
      </w:r>
    </w:p>
    <w:p w14:paraId="5E5A8631">
      <w:pPr>
        <w:adjustRightInd w:val="0"/>
        <w:spacing w:line="560" w:lineRule="exact"/>
        <w:ind w:firstLine="560" w:firstLineChars="200"/>
        <w:jc w:val="both"/>
        <w:rPr>
          <w:rFonts w:hint="eastAsia" w:ascii="Times New Roman" w:hAnsi="Times New Roman" w:cs="Times New Roman"/>
          <w:color w:val="000000"/>
          <w:sz w:val="28"/>
          <w:szCs w:val="28"/>
          <w:lang w:val="en-US" w:eastAsia="zh-CN"/>
        </w:rPr>
      </w:pPr>
      <w:r>
        <w:rPr>
          <w:rFonts w:hint="eastAsia" w:ascii="Times New Roman" w:hAnsi="Times New Roman" w:cs="Times New Roman"/>
          <w:color w:val="000000"/>
          <w:sz w:val="28"/>
          <w:szCs w:val="28"/>
          <w:lang w:val="en-US" w:eastAsia="zh-CN"/>
        </w:rPr>
        <w:t>无</w:t>
      </w:r>
    </w:p>
    <w:p w14:paraId="1BCF542E">
      <w:pPr>
        <w:snapToGrid w:val="0"/>
        <w:spacing w:line="560" w:lineRule="exact"/>
        <w:jc w:val="right"/>
        <w:rPr>
          <w:rFonts w:hint="eastAsia" w:ascii="宋体" w:hAnsi="宋体"/>
          <w:color w:val="000000"/>
          <w:sz w:val="28"/>
          <w:szCs w:val="28"/>
        </w:rPr>
      </w:pPr>
    </w:p>
    <w:p w14:paraId="69E3CCEE">
      <w:pPr>
        <w:snapToGrid w:val="0"/>
        <w:spacing w:line="560" w:lineRule="exact"/>
        <w:jc w:val="right"/>
        <w:rPr>
          <w:rFonts w:ascii="宋体" w:hAnsi="宋体"/>
          <w:color w:val="000000"/>
          <w:sz w:val="28"/>
          <w:szCs w:val="28"/>
        </w:rPr>
      </w:pPr>
      <w:r>
        <w:rPr>
          <w:rFonts w:hint="eastAsia" w:ascii="宋体" w:hAnsi="宋体"/>
          <w:color w:val="000000"/>
          <w:sz w:val="28"/>
          <w:szCs w:val="28"/>
        </w:rPr>
        <w:t>《</w:t>
      </w:r>
      <w:r>
        <w:rPr>
          <w:rFonts w:hint="eastAsia" w:ascii="Times New Roman" w:hAnsi="Times New Roman" w:eastAsia="宋体" w:cs="Times New Roman"/>
          <w:kern w:val="2"/>
          <w:sz w:val="28"/>
          <w:szCs w:val="28"/>
          <w:lang w:val="en-US" w:eastAsia="zh-CN" w:bidi="ar-SA"/>
        </w:rPr>
        <w:t>沿黄土石山区造林技术规范</w:t>
      </w:r>
      <w:r>
        <w:rPr>
          <w:rFonts w:hint="eastAsia" w:ascii="宋体" w:hAnsi="宋体"/>
          <w:color w:val="000000"/>
          <w:sz w:val="28"/>
          <w:szCs w:val="28"/>
        </w:rPr>
        <w:t>》起草</w:t>
      </w:r>
      <w:r>
        <w:rPr>
          <w:rFonts w:hint="eastAsia" w:ascii="宋体" w:hAnsi="宋体"/>
          <w:color w:val="000000"/>
          <w:sz w:val="28"/>
          <w:szCs w:val="28"/>
          <w:lang w:eastAsia="zh-CN"/>
        </w:rPr>
        <w:t>小</w:t>
      </w:r>
      <w:r>
        <w:rPr>
          <w:rFonts w:hint="eastAsia" w:ascii="宋体" w:hAnsi="宋体"/>
          <w:color w:val="000000"/>
          <w:sz w:val="28"/>
          <w:szCs w:val="28"/>
        </w:rPr>
        <w:t>组</w:t>
      </w:r>
    </w:p>
    <w:p w14:paraId="58D1130D">
      <w:pPr>
        <w:adjustRightInd w:val="0"/>
        <w:spacing w:line="560" w:lineRule="exact"/>
        <w:jc w:val="center"/>
        <w:rPr>
          <w:rFonts w:hint="eastAsia" w:ascii="宋体" w:hAnsi="宋体" w:eastAsia="宋体"/>
          <w:color w:val="000000"/>
          <w:sz w:val="28"/>
          <w:szCs w:val="28"/>
          <w:lang w:val="en-US" w:eastAsia="zh-CN"/>
        </w:rPr>
      </w:pPr>
      <w:r>
        <w:rPr>
          <w:rFonts w:hint="eastAsia" w:ascii="宋体" w:hAnsi="宋体"/>
          <w:color w:val="000000"/>
          <w:sz w:val="28"/>
          <w:szCs w:val="28"/>
          <w:lang w:val="en-US" w:eastAsia="zh-CN"/>
        </w:rPr>
        <w:t xml:space="preserve">                       2024</w:t>
      </w:r>
      <w:r>
        <w:rPr>
          <w:rFonts w:hint="eastAsia" w:ascii="宋体" w:hAnsi="宋体"/>
          <w:color w:val="000000"/>
          <w:sz w:val="28"/>
          <w:szCs w:val="28"/>
        </w:rPr>
        <w:t>年</w:t>
      </w:r>
      <w:r>
        <w:rPr>
          <w:rFonts w:hint="eastAsia" w:ascii="宋体" w:hAnsi="宋体"/>
          <w:color w:val="000000"/>
          <w:sz w:val="28"/>
          <w:szCs w:val="28"/>
          <w:lang w:val="en-US" w:eastAsia="zh-CN"/>
        </w:rPr>
        <w:t>11</w:t>
      </w:r>
      <w:r>
        <w:rPr>
          <w:rFonts w:hint="eastAsia" w:ascii="宋体" w:hAnsi="宋体"/>
          <w:color w:val="000000"/>
          <w:sz w:val="28"/>
          <w:szCs w:val="28"/>
        </w:rPr>
        <w:t>月</w:t>
      </w:r>
      <w:r>
        <w:rPr>
          <w:rFonts w:hint="eastAsia" w:ascii="宋体" w:hAnsi="宋体"/>
          <w:color w:val="000000"/>
          <w:sz w:val="28"/>
          <w:szCs w:val="28"/>
          <w:lang w:val="en-US" w:eastAsia="zh-CN"/>
        </w:rPr>
        <w:t>1日</w:t>
      </w:r>
    </w:p>
    <w:p w14:paraId="4C37703F"/>
    <w:sectPr>
      <w:footerReference r:id="rId4" w:type="default"/>
      <w:pgSz w:w="11906" w:h="16838"/>
      <w:pgMar w:top="1440" w:right="17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8A61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A401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C91B">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C91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
      <w:suff w:val="nothing"/>
      <w:lvlText w:val="%1%2　"/>
      <w:lvlJc w:val="left"/>
      <w:pPr>
        <w:ind w:left="0" w:firstLine="0"/>
      </w:pPr>
      <w:rPr>
        <w:rFonts w:hint="eastAsia" w:ascii="黑体" w:eastAsia="黑体"/>
        <w:b w:val="0"/>
        <w:i w:val="0"/>
        <w:sz w:val="21"/>
      </w:rPr>
    </w:lvl>
    <w:lvl w:ilvl="2" w:tentative="0">
      <w:start w:val="1"/>
      <w:numFmt w:val="decimal"/>
      <w:pStyle w:val="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0"/>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MDBhMTIzZDc1YTQ0M2Y1MGMzM2RiZDg2YTcwMTUifQ=="/>
  </w:docVars>
  <w:rsids>
    <w:rsidRoot w:val="02445D1D"/>
    <w:rsid w:val="02445D1D"/>
    <w:rsid w:val="0AF12DE9"/>
    <w:rsid w:val="0DB27AC6"/>
    <w:rsid w:val="0E845B0E"/>
    <w:rsid w:val="1D657C93"/>
    <w:rsid w:val="259F36D3"/>
    <w:rsid w:val="410E27E6"/>
    <w:rsid w:val="4EBA1013"/>
    <w:rsid w:val="541D0C96"/>
    <w:rsid w:val="610B0243"/>
    <w:rsid w:val="64FB113D"/>
    <w:rsid w:val="68D27036"/>
    <w:rsid w:val="6C847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customStyle="1" w:styleId="7">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列出段落1"/>
    <w:basedOn w:val="1"/>
    <w:qFormat/>
    <w:uiPriority w:val="34"/>
    <w:pPr>
      <w:ind w:firstLine="420" w:firstLineChars="200"/>
    </w:pPr>
  </w:style>
  <w:style w:type="paragraph" w:customStyle="1" w:styleId="9">
    <w:name w:val="标准文件_章标题"/>
    <w:next w:val="7"/>
    <w:autoRedefine/>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
    <w:name w:val="标准文件_二级条标题"/>
    <w:next w:val="7"/>
    <w:autoRedefine/>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1">
    <w:name w:val="标准文件_一级条标题"/>
    <w:basedOn w:val="9"/>
    <w:next w:val="7"/>
    <w:autoRedefine/>
    <w:qFormat/>
    <w:uiPriority w:val="0"/>
    <w:pPr>
      <w:numPr>
        <w:ilvl w:val="2"/>
      </w:numPr>
      <w:spacing w:before="50" w:beforeLines="50" w:after="50" w:afterLines="50"/>
      <w:outlineLvl w:val="1"/>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中共海南省委员会</Company>
  <Pages>15</Pages>
  <Words>6710</Words>
  <Characters>7191</Characters>
  <Lines>0</Lines>
  <Paragraphs>0</Paragraphs>
  <TotalTime>0</TotalTime>
  <ScaleCrop>false</ScaleCrop>
  <LinksUpToDate>false</LinksUpToDate>
  <CharactersWithSpaces>7296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2024-10-20T06:52:00Z</dcterms:created>
  <dc:creator>沙漠风</dc:creator>
  <cp:lastModifiedBy>棍儿</cp:lastModifiedBy>
  <dcterms:modified xsi:type="dcterms:W3CDTF">2024-11-05T08:31:48Z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6E6A17EA964B4930B05A760957BBE5B2_11</vt:lpwstr>
  </property>
</Properties>
</file>