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eastAsia="方正小标宋简体"/>
          <w:b/>
          <w:sz w:val="36"/>
          <w:szCs w:val="36"/>
        </w:rPr>
      </w:pPr>
      <w:r>
        <w:rPr>
          <w:rFonts w:hint="eastAsia" w:ascii="Times New Roman" w:hAnsi="Times New Roman" w:eastAsia="方正小标宋简体"/>
          <w:b/>
          <w:sz w:val="36"/>
          <w:szCs w:val="36"/>
        </w:rPr>
        <w:t>陕西省地方标准</w:t>
      </w:r>
    </w:p>
    <w:p>
      <w:pPr>
        <w:jc w:val="center"/>
        <w:rPr>
          <w:rFonts w:hint="eastAsia" w:ascii="Times New Roman" w:hAnsi="Times New Roman" w:eastAsia="方正小标宋简体"/>
          <w:b/>
          <w:sz w:val="36"/>
          <w:szCs w:val="36"/>
        </w:rPr>
      </w:pPr>
      <w:r>
        <w:rPr>
          <w:rFonts w:hint="eastAsia" w:ascii="Times New Roman" w:hAnsi="Times New Roman" w:eastAsia="方正小标宋简体"/>
          <w:b/>
          <w:sz w:val="36"/>
          <w:szCs w:val="36"/>
        </w:rPr>
        <w:t>《</w:t>
      </w:r>
      <w:r>
        <w:rPr>
          <w:rFonts w:hint="eastAsia" w:ascii="Times New Roman" w:hAnsi="Times New Roman" w:eastAsia="方正小标宋简体"/>
          <w:b/>
          <w:sz w:val="36"/>
          <w:szCs w:val="36"/>
          <w:lang w:eastAsia="zh-CN"/>
        </w:rPr>
        <w:t>玉米主要害虫综合防治技术规范</w:t>
      </w:r>
      <w:r>
        <w:rPr>
          <w:rFonts w:hint="eastAsia" w:ascii="Times New Roman" w:hAnsi="Times New Roman" w:eastAsia="方正小标宋简体"/>
          <w:b/>
          <w:sz w:val="36"/>
          <w:szCs w:val="36"/>
        </w:rPr>
        <w:t>》</w:t>
      </w:r>
      <w:r>
        <w:rPr>
          <w:rFonts w:hint="eastAsia" w:ascii="Times New Roman" w:hAnsi="Times New Roman" w:eastAsia="方正小标宋简体"/>
          <w:b/>
          <w:sz w:val="36"/>
          <w:szCs w:val="36"/>
          <w:lang w:val="en-US" w:eastAsia="zh-CN"/>
        </w:rPr>
        <w:t>(征求意见稿)</w:t>
      </w:r>
    </w:p>
    <w:p>
      <w:pPr>
        <w:jc w:val="center"/>
        <w:rPr>
          <w:rFonts w:hint="eastAsia" w:ascii="Times New Roman" w:hAnsi="Times New Roman" w:eastAsia="方正小标宋简体"/>
          <w:b/>
          <w:sz w:val="36"/>
          <w:szCs w:val="36"/>
        </w:rPr>
      </w:pPr>
      <w:r>
        <w:rPr>
          <w:rFonts w:hint="eastAsia" w:ascii="Times New Roman" w:hAnsi="Times New Roman" w:eastAsia="方正小标宋简体"/>
          <w:b/>
          <w:sz w:val="36"/>
          <w:szCs w:val="36"/>
        </w:rPr>
        <w:t>编制说明</w:t>
      </w:r>
    </w:p>
    <w:p>
      <w:pPr>
        <w:jc w:val="center"/>
        <w:rPr>
          <w:rFonts w:hint="eastAsia" w:ascii="Times New Roman" w:hAnsi="Times New Roman" w:eastAsia="方正小标宋简体"/>
          <w:b/>
          <w:sz w:val="36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textAlignment w:val="auto"/>
        <w:outlineLvl w:val="9"/>
        <w:rPr>
          <w:rFonts w:eastAsia="黑体"/>
          <w:b w:val="0"/>
          <w:bCs/>
          <w:sz w:val="28"/>
          <w:szCs w:val="28"/>
        </w:rPr>
      </w:pPr>
      <w:r>
        <w:rPr>
          <w:rFonts w:hAnsi="黑体" w:eastAsia="黑体"/>
          <w:b w:val="0"/>
          <w:bCs/>
          <w:sz w:val="28"/>
          <w:szCs w:val="28"/>
        </w:rPr>
        <w:t>一、工作简况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《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玉米主要害虫综合防治技术规范</w:t>
      </w:r>
      <w:r>
        <w:rPr>
          <w:rFonts w:hint="eastAsia" w:ascii="仿宋" w:hAnsi="仿宋" w:eastAsia="仿宋" w:cs="仿宋"/>
          <w:sz w:val="28"/>
          <w:szCs w:val="28"/>
        </w:rPr>
        <w:t>》的研究来源于陕西省市场监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督管理局《关于下达202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年第二批地方标准制修订计划的函》（陕市监函〔2024〕590）的SDBXM 196-2024项目。</w:t>
      </w:r>
      <w:r>
        <w:rPr>
          <w:rFonts w:hint="eastAsia" w:ascii="仿宋" w:hAnsi="仿宋" w:eastAsia="仿宋" w:cs="仿宋"/>
          <w:sz w:val="28"/>
          <w:szCs w:val="28"/>
        </w:rPr>
        <w:t>项目任务下达后，陕西省植物保护工作总站即组织有关技术人员成立了项目工作组，拟订了工作计划，明确了各成员工作任务和时间节点。项目组成员广泛调研、收集近年来省内外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玉米主要害虫的</w:t>
      </w:r>
      <w:r>
        <w:rPr>
          <w:rFonts w:hint="eastAsia" w:ascii="仿宋" w:hAnsi="仿宋" w:eastAsia="仿宋" w:cs="仿宋"/>
          <w:sz w:val="28"/>
          <w:szCs w:val="28"/>
        </w:rPr>
        <w:t>发生规律、危害程度、实施的综合防控技术等有关资料，进行了系统整理和仔细分析，广泛吸取近年来的优秀科研成果，总结各地防治实践经验，安排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西安、咸阳、渭南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榆林</w:t>
      </w:r>
      <w:r>
        <w:rPr>
          <w:rFonts w:hint="eastAsia" w:ascii="仿宋" w:hAnsi="仿宋" w:eastAsia="仿宋" w:cs="仿宋"/>
          <w:sz w:val="28"/>
          <w:szCs w:val="28"/>
        </w:rPr>
        <w:t>、商洛等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玉米</w:t>
      </w:r>
      <w:r>
        <w:rPr>
          <w:rFonts w:hint="eastAsia" w:ascii="仿宋" w:hAnsi="仿宋" w:eastAsia="仿宋" w:cs="仿宋"/>
          <w:sz w:val="28"/>
          <w:szCs w:val="28"/>
        </w:rPr>
        <w:t>主产市、县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开展了相关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理化诱控、</w:t>
      </w:r>
      <w:r>
        <w:rPr>
          <w:rFonts w:hint="eastAsia" w:ascii="仿宋" w:hAnsi="仿宋" w:eastAsia="仿宋" w:cs="仿宋"/>
          <w:sz w:val="28"/>
          <w:szCs w:val="28"/>
        </w:rPr>
        <w:t>生物防治和药剂防治技术试验，明确了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主要害虫关键时期的</w:t>
      </w:r>
      <w:r>
        <w:rPr>
          <w:rFonts w:hint="eastAsia" w:ascii="仿宋" w:hAnsi="仿宋" w:eastAsia="仿宋" w:cs="仿宋"/>
          <w:sz w:val="28"/>
          <w:szCs w:val="28"/>
        </w:rPr>
        <w:t>综合防控技术要点、防治指标、关键防治时期、药剂品种、使用剂量、施药方法等技术标准；建立了综合防治技术示范区，进一步示范验证包括生物防治、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理化诱</w:t>
      </w:r>
      <w:r>
        <w:rPr>
          <w:rFonts w:hint="eastAsia" w:ascii="仿宋" w:hAnsi="仿宋" w:eastAsia="仿宋" w:cs="仿宋"/>
          <w:sz w:val="28"/>
          <w:szCs w:val="28"/>
        </w:rPr>
        <w:t>控和药剂防治的全程综合防控技术。经过多次讨论修改，形成了《地方标准-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玉米主要害虫</w:t>
      </w:r>
      <w:r>
        <w:rPr>
          <w:rFonts w:hint="eastAsia" w:ascii="仿宋" w:hAnsi="仿宋" w:eastAsia="仿宋" w:cs="仿宋"/>
          <w:sz w:val="28"/>
          <w:szCs w:val="28"/>
        </w:rPr>
        <w:t>综合防控技术规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范</w:t>
      </w:r>
      <w:r>
        <w:rPr>
          <w:rFonts w:hint="eastAsia" w:ascii="仿宋" w:hAnsi="仿宋" w:eastAsia="仿宋" w:cs="仿宋"/>
          <w:sz w:val="28"/>
          <w:szCs w:val="28"/>
        </w:rPr>
        <w:t>-征求意见稿》。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计划于</w:t>
      </w:r>
      <w:r>
        <w:rPr>
          <w:rFonts w:hint="eastAsia" w:ascii="仿宋" w:hAnsi="仿宋" w:eastAsia="仿宋" w:cs="仿宋"/>
          <w:sz w:val="28"/>
          <w:szCs w:val="28"/>
        </w:rPr>
        <w:t>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年11月，将征求意见稿和编制说明以站函形式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报至陕西省市场监督管理局，同时站函</w:t>
      </w:r>
      <w:r>
        <w:rPr>
          <w:rFonts w:hint="eastAsia" w:ascii="仿宋" w:hAnsi="仿宋" w:eastAsia="仿宋" w:cs="仿宋"/>
          <w:sz w:val="28"/>
          <w:szCs w:val="28"/>
        </w:rPr>
        <w:t>发至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玉米</w:t>
      </w:r>
      <w:r>
        <w:rPr>
          <w:rFonts w:hint="eastAsia" w:ascii="仿宋" w:hAnsi="仿宋" w:eastAsia="仿宋" w:cs="仿宋"/>
          <w:sz w:val="28"/>
          <w:szCs w:val="28"/>
        </w:rPr>
        <w:t>主产区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农技植保部门和新型生产主体</w:t>
      </w:r>
      <w:r>
        <w:rPr>
          <w:rFonts w:hint="eastAsia" w:ascii="仿宋" w:hAnsi="仿宋" w:eastAsia="仿宋" w:cs="仿宋"/>
          <w:sz w:val="28"/>
          <w:szCs w:val="28"/>
        </w:rPr>
        <w:t>征求意见、建议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</w:rPr>
        <w:t> 项目组组成人员由项目承担单位和协作单位的技术人员组成。其中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，王亚红全面负责该课题的总体设计和实施，具体负责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防治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适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期确定、生物和化学药剂筛选、“一喷多促”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无人机释放赤眼蜂等相关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防控技术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试验方案制定、试验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研究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及示范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总结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形成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玉米主要害虫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综合防控技术规程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草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稿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、征求意见稿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等；有关市县技术人员主要负责辖区内建立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玉米害虫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综合防控技术试验示范区，开展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田间试验、效果调查、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数据收集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等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技术验证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工作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textAlignment w:val="auto"/>
        <w:outlineLvl w:val="9"/>
        <w:rPr>
          <w:rFonts w:eastAsia="黑体"/>
          <w:b w:val="0"/>
          <w:bCs/>
          <w:sz w:val="28"/>
          <w:szCs w:val="28"/>
        </w:rPr>
      </w:pPr>
      <w:r>
        <w:rPr>
          <w:rFonts w:hAnsi="黑体" w:eastAsia="黑体"/>
          <w:b w:val="0"/>
          <w:bCs/>
          <w:sz w:val="28"/>
          <w:szCs w:val="28"/>
        </w:rPr>
        <w:t>二、标准编制原则和确定标准主要内容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包括技术指标、参数、公式、性能要求、试验方法、检验规则等的依据（包括试验、统计数据）；地方标准修订项目还应当列出和原标准主要差异情况；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51" w:firstLineChars="196"/>
        <w:textAlignment w:val="auto"/>
        <w:outlineLvl w:val="9"/>
        <w:rPr>
          <w:rFonts w:eastAsia="楷体_GB2312"/>
          <w:b/>
          <w:sz w:val="28"/>
          <w:szCs w:val="28"/>
        </w:rPr>
      </w:pPr>
      <w:r>
        <w:rPr>
          <w:rFonts w:eastAsia="楷体_GB2312"/>
          <w:b/>
          <w:sz w:val="28"/>
          <w:szCs w:val="28"/>
        </w:rPr>
        <w:t xml:space="preserve">（一）标准编制原则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textAlignment w:val="auto"/>
        <w:outlineLvl w:val="9"/>
        <w:rPr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本标准的编制依据《中华人民共和国标准法》和《地方标准管理办法》的规定进行编制。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51" w:firstLineChars="196"/>
        <w:textAlignment w:val="auto"/>
        <w:outlineLvl w:val="9"/>
        <w:rPr>
          <w:rFonts w:eastAsia="楷体_GB2312"/>
          <w:b/>
          <w:sz w:val="28"/>
          <w:szCs w:val="28"/>
          <w:highlight w:val="none"/>
        </w:rPr>
      </w:pPr>
      <w:r>
        <w:rPr>
          <w:rFonts w:eastAsia="楷体_GB2312"/>
          <w:b/>
          <w:sz w:val="28"/>
          <w:szCs w:val="28"/>
          <w:highlight w:val="none"/>
        </w:rPr>
        <w:t>（二）标准主要内容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1、根据我国目前农业技术推广体系和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玉米病虫害防治的</w:t>
      </w:r>
      <w:r>
        <w:rPr>
          <w:rFonts w:hint="eastAsia" w:ascii="仿宋" w:hAnsi="仿宋" w:eastAsia="仿宋" w:cs="仿宋"/>
          <w:sz w:val="28"/>
          <w:szCs w:val="28"/>
        </w:rPr>
        <w:t>生产实际，确定本标准的适用范围。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2、术语和定义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本标准涉及的术语除已在相关技术资料有明确的定义外，还有部分重要术语需要加以界定。因此，对本标准中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理化诱杀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一喷多促</w:t>
      </w:r>
      <w:r>
        <w:rPr>
          <w:rFonts w:hint="eastAsia" w:ascii="仿宋" w:hAnsi="仿宋" w:eastAsia="仿宋" w:cs="仿宋"/>
          <w:sz w:val="28"/>
          <w:szCs w:val="28"/>
        </w:rPr>
        <w:t>等术语做了相应的定义。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规范性引用文件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文件引用了3个标准文件，分别为GB/T 8321.10 农药合理使用准则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（十）、GBT 23391.3-2009 玉米大、小斑病和玉米螟防治技术规范 第3部分：玉米螟和</w:t>
      </w:r>
      <w:r>
        <w:rPr>
          <w:rFonts w:hint="eastAsia" w:ascii="仿宋" w:hAnsi="仿宋" w:eastAsia="仿宋" w:cs="仿宋"/>
          <w:sz w:val="28"/>
          <w:szCs w:val="28"/>
        </w:rPr>
        <w:t>NY/T 1276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农药安全使用规范总则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4、</w:t>
      </w:r>
      <w:r>
        <w:rPr>
          <w:rFonts w:hint="eastAsia" w:ascii="仿宋" w:hAnsi="仿宋" w:eastAsia="仿宋" w:cs="仿宋"/>
          <w:sz w:val="28"/>
          <w:szCs w:val="28"/>
        </w:rPr>
        <w:t>防控技术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本标准根据我省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玉米害虫</w:t>
      </w:r>
      <w:r>
        <w:rPr>
          <w:rFonts w:hint="eastAsia" w:ascii="仿宋" w:hAnsi="仿宋" w:eastAsia="仿宋" w:cs="仿宋"/>
          <w:sz w:val="28"/>
          <w:szCs w:val="28"/>
        </w:rPr>
        <w:t>发生实际，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明确了关键防控时期及其主控对象，提出“预防为主、综合防治、分区施策”的原则，采用理化诱控、生物防治、中后期“一喷多促”等防控措施，利用高效器械实施专业化统防统治。具体防治技术如下：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（1）种子处理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玉米播前，选用丁硫克百威、溴氰虫酰胺等种子处理剂，按推荐用量进行种子包衣或拌种，防治地下害虫；也可与噻虫嗪等种子处理剂混合拌种，兼治苗期蓟马等。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理化诱杀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包括灯光诱杀主性信息素诱杀。 安装智能杀虫灯，每1hm</w:t>
      </w:r>
      <w:r>
        <w:rPr>
          <w:rFonts w:hint="eastAsia" w:ascii="仿宋" w:hAnsi="仿宋" w:eastAsia="仿宋" w:cs="仿宋"/>
          <w:sz w:val="28"/>
          <w:szCs w:val="28"/>
          <w:vertAlign w:val="superscript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-2hm</w:t>
      </w:r>
      <w:r>
        <w:rPr>
          <w:rFonts w:hint="eastAsia" w:ascii="仿宋" w:hAnsi="仿宋" w:eastAsia="仿宋" w:cs="仿宋"/>
          <w:sz w:val="28"/>
          <w:szCs w:val="28"/>
          <w:vertAlign w:val="superscript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台，玉米生长期傍晚开灯，诱杀玉米螟、棉铃虫、草地贪夜蛾、金龟甲等成虫。千亩以上集中连片种植区，可于玉米螟、棉铃虫、粘虫等越冬代成虫羽化前，田间大面积设置相应性诱剂及其配套诱捕器，每亩1-2个插杆挂在田边，调整诱捕器高度高于玉米植株10㎝-20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（3）释放赤眼蜂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大面积连片玉米区，根据性诱监测，于成虫初峰期后5-7天第一次放蜂，按每667㎡2-3万头，分2次释放赤眼蜂球，间隔5-7d第二次放蜂。人工释放方法按照GBT 23391.3-2009的要求。利用植保无人机释放赤眼蜂球，松毛虫赤眼蜂每667㎡每次释放5个蜂球，玉米螟赤眼蜂和螟黄赤眼蜂每667㎡每次释放10个蜂球，每蜂球中赤眼蜂不少于2000头。释放时，无人机顺玉米行方向，平行线法飞行，均匀布设放蜂点，每点投放1个放蜂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（4）药剂防治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苗期-小喇叭口期，一是撒施颗粒剂，可选用苏芸金杆菌、氯虫苯甲酰胺等颗粒剂任一种，按推荐用量加适量细沙，撒入玉米心叶或傍晚顺玉米行间撒施，防治玉米螟或地老虎等。二是叶面喷雾，选用氯虫苯甲酰胺、甲维盐或菊酯类杀虫剂等任一种，按各自推荐用量喷雾防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大喇叭口未期至灌浆期，实施“一喷多促”。根据主控对象，对症选用药剂组合。如选用的苏芸金杆菌、短稳杆菌等生物药剂宜适当提早至大喇叭口未期；如果是化学药剂组合，可于灌浆初期选用氯虫苯甲酰胺、茚虫威、四唑虫酰胺及其复配制剂类任一种(具体药剂见附录A)，按各自标签推荐用量，与免疫诱抗剂植物激活蛋白、氨基寡糖素等和叶面肥磷酸二氢钾等混配一次喷施，达到“一喷多促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施药时宜选择植保无人机，加入沉降剂等助剂，现混现用；喷雾作业时飞行速度为3—4m/s，飞行高度3m-4m左右，亩施药液量宜在3升以上。施药应符合NY/T 1276的有关规定。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、规范性附录。包括附录A，说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明了玉米田主要害虫常用防治药剂品种及使用方法品种及使用方法。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textAlignment w:val="auto"/>
        <w:outlineLvl w:val="9"/>
        <w:rPr>
          <w:rFonts w:eastAsia="黑体"/>
          <w:b w:val="0"/>
          <w:bCs/>
          <w:sz w:val="28"/>
          <w:szCs w:val="28"/>
        </w:rPr>
      </w:pPr>
      <w:r>
        <w:rPr>
          <w:rFonts w:hAnsi="黑体" w:eastAsia="黑体"/>
          <w:b w:val="0"/>
          <w:bCs/>
          <w:sz w:val="28"/>
          <w:szCs w:val="28"/>
        </w:rPr>
        <w:t>三、试验验证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试验研究与示范推广同步。</w:t>
      </w:r>
      <w:r>
        <w:rPr>
          <w:rFonts w:hint="eastAsia" w:ascii="仿宋" w:hAnsi="仿宋" w:eastAsia="仿宋" w:cs="仿宋"/>
          <w:sz w:val="28"/>
          <w:szCs w:val="28"/>
        </w:rPr>
        <w:t>20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 w:cs="仿宋"/>
          <w:sz w:val="28"/>
          <w:szCs w:val="28"/>
        </w:rPr>
        <w:t>-202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年，陕西省植保总站依托系统技术优势，组织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玉米</w:t>
      </w:r>
      <w:r>
        <w:rPr>
          <w:rFonts w:hint="eastAsia" w:ascii="仿宋" w:hAnsi="仿宋" w:eastAsia="仿宋" w:cs="仿宋"/>
          <w:sz w:val="28"/>
          <w:szCs w:val="28"/>
        </w:rPr>
        <w:t>主产区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西安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渭南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咸阳、商洛、宝鸡、榆林</w:t>
      </w:r>
      <w:r>
        <w:rPr>
          <w:rFonts w:hint="eastAsia" w:ascii="仿宋" w:hAnsi="仿宋" w:eastAsia="仿宋" w:cs="仿宋"/>
          <w:sz w:val="28"/>
          <w:szCs w:val="28"/>
        </w:rPr>
        <w:t>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sz w:val="28"/>
          <w:szCs w:val="28"/>
        </w:rPr>
        <w:t>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10多个</w:t>
      </w:r>
      <w:r>
        <w:rPr>
          <w:rFonts w:hint="eastAsia" w:ascii="仿宋" w:hAnsi="仿宋" w:eastAsia="仿宋" w:cs="仿宋"/>
          <w:sz w:val="28"/>
          <w:szCs w:val="28"/>
        </w:rPr>
        <w:t>县，设立虫情系统监测点，调查害虫发生发展动态，全面普查发生情况；开展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相关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防控技术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试验</w:t>
      </w:r>
      <w:r>
        <w:rPr>
          <w:rFonts w:hint="eastAsia" w:ascii="仿宋" w:hAnsi="仿宋" w:eastAsia="仿宋" w:cs="仿宋"/>
          <w:sz w:val="28"/>
          <w:szCs w:val="28"/>
        </w:rPr>
        <w:t>研究，明确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关键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防治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适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期、“一喷多促”、生物和化学药剂品种组合</w:t>
      </w:r>
      <w:r>
        <w:rPr>
          <w:rFonts w:hint="eastAsia" w:ascii="仿宋" w:hAnsi="仿宋" w:eastAsia="仿宋" w:cs="仿宋"/>
          <w:sz w:val="28"/>
          <w:szCs w:val="28"/>
        </w:rPr>
        <w:t>及其使用剂量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、无人机释放赤眼蜂、无人机飞防施药等</w:t>
      </w:r>
      <w:r>
        <w:rPr>
          <w:rFonts w:hint="eastAsia" w:ascii="仿宋" w:hAnsi="仿宋" w:eastAsia="仿宋" w:cs="仿宋"/>
          <w:sz w:val="28"/>
          <w:szCs w:val="28"/>
        </w:rPr>
        <w:t>技术指标。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同时，</w:t>
      </w:r>
      <w:r>
        <w:rPr>
          <w:rFonts w:hint="eastAsia" w:ascii="仿宋" w:hAnsi="仿宋" w:eastAsia="仿宋" w:cs="仿宋"/>
          <w:sz w:val="28"/>
          <w:szCs w:val="28"/>
        </w:rPr>
        <w:t>每年建立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8-10个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玉米害虫</w:t>
      </w:r>
      <w:r>
        <w:rPr>
          <w:rFonts w:hint="eastAsia" w:ascii="仿宋" w:hAnsi="仿宋" w:eastAsia="仿宋" w:cs="仿宋"/>
          <w:sz w:val="28"/>
          <w:szCs w:val="28"/>
        </w:rPr>
        <w:t>综合防控技术示范区，集成应用综合防控技术，累计示范面积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30</w:t>
      </w:r>
      <w:r>
        <w:rPr>
          <w:rFonts w:hint="eastAsia" w:ascii="仿宋" w:hAnsi="仿宋" w:eastAsia="仿宋" w:cs="仿宋"/>
          <w:sz w:val="28"/>
          <w:szCs w:val="28"/>
        </w:rPr>
        <w:t>多万亩，取得了明显成效。示范区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玉米害虫</w:t>
      </w:r>
      <w:r>
        <w:rPr>
          <w:rFonts w:hint="eastAsia" w:ascii="仿宋" w:hAnsi="仿宋" w:eastAsia="仿宋" w:cs="仿宋"/>
          <w:sz w:val="28"/>
          <w:szCs w:val="28"/>
        </w:rPr>
        <w:t>防效达90%以上，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亩增（保）产玉米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45公斤以上，</w:t>
      </w:r>
      <w:r>
        <w:rPr>
          <w:rFonts w:hint="eastAsia" w:ascii="Times New Roman" w:hAnsi="Times New Roman" w:eastAsia="仿宋_GB2312"/>
          <w:color w:val="000000"/>
          <w:kern w:val="0"/>
          <w:sz w:val="28"/>
          <w:szCs w:val="28"/>
        </w:rPr>
        <w:t>2023年全省7市13县区玉米病虫害防控植保贡献率平均达19.89%，</w:t>
      </w:r>
      <w:r>
        <w:rPr>
          <w:rFonts w:hint="eastAsia" w:ascii="仿宋" w:hAnsi="仿宋" w:eastAsia="仿宋" w:cs="仿宋"/>
          <w:sz w:val="28"/>
          <w:szCs w:val="28"/>
        </w:rPr>
        <w:t>有效控制了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害虫</w:t>
      </w:r>
      <w:r>
        <w:rPr>
          <w:rFonts w:hint="eastAsia" w:ascii="仿宋" w:hAnsi="仿宋" w:eastAsia="仿宋" w:cs="仿宋"/>
          <w:sz w:val="28"/>
          <w:szCs w:val="28"/>
        </w:rPr>
        <w:t>危害，增加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了农民</w:t>
      </w:r>
      <w:r>
        <w:rPr>
          <w:rFonts w:hint="eastAsia" w:ascii="仿宋" w:hAnsi="仿宋" w:eastAsia="仿宋" w:cs="仿宋"/>
          <w:sz w:val="28"/>
          <w:szCs w:val="28"/>
        </w:rPr>
        <w:t>收益，保障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了粮食生产安全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2" w:firstLineChars="200"/>
        <w:textAlignment w:val="auto"/>
        <w:outlineLvl w:val="9"/>
        <w:rPr>
          <w:rFonts w:eastAsia="黑体"/>
          <w:b/>
          <w:sz w:val="28"/>
          <w:szCs w:val="28"/>
        </w:rPr>
      </w:pPr>
      <w:r>
        <w:rPr>
          <w:rFonts w:hAnsi="黑体" w:eastAsia="黑体"/>
          <w:b/>
          <w:sz w:val="28"/>
          <w:szCs w:val="28"/>
        </w:rPr>
        <w:t>四、知识产权说明</w:t>
      </w:r>
      <w:r>
        <w:rPr>
          <w:rFonts w:eastAsia="黑体"/>
          <w:b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本标准知识产权归研制单位所有，没有知识产权争议。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2" w:firstLineChars="200"/>
        <w:textAlignment w:val="auto"/>
        <w:outlineLvl w:val="9"/>
        <w:rPr>
          <w:rFonts w:eastAsia="黑体"/>
          <w:b/>
          <w:sz w:val="28"/>
          <w:szCs w:val="28"/>
        </w:rPr>
      </w:pPr>
      <w:r>
        <w:rPr>
          <w:rFonts w:hAnsi="黑体" w:eastAsia="黑体"/>
          <w:b/>
          <w:sz w:val="28"/>
          <w:szCs w:val="28"/>
        </w:rPr>
        <w:t>五、采标情况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查阅相关资料，针对玉米害虫的防治标准，而申报的《玉米主要害虫综合防治技术规范》，立足玉米生长全程，针对播种期、苗期-小喇叭口期、大喇叭口期-灌浆期等关键生育期，结合玉米螟、棉铃虫、草地贪夜蛾等主要害虫的发生危害规律，集成</w:t>
      </w:r>
      <w:r>
        <w:rPr>
          <w:rFonts w:hint="eastAsia" w:ascii="Times New Roman" w:hAnsi="Times New Roman" w:eastAsia="仿宋_GB2312"/>
          <w:color w:val="000000"/>
          <w:kern w:val="0"/>
          <w:sz w:val="28"/>
          <w:szCs w:val="28"/>
        </w:rPr>
        <w:t>性信息素诱杀、释放天敌赤眼蜂、生物药剂与绿色化学药剂协同及高效器械应用等防控技术，达到综合防控害虫，减少化学用药的目的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目前，尚没有查到关于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玉米全程</w:t>
      </w:r>
      <w:r>
        <w:rPr>
          <w:rFonts w:ascii="Times New Roman" w:hAnsi="Times New Roman" w:eastAsia="仿宋_GB2312" w:cs="Times New Roman"/>
          <w:sz w:val="28"/>
          <w:szCs w:val="28"/>
        </w:rPr>
        <w:t>综合防控技术规程或规范方面的国家行业标准或地方标准。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已有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  <w:t>的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《玉米大、小斑病和玉米螟防治技术规范 第3部分：玉米螟》(GB/T 23391.3-2009)、《天敌防治靶标生物田间药效试验准则 第1部分：赤眼蜂防治玉米田玉米螟》（NY/T 2062.1-2011）、《玉米螟绿色防控技术规程》（DB41/T 1631-2018）、《渭北春玉米产区玉米螟测报和综合防治技术规程》（DB61/T 1421-2021）等相关标准，但都是针对单一害虫，或单一技术，或某一生产区域的标准，</w:t>
      </w:r>
      <w:r>
        <w:rPr>
          <w:rFonts w:ascii="Times New Roman" w:hAnsi="Times New Roman" w:eastAsia="仿宋_GB2312" w:cs="Times New Roman"/>
          <w:sz w:val="28"/>
          <w:szCs w:val="28"/>
        </w:rPr>
        <w:t>因此，本地方标准是我省甚至我国目前首次提交的地方标准规程。该规程在研究过程中，综合考虑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技术操作简便性、玉米生物特性、</w:t>
      </w:r>
      <w:r>
        <w:rPr>
          <w:rFonts w:ascii="Times New Roman" w:hAnsi="Times New Roman" w:eastAsia="仿宋_GB2312" w:cs="Times New Roman"/>
          <w:sz w:val="28"/>
          <w:szCs w:val="28"/>
        </w:rPr>
        <w:t>害虫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危害规律、药剂作用特性等</w:t>
      </w:r>
      <w:r>
        <w:rPr>
          <w:rFonts w:ascii="Times New Roman" w:hAnsi="Times New Roman" w:eastAsia="仿宋_GB2312" w:cs="Times New Roman"/>
          <w:sz w:val="28"/>
          <w:szCs w:val="28"/>
        </w:rPr>
        <w:t>，更注重了防控技术的绿色引领和创新集成，是申请者及其团队多年来从事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玉米</w:t>
      </w:r>
      <w:r>
        <w:rPr>
          <w:rFonts w:ascii="Times New Roman" w:hAnsi="Times New Roman" w:eastAsia="仿宋_GB2312" w:cs="Times New Roman"/>
          <w:sz w:val="28"/>
          <w:szCs w:val="28"/>
        </w:rPr>
        <w:t>病虫害防控技术研究后总结出来的一套适合于陕西省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玉米</w:t>
      </w:r>
      <w:r>
        <w:rPr>
          <w:rFonts w:ascii="Times New Roman" w:hAnsi="Times New Roman" w:eastAsia="仿宋_GB2312" w:cs="Times New Roman"/>
          <w:sz w:val="28"/>
          <w:szCs w:val="28"/>
        </w:rPr>
        <w:t>主产区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害虫</w:t>
      </w:r>
      <w:r>
        <w:rPr>
          <w:rFonts w:ascii="Times New Roman" w:hAnsi="Times New Roman" w:eastAsia="仿宋_GB2312" w:cs="Times New Roman"/>
          <w:sz w:val="28"/>
          <w:szCs w:val="28"/>
        </w:rPr>
        <w:t>综合防控的技术规范。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2" w:firstLineChars="200"/>
        <w:textAlignment w:val="auto"/>
        <w:outlineLvl w:val="9"/>
        <w:rPr>
          <w:rFonts w:eastAsia="黑体"/>
          <w:b/>
          <w:sz w:val="28"/>
          <w:szCs w:val="28"/>
        </w:rPr>
      </w:pPr>
      <w:r>
        <w:rPr>
          <w:rFonts w:hAnsi="黑体" w:eastAsia="黑体"/>
          <w:b/>
          <w:sz w:val="28"/>
          <w:szCs w:val="28"/>
        </w:rPr>
        <w:t>六、重大意见分歧的处理</w:t>
      </w:r>
      <w:r>
        <w:rPr>
          <w:rFonts w:eastAsia="黑体"/>
          <w:b/>
          <w:sz w:val="28"/>
          <w:szCs w:val="28"/>
        </w:rPr>
        <w:t xml:space="preserve">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ascii="Times New Roman" w:hAnsi="Times New Roman" w:eastAsia="仿宋_GB2312" w:cs="Times New Roman"/>
          <w:b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无重大分歧意见。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2" w:firstLineChars="200"/>
        <w:textAlignment w:val="auto"/>
        <w:outlineLvl w:val="9"/>
        <w:rPr>
          <w:rFonts w:eastAsia="黑体"/>
          <w:b/>
          <w:sz w:val="28"/>
          <w:szCs w:val="28"/>
        </w:rPr>
      </w:pPr>
      <w:r>
        <w:rPr>
          <w:rFonts w:hAnsi="黑体" w:eastAsia="黑体"/>
          <w:b/>
          <w:sz w:val="28"/>
          <w:szCs w:val="28"/>
        </w:rPr>
        <w:t>七、标准性质的建议说明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由于本标准涉及我省乃至我国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玉米害虫综合防治的生产实际</w:t>
      </w:r>
      <w:r>
        <w:rPr>
          <w:rFonts w:ascii="Times New Roman" w:hAnsi="Times New Roman" w:eastAsia="仿宋_GB2312" w:cs="Times New Roman"/>
          <w:sz w:val="28"/>
          <w:szCs w:val="28"/>
        </w:rPr>
        <w:t>问题，建议将本标准作为推荐性地方标准批准发布，用于指导和规范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玉米害虫</w:t>
      </w:r>
      <w:bookmarkStart w:id="0" w:name="_GoBack"/>
      <w:bookmarkEnd w:id="0"/>
      <w:r>
        <w:rPr>
          <w:rFonts w:ascii="Times New Roman" w:hAnsi="Times New Roman" w:eastAsia="仿宋_GB2312" w:cs="Times New Roman"/>
          <w:sz w:val="28"/>
          <w:szCs w:val="28"/>
        </w:rPr>
        <w:t>的综合防控。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2" w:firstLineChars="200"/>
        <w:textAlignment w:val="auto"/>
        <w:outlineLvl w:val="9"/>
        <w:rPr>
          <w:sz w:val="28"/>
          <w:szCs w:val="28"/>
        </w:rPr>
      </w:pPr>
      <w:r>
        <w:rPr>
          <w:rFonts w:hAnsi="黑体" w:eastAsia="黑体"/>
          <w:b/>
          <w:sz w:val="28"/>
          <w:szCs w:val="28"/>
        </w:rPr>
        <w:t>八、其他应予说明的事项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left"/>
        <w:textAlignment w:val="auto"/>
        <w:outlineLvl w:val="9"/>
        <w:rPr>
          <w:sz w:val="28"/>
          <w:szCs w:val="28"/>
        </w:rPr>
      </w:pPr>
      <w:r>
        <w:rPr>
          <w:sz w:val="28"/>
          <w:szCs w:val="28"/>
        </w:rPr>
        <w:t>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textAlignment w:val="auto"/>
        <w:outlineLvl w:val="9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FZXBS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书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文鼎小标宋简">
    <w:altName w:val="微软雅黑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--系统字体--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31B246"/>
    <w:multiLevelType w:val="singleLevel"/>
    <w:tmpl w:val="6731B246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6731B36C"/>
    <w:multiLevelType w:val="singleLevel"/>
    <w:tmpl w:val="6731B36C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3F6419"/>
    <w:rsid w:val="04EC4FF8"/>
    <w:rsid w:val="1614720B"/>
    <w:rsid w:val="183844D5"/>
    <w:rsid w:val="1E7378AA"/>
    <w:rsid w:val="22B13715"/>
    <w:rsid w:val="2C8C30FE"/>
    <w:rsid w:val="376C5807"/>
    <w:rsid w:val="3D327D8E"/>
    <w:rsid w:val="416245B9"/>
    <w:rsid w:val="4DD54E9B"/>
    <w:rsid w:val="4E02303A"/>
    <w:rsid w:val="5C3F6419"/>
    <w:rsid w:val="6E441EF5"/>
    <w:rsid w:val="7E2F4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2021-03-02T02:45:00Z</dcterms:created>
  <dc:creator>王亚红</dc:creator>
  <cp:lastModifiedBy>王亚红</cp:lastModifiedBy>
  <dcterms:modified xsi:type="dcterms:W3CDTF">2024-11-11T07:58:14Z</dcterms:modified>
  <dc:title>陕西省地方标准《茶网蝽综合防控技术规程-》编制说明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