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framePr w:w="0" w:hRule="auto" w:wrap="auto" w:vAnchor="margin" w:hAnchor="text" w:xAlign="left" w:yAlign="inline"/>
        <w:jc w:val="both"/>
        <w:rPr>
          <w:rFonts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pStyle w:val="25"/>
        <w:framePr w:w="0" w:hRule="auto" w:wrap="auto" w:vAnchor="margin" w:hAnchor="text" w:xAlign="left" w:yAlign="inline"/>
        <w:rPr>
          <w:rFonts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pStyle w:val="25"/>
        <w:framePr w:w="0" w:hRule="auto" w:wrap="auto" w:vAnchor="margin" w:hAnchor="text" w:xAlign="left" w:yAlign="inline"/>
        <w:rPr>
          <w:rFonts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bookmarkStart w:id="18" w:name="_GoBack"/>
      <w:bookmarkEnd w:id="18"/>
    </w:p>
    <w:p>
      <w:pPr>
        <w:pStyle w:val="25"/>
        <w:framePr w:w="0" w:hRule="auto" w:wrap="auto" w:vAnchor="margin" w:hAnchor="text" w:xAlign="left" w:yAlign="inline"/>
        <w:rPr>
          <w:rFonts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pStyle w:val="25"/>
        <w:framePr w:w="0" w:hRule="auto" w:wrap="auto" w:vAnchor="margin" w:hAnchor="text" w:xAlign="left" w:yAlign="inline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StdName"/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</w:t>
      </w:r>
      <w:bookmarkEnd w:id="0"/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矿山生态修复成效监测评估规范》</w:t>
      </w:r>
    </w:p>
    <w:p>
      <w:pPr>
        <w:pStyle w:val="25"/>
        <w:framePr w:w="0" w:hRule="auto" w:wrap="auto" w:vAnchor="margin" w:hAnchor="text" w:xAlign="left" w:yAlign="inline"/>
        <w:rPr>
          <w:rFonts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/>
          <w:b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征求意见稿</w:t>
      </w:r>
      <w:r>
        <w:rPr>
          <w:rFonts w:hint="eastAsia" w:asciiTheme="minorEastAsia" w:hAnsiTheme="minorEastAsia" w:eastAsiaTheme="minorEastAsia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  <w:t>编 制 说 明</w:t>
      </w: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陕西省地质环境监测总站</w:t>
      </w:r>
    </w:p>
    <w:p>
      <w:pPr>
        <w:jc w:val="center"/>
        <w:rPr>
          <w:b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（陕西省地质灾害中心）</w:t>
      </w:r>
    </w:p>
    <w:p>
      <w:pPr>
        <w:jc w:val="center"/>
        <w:rPr>
          <w:color w:val="000000" w:themeColor="text1"/>
          <w:sz w:val="32"/>
          <w:szCs w:val="44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</w:p>
    <w:p>
      <w:pPr>
        <w:jc w:val="center"/>
        <w:rPr>
          <w:rFonts w:ascii="黑体" w:hAnsi="黑体" w:eastAsia="黑体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目</w:t>
      </w:r>
      <w:r>
        <w:rPr>
          <w:rFonts w:hint="eastAsia" w:ascii="黑体" w:hAnsi="黑体" w:eastAsia="黑体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黑体" w:hAnsi="黑体" w:eastAsia="黑体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录</w:t>
      </w:r>
    </w:p>
    <w:p>
      <w:pPr>
        <w:jc w:val="center"/>
        <w:rPr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instrText xml:space="preserve"> TOC \o "1-1" \h \z \u </w:instrTex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fldChar w:fldCharType="separate"/>
      </w:r>
      <w:r>
        <w:fldChar w:fldCharType="begin"/>
      </w:r>
      <w:r>
        <w:instrText xml:space="preserve"> HYPERLINK \l "_Toc181113564"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一、任务来源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_Toc181113564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1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"_Toc181113565"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二、主要编写过程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_Toc181113565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1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"_Toc181113566"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三、标准编制原则和主要内容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_Toc181113566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4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"_Toc181113567"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四、采用国际标准或国外先进标准的目的、意义和一致性程度，我国标准与被采用标准的主要差异及其原因；以及与国际、国外同类标准水平的对比情况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_Toc181113567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"_Toc181113568"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五、知识产权说明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_Toc181113568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"_Toc181113569"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六、采标情况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_Toc181113569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7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"_Toc181113570"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七、标准性质的建议说明（推荐标准还是强制性标准）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_Toc181113570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7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rFonts w:hint="eastAsia" w:ascii="仿宋_GB2312" w:eastAsia="仿宋_GB2312"/>
          <w:b/>
          <w:sz w:val="30"/>
          <w:szCs w:val="30"/>
        </w:rPr>
      </w:pPr>
      <w:r>
        <w:fldChar w:fldCharType="begin"/>
      </w:r>
      <w:r>
        <w:instrText xml:space="preserve"> HYPERLINK \l "_Toc181113571" </w:instrText>
      </w:r>
      <w:r>
        <w:fldChar w:fldCharType="separate"/>
      </w:r>
      <w:r>
        <w:rPr>
          <w:rStyle w:val="17"/>
          <w:rFonts w:hint="eastAsia" w:ascii="仿宋_GB2312" w:hAnsi="黑体" w:eastAsia="仿宋_GB2312"/>
          <w:b/>
          <w:sz w:val="30"/>
          <w:szCs w:val="30"/>
        </w:rPr>
        <w:t>八、其他应予以说明的事项</w:t>
      </w:r>
      <w:r>
        <w:rPr>
          <w:rFonts w:hint="eastAsia" w:ascii="仿宋_GB2312" w:eastAsia="仿宋_GB2312"/>
          <w:b/>
          <w:sz w:val="30"/>
          <w:szCs w:val="30"/>
        </w:rPr>
        <w:tab/>
      </w:r>
      <w:r>
        <w:rPr>
          <w:rFonts w:hint="eastAsia" w:ascii="仿宋_GB2312" w:eastAsia="仿宋_GB2312"/>
          <w:b/>
          <w:sz w:val="30"/>
          <w:szCs w:val="30"/>
        </w:rPr>
        <w:fldChar w:fldCharType="begin"/>
      </w:r>
      <w:r>
        <w:rPr>
          <w:rFonts w:hint="eastAsia" w:ascii="仿宋_GB2312" w:eastAsia="仿宋_GB2312"/>
          <w:b/>
          <w:sz w:val="30"/>
          <w:szCs w:val="30"/>
        </w:rPr>
        <w:instrText xml:space="preserve"> PAGEREF _Toc181113571 \h </w:instrText>
      </w:r>
      <w:r>
        <w:rPr>
          <w:rFonts w:hint="eastAsia" w:ascii="仿宋_GB2312" w:eastAsia="仿宋_GB2312"/>
          <w:b/>
          <w:sz w:val="30"/>
          <w:szCs w:val="30"/>
        </w:rPr>
        <w:fldChar w:fldCharType="separate"/>
      </w:r>
      <w:r>
        <w:rPr>
          <w:rFonts w:hint="eastAsia" w:ascii="仿宋_GB2312" w:eastAsia="仿宋_GB2312"/>
          <w:b/>
          <w:sz w:val="30"/>
          <w:szCs w:val="30"/>
        </w:rPr>
        <w:t>7</w:t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  <w:r>
        <w:rPr>
          <w:rFonts w:hint="eastAsia" w:ascii="仿宋_GB2312" w:eastAsia="仿宋_GB2312"/>
          <w:b/>
          <w:sz w:val="30"/>
          <w:szCs w:val="30"/>
        </w:rPr>
        <w:fldChar w:fldCharType="end"/>
      </w:r>
    </w:p>
    <w:p>
      <w:pPr>
        <w:pStyle w:val="10"/>
        <w:tabs>
          <w:tab w:val="right" w:leader="dot" w:pos="8296"/>
        </w:tabs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fldChar w:fldCharType="end"/>
      </w:r>
    </w:p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181113564"/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任务来源</w:t>
      </w:r>
      <w:bookmarkEnd w:id="1"/>
    </w:p>
    <w:p>
      <w:pPr>
        <w:pStyle w:val="21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八大以来，国家着力践行“绿水青山就是金山银山”的理念，认真开展矿山生态修复工作，全省范围内矿山开发引发的矿山生态问题，包括滑坡、崩塌、泥石流、采空塌陷等矿山地质灾害、地下环境破坏与影响、土地损毁、地形地貌景观破坏，植被破坏、水土环境污染等得到了有效的修复。了解掌握矿山生态环境问题的修复成效，需要开展矿山生态修复成效监测，为实施矿山生态保护修复成效评估提供依据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陕西省市场监督管理局关于下达 2023 年度陕西省地方标准制修订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项目计划的通知》（陕市监函〔2023〕410号）的要求，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下达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编号为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SDBXM033-2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023《矿山生态修复成效监测评估规范》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编制任务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1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该标准编制任务由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陕西省地质环境监测总站（陕西省地质灾害中心）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陕西省自然资源厅国土空间生态修复处、陕西省国土整治中心、陕西地矿九0八地质环境有限公司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单位共同完成。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181113565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二、主要编写过程</w:t>
      </w:r>
      <w:bookmarkEnd w:id="2"/>
    </w:p>
    <w:p>
      <w:pPr>
        <w:pStyle w:val="21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组织成立规范编制项目组（编写组），明确编制内容。编写组人员在查阅国内和省内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矿山生态修复成效评估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标准规范资料、听取政府管理部门意见和相关专家意见和建议的基础上起草《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矿山生态修复成效监测评估规范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》，以下简称《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》。</w:t>
      </w:r>
    </w:p>
    <w:p>
      <w:pPr>
        <w:pStyle w:val="21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》编制组成员为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张鹏华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孙魁、彭捷、马万超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eastAsia="仿宋_GB2312"/>
          <w:sz w:val="32"/>
          <w:szCs w:val="32"/>
        </w:rPr>
        <w:t>人。</w:t>
      </w:r>
      <w:r>
        <w:rPr>
          <w:rFonts w:hint="eastAsia" w:eastAsia="仿宋_GB2312"/>
          <w:sz w:val="32"/>
          <w:szCs w:val="32"/>
          <w:lang w:val="en-US" w:eastAsia="zh-CN"/>
        </w:rPr>
        <w:t>张鹏华</w:t>
      </w:r>
      <w:r>
        <w:rPr>
          <w:rFonts w:hint="eastAsia" w:eastAsia="仿宋_GB2312"/>
          <w:sz w:val="32"/>
          <w:szCs w:val="32"/>
        </w:rPr>
        <w:t>同志</w:t>
      </w:r>
      <w:r>
        <w:rPr>
          <w:rFonts w:eastAsia="仿宋_GB2312"/>
          <w:sz w:val="32"/>
          <w:szCs w:val="32"/>
        </w:rPr>
        <w:t>为本规范的项目负责人，负责技术分析、规范起草工作，</w:t>
      </w:r>
      <w:r>
        <w:rPr>
          <w:rFonts w:hint="eastAsia" w:eastAsia="仿宋_GB2312"/>
          <w:sz w:val="32"/>
          <w:szCs w:val="32"/>
          <w:lang w:val="en-US" w:eastAsia="zh-CN"/>
        </w:rPr>
        <w:t>马万超</w:t>
      </w:r>
      <w:r>
        <w:rPr>
          <w:rFonts w:hint="eastAsia" w:eastAsia="仿宋_GB2312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同志负责规范起草过程中与其他现行标准规范衔接的技术工作，</w:t>
      </w:r>
      <w:r>
        <w:rPr>
          <w:rFonts w:hint="eastAsia" w:eastAsia="仿宋_GB2312"/>
          <w:sz w:val="32"/>
          <w:szCs w:val="32"/>
          <w:lang w:val="en-US" w:eastAsia="zh-CN"/>
        </w:rPr>
        <w:t>孙魁</w:t>
      </w:r>
      <w:r>
        <w:rPr>
          <w:rFonts w:hint="eastAsia"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陈军</w:t>
      </w:r>
      <w:r>
        <w:rPr>
          <w:rFonts w:hint="eastAsia" w:eastAsia="仿宋_GB2312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同志负责编写“编制说明”</w:t>
      </w:r>
      <w:r>
        <w:rPr>
          <w:rFonts w:hint="eastAsia" w:eastAsia="仿宋_GB2312"/>
          <w:sz w:val="32"/>
          <w:szCs w:val="32"/>
        </w:rPr>
        <w:t>撰写</w:t>
      </w:r>
      <w:r>
        <w:rPr>
          <w:rFonts w:eastAsia="仿宋_GB2312"/>
          <w:sz w:val="32"/>
          <w:szCs w:val="32"/>
        </w:rPr>
        <w:t>工作，其他同志参与规范起草相关工作。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本次地方标准制定是参考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矿山生态环境监测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生态修复成效评估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等相关标准规范，结合我省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矿山地质环境恢复治理工作和矿山生态环境监测工作的特征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进行起草编制。</w:t>
      </w:r>
      <w:r>
        <w:rPr>
          <w:rFonts w:ascii="Times New Roman" w:hAnsi="Times New Roman" w:eastAsia="仿宋_GB2312" w:cs="Times New Roman"/>
          <w:sz w:val="32"/>
          <w:szCs w:val="32"/>
        </w:rPr>
        <w:t>编制工作从2023年5月开始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，2</w:t>
      </w:r>
      <w:r>
        <w:rPr>
          <w:rFonts w:ascii="Times New Roman" w:hAnsi="Times New Roman" w:eastAsia="仿宋_GB2312" w:cs="Times New Roman"/>
          <w:sz w:val="32"/>
          <w:szCs w:val="32"/>
        </w:rPr>
        <w:t>024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月完成征求意见稿，2</w:t>
      </w:r>
      <w:r>
        <w:rPr>
          <w:rFonts w:ascii="Times New Roman" w:hAnsi="Times New Roman" w:eastAsia="仿宋_GB2312" w:cs="Times New Roman"/>
          <w:sz w:val="32"/>
          <w:szCs w:val="32"/>
        </w:rPr>
        <w:t>025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月完成最终审查。编制过程中集中讨论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次，邀请专家讨论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次，编写组及起草单位技术人员参与了讨论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 2023年5月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资料收集与提纲编制阶段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收集我省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矿山地质环境监测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相关资料，熟悉国内相关标准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规范和资料，明确我省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矿山生态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修复成效监测评估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主要规定的内容与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性附录。</w:t>
      </w:r>
    </w:p>
    <w:p>
      <w:pPr>
        <w:pStyle w:val="29"/>
        <w:numPr>
          <w:ilvl w:val="0"/>
          <w:numId w:val="0"/>
        </w:numPr>
        <w:spacing w:beforeLines="0" w:afterLines="0"/>
        <w:ind w:firstLine="640" w:firstLineChars="200"/>
        <w:jc w:val="left"/>
        <w:outlineLvl w:val="9"/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1.收集了《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矿山地质环境保护规定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》等法律法规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，《矿山地质环境保护与恢复治理方案编制规范》《矿山地质环境监测技术规程》《土壤环境监测技术规范》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地质行业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标准，《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地质灾害危险性评估规范》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等推荐性国家标准，《 煤矿地下水监测规范》《 崩塌、滑坡、泥石流专业监测规范》《地面沉降和地裂缝光纤监测规程》等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地方性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推荐性标准。这些资料为本次文件的制定提供了依据。</w:t>
      </w:r>
    </w:p>
    <w:p>
      <w:pPr>
        <w:pStyle w:val="29"/>
        <w:numPr>
          <w:ilvl w:val="0"/>
          <w:numId w:val="0"/>
        </w:numPr>
        <w:spacing w:beforeLines="0" w:afterLines="0"/>
        <w:ind w:firstLine="640" w:firstLineChars="200"/>
        <w:jc w:val="left"/>
        <w:outlineLvl w:val="9"/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.项目组讨论并编制了《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》提纲，重点围绕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矿山生态环境修复成效监测和评估</w:t>
      </w:r>
      <w:r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范围、规范性引用文件、术语和定义、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总体目标、工作原则、工作流程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、</w:t>
      </w:r>
      <w:bookmarkStart w:id="3" w:name="_Toc19509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生态修复成效评估指标及成效分级</w:t>
      </w:r>
      <w:bookmarkEnd w:id="3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评估指标监测</w:t>
      </w:r>
      <w:r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、</w:t>
      </w:r>
      <w:bookmarkStart w:id="4" w:name="_Toc18598"/>
      <w:bookmarkStart w:id="5" w:name="_Toc27092"/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评估数据采集</w:t>
      </w:r>
      <w:bookmarkEnd w:id="4"/>
      <w:bookmarkEnd w:id="5"/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、评估要求及方法</w:t>
      </w:r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bookmarkStart w:id="6" w:name="_Toc20959"/>
      <w:r>
        <w:rPr>
          <w:rFonts w:hint="eastAsia"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评估成果</w:t>
      </w:r>
      <w:bookmarkEnd w:id="6"/>
      <w:r>
        <w:rPr>
          <w:rFonts w:ascii="Times New Roman" w:hAnsi="Times New Roman" w:eastAsia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编写工作。</w:t>
      </w:r>
    </w:p>
    <w:p>
      <w:pPr>
        <w:pStyle w:val="29"/>
        <w:numPr>
          <w:ilvl w:val="0"/>
          <w:numId w:val="0"/>
        </w:numPr>
        <w:spacing w:beforeLines="0" w:afterLines="0"/>
        <w:ind w:firstLine="640" w:firstLineChars="200"/>
        <w:jc w:val="left"/>
        <w:outlineLvl w:val="9"/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3.确定了《规范》附录，主要为：</w:t>
      </w:r>
      <w:bookmarkStart w:id="7" w:name="_Toc19149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bookmarkEnd w:id="7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矿山生态修复成效监测评估成果报告提纲，</w:t>
      </w:r>
      <w:bookmarkStart w:id="8" w:name="_Toc15106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附录B</w:t>
      </w:r>
      <w:bookmarkStart w:id="9" w:name="_Toc28815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矿山生态修复成效态修复成效评估指标权重系数</w:t>
      </w:r>
      <w:bookmarkEnd w:id="9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，附录</w:t>
      </w:r>
      <w:bookmarkEnd w:id="8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C公众满意度调查表。</w:t>
      </w:r>
    </w:p>
    <w:p>
      <w:pPr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（二）2024年1月-2024年9月《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规范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》（讨论稿）编制阶段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项目负责人召集项目组人员全面起草《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》，陕西省地质环境监测总站（陕西省地质灾害中心）联合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陕西省自然资源厅修复处、陕西省国土整治中心、陕西地矿九0八地质环境有限公司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的相关技术、管理人员参与，对《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》（讨论稿）进行讨论和修改完善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》（讨论稿）。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在编制过程中，编写组成员对存在较大分歧的诸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评估指标的选择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监测数据的采集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等重点问题进行多次讨论，寻找支撑依据和修改理由，逐条对编制过程中不确定的问题进行讨论，并基本达成共识，完成对《规范》（讨论稿）的多次修改完善。</w:t>
      </w:r>
    </w:p>
    <w:p>
      <w:pPr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（三）202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4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年9月-2024年10月《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规范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》站内审稿修改阶段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组织相关专家对《规范》（讨论稿）进行内审，编写组根据内审意见进行修改形成《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草案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），报陕西省地质调查院审查。</w:t>
      </w:r>
    </w:p>
    <w:p>
      <w:pPr>
        <w:spacing w:line="360" w:lineRule="auto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（四）2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024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-11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月形成《规范》征求意见稿阶段</w:t>
      </w:r>
    </w:p>
    <w:p>
      <w:pPr>
        <w:spacing w:line="360" w:lineRule="auto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（五）2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024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月至1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月征求意见阶段</w:t>
      </w:r>
    </w:p>
    <w:p>
      <w:pPr>
        <w:spacing w:line="360" w:lineRule="auto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（六）2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024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年1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月形成《规范》送审稿</w:t>
      </w:r>
    </w:p>
    <w:p>
      <w:pPr>
        <w:spacing w:line="360" w:lineRule="auto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（七）2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024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年1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月-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2025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月审查并报批阶段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181113566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、标准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编制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原则和主要内容</w:t>
      </w:r>
      <w:bookmarkEnd w:id="10"/>
    </w:p>
    <w:p>
      <w:pPr>
        <w:spacing w:line="360" w:lineRule="auto"/>
        <w:ind w:firstLine="643" w:firstLineChars="200"/>
        <w:outlineLvl w:val="1"/>
        <w:rPr>
          <w:rFonts w:ascii="仿宋_GB2312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（一）编制原则</w:t>
      </w:r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1．从省情出发，结合实际，保证标准的适用性；</w:t>
      </w:r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2．科学分析，合理布设，保证标准的目标准确性；</w:t>
      </w:r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3．参考国内相关标准，保证标准的先进性。</w:t>
      </w:r>
    </w:p>
    <w:p>
      <w:pPr>
        <w:spacing w:line="360" w:lineRule="auto"/>
        <w:ind w:firstLine="643" w:firstLineChars="200"/>
        <w:outlineLvl w:val="1"/>
        <w:rPr>
          <w:rFonts w:ascii="仿宋_GB2312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（二）主要内容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本《规范》共分为</w:t>
      </w:r>
      <w:r>
        <w:rPr>
          <w:rFonts w:hint="eastAsia" w:ascii="仿宋_GB2312" w:eastAsia="仿宋_GB2312" w:cs="Times New Roman" w:hAnsi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 w:cs="Times New Roman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章节</w:t>
      </w:r>
      <w:r>
        <w:rPr>
          <w:rFonts w:hint="eastAsia" w:ascii="仿宋_GB2312" w:eastAsia="仿宋_GB2312" w:cs="Times New Roman" w:hAnsi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Times New Roman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条附录，各章节主要内容如下：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1"/>
        <w:ind w:firstLine="640"/>
        <w:jc w:val="left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范围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本文件规定了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地质环境监测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的总体要求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监测指标、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要素、方法、数据处理与分析、成果编制等。</w:t>
      </w:r>
    </w:p>
    <w:p>
      <w:pPr>
        <w:spacing w:line="360" w:lineRule="auto"/>
        <w:ind w:firstLine="640" w:firstLineChars="200"/>
        <w:rPr>
          <w:rFonts w:hint="eastAsia"/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本文件适用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陕西省内历史遗留矿山、政策性关闭矿山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和生产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开展地质环境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生态修复成效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监测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工作。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2、规范性引用文件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本标准引用了《地面沉降调查与监测规范》（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DZ/T 0283-2015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）《地裂缝监测技术规程》（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DB61/T 1388-2020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）《地裂缝地质灾害监测规范（试行）》（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T/CAGHP 008-2018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）《地裂缝防治工程勘查规范（试行）》（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T/CAGHP 079-2022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）等1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9项标准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规范规程和技术要求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3、术语、定义和缩略语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对本标准中使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用的“采矿活动”“矿山地质环境”“矿山生态修复成效参照样地”“矿山生态修复”“成效评估”等进行了界定、定义和引用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1"/>
        <w:ind w:firstLine="640"/>
        <w:jc w:val="left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总体目标、工作原则、工作流程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从本标准的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总体目标、工作原则、工作流程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个方面进行了规范。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生态修复评估指标和修复成效分级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本标准该章节从一般规定、分层标自动化监测、GNSS自动化监测、地裂缝三维变形监测四个方面进行了规范。</w:t>
      </w:r>
    </w:p>
    <w:p>
      <w:pPr>
        <w:pStyle w:val="21"/>
        <w:ind w:firstLine="640"/>
        <w:jc w:val="left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评估指标监测</w:t>
      </w:r>
    </w:p>
    <w:p>
      <w:pPr>
        <w:pStyle w:val="21"/>
        <w:ind w:firstLine="64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本标准该章节从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地质灾害监测、含水层监测、土地损毁监测、地形地貌监测、矿山生态监测等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方面对矿山生态修复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成效评估指标监测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进行了规范。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评估数据处理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本标准该章节从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地质安全隐患消除、土地资源量提升、地形地貌景观恢复、含水层修复、植被生态恢复、生物物种恢复、社会效益、经济效益八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种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监测数据处理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进行了规范。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评估要求及方法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本标准该章节从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评估要求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评估方法两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个方面进行了规范。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评估成果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本标准该章节从一般规定、报告、成果图件编制三个方面进行了规范。</w:t>
      </w:r>
    </w:p>
    <w:p>
      <w:pPr>
        <w:pStyle w:val="21"/>
        <w:ind w:firstLine="64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附录A</w:t>
      </w:r>
    </w:p>
    <w:p>
      <w:pPr>
        <w:pStyle w:val="21"/>
        <w:ind w:firstLine="64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本标准该部分以资料性文件方式提供了附录：矿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山生态修复成效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监测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成果报告提纲。</w:t>
      </w:r>
    </w:p>
    <w:p>
      <w:pPr>
        <w:pStyle w:val="21"/>
        <w:ind w:firstLine="64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pStyle w:val="21"/>
        <w:ind w:firstLine="64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本标准该部分以资料性文件方式提供了附录：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矿山生态修复成效评估指标权重系数表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1"/>
        <w:ind w:firstLine="64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pStyle w:val="21"/>
        <w:ind w:firstLine="64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本标准该部分以资料性文件方式提供了附录：公众满意度调查表。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81113567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采用国际标准或国外先进标准的目的、意义和一致性程度，我国标准与被采用标准的主要差异及其原因；以及与国际、国外同类标准水平的对比情况</w:t>
      </w:r>
      <w:bookmarkEnd w:id="11"/>
    </w:p>
    <w:p>
      <w:pPr>
        <w:spacing w:line="360" w:lineRule="auto"/>
        <w:ind w:firstLine="640" w:firstLineChars="200"/>
        <w:outlineLvl w:val="1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181113568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、知识产权说明</w:t>
      </w:r>
      <w:bookmarkEnd w:id="12"/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任何单位使用本文件所产生的知识产权归该单位。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181113569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六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、采标情况</w:t>
      </w:r>
      <w:bookmarkEnd w:id="13"/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本次标准制定时检索查询了省内矿山生态修复成效监测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评估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规范，目前未发现与本《规范》作用对象完全相同的省内规范。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181113570"/>
      <w:bookmarkStart w:id="15" w:name="_Toc514241165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七、标准性质的建议说明（推荐标准还是强制性标准）</w:t>
      </w:r>
      <w:bookmarkEnd w:id="14"/>
      <w:bookmarkEnd w:id="15"/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本标准为技术性规范，性质为推荐性标准。</w:t>
      </w:r>
    </w:p>
    <w:p>
      <w:pPr>
        <w:pStyle w:val="4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514241166"/>
      <w:bookmarkStart w:id="17" w:name="_Toc181113571"/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八、其他应予以说明的事项</w:t>
      </w:r>
      <w:bookmarkEnd w:id="16"/>
      <w:bookmarkEnd w:id="17"/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7432153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8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7"/>
      <w:suff w:val="nothing"/>
      <w:lvlText w:val="%1.%2　"/>
      <w:lvlJc w:val="left"/>
      <w:pPr>
        <w:ind w:left="851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6"/>
      <w:suff w:val="nothing"/>
      <w:lvlText w:val="%1.%2.%3　"/>
      <w:lvlJc w:val="left"/>
      <w:pPr>
        <w:ind w:left="568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46260FA"/>
    <w:multiLevelType w:val="multilevel"/>
    <w:tmpl w:val="646260FA"/>
    <w:lvl w:ilvl="0" w:tentative="0">
      <w:start w:val="1"/>
      <w:numFmt w:val="decimal"/>
      <w:pStyle w:val="33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pStyle w:val="3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YWQxYTE1ODkxZTFkZWYwMGRkZTdkMDA0ZjY0ZTgifQ=="/>
  </w:docVars>
  <w:rsids>
    <w:rsidRoot w:val="002477A9"/>
    <w:rsid w:val="00001769"/>
    <w:rsid w:val="00010A03"/>
    <w:rsid w:val="000114BD"/>
    <w:rsid w:val="00012194"/>
    <w:rsid w:val="00012F30"/>
    <w:rsid w:val="00016F58"/>
    <w:rsid w:val="00022E4C"/>
    <w:rsid w:val="00025E82"/>
    <w:rsid w:val="00031DF2"/>
    <w:rsid w:val="0003307A"/>
    <w:rsid w:val="00040C59"/>
    <w:rsid w:val="000438EF"/>
    <w:rsid w:val="00043CD2"/>
    <w:rsid w:val="000443B1"/>
    <w:rsid w:val="00050667"/>
    <w:rsid w:val="00050DE5"/>
    <w:rsid w:val="00052495"/>
    <w:rsid w:val="0005704B"/>
    <w:rsid w:val="00060588"/>
    <w:rsid w:val="0006114E"/>
    <w:rsid w:val="0006327F"/>
    <w:rsid w:val="000703DC"/>
    <w:rsid w:val="00071AB4"/>
    <w:rsid w:val="000835DE"/>
    <w:rsid w:val="00083DD6"/>
    <w:rsid w:val="0008462F"/>
    <w:rsid w:val="0008508D"/>
    <w:rsid w:val="0009416C"/>
    <w:rsid w:val="000A3847"/>
    <w:rsid w:val="000A4EBE"/>
    <w:rsid w:val="000B6756"/>
    <w:rsid w:val="000C1C01"/>
    <w:rsid w:val="000C33CF"/>
    <w:rsid w:val="000C5AF0"/>
    <w:rsid w:val="000C62DF"/>
    <w:rsid w:val="000D0BE5"/>
    <w:rsid w:val="000E2107"/>
    <w:rsid w:val="000E2653"/>
    <w:rsid w:val="000E5723"/>
    <w:rsid w:val="000E6138"/>
    <w:rsid w:val="000E763C"/>
    <w:rsid w:val="000F3841"/>
    <w:rsid w:val="000F3D84"/>
    <w:rsid w:val="001017A5"/>
    <w:rsid w:val="001108A6"/>
    <w:rsid w:val="00112BED"/>
    <w:rsid w:val="0012141D"/>
    <w:rsid w:val="0012460B"/>
    <w:rsid w:val="00132660"/>
    <w:rsid w:val="001353C2"/>
    <w:rsid w:val="00137446"/>
    <w:rsid w:val="00137EBB"/>
    <w:rsid w:val="001425D5"/>
    <w:rsid w:val="0014520F"/>
    <w:rsid w:val="001473F5"/>
    <w:rsid w:val="0015215F"/>
    <w:rsid w:val="00152546"/>
    <w:rsid w:val="001538BC"/>
    <w:rsid w:val="00156E8B"/>
    <w:rsid w:val="0016754F"/>
    <w:rsid w:val="001675D3"/>
    <w:rsid w:val="00171BAD"/>
    <w:rsid w:val="00173112"/>
    <w:rsid w:val="00181E44"/>
    <w:rsid w:val="00192B79"/>
    <w:rsid w:val="00193A84"/>
    <w:rsid w:val="001A1163"/>
    <w:rsid w:val="001A3C71"/>
    <w:rsid w:val="001A5142"/>
    <w:rsid w:val="001A5FCE"/>
    <w:rsid w:val="001B2271"/>
    <w:rsid w:val="001B284A"/>
    <w:rsid w:val="001C05C0"/>
    <w:rsid w:val="001C4AE6"/>
    <w:rsid w:val="001C5142"/>
    <w:rsid w:val="001C6EBA"/>
    <w:rsid w:val="001D1DB1"/>
    <w:rsid w:val="001D568D"/>
    <w:rsid w:val="001D7C0B"/>
    <w:rsid w:val="001E1F32"/>
    <w:rsid w:val="001E34E3"/>
    <w:rsid w:val="001E446C"/>
    <w:rsid w:val="001E73AD"/>
    <w:rsid w:val="001F6F42"/>
    <w:rsid w:val="00201A65"/>
    <w:rsid w:val="00202FDC"/>
    <w:rsid w:val="00207B3E"/>
    <w:rsid w:val="00212EC4"/>
    <w:rsid w:val="00213F37"/>
    <w:rsid w:val="00220D89"/>
    <w:rsid w:val="00221C83"/>
    <w:rsid w:val="00223C26"/>
    <w:rsid w:val="00235CE4"/>
    <w:rsid w:val="00244DAB"/>
    <w:rsid w:val="00246153"/>
    <w:rsid w:val="002477A9"/>
    <w:rsid w:val="00251DF3"/>
    <w:rsid w:val="00253053"/>
    <w:rsid w:val="00254D44"/>
    <w:rsid w:val="00267A5E"/>
    <w:rsid w:val="0027068A"/>
    <w:rsid w:val="0027516C"/>
    <w:rsid w:val="00285189"/>
    <w:rsid w:val="00292A61"/>
    <w:rsid w:val="002A194F"/>
    <w:rsid w:val="002B7166"/>
    <w:rsid w:val="002C57E1"/>
    <w:rsid w:val="002D0861"/>
    <w:rsid w:val="002D0FA4"/>
    <w:rsid w:val="002D216B"/>
    <w:rsid w:val="002D3615"/>
    <w:rsid w:val="002D5E9C"/>
    <w:rsid w:val="002E7E7A"/>
    <w:rsid w:val="002F29EF"/>
    <w:rsid w:val="002F662D"/>
    <w:rsid w:val="00301899"/>
    <w:rsid w:val="00302F8F"/>
    <w:rsid w:val="0032288A"/>
    <w:rsid w:val="00323C98"/>
    <w:rsid w:val="00325323"/>
    <w:rsid w:val="00331990"/>
    <w:rsid w:val="003326E6"/>
    <w:rsid w:val="0033576E"/>
    <w:rsid w:val="00342182"/>
    <w:rsid w:val="00342C84"/>
    <w:rsid w:val="003509FA"/>
    <w:rsid w:val="0035131A"/>
    <w:rsid w:val="00354AF5"/>
    <w:rsid w:val="00354EC2"/>
    <w:rsid w:val="00356A9F"/>
    <w:rsid w:val="00364F6B"/>
    <w:rsid w:val="00370EB1"/>
    <w:rsid w:val="00371133"/>
    <w:rsid w:val="00371305"/>
    <w:rsid w:val="0037675C"/>
    <w:rsid w:val="00377A54"/>
    <w:rsid w:val="003805A5"/>
    <w:rsid w:val="00382ADA"/>
    <w:rsid w:val="00383385"/>
    <w:rsid w:val="00386041"/>
    <w:rsid w:val="0039089D"/>
    <w:rsid w:val="00394AAD"/>
    <w:rsid w:val="003A7EF8"/>
    <w:rsid w:val="003B314B"/>
    <w:rsid w:val="003B56A5"/>
    <w:rsid w:val="003B6DF6"/>
    <w:rsid w:val="003C0711"/>
    <w:rsid w:val="003C0D83"/>
    <w:rsid w:val="003C1F09"/>
    <w:rsid w:val="003C4677"/>
    <w:rsid w:val="003C5D05"/>
    <w:rsid w:val="003C6EB3"/>
    <w:rsid w:val="003D02ED"/>
    <w:rsid w:val="003D7949"/>
    <w:rsid w:val="003E4AFF"/>
    <w:rsid w:val="003F0747"/>
    <w:rsid w:val="003F4AE0"/>
    <w:rsid w:val="00405006"/>
    <w:rsid w:val="0040606B"/>
    <w:rsid w:val="00415406"/>
    <w:rsid w:val="00417A6B"/>
    <w:rsid w:val="00426726"/>
    <w:rsid w:val="004316D2"/>
    <w:rsid w:val="00435518"/>
    <w:rsid w:val="004431EF"/>
    <w:rsid w:val="004437B5"/>
    <w:rsid w:val="00444B20"/>
    <w:rsid w:val="00451131"/>
    <w:rsid w:val="00451861"/>
    <w:rsid w:val="004526C6"/>
    <w:rsid w:val="00454DC8"/>
    <w:rsid w:val="00457DA9"/>
    <w:rsid w:val="00465248"/>
    <w:rsid w:val="00471523"/>
    <w:rsid w:val="00480210"/>
    <w:rsid w:val="00482B44"/>
    <w:rsid w:val="00482B82"/>
    <w:rsid w:val="004860AD"/>
    <w:rsid w:val="00486474"/>
    <w:rsid w:val="00491042"/>
    <w:rsid w:val="004966F9"/>
    <w:rsid w:val="004A1B20"/>
    <w:rsid w:val="004A5635"/>
    <w:rsid w:val="004A6536"/>
    <w:rsid w:val="004A6552"/>
    <w:rsid w:val="004B18D4"/>
    <w:rsid w:val="004C316E"/>
    <w:rsid w:val="004C6616"/>
    <w:rsid w:val="004D0417"/>
    <w:rsid w:val="004D366B"/>
    <w:rsid w:val="004D3A98"/>
    <w:rsid w:val="004D410C"/>
    <w:rsid w:val="004E3DF5"/>
    <w:rsid w:val="004E7BA5"/>
    <w:rsid w:val="004E7F03"/>
    <w:rsid w:val="004F0C13"/>
    <w:rsid w:val="00507FDF"/>
    <w:rsid w:val="00510D4B"/>
    <w:rsid w:val="00515817"/>
    <w:rsid w:val="005315A3"/>
    <w:rsid w:val="00541F9B"/>
    <w:rsid w:val="00547FD6"/>
    <w:rsid w:val="00554E7C"/>
    <w:rsid w:val="0055659D"/>
    <w:rsid w:val="00556F9B"/>
    <w:rsid w:val="0055771D"/>
    <w:rsid w:val="00557D6A"/>
    <w:rsid w:val="00561C97"/>
    <w:rsid w:val="00562EFC"/>
    <w:rsid w:val="0056522B"/>
    <w:rsid w:val="0056611A"/>
    <w:rsid w:val="0058202D"/>
    <w:rsid w:val="00582BA8"/>
    <w:rsid w:val="00583F59"/>
    <w:rsid w:val="005904E5"/>
    <w:rsid w:val="005926E3"/>
    <w:rsid w:val="00593943"/>
    <w:rsid w:val="005A056E"/>
    <w:rsid w:val="005B0CC7"/>
    <w:rsid w:val="005B0D2B"/>
    <w:rsid w:val="005D60EA"/>
    <w:rsid w:val="005E1C5A"/>
    <w:rsid w:val="005E7910"/>
    <w:rsid w:val="005F0FAA"/>
    <w:rsid w:val="00603685"/>
    <w:rsid w:val="00620EE6"/>
    <w:rsid w:val="00624E11"/>
    <w:rsid w:val="006253AC"/>
    <w:rsid w:val="00632606"/>
    <w:rsid w:val="00632772"/>
    <w:rsid w:val="006404E7"/>
    <w:rsid w:val="00643D53"/>
    <w:rsid w:val="0065248C"/>
    <w:rsid w:val="00656A16"/>
    <w:rsid w:val="00661665"/>
    <w:rsid w:val="00666413"/>
    <w:rsid w:val="00670EDB"/>
    <w:rsid w:val="00671C04"/>
    <w:rsid w:val="00672828"/>
    <w:rsid w:val="00692FCD"/>
    <w:rsid w:val="0069782F"/>
    <w:rsid w:val="006A175B"/>
    <w:rsid w:val="006B306A"/>
    <w:rsid w:val="006B62CC"/>
    <w:rsid w:val="006C1730"/>
    <w:rsid w:val="006C22B5"/>
    <w:rsid w:val="006C4563"/>
    <w:rsid w:val="006C4F99"/>
    <w:rsid w:val="006E0742"/>
    <w:rsid w:val="006E3782"/>
    <w:rsid w:val="006F511F"/>
    <w:rsid w:val="006F5F78"/>
    <w:rsid w:val="007005C2"/>
    <w:rsid w:val="00710641"/>
    <w:rsid w:val="00716C31"/>
    <w:rsid w:val="007173EA"/>
    <w:rsid w:val="0073794C"/>
    <w:rsid w:val="00744312"/>
    <w:rsid w:val="00744DCC"/>
    <w:rsid w:val="007452C5"/>
    <w:rsid w:val="00746DE1"/>
    <w:rsid w:val="00770FD9"/>
    <w:rsid w:val="00772E24"/>
    <w:rsid w:val="00773B3F"/>
    <w:rsid w:val="00777069"/>
    <w:rsid w:val="0078135B"/>
    <w:rsid w:val="00781E84"/>
    <w:rsid w:val="00782039"/>
    <w:rsid w:val="00784F51"/>
    <w:rsid w:val="0079254E"/>
    <w:rsid w:val="0079313A"/>
    <w:rsid w:val="0079322D"/>
    <w:rsid w:val="00793AE6"/>
    <w:rsid w:val="00796A3F"/>
    <w:rsid w:val="007A4CFB"/>
    <w:rsid w:val="007A6038"/>
    <w:rsid w:val="007A6213"/>
    <w:rsid w:val="007A74EF"/>
    <w:rsid w:val="007B206F"/>
    <w:rsid w:val="007C3B3B"/>
    <w:rsid w:val="007F2189"/>
    <w:rsid w:val="007F3406"/>
    <w:rsid w:val="0080269F"/>
    <w:rsid w:val="00803C85"/>
    <w:rsid w:val="0080460B"/>
    <w:rsid w:val="008116B7"/>
    <w:rsid w:val="00813965"/>
    <w:rsid w:val="00815C71"/>
    <w:rsid w:val="00824653"/>
    <w:rsid w:val="0083192A"/>
    <w:rsid w:val="008330FB"/>
    <w:rsid w:val="0083781C"/>
    <w:rsid w:val="00843724"/>
    <w:rsid w:val="00845B26"/>
    <w:rsid w:val="00847D87"/>
    <w:rsid w:val="00852B8E"/>
    <w:rsid w:val="0085691B"/>
    <w:rsid w:val="00863FDA"/>
    <w:rsid w:val="00864F2D"/>
    <w:rsid w:val="008701E7"/>
    <w:rsid w:val="00870829"/>
    <w:rsid w:val="00874B9B"/>
    <w:rsid w:val="00880831"/>
    <w:rsid w:val="00884BF3"/>
    <w:rsid w:val="00891832"/>
    <w:rsid w:val="00892502"/>
    <w:rsid w:val="00897F96"/>
    <w:rsid w:val="008A6A2F"/>
    <w:rsid w:val="008C0587"/>
    <w:rsid w:val="008C141C"/>
    <w:rsid w:val="008C1507"/>
    <w:rsid w:val="008C4DC7"/>
    <w:rsid w:val="008C4F4A"/>
    <w:rsid w:val="008C767A"/>
    <w:rsid w:val="008D005C"/>
    <w:rsid w:val="008D0960"/>
    <w:rsid w:val="008D22F8"/>
    <w:rsid w:val="008E0D6A"/>
    <w:rsid w:val="008F2777"/>
    <w:rsid w:val="00904ACD"/>
    <w:rsid w:val="00907D85"/>
    <w:rsid w:val="00911715"/>
    <w:rsid w:val="0091333C"/>
    <w:rsid w:val="00914235"/>
    <w:rsid w:val="009204C7"/>
    <w:rsid w:val="0092401B"/>
    <w:rsid w:val="009279B9"/>
    <w:rsid w:val="00930787"/>
    <w:rsid w:val="00930DD7"/>
    <w:rsid w:val="0093782C"/>
    <w:rsid w:val="00944724"/>
    <w:rsid w:val="00946909"/>
    <w:rsid w:val="0095045E"/>
    <w:rsid w:val="00951683"/>
    <w:rsid w:val="00955B08"/>
    <w:rsid w:val="00955C3E"/>
    <w:rsid w:val="00955E62"/>
    <w:rsid w:val="00956559"/>
    <w:rsid w:val="00966BFB"/>
    <w:rsid w:val="0096705F"/>
    <w:rsid w:val="00972A47"/>
    <w:rsid w:val="00973551"/>
    <w:rsid w:val="00973ADF"/>
    <w:rsid w:val="009763E6"/>
    <w:rsid w:val="00976A13"/>
    <w:rsid w:val="009832FD"/>
    <w:rsid w:val="00985069"/>
    <w:rsid w:val="0098583C"/>
    <w:rsid w:val="0099528D"/>
    <w:rsid w:val="00995431"/>
    <w:rsid w:val="009A08D1"/>
    <w:rsid w:val="009A0CF4"/>
    <w:rsid w:val="009A39DB"/>
    <w:rsid w:val="009A5312"/>
    <w:rsid w:val="009B1410"/>
    <w:rsid w:val="009B1D5D"/>
    <w:rsid w:val="009C1DB6"/>
    <w:rsid w:val="009C30D7"/>
    <w:rsid w:val="009C5601"/>
    <w:rsid w:val="009C667A"/>
    <w:rsid w:val="009D15B4"/>
    <w:rsid w:val="009D395C"/>
    <w:rsid w:val="009D3B0E"/>
    <w:rsid w:val="009E1462"/>
    <w:rsid w:val="009E1A1C"/>
    <w:rsid w:val="009E4270"/>
    <w:rsid w:val="009E7399"/>
    <w:rsid w:val="009E7643"/>
    <w:rsid w:val="009F37BD"/>
    <w:rsid w:val="00A12126"/>
    <w:rsid w:val="00A128CB"/>
    <w:rsid w:val="00A17B16"/>
    <w:rsid w:val="00A24681"/>
    <w:rsid w:val="00A44FBB"/>
    <w:rsid w:val="00A47C97"/>
    <w:rsid w:val="00A514D7"/>
    <w:rsid w:val="00A54F92"/>
    <w:rsid w:val="00A551A2"/>
    <w:rsid w:val="00A60830"/>
    <w:rsid w:val="00A60C0D"/>
    <w:rsid w:val="00A61457"/>
    <w:rsid w:val="00A64BE6"/>
    <w:rsid w:val="00A7567C"/>
    <w:rsid w:val="00A822C5"/>
    <w:rsid w:val="00A83922"/>
    <w:rsid w:val="00A85206"/>
    <w:rsid w:val="00A858B7"/>
    <w:rsid w:val="00A87455"/>
    <w:rsid w:val="00AA2085"/>
    <w:rsid w:val="00AB07AA"/>
    <w:rsid w:val="00AB6BDC"/>
    <w:rsid w:val="00AB6F16"/>
    <w:rsid w:val="00AD32C8"/>
    <w:rsid w:val="00AE4F7C"/>
    <w:rsid w:val="00AE5619"/>
    <w:rsid w:val="00AF045F"/>
    <w:rsid w:val="00AF2B98"/>
    <w:rsid w:val="00B0020E"/>
    <w:rsid w:val="00B05F0C"/>
    <w:rsid w:val="00B24DA0"/>
    <w:rsid w:val="00B25314"/>
    <w:rsid w:val="00B25E4B"/>
    <w:rsid w:val="00B3535E"/>
    <w:rsid w:val="00B36E9A"/>
    <w:rsid w:val="00B433FA"/>
    <w:rsid w:val="00B51346"/>
    <w:rsid w:val="00B52CA7"/>
    <w:rsid w:val="00B53E5A"/>
    <w:rsid w:val="00B612E8"/>
    <w:rsid w:val="00B64684"/>
    <w:rsid w:val="00B64F67"/>
    <w:rsid w:val="00B66E1E"/>
    <w:rsid w:val="00B67907"/>
    <w:rsid w:val="00B679B0"/>
    <w:rsid w:val="00B73771"/>
    <w:rsid w:val="00B90EC4"/>
    <w:rsid w:val="00B91B8C"/>
    <w:rsid w:val="00B922B7"/>
    <w:rsid w:val="00B9775C"/>
    <w:rsid w:val="00B97CE5"/>
    <w:rsid w:val="00BA005B"/>
    <w:rsid w:val="00BA081C"/>
    <w:rsid w:val="00BB074B"/>
    <w:rsid w:val="00BB3EFE"/>
    <w:rsid w:val="00BB451F"/>
    <w:rsid w:val="00BB5B0E"/>
    <w:rsid w:val="00BB7C2B"/>
    <w:rsid w:val="00BC21D0"/>
    <w:rsid w:val="00BC5A76"/>
    <w:rsid w:val="00BD119B"/>
    <w:rsid w:val="00BD311E"/>
    <w:rsid w:val="00BE0835"/>
    <w:rsid w:val="00BE223B"/>
    <w:rsid w:val="00BF158E"/>
    <w:rsid w:val="00BF4245"/>
    <w:rsid w:val="00C12E2E"/>
    <w:rsid w:val="00C15C1A"/>
    <w:rsid w:val="00C177D4"/>
    <w:rsid w:val="00C21EAA"/>
    <w:rsid w:val="00C24435"/>
    <w:rsid w:val="00C31874"/>
    <w:rsid w:val="00C32526"/>
    <w:rsid w:val="00C32CAF"/>
    <w:rsid w:val="00C342E3"/>
    <w:rsid w:val="00C428DB"/>
    <w:rsid w:val="00C43D78"/>
    <w:rsid w:val="00C54CA3"/>
    <w:rsid w:val="00C5709A"/>
    <w:rsid w:val="00C75742"/>
    <w:rsid w:val="00C759A6"/>
    <w:rsid w:val="00C75FDD"/>
    <w:rsid w:val="00C83C51"/>
    <w:rsid w:val="00C84441"/>
    <w:rsid w:val="00C85EF1"/>
    <w:rsid w:val="00C907C4"/>
    <w:rsid w:val="00C94CE0"/>
    <w:rsid w:val="00CA2B46"/>
    <w:rsid w:val="00CA48E8"/>
    <w:rsid w:val="00CA700D"/>
    <w:rsid w:val="00CB417E"/>
    <w:rsid w:val="00CC0F63"/>
    <w:rsid w:val="00CC6159"/>
    <w:rsid w:val="00CD01F3"/>
    <w:rsid w:val="00CD37A1"/>
    <w:rsid w:val="00CD7174"/>
    <w:rsid w:val="00CD7A72"/>
    <w:rsid w:val="00CE34C5"/>
    <w:rsid w:val="00CE5714"/>
    <w:rsid w:val="00CF7A57"/>
    <w:rsid w:val="00D00031"/>
    <w:rsid w:val="00D046C3"/>
    <w:rsid w:val="00D06553"/>
    <w:rsid w:val="00D1090E"/>
    <w:rsid w:val="00D13B10"/>
    <w:rsid w:val="00D1712F"/>
    <w:rsid w:val="00D173AD"/>
    <w:rsid w:val="00D21B30"/>
    <w:rsid w:val="00D245A0"/>
    <w:rsid w:val="00D26ECF"/>
    <w:rsid w:val="00D324B4"/>
    <w:rsid w:val="00D35E5A"/>
    <w:rsid w:val="00D360F7"/>
    <w:rsid w:val="00D36716"/>
    <w:rsid w:val="00D5159E"/>
    <w:rsid w:val="00D546F7"/>
    <w:rsid w:val="00D609C8"/>
    <w:rsid w:val="00D70465"/>
    <w:rsid w:val="00D7274D"/>
    <w:rsid w:val="00D74F50"/>
    <w:rsid w:val="00D84195"/>
    <w:rsid w:val="00D86B05"/>
    <w:rsid w:val="00D90DC4"/>
    <w:rsid w:val="00D91A9E"/>
    <w:rsid w:val="00D92268"/>
    <w:rsid w:val="00D97ACC"/>
    <w:rsid w:val="00DA402C"/>
    <w:rsid w:val="00DA58A8"/>
    <w:rsid w:val="00DA6979"/>
    <w:rsid w:val="00DB4C10"/>
    <w:rsid w:val="00DB756B"/>
    <w:rsid w:val="00DC64DC"/>
    <w:rsid w:val="00DC6EBB"/>
    <w:rsid w:val="00DC7559"/>
    <w:rsid w:val="00DD72E8"/>
    <w:rsid w:val="00DE24E9"/>
    <w:rsid w:val="00DE2D7F"/>
    <w:rsid w:val="00DE5CF4"/>
    <w:rsid w:val="00DE73D4"/>
    <w:rsid w:val="00DF156E"/>
    <w:rsid w:val="00DF5F69"/>
    <w:rsid w:val="00E01341"/>
    <w:rsid w:val="00E113CC"/>
    <w:rsid w:val="00E12C10"/>
    <w:rsid w:val="00E14A87"/>
    <w:rsid w:val="00E14FFC"/>
    <w:rsid w:val="00E1682B"/>
    <w:rsid w:val="00E21C6D"/>
    <w:rsid w:val="00E258E2"/>
    <w:rsid w:val="00E31926"/>
    <w:rsid w:val="00E3310E"/>
    <w:rsid w:val="00E41C69"/>
    <w:rsid w:val="00E43B61"/>
    <w:rsid w:val="00E51C38"/>
    <w:rsid w:val="00E54A09"/>
    <w:rsid w:val="00E56D27"/>
    <w:rsid w:val="00E57147"/>
    <w:rsid w:val="00E6170E"/>
    <w:rsid w:val="00E64219"/>
    <w:rsid w:val="00E70054"/>
    <w:rsid w:val="00E71355"/>
    <w:rsid w:val="00E71C69"/>
    <w:rsid w:val="00E77810"/>
    <w:rsid w:val="00E77D46"/>
    <w:rsid w:val="00E86344"/>
    <w:rsid w:val="00E87435"/>
    <w:rsid w:val="00E95759"/>
    <w:rsid w:val="00EA70A9"/>
    <w:rsid w:val="00EA7BFA"/>
    <w:rsid w:val="00EA7F18"/>
    <w:rsid w:val="00EB6645"/>
    <w:rsid w:val="00EC1801"/>
    <w:rsid w:val="00EC73BA"/>
    <w:rsid w:val="00ED0706"/>
    <w:rsid w:val="00ED0DE4"/>
    <w:rsid w:val="00ED4C0B"/>
    <w:rsid w:val="00ED54B7"/>
    <w:rsid w:val="00EE0B21"/>
    <w:rsid w:val="00EE63F1"/>
    <w:rsid w:val="00EE714A"/>
    <w:rsid w:val="00EF2B68"/>
    <w:rsid w:val="00EF4FE3"/>
    <w:rsid w:val="00F0342A"/>
    <w:rsid w:val="00F03C9B"/>
    <w:rsid w:val="00F0410B"/>
    <w:rsid w:val="00F0512C"/>
    <w:rsid w:val="00F07CC4"/>
    <w:rsid w:val="00F12E67"/>
    <w:rsid w:val="00F16068"/>
    <w:rsid w:val="00F16725"/>
    <w:rsid w:val="00F25BA9"/>
    <w:rsid w:val="00F30C43"/>
    <w:rsid w:val="00F35142"/>
    <w:rsid w:val="00F50ED8"/>
    <w:rsid w:val="00F538EB"/>
    <w:rsid w:val="00F552FE"/>
    <w:rsid w:val="00F564E5"/>
    <w:rsid w:val="00F602CE"/>
    <w:rsid w:val="00F6722A"/>
    <w:rsid w:val="00F7449F"/>
    <w:rsid w:val="00F82125"/>
    <w:rsid w:val="00F86C38"/>
    <w:rsid w:val="00F87A57"/>
    <w:rsid w:val="00F97290"/>
    <w:rsid w:val="00FA1537"/>
    <w:rsid w:val="00FA2CF8"/>
    <w:rsid w:val="00FA6319"/>
    <w:rsid w:val="00FB5BF5"/>
    <w:rsid w:val="00FC0A74"/>
    <w:rsid w:val="00FC6C4D"/>
    <w:rsid w:val="00FD4D38"/>
    <w:rsid w:val="00FD77EA"/>
    <w:rsid w:val="00FE13B4"/>
    <w:rsid w:val="00FF02DD"/>
    <w:rsid w:val="00FF4053"/>
    <w:rsid w:val="00FF733C"/>
    <w:rsid w:val="06F55595"/>
    <w:rsid w:val="08EE3BBC"/>
    <w:rsid w:val="09A57C6C"/>
    <w:rsid w:val="0E5D67D4"/>
    <w:rsid w:val="11B5074E"/>
    <w:rsid w:val="128E6AE6"/>
    <w:rsid w:val="1A7061CB"/>
    <w:rsid w:val="1D2E2073"/>
    <w:rsid w:val="225C0AA6"/>
    <w:rsid w:val="273838B2"/>
    <w:rsid w:val="2C387E2D"/>
    <w:rsid w:val="2CB4424F"/>
    <w:rsid w:val="2F6E70C8"/>
    <w:rsid w:val="33A35DD6"/>
    <w:rsid w:val="35C54A80"/>
    <w:rsid w:val="3E964C22"/>
    <w:rsid w:val="51776927"/>
    <w:rsid w:val="53F024D7"/>
    <w:rsid w:val="5540169E"/>
    <w:rsid w:val="5DD95318"/>
    <w:rsid w:val="5EE0575C"/>
    <w:rsid w:val="622B3E7A"/>
    <w:rsid w:val="646D48B8"/>
    <w:rsid w:val="7BEC1E33"/>
    <w:rsid w:val="7C505FDC"/>
    <w:rsid w:val="7E7D0C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8"/>
    <w:qFormat/>
    <w:uiPriority w:val="9"/>
    <w:pPr>
      <w:keepNext/>
      <w:keepLines/>
      <w:spacing w:line="360" w:lineRule="auto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5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spacing w:line="360" w:lineRule="auto"/>
    </w:pPr>
    <w:rPr>
      <w:sz w:val="24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 w:firstLine="147" w:firstLineChars="70"/>
    </w:p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标题 1 Char"/>
    <w:basedOn w:val="15"/>
    <w:link w:val="4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段 Char"/>
    <w:link w:val="21"/>
    <w:qFormat/>
    <w:uiPriority w:val="0"/>
    <w:rPr>
      <w:rFonts w:ascii="宋体"/>
    </w:rPr>
  </w:style>
  <w:style w:type="paragraph" w:customStyle="1" w:styleId="21">
    <w:name w:val="段"/>
    <w:link w:val="2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3">
    <w:name w:val="页脚 Char"/>
    <w:basedOn w:val="15"/>
    <w:link w:val="8"/>
    <w:qFormat/>
    <w:uiPriority w:val="99"/>
    <w:rPr>
      <w:sz w:val="18"/>
      <w:szCs w:val="18"/>
    </w:rPr>
  </w:style>
  <w:style w:type="character" w:customStyle="1" w:styleId="24">
    <w:name w:val="批注框文本 Char"/>
    <w:basedOn w:val="15"/>
    <w:link w:val="7"/>
    <w:semiHidden/>
    <w:qFormat/>
    <w:uiPriority w:val="99"/>
    <w:rPr>
      <w:sz w:val="18"/>
      <w:szCs w:val="18"/>
    </w:rPr>
  </w:style>
  <w:style w:type="paragraph" w:customStyle="1" w:styleId="2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26">
    <w:name w:val="二级条标题"/>
    <w:basedOn w:val="27"/>
    <w:next w:val="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27">
    <w:name w:val="一级条标题"/>
    <w:next w:val="1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Calibri" w:eastAsia="黑体" w:cs="Times New Roman"/>
      <w:sz w:val="21"/>
      <w:szCs w:val="21"/>
      <w:lang w:val="en-US" w:eastAsia="zh-CN" w:bidi="ar-SA"/>
    </w:rPr>
  </w:style>
  <w:style w:type="paragraph" w:customStyle="1" w:styleId="28">
    <w:name w:val="二级无"/>
    <w:basedOn w:val="26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29">
    <w:name w:val="章标题"/>
    <w:next w:val="21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character" w:customStyle="1" w:styleId="30">
    <w:name w:val="标题 3 Char"/>
    <w:basedOn w:val="15"/>
    <w:link w:val="5"/>
    <w:semiHidden/>
    <w:qFormat/>
    <w:uiPriority w:val="9"/>
    <w:rPr>
      <w:b/>
      <w:bCs/>
      <w:sz w:val="32"/>
      <w:szCs w:val="32"/>
    </w:rPr>
  </w:style>
  <w:style w:type="character" w:customStyle="1" w:styleId="31">
    <w:name w:val="标题 3 字符"/>
    <w:qFormat/>
    <w:uiPriority w:val="0"/>
    <w:rPr>
      <w:b/>
      <w:kern w:val="2"/>
      <w:sz w:val="21"/>
    </w:rPr>
  </w:style>
  <w:style w:type="paragraph" w:customStyle="1" w:styleId="32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正文表标题"/>
    <w:next w:val="21"/>
    <w:qFormat/>
    <w:uiPriority w:val="0"/>
    <w:pPr>
      <w:numPr>
        <w:ilvl w:val="0"/>
        <w:numId w:val="2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4">
    <w:name w:val="附录标识"/>
    <w:basedOn w:val="1"/>
    <w:next w:val="21"/>
    <w:qFormat/>
    <w:uiPriority w:val="0"/>
    <w:pPr>
      <w:keepNext/>
      <w:widowControl/>
      <w:numPr>
        <w:ilvl w:val="0"/>
        <w:numId w:val="3"/>
      </w:numPr>
      <w:shd w:val="clear" w:color="FFFFFF" w:fill="FFFFFF"/>
      <w:tabs>
        <w:tab w:val="left" w:pos="360"/>
        <w:tab w:val="left" w:pos="6405"/>
      </w:tabs>
      <w:jc w:val="center"/>
      <w:outlineLvl w:val="0"/>
    </w:pPr>
    <w:rPr>
      <w:rFonts w:ascii="黑体" w:hAnsi="黑体" w:eastAsia="黑体"/>
      <w:kern w:val="0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E5B8-BFEA-4353-9FF5-B7FB7C55A7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2879</Words>
  <Characters>3013</Characters>
  <Lines>29</Lines>
  <Paragraphs>8</Paragraphs>
  <TotalTime>159</TotalTime>
  <ScaleCrop>false</ScaleCrop>
  <LinksUpToDate>false</LinksUpToDate>
  <CharactersWithSpaces>3070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2020-03-30T03:14:00Z</dcterms:created>
  <dc:creator>lenovo</dc:creator>
  <cp:lastModifiedBy>lenovo</cp:lastModifiedBy>
  <cp:lastPrinted>2024-11-18T08:35:05Z</cp:lastPrinted>
  <dcterms:modified xsi:type="dcterms:W3CDTF">2024-11-18T13:21:50Z</dcterms:modified>
  <cp:revision>401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043D0C5AD2FA4D8AA3C9AC4617C1D898</vt:lpwstr>
  </property>
</Properties>
</file>