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480"/>
        <w:jc w:val="center"/>
        <w:rPr>
          <w:color w:val="000000"/>
          <w:sz w:val="24"/>
        </w:rPr>
      </w:pPr>
    </w:p>
    <w:p>
      <w:pPr>
        <w:spacing w:line="276" w:lineRule="auto"/>
        <w:ind w:firstLine="480"/>
        <w:jc w:val="center"/>
        <w:rPr>
          <w:color w:val="000000"/>
          <w:sz w:val="24"/>
        </w:rPr>
      </w:pPr>
    </w:p>
    <w:p>
      <w:pPr>
        <w:spacing w:line="276" w:lineRule="auto"/>
        <w:ind w:firstLine="480"/>
        <w:jc w:val="center"/>
        <w:rPr>
          <w:color w:val="000000"/>
          <w:sz w:val="24"/>
        </w:rPr>
      </w:pPr>
    </w:p>
    <w:p>
      <w:pPr>
        <w:spacing w:line="276" w:lineRule="auto"/>
        <w:ind w:firstLine="480"/>
        <w:jc w:val="center"/>
        <w:rPr>
          <w:color w:val="000000"/>
          <w:sz w:val="24"/>
        </w:rPr>
      </w:pPr>
    </w:p>
    <w:p>
      <w:pPr>
        <w:spacing w:line="276" w:lineRule="auto"/>
        <w:ind w:firstLine="480"/>
        <w:jc w:val="center"/>
        <w:rPr>
          <w:color w:val="000000"/>
          <w:sz w:val="24"/>
        </w:rPr>
      </w:pPr>
    </w:p>
    <w:p>
      <w:pPr>
        <w:pStyle w:val="47"/>
        <w:framePr w:w="0" w:hRule="auto" w:wrap="auto" w:vAnchor="margin" w:hAnchor="text" w:xAlign="left" w:yAlign="inline"/>
        <w:spacing w:line="276" w:lineRule="auto"/>
        <w:jc w:val="both"/>
        <w:rPr>
          <w:rFonts w:ascii="Times New Roman"/>
          <w:b/>
          <w:color w:val="000000"/>
          <w:sz w:val="36"/>
          <w:szCs w:val="36"/>
        </w:rPr>
      </w:pPr>
    </w:p>
    <w:p>
      <w:pPr>
        <w:pStyle w:val="47"/>
        <w:framePr w:w="0" w:hRule="auto" w:wrap="auto" w:vAnchor="margin" w:hAnchor="text" w:xAlign="left" w:yAlign="inline"/>
        <w:spacing w:line="276" w:lineRule="auto"/>
        <w:rPr>
          <w:rFonts w:ascii="Times New Roman"/>
          <w:b/>
          <w:color w:val="000000"/>
          <w:sz w:val="44"/>
          <w:szCs w:val="44"/>
        </w:rPr>
      </w:pPr>
    </w:p>
    <w:p>
      <w:pPr>
        <w:pStyle w:val="47"/>
        <w:framePr w:w="0" w:hRule="auto" w:wrap="auto" w:vAnchor="margin" w:hAnchor="text" w:xAlign="left" w:yAlign="inline"/>
        <w:spacing w:line="276" w:lineRule="auto"/>
        <w:rPr>
          <w:rFonts w:hint="eastAsia" w:ascii="方正小标宋简体" w:eastAsia="方正小标宋简体"/>
          <w:bCs/>
          <w:color w:val="000000"/>
          <w:sz w:val="44"/>
          <w:szCs w:val="44"/>
        </w:rPr>
      </w:pPr>
      <w:r>
        <w:rPr>
          <w:rFonts w:hint="eastAsia" w:ascii="方正小标宋简体" w:eastAsia="方正小标宋简体"/>
          <w:bCs/>
          <w:color w:val="000000"/>
          <w:sz w:val="44"/>
          <w:szCs w:val="44"/>
        </w:rPr>
        <w:t>《地表水水质自动监测数据审核技术规范》编制说明</w:t>
      </w:r>
    </w:p>
    <w:p>
      <w:pPr>
        <w:spacing w:line="276" w:lineRule="auto"/>
        <w:jc w:val="center"/>
        <w:rPr>
          <w:color w:val="000000"/>
          <w:sz w:val="24"/>
        </w:rPr>
      </w:pPr>
      <w:r>
        <w:rPr>
          <w:rFonts w:ascii="Times New Roman" w:hAnsi="Times New Roman"/>
          <w:sz w:val="24"/>
          <w:szCs w:val="28"/>
        </w:rPr>
        <w:t xml:space="preserve">  (征求意见稿)</w:t>
      </w: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276" w:lineRule="auto"/>
        <w:jc w:val="center"/>
        <w:rPr>
          <w:color w:val="000000"/>
          <w:sz w:val="24"/>
        </w:rPr>
      </w:pPr>
    </w:p>
    <w:p>
      <w:pPr>
        <w:spacing w:line="360" w:lineRule="auto"/>
        <w:jc w:val="center"/>
        <w:rPr>
          <w:color w:val="000000"/>
          <w:sz w:val="24"/>
        </w:rPr>
      </w:pPr>
    </w:p>
    <w:p>
      <w:pPr>
        <w:spacing w:line="360" w:lineRule="auto"/>
        <w:jc w:val="center"/>
        <w:rPr>
          <w:color w:val="000000"/>
          <w:sz w:val="24"/>
        </w:rPr>
      </w:pPr>
    </w:p>
    <w:p>
      <w:pPr>
        <w:spacing w:line="360" w:lineRule="auto"/>
        <w:jc w:val="center"/>
        <w:rPr>
          <w:rFonts w:ascii="黑体" w:hAnsi="黑体" w:eastAsia="黑体" w:cs="黑体"/>
          <w:sz w:val="32"/>
          <w:szCs w:val="32"/>
        </w:rPr>
      </w:pPr>
      <w:r>
        <w:rPr>
          <w:rFonts w:hint="eastAsia" w:ascii="黑体" w:hAnsi="黑体" w:eastAsia="黑体" w:cs="黑体"/>
          <w:sz w:val="32"/>
          <w:szCs w:val="32"/>
        </w:rPr>
        <w:t>《地表水水质自动监测数据审核技术规范》编制组</w:t>
      </w:r>
    </w:p>
    <w:p>
      <w:pPr>
        <w:spacing w:line="360" w:lineRule="auto"/>
        <w:ind w:firstLine="3200" w:firstLineChars="1000"/>
        <w:rPr>
          <w:rFonts w:ascii="黑体" w:hAnsi="黑体" w:eastAsia="黑体" w:cs="黑体"/>
          <w:sz w:val="32"/>
          <w:szCs w:val="32"/>
        </w:rPr>
      </w:pPr>
      <w:r>
        <w:rPr>
          <w:rFonts w:ascii="黑体" w:hAnsi="黑体" w:eastAsia="黑体" w:cs="黑体"/>
          <w:sz w:val="32"/>
          <w:szCs w:val="32"/>
        </w:rPr>
        <w:t>二〇</w:t>
      </w:r>
      <w:r>
        <w:rPr>
          <w:rFonts w:hint="eastAsia" w:ascii="黑体" w:hAnsi="黑体" w:eastAsia="黑体" w:cs="黑体"/>
          <w:sz w:val="32"/>
          <w:szCs w:val="32"/>
        </w:rPr>
        <w:t>二</w:t>
      </w:r>
      <w:r>
        <w:rPr>
          <w:rFonts w:hint="eastAsia" w:ascii="黑体" w:hAnsi="黑体" w:eastAsia="黑体" w:cs="黑体"/>
          <w:sz w:val="32"/>
          <w:szCs w:val="32"/>
          <w:lang w:val="en-US" w:eastAsia="zh-CN"/>
        </w:rPr>
        <w:t>四</w:t>
      </w:r>
      <w:r>
        <w:rPr>
          <w:rFonts w:ascii="黑体" w:hAnsi="黑体" w:eastAsia="黑体" w:cs="黑体"/>
          <w:sz w:val="32"/>
          <w:szCs w:val="32"/>
        </w:rPr>
        <w:t>年</w:t>
      </w:r>
      <w:r>
        <w:rPr>
          <w:rFonts w:hint="eastAsia" w:ascii="黑体" w:hAnsi="黑体" w:eastAsia="黑体" w:cs="黑体"/>
          <w:sz w:val="32"/>
          <w:szCs w:val="32"/>
          <w:lang w:val="en-US" w:eastAsia="zh-CN"/>
        </w:rPr>
        <w:t>五</w:t>
      </w:r>
      <w:r>
        <w:rPr>
          <w:rFonts w:ascii="黑体" w:hAnsi="黑体" w:eastAsia="黑体" w:cs="黑体"/>
          <w:sz w:val="32"/>
          <w:szCs w:val="32"/>
        </w:rPr>
        <w:t>月</w:t>
      </w:r>
    </w:p>
    <w:p>
      <w:pPr>
        <w:spacing w:line="360" w:lineRule="auto"/>
        <w:rPr>
          <w:rFonts w:ascii="黑体" w:hAnsi="黑体" w:eastAsia="黑体" w:cs="黑体"/>
          <w:sz w:val="30"/>
          <w:szCs w:val="30"/>
        </w:rPr>
        <w:sectPr>
          <w:headerReference r:id="rId5" w:type="first"/>
          <w:footerReference r:id="rId7" w:type="first"/>
          <w:headerReference r:id="rId3" w:type="default"/>
          <w:footerReference r:id="rId6" w:type="default"/>
          <w:headerReference r:id="rId4" w:type="even"/>
          <w:pgSz w:w="11906" w:h="16838"/>
          <w:pgMar w:top="1440" w:right="1800" w:bottom="1440" w:left="1800" w:header="851" w:footer="850" w:gutter="0"/>
          <w:pgNumType w:fmt="upperRoman"/>
          <w:cols w:space="720" w:num="1"/>
          <w:titlePg/>
          <w:docGrid w:type="lines" w:linePitch="312" w:charSpace="0"/>
        </w:sect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r>
        <w:rPr>
          <w:rFonts w:hint="eastAsia" w:ascii="黑体" w:hAnsi="黑体" w:eastAsia="黑体" w:cs="黑体"/>
          <w:sz w:val="30"/>
          <w:szCs w:val="30"/>
        </w:rPr>
        <w:t>项目名称：《</w:t>
      </w:r>
      <w:bookmarkStart w:id="101" w:name="_GoBack"/>
      <w:r>
        <w:rPr>
          <w:rFonts w:hint="eastAsia" w:ascii="黑体" w:hAnsi="黑体" w:eastAsia="黑体" w:cs="黑体"/>
          <w:sz w:val="30"/>
          <w:szCs w:val="30"/>
        </w:rPr>
        <w:t>地表水水质自动监测数据审核技术规范</w:t>
      </w:r>
      <w:bookmarkEnd w:id="101"/>
      <w:r>
        <w:rPr>
          <w:rFonts w:hint="eastAsia" w:ascii="黑体" w:hAnsi="黑体" w:eastAsia="黑体" w:cs="黑体"/>
          <w:sz w:val="30"/>
          <w:szCs w:val="30"/>
        </w:rPr>
        <w:t>》</w:t>
      </w:r>
      <w:r>
        <w:rPr>
          <w:rFonts w:ascii="黑体" w:hAnsi="黑体" w:eastAsia="黑体" w:cs="黑体"/>
          <w:sz w:val="30"/>
          <w:szCs w:val="30"/>
        </w:rPr>
        <w:t>(</w:t>
      </w:r>
      <w:r>
        <w:rPr>
          <w:rFonts w:hint="eastAsia" w:ascii="黑体" w:hAnsi="黑体" w:eastAsia="黑体" w:cs="黑体"/>
          <w:sz w:val="30"/>
          <w:szCs w:val="30"/>
        </w:rPr>
        <w:t>征求意见稿）</w:t>
      </w:r>
    </w:p>
    <w:p>
      <w:pPr>
        <w:pStyle w:val="38"/>
      </w:pPr>
    </w:p>
    <w:p>
      <w:pPr>
        <w:pStyle w:val="38"/>
      </w:pPr>
    </w:p>
    <w:p>
      <w:pPr>
        <w:pStyle w:val="38"/>
        <w:rPr>
          <w:rFonts w:ascii="黑体" w:hAnsi="黑体" w:eastAsia="黑体" w:cs="黑体"/>
          <w:sz w:val="30"/>
          <w:szCs w:val="30"/>
        </w:rPr>
      </w:pPr>
      <w:r>
        <w:rPr>
          <w:rFonts w:hint="eastAsia" w:ascii="黑体" w:hAnsi="黑体" w:eastAsia="黑体" w:cs="黑体"/>
          <w:sz w:val="30"/>
          <w:szCs w:val="30"/>
        </w:rPr>
        <w:t>项目统一编号：SDBXM049-2023</w:t>
      </w:r>
    </w:p>
    <w:p>
      <w:pPr>
        <w:pStyle w:val="38"/>
        <w:rPr>
          <w:rFonts w:ascii="黑体" w:hAnsi="黑体" w:eastAsia="黑体" w:cs="黑体"/>
          <w:sz w:val="30"/>
          <w:szCs w:val="30"/>
        </w:rPr>
      </w:pPr>
    </w:p>
    <w:p>
      <w:pPr>
        <w:pStyle w:val="38"/>
        <w:rPr>
          <w:rFonts w:ascii="黑体" w:hAnsi="黑体" w:eastAsia="黑体" w:cs="黑体"/>
          <w:sz w:val="30"/>
          <w:szCs w:val="30"/>
        </w:rPr>
      </w:pPr>
      <w:r>
        <w:rPr>
          <w:rFonts w:hint="eastAsia" w:ascii="黑体" w:hAnsi="黑体" w:eastAsia="黑体" w:cs="黑体"/>
          <w:sz w:val="30"/>
          <w:szCs w:val="30"/>
        </w:rPr>
        <w:t>承担单位：陕西省环境监测中心站</w:t>
      </w:r>
    </w:p>
    <w:p>
      <w:pPr>
        <w:pStyle w:val="38"/>
        <w:rPr>
          <w:rFonts w:ascii="黑体" w:hAnsi="黑体" w:eastAsia="黑体" w:cs="黑体"/>
          <w:sz w:val="30"/>
          <w:szCs w:val="30"/>
        </w:rPr>
      </w:pPr>
    </w:p>
    <w:p>
      <w:pPr>
        <w:pStyle w:val="38"/>
        <w:ind w:left="2400" w:hanging="2400" w:hangingChars="800"/>
        <w:rPr>
          <w:rFonts w:hint="default" w:ascii="黑体" w:hAnsi="黑体" w:eastAsia="黑体" w:cs="黑体"/>
          <w:sz w:val="30"/>
          <w:szCs w:val="30"/>
          <w:lang w:val="en-US" w:eastAsia="zh-CN"/>
        </w:rPr>
      </w:pPr>
      <w:r>
        <w:rPr>
          <w:rFonts w:hint="eastAsia" w:ascii="黑体" w:hAnsi="黑体" w:eastAsia="黑体" w:cs="黑体"/>
          <w:sz w:val="30"/>
          <w:szCs w:val="30"/>
        </w:rPr>
        <w:t xml:space="preserve">编制组主要成员：黄 艳  张霖琳  马文鹏  杨玉珍  裴晓龙  白立星  杨 瑾  李永庆  任志利 </w:t>
      </w:r>
      <w:r>
        <w:rPr>
          <w:rFonts w:ascii="黑体" w:hAnsi="黑体" w:eastAsia="黑体" w:cs="黑体"/>
          <w:sz w:val="30"/>
          <w:szCs w:val="30"/>
        </w:rPr>
        <w:t xml:space="preserve"> </w:t>
      </w:r>
      <w:r>
        <w:rPr>
          <w:rFonts w:hint="eastAsia" w:ascii="黑体" w:hAnsi="黑体" w:eastAsia="黑体" w:cs="黑体"/>
          <w:sz w:val="30"/>
          <w:szCs w:val="30"/>
        </w:rPr>
        <w:t xml:space="preserve">葛 毅  </w:t>
      </w:r>
      <w:r>
        <w:rPr>
          <w:rFonts w:hint="eastAsia" w:ascii="黑体" w:hAnsi="黑体" w:eastAsia="黑体" w:cs="黑体"/>
          <w:sz w:val="30"/>
          <w:szCs w:val="30"/>
          <w:lang w:val="en-US" w:eastAsia="zh-CN"/>
        </w:rPr>
        <w:t xml:space="preserve">闫宇飞  </w:t>
      </w:r>
      <w:r>
        <w:rPr>
          <w:rFonts w:hint="eastAsia" w:ascii="黑体" w:hAnsi="黑体" w:eastAsia="黑体" w:cs="黑体"/>
          <w:sz w:val="30"/>
          <w:szCs w:val="30"/>
        </w:rPr>
        <w:t>唐志明</w:t>
      </w:r>
      <w:r>
        <w:rPr>
          <w:rFonts w:hint="eastAsia" w:ascii="黑体" w:hAnsi="黑体" w:eastAsia="黑体" w:cs="黑体"/>
          <w:sz w:val="30"/>
          <w:szCs w:val="30"/>
          <w:lang w:val="en-US" w:eastAsia="zh-CN"/>
        </w:rPr>
        <w:t xml:space="preserve">  王坤</w:t>
      </w:r>
    </w:p>
    <w:p>
      <w:pPr>
        <w:pStyle w:val="38"/>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spacing w:line="360" w:lineRule="auto"/>
        <w:rPr>
          <w:rFonts w:ascii="黑体" w:hAnsi="黑体" w:eastAsia="黑体" w:cs="黑体"/>
          <w:sz w:val="30"/>
          <w:szCs w:val="30"/>
        </w:rPr>
      </w:pPr>
    </w:p>
    <w:p>
      <w:pPr>
        <w:pStyle w:val="2"/>
        <w:ind w:left="1"/>
        <w:rPr>
          <w:rFonts w:ascii="Times New Roman" w:hAnsi="Times New Roman"/>
          <w:color w:val="000000"/>
          <w:sz w:val="24"/>
        </w:rPr>
      </w:pPr>
    </w:p>
    <w:p>
      <w:pPr>
        <w:pStyle w:val="2"/>
        <w:ind w:left="1"/>
        <w:rPr>
          <w:rFonts w:ascii="Times New Roman" w:hAnsi="Times New Roman"/>
          <w:color w:val="000000"/>
          <w:sz w:val="24"/>
        </w:rPr>
      </w:pPr>
    </w:p>
    <w:p>
      <w:pPr>
        <w:pStyle w:val="2"/>
        <w:ind w:left="1"/>
        <w:rPr>
          <w:rFonts w:ascii="Times New Roman" w:hAnsi="Times New Roman"/>
          <w:color w:val="000000"/>
          <w:sz w:val="24"/>
        </w:rPr>
      </w:pPr>
    </w:p>
    <w:p>
      <w:pPr>
        <w:spacing w:line="276" w:lineRule="auto"/>
        <w:ind w:firstLine="602" w:firstLineChars="200"/>
        <w:jc w:val="center"/>
        <w:rPr>
          <w:rFonts w:eastAsia="黑体"/>
          <w:b/>
          <w:color w:val="000000"/>
          <w:sz w:val="30"/>
          <w:szCs w:val="30"/>
        </w:rPr>
      </w:pPr>
      <w:r>
        <w:rPr>
          <w:rFonts w:eastAsia="黑体"/>
          <w:b/>
          <w:color w:val="000000"/>
          <w:sz w:val="30"/>
          <w:szCs w:val="30"/>
        </w:rPr>
        <w:t>目  录</w:t>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rPr>
          <w:rStyle w:val="25"/>
          <w:color w:val="000000"/>
        </w:rPr>
        <w:fldChar w:fldCharType="begin"/>
      </w:r>
      <w:r>
        <w:rPr>
          <w:rStyle w:val="25"/>
          <w:caps/>
          <w:color w:val="000000"/>
          <w:kern w:val="0"/>
          <w:szCs w:val="21"/>
        </w:rPr>
        <w:instrText xml:space="preserve"> TOC \o "1-3" \h \z \u </w:instrText>
      </w:r>
      <w:r>
        <w:rPr>
          <w:rStyle w:val="25"/>
          <w:color w:val="000000"/>
        </w:rPr>
        <w:fldChar w:fldCharType="separate"/>
      </w:r>
      <w:r>
        <w:fldChar w:fldCharType="begin"/>
      </w:r>
      <w:r>
        <w:instrText xml:space="preserve"> HYPERLINK \l "_Toc148432446" </w:instrText>
      </w:r>
      <w:r>
        <w:fldChar w:fldCharType="separate"/>
      </w:r>
      <w:r>
        <w:rPr>
          <w:rStyle w:val="25"/>
          <w:rFonts w:ascii="黑体" w:hAnsi="黑体" w:eastAsia="黑体"/>
        </w:rPr>
        <w:t>1 项目背景</w:t>
      </w:r>
      <w:r>
        <w:tab/>
      </w:r>
      <w:r>
        <w:fldChar w:fldCharType="begin"/>
      </w:r>
      <w:r>
        <w:instrText xml:space="preserve"> PAGEREF _Toc148432446 \h </w:instrText>
      </w:r>
      <w:r>
        <w:fldChar w:fldCharType="separate"/>
      </w:r>
      <w:r>
        <w:t>1</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"_Toc148432447" </w:instrText>
      </w:r>
      <w:r>
        <w:fldChar w:fldCharType="separate"/>
      </w:r>
      <w:r>
        <w:rPr>
          <w:rStyle w:val="25"/>
          <w:rFonts w:ascii="楷体_GB2312" w:eastAsia="楷体_GB2312"/>
        </w:rPr>
        <w:t>1.1 任务来源</w:t>
      </w:r>
      <w:r>
        <w:tab/>
      </w:r>
      <w:r>
        <w:fldChar w:fldCharType="begin"/>
      </w:r>
      <w:r>
        <w:instrText xml:space="preserve"> PAGEREF _Toc148432447 \h </w:instrText>
      </w:r>
      <w:r>
        <w:fldChar w:fldCharType="separate"/>
      </w:r>
      <w:r>
        <w:t>1</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"_Toc148432448" </w:instrText>
      </w:r>
      <w:r>
        <w:fldChar w:fldCharType="separate"/>
      </w:r>
      <w:r>
        <w:rPr>
          <w:rStyle w:val="25"/>
          <w:rFonts w:ascii="楷体_GB2312" w:eastAsia="楷体_GB2312"/>
        </w:rPr>
        <w:t>1.2 工作过程</w:t>
      </w:r>
      <w:r>
        <w:tab/>
      </w:r>
      <w:r>
        <w:fldChar w:fldCharType="begin"/>
      </w:r>
      <w:r>
        <w:instrText xml:space="preserve"> PAGEREF _Toc148432448 \h </w:instrText>
      </w:r>
      <w:r>
        <w:fldChar w:fldCharType="separate"/>
      </w:r>
      <w:r>
        <w:t>1</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"_Toc148432449" </w:instrText>
      </w:r>
      <w:r>
        <w:fldChar w:fldCharType="separate"/>
      </w:r>
      <w:r>
        <w:rPr>
          <w:rStyle w:val="25"/>
          <w:rFonts w:ascii="黑体" w:hAnsi="黑体" w:eastAsia="黑体"/>
        </w:rPr>
        <w:t>2 标准制修订的必要性分析</w:t>
      </w:r>
      <w:r>
        <w:tab/>
      </w:r>
      <w:r>
        <w:fldChar w:fldCharType="begin"/>
      </w:r>
      <w:r>
        <w:instrText xml:space="preserve"> PAGEREF _Toc148432449 \h </w:instrText>
      </w:r>
      <w:r>
        <w:fldChar w:fldCharType="separate"/>
      </w:r>
      <w:r>
        <w:t>1</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"_Toc148432450" </w:instrText>
      </w:r>
      <w:r>
        <w:fldChar w:fldCharType="separate"/>
      </w:r>
      <w:r>
        <w:rPr>
          <w:rStyle w:val="25"/>
          <w:rFonts w:ascii="楷体_GB2312" w:eastAsia="楷体_GB2312"/>
        </w:rPr>
        <w:t>2.1地表水水质自动监测数据审核质量现状</w:t>
      </w:r>
      <w:r>
        <w:tab/>
      </w:r>
      <w:r>
        <w:fldChar w:fldCharType="begin"/>
      </w:r>
      <w:r>
        <w:instrText xml:space="preserve"> PAGEREF _Toc148432450 \h </w:instrText>
      </w:r>
      <w:r>
        <w:fldChar w:fldCharType="separate"/>
      </w:r>
      <w:r>
        <w:t>1</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"_Toc148432451" </w:instrText>
      </w:r>
      <w:r>
        <w:fldChar w:fldCharType="separate"/>
      </w:r>
      <w:r>
        <w:rPr>
          <w:rStyle w:val="25"/>
          <w:rFonts w:ascii="楷体_GB2312" w:eastAsia="楷体_GB2312"/>
        </w:rPr>
        <w:t>2.2影响自动监测数据有效性的原因</w:t>
      </w:r>
      <w:r>
        <w:tab/>
      </w:r>
      <w:r>
        <w:fldChar w:fldCharType="begin"/>
      </w:r>
      <w:r>
        <w:instrText xml:space="preserve"> PAGEREF _Toc148432451 \h </w:instrText>
      </w:r>
      <w:r>
        <w:fldChar w:fldCharType="separate"/>
      </w:r>
      <w:r>
        <w:t>2</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"_Toc148432452" </w:instrText>
      </w:r>
      <w:r>
        <w:fldChar w:fldCharType="separate"/>
      </w:r>
      <w:r>
        <w:rPr>
          <w:rStyle w:val="25"/>
          <w:rFonts w:ascii="楷体_GB2312" w:eastAsia="楷体_GB2312"/>
        </w:rPr>
        <w:t>2.3地表水水质自动监测质量监督</w:t>
      </w:r>
      <w:r>
        <w:tab/>
      </w:r>
      <w:r>
        <w:fldChar w:fldCharType="begin"/>
      </w:r>
      <w:r>
        <w:instrText xml:space="preserve"> PAGEREF _Toc148432452 \h </w:instrText>
      </w:r>
      <w:r>
        <w:fldChar w:fldCharType="separate"/>
      </w:r>
      <w:r>
        <w:t>2</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"_Toc148432453" </w:instrText>
      </w:r>
      <w:r>
        <w:fldChar w:fldCharType="separate"/>
      </w:r>
      <w:r>
        <w:rPr>
          <w:rStyle w:val="25"/>
          <w:rFonts w:ascii="黑体" w:hAnsi="黑体" w:eastAsia="黑体"/>
        </w:rPr>
        <w:t>3 标准制修订的依据与原则</w:t>
      </w:r>
      <w:r>
        <w:tab/>
      </w:r>
      <w:r>
        <w:fldChar w:fldCharType="begin"/>
      </w:r>
      <w:r>
        <w:instrText xml:space="preserve"> PAGEREF _Toc148432453 \h </w:instrText>
      </w:r>
      <w:r>
        <w:fldChar w:fldCharType="separate"/>
      </w:r>
      <w:r>
        <w:t>3</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"_Toc148432454" </w:instrText>
      </w:r>
      <w:r>
        <w:fldChar w:fldCharType="separate"/>
      </w:r>
      <w:r>
        <w:rPr>
          <w:rStyle w:val="25"/>
          <w:rFonts w:ascii="楷体_GB2312" w:eastAsia="楷体_GB2312"/>
        </w:rPr>
        <w:t>3.1 标准制修订的依据</w:t>
      </w:r>
      <w:r>
        <w:tab/>
      </w:r>
      <w:r>
        <w:fldChar w:fldCharType="begin"/>
      </w:r>
      <w:r>
        <w:instrText xml:space="preserve"> PAGEREF _Toc148432454 \h </w:instrText>
      </w:r>
      <w:r>
        <w:fldChar w:fldCharType="separate"/>
      </w:r>
      <w:r>
        <w:t>3</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"_Toc148432455" </w:instrText>
      </w:r>
      <w:r>
        <w:fldChar w:fldCharType="separate"/>
      </w:r>
      <w:r>
        <w:rPr>
          <w:rStyle w:val="25"/>
          <w:rFonts w:ascii="楷体_GB2312" w:eastAsia="楷体_GB2312"/>
        </w:rPr>
        <w:t>3.2 标准编制的原则</w:t>
      </w:r>
      <w:r>
        <w:tab/>
      </w:r>
      <w:r>
        <w:fldChar w:fldCharType="begin"/>
      </w:r>
      <w:r>
        <w:instrText xml:space="preserve"> PAGEREF _Toc148432455 \h </w:instrText>
      </w:r>
      <w:r>
        <w:fldChar w:fldCharType="separate"/>
      </w:r>
      <w:r>
        <w:t>4</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"_Toc148432456" </w:instrText>
      </w:r>
      <w:r>
        <w:fldChar w:fldCharType="separate"/>
      </w:r>
      <w:r>
        <w:rPr>
          <w:rStyle w:val="25"/>
          <w:rFonts w:ascii="黑体" w:hAnsi="黑体" w:eastAsia="黑体"/>
        </w:rPr>
        <w:t>4 标准主要技术内容</w:t>
      </w:r>
      <w:r>
        <w:tab/>
      </w:r>
      <w:r>
        <w:fldChar w:fldCharType="begin"/>
      </w:r>
      <w:r>
        <w:instrText xml:space="preserve"> PAGEREF _Toc148432456 \h </w:instrText>
      </w:r>
      <w:r>
        <w:fldChar w:fldCharType="separate"/>
      </w:r>
      <w:r>
        <w:t>4</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"_Toc148432457" </w:instrText>
      </w:r>
      <w:r>
        <w:fldChar w:fldCharType="separate"/>
      </w:r>
      <w:r>
        <w:rPr>
          <w:rStyle w:val="25"/>
          <w:rFonts w:ascii="楷体_GB2312" w:eastAsia="楷体_GB2312"/>
        </w:rPr>
        <w:t>4.1 标准适用范围</w:t>
      </w:r>
      <w:r>
        <w:tab/>
      </w:r>
      <w:r>
        <w:fldChar w:fldCharType="begin"/>
      </w:r>
      <w:r>
        <w:instrText xml:space="preserve"> PAGEREF _Toc148432457 \h </w:instrText>
      </w:r>
      <w:r>
        <w:fldChar w:fldCharType="separate"/>
      </w:r>
      <w:r>
        <w:t>4</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"_Toc148432458" </w:instrText>
      </w:r>
      <w:r>
        <w:fldChar w:fldCharType="separate"/>
      </w:r>
      <w:r>
        <w:rPr>
          <w:rStyle w:val="25"/>
          <w:rFonts w:ascii="楷体_GB2312" w:eastAsia="楷体_GB2312"/>
        </w:rPr>
        <w:t>4.2 术语和定义</w:t>
      </w:r>
      <w:r>
        <w:tab/>
      </w:r>
      <w:r>
        <w:fldChar w:fldCharType="begin"/>
      </w:r>
      <w:r>
        <w:instrText xml:space="preserve"> PAGEREF _Toc148432458 \h </w:instrText>
      </w:r>
      <w:r>
        <w:fldChar w:fldCharType="separate"/>
      </w:r>
      <w:r>
        <w:t>5</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"_Toc148432459" </w:instrText>
      </w:r>
      <w:r>
        <w:fldChar w:fldCharType="separate"/>
      </w:r>
      <w:r>
        <w:rPr>
          <w:rStyle w:val="25"/>
          <w:rFonts w:ascii="楷体_GB2312" w:eastAsia="楷体_GB2312"/>
        </w:rPr>
        <w:t>4.3 技术路线</w:t>
      </w:r>
      <w:r>
        <w:tab/>
      </w:r>
      <w:r>
        <w:fldChar w:fldCharType="begin"/>
      </w:r>
      <w:r>
        <w:instrText xml:space="preserve"> PAGEREF _Toc148432459 \h </w:instrText>
      </w:r>
      <w:r>
        <w:fldChar w:fldCharType="separate"/>
      </w:r>
      <w:r>
        <w:t>6</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"_Toc148432460" </w:instrText>
      </w:r>
      <w:r>
        <w:fldChar w:fldCharType="separate"/>
      </w:r>
      <w:r>
        <w:rPr>
          <w:rStyle w:val="25"/>
          <w:rFonts w:ascii="楷体_GB2312" w:eastAsia="楷体_GB2312"/>
        </w:rPr>
        <w:t>4.4 审核内容</w:t>
      </w:r>
      <w:r>
        <w:tab/>
      </w:r>
      <w:r>
        <w:fldChar w:fldCharType="begin"/>
      </w:r>
      <w:r>
        <w:instrText xml:space="preserve"> PAGEREF _Toc148432460 \h </w:instrText>
      </w:r>
      <w:r>
        <w:fldChar w:fldCharType="separate"/>
      </w:r>
      <w:r>
        <w:t>7</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"_Toc148432461" </w:instrText>
      </w:r>
      <w:r>
        <w:fldChar w:fldCharType="separate"/>
      </w:r>
      <w:r>
        <w:rPr>
          <w:rStyle w:val="25"/>
          <w:rFonts w:ascii="楷体_GB2312" w:eastAsia="楷体_GB2312"/>
        </w:rPr>
        <w:t>4.5 审核流程</w:t>
      </w:r>
      <w:r>
        <w:tab/>
      </w:r>
      <w:r>
        <w:fldChar w:fldCharType="begin"/>
      </w:r>
      <w:r>
        <w:instrText xml:space="preserve"> PAGEREF _Toc148432461 \h </w:instrText>
      </w:r>
      <w:r>
        <w:fldChar w:fldCharType="separate"/>
      </w:r>
      <w:r>
        <w:t>8</w:t>
      </w:r>
      <w:r>
        <w:fldChar w:fldCharType="end"/>
      </w:r>
      <w:r>
        <w:fldChar w:fldCharType="end"/>
      </w:r>
    </w:p>
    <w:p>
      <w:pPr>
        <w:pStyle w:val="10"/>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"_Toc148432462" </w:instrText>
      </w:r>
      <w:r>
        <w:fldChar w:fldCharType="separate"/>
      </w:r>
      <w:r>
        <w:rPr>
          <w:rStyle w:val="25"/>
          <w:rFonts w:eastAsia="仿宋_GB2312"/>
        </w:rPr>
        <w:t>4.5.1初审</w:t>
      </w:r>
      <w:r>
        <w:tab/>
      </w:r>
      <w:r>
        <w:fldChar w:fldCharType="begin"/>
      </w:r>
      <w:r>
        <w:instrText xml:space="preserve"> PAGEREF _Toc148432462 \h </w:instrText>
      </w:r>
      <w:r>
        <w:fldChar w:fldCharType="separate"/>
      </w:r>
      <w:r>
        <w:t>9</w:t>
      </w:r>
      <w:r>
        <w:fldChar w:fldCharType="end"/>
      </w:r>
      <w:r>
        <w:fldChar w:fldCharType="end"/>
      </w:r>
    </w:p>
    <w:p>
      <w:pPr>
        <w:pStyle w:val="10"/>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"_Toc148432463" </w:instrText>
      </w:r>
      <w:r>
        <w:fldChar w:fldCharType="separate"/>
      </w:r>
      <w:r>
        <w:rPr>
          <w:rStyle w:val="25"/>
          <w:rFonts w:eastAsia="仿宋_GB2312"/>
        </w:rPr>
        <w:t>4.5.2复审</w:t>
      </w:r>
      <w:r>
        <w:tab/>
      </w:r>
      <w:r>
        <w:fldChar w:fldCharType="begin"/>
      </w:r>
      <w:r>
        <w:instrText xml:space="preserve"> PAGEREF _Toc148432463 \h </w:instrText>
      </w:r>
      <w:r>
        <w:fldChar w:fldCharType="separate"/>
      </w:r>
      <w:r>
        <w:t>10</w:t>
      </w:r>
      <w:r>
        <w:fldChar w:fldCharType="end"/>
      </w:r>
      <w:r>
        <w:fldChar w:fldCharType="end"/>
      </w:r>
    </w:p>
    <w:p>
      <w:pPr>
        <w:pStyle w:val="10"/>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"_Toc148432464" </w:instrText>
      </w:r>
      <w:r>
        <w:fldChar w:fldCharType="separate"/>
      </w:r>
      <w:r>
        <w:rPr>
          <w:rStyle w:val="25"/>
          <w:rFonts w:eastAsia="仿宋_GB2312"/>
        </w:rPr>
        <w:t>4.5.3终审</w:t>
      </w:r>
      <w:r>
        <w:tab/>
      </w:r>
      <w:r>
        <w:fldChar w:fldCharType="begin"/>
      </w:r>
      <w:r>
        <w:instrText xml:space="preserve"> PAGEREF _Toc148432464 \h </w:instrText>
      </w:r>
      <w:r>
        <w:fldChar w:fldCharType="separate"/>
      </w:r>
      <w:r>
        <w:t>10</w:t>
      </w:r>
      <w:r>
        <w:fldChar w:fldCharType="end"/>
      </w:r>
      <w:r>
        <w:fldChar w:fldCharType="end"/>
      </w:r>
    </w:p>
    <w:p>
      <w:pPr>
        <w:pStyle w:val="10"/>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"_Toc148432465" </w:instrText>
      </w:r>
      <w:r>
        <w:fldChar w:fldCharType="separate"/>
      </w:r>
      <w:r>
        <w:rPr>
          <w:rStyle w:val="25"/>
          <w:rFonts w:eastAsia="仿宋_GB2312"/>
        </w:rPr>
        <w:t>4.5.4审核细则</w:t>
      </w:r>
      <w:r>
        <w:tab/>
      </w:r>
      <w:r>
        <w:fldChar w:fldCharType="begin"/>
      </w:r>
      <w:r>
        <w:instrText xml:space="preserve"> PAGEREF _Toc148432465 \h </w:instrText>
      </w:r>
      <w:r>
        <w:fldChar w:fldCharType="separate"/>
      </w:r>
      <w:r>
        <w:t>10</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"_Toc148432466" </w:instrText>
      </w:r>
      <w:r>
        <w:fldChar w:fldCharType="separate"/>
      </w:r>
      <w:r>
        <w:rPr>
          <w:rStyle w:val="25"/>
          <w:rFonts w:ascii="楷体_GB2312" w:eastAsia="楷体_GB2312"/>
        </w:rPr>
        <w:t>4.6 异常数据认定</w:t>
      </w:r>
      <w:r>
        <w:tab/>
      </w:r>
      <w:r>
        <w:fldChar w:fldCharType="begin"/>
      </w:r>
      <w:r>
        <w:instrText xml:space="preserve"> PAGEREF _Toc148432466 \h </w:instrText>
      </w:r>
      <w:r>
        <w:fldChar w:fldCharType="separate"/>
      </w:r>
      <w:r>
        <w:t>12</w:t>
      </w:r>
      <w:r>
        <w:fldChar w:fldCharType="end"/>
      </w:r>
      <w:r>
        <w:fldChar w:fldCharType="end"/>
      </w:r>
    </w:p>
    <w:p>
      <w:pPr>
        <w:pStyle w:val="16"/>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"_Toc148432467" </w:instrText>
      </w:r>
      <w:r>
        <w:fldChar w:fldCharType="separate"/>
      </w:r>
      <w:r>
        <w:rPr>
          <w:rStyle w:val="25"/>
          <w:rFonts w:ascii="楷体_GB2312" w:eastAsia="楷体_GB2312"/>
        </w:rPr>
        <w:t>4.7 质量监督</w:t>
      </w:r>
      <w:r>
        <w:tab/>
      </w:r>
      <w:r>
        <w:fldChar w:fldCharType="begin"/>
      </w:r>
      <w:r>
        <w:instrText xml:space="preserve"> PAGEREF _Toc148432467 \h </w:instrText>
      </w:r>
      <w:r>
        <w:fldChar w:fldCharType="separate"/>
      </w:r>
      <w:r>
        <w:t>13</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"_Toc148432468" </w:instrText>
      </w:r>
      <w:r>
        <w:fldChar w:fldCharType="separate"/>
      </w:r>
      <w:r>
        <w:rPr>
          <w:rStyle w:val="25"/>
          <w:rFonts w:ascii="黑体" w:hAnsi="黑体" w:eastAsia="黑体"/>
        </w:rPr>
        <w:t>5 重大意见分歧及处理结果</w:t>
      </w:r>
      <w:r>
        <w:tab/>
      </w:r>
      <w:r>
        <w:fldChar w:fldCharType="begin"/>
      </w:r>
      <w:r>
        <w:instrText xml:space="preserve"> PAGEREF _Toc148432468 \h </w:instrText>
      </w:r>
      <w:r>
        <w:fldChar w:fldCharType="separate"/>
      </w:r>
      <w:r>
        <w:t>15</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"_Toc148432469" </w:instrText>
      </w:r>
      <w:r>
        <w:fldChar w:fldCharType="separate"/>
      </w:r>
      <w:r>
        <w:rPr>
          <w:rStyle w:val="25"/>
          <w:rFonts w:ascii="黑体" w:hAnsi="黑体" w:eastAsia="黑体"/>
        </w:rPr>
        <w:t>6 对实施本标准的建议</w:t>
      </w:r>
      <w:r>
        <w:tab/>
      </w:r>
      <w:r>
        <w:fldChar w:fldCharType="begin"/>
      </w:r>
      <w:r>
        <w:instrText xml:space="preserve"> PAGEREF _Toc148432469 \h </w:instrText>
      </w:r>
      <w:r>
        <w:fldChar w:fldCharType="separate"/>
      </w:r>
      <w:r>
        <w:t>15</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"_Toc148432470" </w:instrText>
      </w:r>
      <w:r>
        <w:fldChar w:fldCharType="separate"/>
      </w:r>
      <w:r>
        <w:rPr>
          <w:rStyle w:val="25"/>
          <w:rFonts w:ascii="黑体" w:hAnsi="黑体" w:eastAsia="黑体"/>
        </w:rPr>
        <w:t>7 标准性质的建议说明（推荐性标准还是强制性标准）</w:t>
      </w:r>
      <w:r>
        <w:tab/>
      </w:r>
      <w:r>
        <w:fldChar w:fldCharType="begin"/>
      </w:r>
      <w:r>
        <w:instrText xml:space="preserve"> PAGEREF _Toc148432470 \h </w:instrText>
      </w:r>
      <w:r>
        <w:fldChar w:fldCharType="separate"/>
      </w:r>
      <w:r>
        <w:t>15</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"_Toc148432471" </w:instrText>
      </w:r>
      <w:r>
        <w:fldChar w:fldCharType="separate"/>
      </w:r>
      <w:r>
        <w:rPr>
          <w:rStyle w:val="25"/>
          <w:rFonts w:ascii="黑体" w:hAnsi="黑体" w:eastAsia="黑体"/>
        </w:rPr>
        <w:t>8 其它应予以说明的事项</w:t>
      </w:r>
      <w:r>
        <w:tab/>
      </w:r>
      <w:r>
        <w:fldChar w:fldCharType="begin"/>
      </w:r>
      <w:r>
        <w:instrText xml:space="preserve"> PAGEREF _Toc148432471 \h </w:instrText>
      </w:r>
      <w:r>
        <w:fldChar w:fldCharType="separate"/>
      </w:r>
      <w:r>
        <w:t>15</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"_Toc148432472" </w:instrText>
      </w:r>
      <w:r>
        <w:fldChar w:fldCharType="separate"/>
      </w:r>
      <w:r>
        <w:rPr>
          <w:rStyle w:val="25"/>
          <w:rFonts w:eastAsia="黑体"/>
        </w:rPr>
        <w:t>附录A平台数据审核标识</w:t>
      </w:r>
      <w:r>
        <w:tab/>
      </w:r>
      <w:r>
        <w:fldChar w:fldCharType="begin"/>
      </w:r>
      <w:r>
        <w:instrText xml:space="preserve"> PAGEREF _Toc148432472 \h </w:instrText>
      </w:r>
      <w:r>
        <w:fldChar w:fldCharType="separate"/>
      </w:r>
      <w:r>
        <w:t>16</w:t>
      </w:r>
      <w:r>
        <w:fldChar w:fldCharType="end"/>
      </w:r>
      <w:r>
        <w:fldChar w:fldCharType="end"/>
      </w:r>
    </w:p>
    <w:p>
      <w:pPr>
        <w:pStyle w:val="15"/>
        <w:tabs>
          <w:tab w:val="right" w:leader="middleDot" w:pos="8296"/>
        </w:tabs>
        <w:spacing w:line="312" w:lineRule="auto"/>
        <w:rPr>
          <w:rFonts w:asciiTheme="minorHAnsi" w:hAnsiTheme="minorHAnsi" w:eastAsiaTheme="minorEastAsia" w:cstheme="minorBidi"/>
          <w:szCs w:val="22"/>
          <w14:ligatures w14:val="standardContextual"/>
        </w:rPr>
      </w:pPr>
      <w:r>
        <w:fldChar w:fldCharType="begin"/>
      </w:r>
      <w:r>
        <w:instrText xml:space="preserve"> HYPERLINK \l "_Toc148432473" </w:instrText>
      </w:r>
      <w:r>
        <w:fldChar w:fldCharType="separate"/>
      </w:r>
      <w:r>
        <w:rPr>
          <w:rStyle w:val="25"/>
          <w:rFonts w:eastAsia="黑体"/>
        </w:rPr>
        <w:t>附录B质控措施技术要求</w:t>
      </w:r>
      <w:r>
        <w:tab/>
      </w:r>
      <w:r>
        <w:fldChar w:fldCharType="begin"/>
      </w:r>
      <w:r>
        <w:instrText xml:space="preserve"> PAGEREF _Toc148432473 \h </w:instrText>
      </w:r>
      <w:r>
        <w:fldChar w:fldCharType="separate"/>
      </w:r>
      <w:r>
        <w:t>17</w:t>
      </w:r>
      <w:r>
        <w:fldChar w:fldCharType="end"/>
      </w:r>
      <w:r>
        <w:fldChar w:fldCharType="end"/>
      </w:r>
    </w:p>
    <w:p>
      <w:pPr>
        <w:pStyle w:val="15"/>
        <w:tabs>
          <w:tab w:val="left" w:pos="560"/>
          <w:tab w:val="right" w:leader="dot" w:pos="8296"/>
        </w:tabs>
        <w:spacing w:before="93" w:beforeLines="30" w:after="93" w:afterLines="30" w:line="360" w:lineRule="exact"/>
        <w:rPr>
          <w:rStyle w:val="25"/>
          <w:caps/>
          <w:color w:val="000000"/>
          <w:kern w:val="0"/>
          <w:szCs w:val="21"/>
        </w:rPr>
        <w:sectPr>
          <w:footerReference r:id="rId10" w:type="first"/>
          <w:footerReference r:id="rId8" w:type="default"/>
          <w:footerReference r:id="rId9" w:type="even"/>
          <w:pgSz w:w="11906" w:h="16838"/>
          <w:pgMar w:top="1440" w:right="1800" w:bottom="1440" w:left="1800" w:header="851" w:footer="850" w:gutter="0"/>
          <w:pgNumType w:fmt="upperRoman" w:start="1"/>
          <w:cols w:space="720" w:num="1"/>
          <w:docGrid w:type="lines" w:linePitch="312" w:charSpace="0"/>
        </w:sectPr>
      </w:pPr>
      <w:r>
        <w:rPr>
          <w:caps/>
          <w:color w:val="000000"/>
          <w:kern w:val="0"/>
          <w:szCs w:val="21"/>
        </w:rPr>
        <w:fldChar w:fldCharType="end"/>
      </w:r>
      <w:bookmarkStart w:id="0" w:name="_Toc121123282"/>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1" w:name="_Toc239236643"/>
      <w:bookmarkStart w:id="2" w:name="_Toc148432446"/>
      <w:bookmarkStart w:id="3" w:name="_Toc198631169"/>
      <w:r>
        <w:rPr>
          <w:rFonts w:ascii="黑体" w:hAnsi="黑体" w:eastAsia="黑体"/>
          <w:b w:val="0"/>
          <w:bCs w:val="0"/>
          <w:color w:val="000000"/>
          <w:kern w:val="2"/>
          <w:sz w:val="32"/>
          <w:szCs w:val="32"/>
        </w:rPr>
        <w:t>1 项目背景</w:t>
      </w:r>
      <w:bookmarkEnd w:id="1"/>
      <w:bookmarkEnd w:id="2"/>
    </w:p>
    <w:p>
      <w:pPr>
        <w:spacing w:before="156" w:beforeLines="50" w:after="156" w:afterLines="50" w:line="594" w:lineRule="exact"/>
        <w:outlineLvl w:val="1"/>
        <w:rPr>
          <w:rFonts w:ascii="楷体_GB2312" w:eastAsia="楷体_GB2312"/>
          <w:sz w:val="32"/>
          <w:szCs w:val="32"/>
        </w:rPr>
      </w:pPr>
      <w:bookmarkStart w:id="4" w:name="_Toc239236644"/>
      <w:bookmarkStart w:id="5" w:name="_Toc148432447"/>
      <w:r>
        <w:rPr>
          <w:rFonts w:hint="eastAsia" w:ascii="楷体_GB2312" w:eastAsia="楷体_GB2312"/>
          <w:sz w:val="32"/>
          <w:szCs w:val="32"/>
        </w:rPr>
        <w:t>1.1 任务来源</w:t>
      </w:r>
      <w:bookmarkEnd w:id="3"/>
      <w:bookmarkEnd w:id="4"/>
      <w:bookmarkEnd w:id="5"/>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2023年5月，根据陕西省市场监督管理局《关于下达2023年度陕西省地方标准制修订项目计划的通知》（陕市监函〔2023〕410号），下达了《地表水水质自动监测数据审核技术规范》标准制修订项目任务，项目统一编号为SDBXM049-2023。项目承担单位：陕西省环境监测中心站及力合科技（湖南）股份有限公司。</w:t>
      </w:r>
    </w:p>
    <w:p>
      <w:pPr>
        <w:spacing w:before="156" w:beforeLines="50" w:after="156" w:afterLines="50" w:line="594" w:lineRule="exact"/>
        <w:outlineLvl w:val="1"/>
        <w:rPr>
          <w:rFonts w:ascii="楷体_GB2312" w:eastAsia="楷体_GB2312"/>
          <w:sz w:val="32"/>
          <w:szCs w:val="32"/>
        </w:rPr>
      </w:pPr>
      <w:bookmarkStart w:id="6" w:name="_Toc148432448"/>
      <w:bookmarkStart w:id="7" w:name="_Toc239236645"/>
      <w:r>
        <w:rPr>
          <w:rFonts w:ascii="楷体_GB2312" w:eastAsia="楷体_GB2312"/>
          <w:sz w:val="32"/>
          <w:szCs w:val="32"/>
        </w:rPr>
        <w:t>1.2 工作过程</w:t>
      </w:r>
      <w:bookmarkEnd w:id="6"/>
      <w:bookmarkEnd w:id="7"/>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2023年5月，陕西省环境监测中心站接到此项标准制修订任务后，立即成立了由我站水环境监测室及力合科技（湖南）股份有限公司组成的标准编制组，承担此项标准的研究制定工作。</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2023年5月，编制组完成了资料收集、工作调研，编制目的及编制大纲的编写。</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2023年6月，完成了标准初稿的编写工作。</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2023年</w:t>
      </w:r>
      <w:r>
        <w:rPr>
          <w:rFonts w:hint="eastAsia" w:ascii="Times New Roman" w:hAnsi="Times New Roman" w:eastAsia="仿宋_GB2312"/>
          <w:color w:val="000000"/>
          <w:sz w:val="28"/>
          <w:szCs w:val="28"/>
          <w:lang w:val="en-US" w:eastAsia="zh-CN"/>
        </w:rPr>
        <w:t>8</w:t>
      </w:r>
      <w:r>
        <w:rPr>
          <w:rFonts w:ascii="Times New Roman" w:hAnsi="Times New Roman" w:eastAsia="仿宋_GB2312"/>
          <w:color w:val="000000"/>
          <w:sz w:val="28"/>
          <w:szCs w:val="28"/>
        </w:rPr>
        <w:t>月，计划召开标准技术审查会，根据专家提出的意见对标准文本及编制说明进行修改。</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202</w:t>
      </w:r>
      <w:r>
        <w:rPr>
          <w:rFonts w:hint="eastAsia" w:ascii="Times New Roman" w:hAnsi="Times New Roman" w:eastAsia="仿宋_GB2312"/>
          <w:color w:val="000000"/>
          <w:sz w:val="28"/>
          <w:szCs w:val="28"/>
          <w:lang w:val="en-US" w:eastAsia="zh-CN"/>
        </w:rPr>
        <w:t>4</w:t>
      </w:r>
      <w:r>
        <w:rPr>
          <w:rFonts w:ascii="Times New Roman" w:hAnsi="Times New Roman" w:eastAsia="仿宋_GB2312"/>
          <w:color w:val="000000"/>
          <w:sz w:val="28"/>
          <w:szCs w:val="28"/>
        </w:rPr>
        <w:t>年</w:t>
      </w: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rPr>
        <w:t>月，计划由省厅向各地市生态环境局印发关于标准征求意见的函，同时在厅网站进行广泛征集意见。</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202</w:t>
      </w:r>
      <w:r>
        <w:rPr>
          <w:rFonts w:hint="eastAsia" w:ascii="Times New Roman" w:hAnsi="Times New Roman" w:eastAsia="仿宋_GB2312"/>
          <w:color w:val="000000"/>
          <w:sz w:val="28"/>
          <w:szCs w:val="28"/>
          <w:lang w:val="en-US" w:eastAsia="zh-CN"/>
        </w:rPr>
        <w:t>4</w:t>
      </w:r>
      <w:r>
        <w:rPr>
          <w:rFonts w:ascii="Times New Roman" w:hAnsi="Times New Roman" w:eastAsia="仿宋_GB2312"/>
          <w:color w:val="000000"/>
          <w:sz w:val="28"/>
          <w:szCs w:val="28"/>
        </w:rPr>
        <w:t>年</w:t>
      </w:r>
      <w:r>
        <w:rPr>
          <w:rFonts w:hint="eastAsia" w:ascii="Times New Roman" w:hAnsi="Times New Roman" w:eastAsia="仿宋_GB2312"/>
          <w:color w:val="000000"/>
          <w:sz w:val="28"/>
          <w:szCs w:val="28"/>
          <w:lang w:val="en-US" w:eastAsia="zh-CN"/>
        </w:rPr>
        <w:t>2</w:t>
      </w:r>
      <w:r>
        <w:rPr>
          <w:rFonts w:ascii="Times New Roman" w:hAnsi="Times New Roman" w:eastAsia="仿宋_GB2312"/>
          <w:color w:val="000000"/>
          <w:sz w:val="28"/>
          <w:szCs w:val="28"/>
        </w:rPr>
        <w:t>月，计划根据收到的反馈意见和建议进行修改，形成送审稿，交由省市场监督管理局联合省生态环境厅召开标准审查。</w:t>
      </w:r>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8" w:name="_Toc198631173"/>
      <w:bookmarkStart w:id="9" w:name="_Toc148432449"/>
      <w:bookmarkStart w:id="10" w:name="_Toc239236646"/>
      <w:r>
        <w:rPr>
          <w:rFonts w:ascii="黑体" w:hAnsi="黑体" w:eastAsia="黑体"/>
          <w:b w:val="0"/>
          <w:bCs w:val="0"/>
          <w:color w:val="000000"/>
          <w:kern w:val="2"/>
          <w:sz w:val="32"/>
          <w:szCs w:val="32"/>
        </w:rPr>
        <w:t>2 标准制修订的必要性</w:t>
      </w:r>
      <w:bookmarkEnd w:id="8"/>
      <w:r>
        <w:rPr>
          <w:rFonts w:ascii="黑体" w:hAnsi="黑体" w:eastAsia="黑体"/>
          <w:b w:val="0"/>
          <w:bCs w:val="0"/>
          <w:color w:val="000000"/>
          <w:kern w:val="2"/>
          <w:sz w:val="32"/>
          <w:szCs w:val="32"/>
        </w:rPr>
        <w:t>分析</w:t>
      </w:r>
      <w:bookmarkEnd w:id="9"/>
      <w:bookmarkEnd w:id="10"/>
    </w:p>
    <w:p>
      <w:pPr>
        <w:spacing w:before="156" w:beforeLines="50" w:after="156" w:afterLines="50" w:line="594" w:lineRule="exact"/>
        <w:outlineLvl w:val="1"/>
        <w:rPr>
          <w:rFonts w:ascii="楷体_GB2312" w:eastAsia="楷体_GB2312"/>
          <w:sz w:val="32"/>
          <w:szCs w:val="32"/>
        </w:rPr>
      </w:pPr>
      <w:bookmarkStart w:id="11" w:name="_Toc148432450"/>
      <w:r>
        <w:rPr>
          <w:rFonts w:ascii="楷体_GB2312" w:eastAsia="楷体_GB2312"/>
          <w:sz w:val="32"/>
          <w:szCs w:val="32"/>
        </w:rPr>
        <w:t>2.1地表水水质自动监测数据审核质量现状</w:t>
      </w:r>
      <w:bookmarkEnd w:id="11"/>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目前陕西省建设地表水水质自动监测国控水站46个，省控水站41个，市控水站52个，监测项目除常规五参数水温、pH、溶解氧、浊度、电导率和高锰酸盐指数、氨氮、总磷、总氮以外，部分水站还增加了重金属等特征污染物的监测；监测频次为常规五参数每小时一次，其余四参数每4小时一次，每日每个站至少产生144个数据，国控水站数据审核已形成运维单位（初审）、省级监测站（复审）、监测总站（终审）的三级审核制度，省、市控水质数据审核目前由第三方质控机构负责审核，</w:t>
      </w:r>
      <w:r>
        <w:rPr>
          <w:rFonts w:hint="eastAsia" w:ascii="Times New Roman" w:hAnsi="Times New Roman" w:eastAsia="仿宋_GB2312"/>
          <w:color w:val="000000"/>
          <w:sz w:val="28"/>
          <w:szCs w:val="28"/>
        </w:rPr>
        <w:t>存在审核不规范、流程不统一等问题，</w:t>
      </w:r>
      <w:r>
        <w:rPr>
          <w:rFonts w:ascii="Times New Roman" w:hAnsi="Times New Roman" w:eastAsia="仿宋_GB2312"/>
          <w:color w:val="000000"/>
          <w:sz w:val="28"/>
          <w:szCs w:val="28"/>
        </w:rPr>
        <w:t>为确保自动监测数据真实、可靠，提升自动监测数据质量，规范数据审核流程，因此，迫切需要制订具有操作性和指导意义的地表水水质自动监测站数据审核技术规范。</w:t>
      </w:r>
    </w:p>
    <w:p>
      <w:pPr>
        <w:spacing w:before="156" w:beforeLines="50" w:after="156" w:afterLines="50" w:line="594" w:lineRule="exact"/>
        <w:outlineLvl w:val="1"/>
        <w:rPr>
          <w:rFonts w:ascii="楷体_GB2312" w:eastAsia="楷体_GB2312"/>
          <w:sz w:val="32"/>
          <w:szCs w:val="32"/>
        </w:rPr>
      </w:pPr>
      <w:bookmarkStart w:id="12" w:name="_Toc148432451"/>
      <w:r>
        <w:rPr>
          <w:rFonts w:ascii="楷体_GB2312" w:eastAsia="楷体_GB2312"/>
          <w:sz w:val="32"/>
          <w:szCs w:val="32"/>
        </w:rPr>
        <w:t>2</w:t>
      </w:r>
      <w:r>
        <w:rPr>
          <w:rFonts w:hint="eastAsia" w:ascii="楷体_GB2312" w:eastAsia="楷体_GB2312"/>
          <w:sz w:val="32"/>
          <w:szCs w:val="32"/>
        </w:rPr>
        <w:t>.2</w:t>
      </w:r>
      <w:r>
        <w:rPr>
          <w:rFonts w:ascii="楷体_GB2312" w:eastAsia="楷体_GB2312"/>
          <w:sz w:val="32"/>
          <w:szCs w:val="32"/>
        </w:rPr>
        <w:t>影响自动监测数据有效性的原因</w:t>
      </w:r>
      <w:bookmarkEnd w:id="12"/>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影响自动监测数据有效性的原因多种多样，既有仪器反应原理、组成结构的原因，还有基础保障、采样系统、实验所用试剂等外部因素造成干扰的原因，所以数据审核人员应具备较高的业务能力、专业水平；不仅要掌握系统组成、仪表原理及其构造理论知识，还需具有丰富的现场运维经验，以确保准确地判断数据的有效性和找出异常数据的原因。因此，我们编制了《地表水水质自动监测数据审核技术规范》，指导和帮助数据审核人员学习数据审核知识、掌握数据审核技巧、提高数据审核能力，有助于提升水质自动监测监测数据的真实性、可靠性。</w:t>
      </w:r>
    </w:p>
    <w:p>
      <w:pPr>
        <w:spacing w:before="156" w:beforeLines="50" w:after="156" w:afterLines="50" w:line="594" w:lineRule="exact"/>
        <w:outlineLvl w:val="1"/>
        <w:rPr>
          <w:rFonts w:ascii="楷体_GB2312" w:eastAsia="楷体_GB2312"/>
          <w:sz w:val="32"/>
          <w:szCs w:val="32"/>
        </w:rPr>
      </w:pPr>
      <w:bookmarkStart w:id="13" w:name="_Toc148432452"/>
      <w:r>
        <w:rPr>
          <w:rFonts w:ascii="楷体_GB2312" w:eastAsia="楷体_GB2312"/>
          <w:sz w:val="32"/>
          <w:szCs w:val="32"/>
        </w:rPr>
        <w:t>2.3地表水水质自动监测质量监督</w:t>
      </w:r>
      <w:bookmarkEnd w:id="13"/>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自动站已构建了贯穿水站运行全过程的多级质措施(包括日质控、周质控、月质控、加标回收、集成干预、盲样考核)和多维度质控体系，但是我省地表水流域面广，包括黄河流域和长江流域，水质南北差异很大，污染因素也各不相同，故需要研究设计“一站一策”、“一型一策”等技术路线，需要编制《地表水水质自动监测数据审核技术规范》加强质量监督，来保证自动监测数据审核质量，并指导和帮助数据审核人员严格按审核流程进行审核，以确保入库数据的真实、有效。</w:t>
      </w:r>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14" w:name="_Toc239236649"/>
      <w:bookmarkStart w:id="15" w:name="_Toc148432453"/>
      <w:r>
        <w:rPr>
          <w:rFonts w:ascii="黑体" w:hAnsi="黑体" w:eastAsia="黑体"/>
          <w:b w:val="0"/>
          <w:bCs w:val="0"/>
          <w:color w:val="000000"/>
          <w:kern w:val="2"/>
          <w:sz w:val="32"/>
          <w:szCs w:val="32"/>
        </w:rPr>
        <w:t>3 标准制修订的依据与原则</w:t>
      </w:r>
      <w:bookmarkEnd w:id="14"/>
      <w:bookmarkEnd w:id="15"/>
    </w:p>
    <w:p>
      <w:pPr>
        <w:spacing w:before="156" w:beforeLines="50" w:after="156" w:afterLines="50" w:line="594" w:lineRule="exact"/>
        <w:outlineLvl w:val="1"/>
        <w:rPr>
          <w:rFonts w:ascii="楷体_GB2312" w:eastAsia="楷体_GB2312"/>
          <w:sz w:val="32"/>
          <w:szCs w:val="32"/>
        </w:rPr>
      </w:pPr>
      <w:bookmarkStart w:id="16" w:name="_Toc239236650"/>
      <w:bookmarkStart w:id="17" w:name="_Toc148432454"/>
      <w:r>
        <w:rPr>
          <w:rFonts w:ascii="楷体_GB2312" w:eastAsia="楷体_GB2312"/>
          <w:sz w:val="32"/>
          <w:szCs w:val="32"/>
        </w:rPr>
        <w:t>3.1 标准制修订的依据</w:t>
      </w:r>
      <w:bookmarkEnd w:id="16"/>
      <w:bookmarkEnd w:id="17"/>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本标准规范性引用文件共有6项，是本标准的一部分，在对地表水水质自动监测数据审核过程中，应全面、更准确地理解和使用引用文件的相关要求。</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GB 3838    地表水环境质量标准</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HJ 915      地表水自动监测技术规范（试行）</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 xml:space="preserve">HJ/T 91.2    </w:t>
      </w:r>
      <w:r>
        <w:rPr>
          <w:rFonts w:hint="eastAsia" w:ascii="Times New Roman" w:hAnsi="Times New Roman" w:eastAsia="仿宋_GB2312"/>
          <w:color w:val="000000"/>
          <w:sz w:val="28"/>
          <w:szCs w:val="28"/>
        </w:rPr>
        <w:t>地表水环境质量监测技术规范</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此外，在编制过程中</w:t>
      </w:r>
      <w:r>
        <w:rPr>
          <w:rFonts w:hint="eastAsia" w:ascii="Times New Roman" w:hAnsi="Times New Roman" w:eastAsia="仿宋_GB2312"/>
          <w:color w:val="000000"/>
          <w:sz w:val="28"/>
          <w:szCs w:val="28"/>
        </w:rPr>
        <w:t>还参考了《</w:t>
      </w:r>
      <w:r>
        <w:rPr>
          <w:rFonts w:ascii="Times New Roman" w:hAnsi="Times New Roman" w:eastAsia="仿宋_GB2312"/>
          <w:color w:val="000000"/>
          <w:sz w:val="28"/>
          <w:szCs w:val="28"/>
        </w:rPr>
        <w:t>国家地表水环境质量数据修约处理规则（试行）</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国家地表水水质自动监测异常数据认定及处置技术规定</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（总站水字〔2022〕494号）</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国家地表水水质自动监测数据审核技术细则（试行）</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（总站水字〔2020〕553号）</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国家地表水水质自动监测数据审核管理办法</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（总站水字〔2020〕554号）</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国家地表水水质自动监测数据审核作业指导书（试行）</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(总站水字〔2021〕619号)</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国家地表水自动监测系统通信协议技术要求</w:t>
      </w:r>
      <w:r>
        <w:rPr>
          <w:rFonts w:hint="eastAsia" w:ascii="Times New Roman" w:hAnsi="Times New Roman" w:eastAsia="仿宋_GB2312"/>
          <w:color w:val="000000"/>
          <w:sz w:val="28"/>
          <w:szCs w:val="28"/>
        </w:rPr>
        <w:t>》和《</w:t>
      </w:r>
      <w:r>
        <w:rPr>
          <w:rFonts w:ascii="Times New Roman" w:hAnsi="Times New Roman" w:eastAsia="仿宋_GB2312"/>
          <w:color w:val="000000"/>
          <w:sz w:val="28"/>
          <w:szCs w:val="28"/>
        </w:rPr>
        <w:t>国家地表水自动监测仪器通信协议技术要求</w:t>
      </w:r>
      <w:r>
        <w:rPr>
          <w:rFonts w:hint="eastAsia" w:ascii="Times New Roman" w:hAnsi="Times New Roman" w:eastAsia="仿宋_GB2312"/>
          <w:color w:val="000000"/>
          <w:sz w:val="28"/>
          <w:szCs w:val="28"/>
        </w:rPr>
        <w:t>》等文件</w:t>
      </w:r>
      <w:r>
        <w:rPr>
          <w:rFonts w:ascii="Times New Roman" w:hAnsi="Times New Roman" w:eastAsia="仿宋_GB2312"/>
          <w:color w:val="000000"/>
          <w:sz w:val="28"/>
          <w:szCs w:val="28"/>
        </w:rPr>
        <w:t>，调研了现有陕西省地表水水质自动监测站数据审核技术现状以及今后的技术发展方向，综合考虑当前国内外的技术能力和我国水环境质量现状，确保满足地表水水质自动监测数据的真实性、可靠性，符合管理部门的需求。</w:t>
      </w:r>
    </w:p>
    <w:p>
      <w:pPr>
        <w:spacing w:before="156" w:beforeLines="50" w:after="156" w:afterLines="50" w:line="594" w:lineRule="exact"/>
        <w:outlineLvl w:val="1"/>
        <w:rPr>
          <w:rFonts w:ascii="楷体_GB2312" w:eastAsia="楷体_GB2312"/>
          <w:sz w:val="32"/>
          <w:szCs w:val="32"/>
        </w:rPr>
      </w:pPr>
      <w:bookmarkStart w:id="18" w:name="_Toc239236651"/>
      <w:bookmarkStart w:id="19" w:name="_Toc148432455"/>
      <w:r>
        <w:rPr>
          <w:rFonts w:ascii="楷体_GB2312" w:eastAsia="楷体_GB2312"/>
          <w:sz w:val="32"/>
          <w:szCs w:val="32"/>
        </w:rPr>
        <w:t>3.2 标准编制的原则</w:t>
      </w:r>
      <w:bookmarkEnd w:id="18"/>
      <w:bookmarkEnd w:id="19"/>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本标准制订的基本原则如下：</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（1）新标准具有科学性、适用性和可操作性，能满足相关环保标准和环保工作的需要，可在未来数年内有效实施，促进环境管理。</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（2）新标准更有针对性，满足运行单位和管理部门的需求。</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（3）有利于形成地表水自动监测完整、协调的标准体系。</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（4）借鉴各地在线监测运行的实际情况，参照采用各地先进经验。</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（5）修订标准的编制体例、格式符合国家标准化导则GB/T 1.1-20</w:t>
      </w:r>
      <w:r>
        <w:rPr>
          <w:rFonts w:hint="eastAsia" w:ascii="Times New Roman" w:hAnsi="Times New Roman" w:eastAsia="仿宋_GB2312"/>
          <w:color w:val="000000"/>
          <w:sz w:val="28"/>
          <w:szCs w:val="28"/>
          <w:lang w:val="en-US" w:eastAsia="zh-CN"/>
        </w:rPr>
        <w:t>20</w:t>
      </w:r>
      <w:r>
        <w:rPr>
          <w:rFonts w:ascii="Times New Roman" w:hAnsi="Times New Roman" w:eastAsia="仿宋_GB2312"/>
          <w:color w:val="000000"/>
          <w:sz w:val="28"/>
          <w:szCs w:val="28"/>
        </w:rPr>
        <w:t>及国家环境保护部的要求。</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（6）修订的标准达到《国家环境保护标准制修订工作管理办法》（环保总局公告2006年第41号）的有关要求编写水平。</w:t>
      </w:r>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20" w:name="_Toc198631182"/>
      <w:bookmarkStart w:id="21" w:name="_Toc239236652"/>
      <w:bookmarkStart w:id="22" w:name="_Toc148432456"/>
      <w:r>
        <w:rPr>
          <w:rFonts w:ascii="黑体" w:hAnsi="黑体" w:eastAsia="黑体"/>
          <w:b w:val="0"/>
          <w:bCs w:val="0"/>
          <w:color w:val="000000"/>
          <w:kern w:val="2"/>
          <w:sz w:val="32"/>
          <w:szCs w:val="32"/>
        </w:rPr>
        <w:t>4 标准主要技术内容</w:t>
      </w:r>
      <w:bookmarkEnd w:id="20"/>
      <w:bookmarkEnd w:id="21"/>
      <w:bookmarkEnd w:id="22"/>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本标准主要包括适用范围、规范性引用文件、术语和定义、审核</w:t>
      </w:r>
      <w:r>
        <w:rPr>
          <w:rFonts w:hint="eastAsia" w:ascii="Times New Roman" w:hAnsi="Times New Roman" w:eastAsia="仿宋_GB2312"/>
          <w:color w:val="000000"/>
          <w:sz w:val="28"/>
          <w:szCs w:val="28"/>
        </w:rPr>
        <w:t>原则</w:t>
      </w:r>
      <w:r>
        <w:rPr>
          <w:rFonts w:ascii="Times New Roman" w:hAnsi="Times New Roman" w:eastAsia="仿宋_GB2312"/>
          <w:color w:val="000000"/>
          <w:sz w:val="28"/>
          <w:szCs w:val="28"/>
        </w:rPr>
        <w:t>、审核</w:t>
      </w:r>
      <w:r>
        <w:rPr>
          <w:rFonts w:hint="eastAsia" w:ascii="Times New Roman" w:hAnsi="Times New Roman" w:eastAsia="仿宋_GB2312"/>
          <w:color w:val="000000"/>
          <w:sz w:val="28"/>
          <w:szCs w:val="28"/>
        </w:rPr>
        <w:t>流</w:t>
      </w:r>
      <w:r>
        <w:rPr>
          <w:rFonts w:ascii="Times New Roman" w:hAnsi="Times New Roman" w:eastAsia="仿宋_GB2312"/>
          <w:color w:val="000000"/>
          <w:sz w:val="28"/>
          <w:szCs w:val="28"/>
        </w:rPr>
        <w:t>程、异常数据和质量监督等部分。</w:t>
      </w:r>
    </w:p>
    <w:p>
      <w:pPr>
        <w:spacing w:before="156" w:beforeLines="50" w:after="156" w:afterLines="50" w:line="594" w:lineRule="exact"/>
        <w:outlineLvl w:val="1"/>
        <w:rPr>
          <w:rFonts w:ascii="楷体_GB2312" w:eastAsia="楷体_GB2312"/>
          <w:sz w:val="32"/>
          <w:szCs w:val="32"/>
        </w:rPr>
      </w:pPr>
      <w:bookmarkStart w:id="23" w:name="_Toc198631184"/>
      <w:bookmarkStart w:id="24" w:name="_Toc148432457"/>
      <w:bookmarkStart w:id="25" w:name="_Toc239236653"/>
      <w:bookmarkStart w:id="26" w:name="_Toc198631183"/>
      <w:r>
        <w:rPr>
          <w:rFonts w:ascii="楷体_GB2312" w:eastAsia="楷体_GB2312"/>
          <w:sz w:val="32"/>
          <w:szCs w:val="32"/>
        </w:rPr>
        <w:t>4.1 标准适用范围</w:t>
      </w:r>
      <w:bookmarkEnd w:id="23"/>
      <w:bookmarkEnd w:id="24"/>
      <w:bookmarkEnd w:id="25"/>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本规范规定了地表水环境质量自动监测数据审核依据、审核过程以及审核细则要求。</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本规范适用于省</w:t>
      </w:r>
      <w:r>
        <w:rPr>
          <w:rFonts w:hint="eastAsia" w:ascii="Times New Roman" w:hAnsi="Times New Roman" w:eastAsia="仿宋_GB2312"/>
          <w:color w:val="000000"/>
          <w:sz w:val="28"/>
          <w:szCs w:val="28"/>
          <w:lang w:val="en-US" w:eastAsia="zh-CN"/>
        </w:rPr>
        <w:t>级</w:t>
      </w:r>
      <w:r>
        <w:rPr>
          <w:rFonts w:ascii="Times New Roman" w:hAnsi="Times New Roman" w:eastAsia="仿宋_GB2312"/>
          <w:color w:val="000000"/>
          <w:sz w:val="28"/>
          <w:szCs w:val="28"/>
        </w:rPr>
        <w:t>地表水环境质量自动监测数据审核工作，其他可参照执行。</w:t>
      </w:r>
    </w:p>
    <w:bookmarkEnd w:id="26"/>
    <w:p>
      <w:pPr>
        <w:spacing w:before="156" w:beforeLines="50" w:after="156" w:afterLines="50" w:line="594" w:lineRule="exact"/>
        <w:outlineLvl w:val="1"/>
        <w:rPr>
          <w:rFonts w:ascii="楷体_GB2312" w:eastAsia="楷体_GB2312"/>
          <w:sz w:val="32"/>
          <w:szCs w:val="32"/>
        </w:rPr>
      </w:pPr>
      <w:bookmarkStart w:id="27" w:name="_Toc198631185"/>
      <w:bookmarkStart w:id="28" w:name="_Toc148432458"/>
      <w:bookmarkStart w:id="29" w:name="_Toc239236655"/>
      <w:r>
        <w:rPr>
          <w:rFonts w:ascii="楷体_GB2312" w:eastAsia="楷体_GB2312"/>
          <w:sz w:val="32"/>
          <w:szCs w:val="32"/>
        </w:rPr>
        <w:t>4.2 术语和定义</w:t>
      </w:r>
      <w:bookmarkEnd w:id="27"/>
      <w:bookmarkEnd w:id="28"/>
      <w:bookmarkEnd w:id="29"/>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根据标准制定的内容，在术语和定义明确了部分术语和定义，如：</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（1）跨度</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监测仪器根据监测项目的水质类别要求需满足的测量范围。</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（2）零点核查</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指利用监测仪器测试浓度为跨度值0-20%的标准溶液，用以判断仪器可靠性的措施。</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（3）跨度核查</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指利用监测仪器测试浓度为跨度值20-80%的标准溶液，用以判断仪器可靠性的措施。</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（4）24小时零点漂移</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指监测仪器以24h为周期，测试浓度为跨度值0-20%的标准溶液的，仪器指示值在24h前后的变化</w:t>
      </w:r>
      <w:r>
        <w:rPr>
          <w:rFonts w:hint="eastAsia" w:ascii="Times New Roman" w:hAnsi="Times New Roman" w:eastAsia="仿宋_GB2312"/>
          <w:color w:val="000000"/>
          <w:sz w:val="28"/>
          <w:szCs w:val="28"/>
        </w:rPr>
        <w:t>。</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（5）24小时跨度漂移</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指监测仪器以24h为周期，测试浓度为跨度值20-80%的标准溶液的，仪器指示值在24h前后的变化。</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（6）集成干预检查</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指水质自动监测系统开始采水时在采水口处人工采集水样，经预处理后取上清液摇匀，直接经监测仪器测试，与系统自动测定的结果进行比对，用以检查系统集成对水样代表性的影响。</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（7）多点线性核查</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指水质自动分析仪依次测试均匀覆盖跨度范围的4个浓度的标准溶液，根据测试结果进行线性拟合，用以判断仪器可靠性的措施。</w:t>
      </w:r>
    </w:p>
    <w:p>
      <w:pPr>
        <w:pStyle w:val="58"/>
        <w:spacing w:line="594" w:lineRule="exact"/>
        <w:ind w:firstLine="560"/>
        <w:rPr>
          <w:rFonts w:ascii="Times New Roman" w:hAnsi="Times New Roman" w:eastAsia="仿宋_GB2312"/>
          <w:color w:val="000000"/>
          <w:sz w:val="28"/>
          <w:szCs w:val="28"/>
        </w:rPr>
      </w:pPr>
      <w:bookmarkStart w:id="30" w:name="_Toc239236654"/>
      <w:bookmarkStart w:id="31" w:name="_Toc198631197"/>
      <w:bookmarkStart w:id="32" w:name="_Toc239236657"/>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8</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地表水水质自动监测数据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地表水水质自动监测站（以下简称水站）和数据平台组成地表水自动监测系统，由自动监测系统通过标准传输协议上报的监测数据为地表水水质自动监测数据。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9</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无效数据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指水质自动监测系统处于维护期间、不满足质控要求的区间、水质自动监管平台未获取到或未通过审核的水样数据。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10</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存疑数据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通过水质自动监测系统预审且未能通过人工审核的数据，或者人工标记存疑的数据。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11</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有效数据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指水质自动监测系统正常采样监测时段获取的经三级审核符合质量要求的水样数据。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12</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异常数据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当自动监测数据出现离群数据、恒值不变、数据规律性波动、不符合水质变化相关性等情况时，判定为异常数据。</w:t>
      </w:r>
    </w:p>
    <w:p>
      <w:pPr>
        <w:spacing w:before="156" w:beforeLines="50" w:after="156" w:afterLines="50" w:line="594" w:lineRule="exact"/>
        <w:outlineLvl w:val="1"/>
        <w:rPr>
          <w:rFonts w:ascii="楷体_GB2312" w:eastAsia="楷体_GB2312"/>
          <w:sz w:val="32"/>
          <w:szCs w:val="32"/>
        </w:rPr>
      </w:pPr>
      <w:bookmarkStart w:id="33" w:name="_Toc148432459"/>
      <w:r>
        <w:rPr>
          <w:rFonts w:ascii="楷体_GB2312" w:eastAsia="楷体_GB2312"/>
          <w:sz w:val="32"/>
          <w:szCs w:val="32"/>
        </w:rPr>
        <w:t xml:space="preserve">4.3 </w:t>
      </w:r>
      <w:bookmarkEnd w:id="30"/>
      <w:r>
        <w:rPr>
          <w:rFonts w:ascii="楷体_GB2312" w:eastAsia="楷体_GB2312"/>
          <w:sz w:val="32"/>
          <w:szCs w:val="32"/>
        </w:rPr>
        <w:t>技术路线</w:t>
      </w:r>
      <w:bookmarkEnd w:id="33"/>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本标准制订的技术路线如图1所示：</w:t>
      </w:r>
    </w:p>
    <w:p>
      <w:pPr>
        <w:jc w:val="center"/>
        <w:rPr>
          <w:rFonts w:eastAsia="仿宋"/>
          <w:sz w:val="28"/>
          <w:szCs w:val="28"/>
        </w:rPr>
      </w:pPr>
      <w:r>
        <w:rPr>
          <w:rFonts w:eastAsia="仿宋"/>
          <w:sz w:val="28"/>
          <w:szCs w:val="28"/>
        </w:rPr>
        <w:object>
          <v:shape id="_x0000_i1025" o:spt="75" type="#_x0000_t75" style="height:377pt;width:302.95pt;" o:ole="t" filled="f" o:preferrelative="t" stroked="f" coordsize="21600,21600">
            <v:path/>
            <v:fill on="f" focussize="0,0"/>
            <v:stroke on="f" joinstyle="miter"/>
            <v:imagedata r:id="rId15" o:title=""/>
            <o:lock v:ext="edit" aspectratio="f"/>
            <w10:wrap type="none"/>
            <w10:anchorlock/>
          </v:shape>
          <o:OLEObject Type="Embed" ProgID="Visio.Drawing.15" ShapeID="_x0000_i1025" DrawAspect="Content" ObjectID="_1468075725" r:id="rId14">
            <o:LockedField>false</o:LockedField>
          </o:OLEObject>
        </w:object>
      </w:r>
    </w:p>
    <w:p>
      <w:pPr>
        <w:adjustRightInd w:val="0"/>
        <w:snapToGrid w:val="0"/>
        <w:spacing w:line="360" w:lineRule="auto"/>
        <w:ind w:firstLine="560" w:firstLineChars="200"/>
        <w:jc w:val="center"/>
        <w:rPr>
          <w:rFonts w:eastAsia="仿宋"/>
          <w:sz w:val="28"/>
          <w:szCs w:val="28"/>
        </w:rPr>
      </w:pPr>
      <w:r>
        <w:rPr>
          <w:rFonts w:eastAsia="仿宋"/>
          <w:sz w:val="28"/>
          <w:szCs w:val="28"/>
        </w:rPr>
        <w:t>图1 技术路线图</w:t>
      </w:r>
    </w:p>
    <w:p>
      <w:pPr>
        <w:spacing w:before="156" w:beforeLines="50" w:after="156" w:afterLines="50" w:line="594" w:lineRule="exact"/>
        <w:outlineLvl w:val="1"/>
        <w:rPr>
          <w:rFonts w:ascii="楷体_GB2312" w:eastAsia="楷体_GB2312"/>
          <w:sz w:val="32"/>
          <w:szCs w:val="32"/>
        </w:rPr>
      </w:pPr>
      <w:bookmarkStart w:id="34" w:name="_Toc148432460"/>
      <w:r>
        <w:rPr>
          <w:rFonts w:ascii="楷体_GB2312" w:eastAsia="楷体_GB2312"/>
          <w:sz w:val="32"/>
          <w:szCs w:val="32"/>
        </w:rPr>
        <w:t>4.4 审核</w:t>
      </w:r>
      <w:r>
        <w:rPr>
          <w:rFonts w:hint="eastAsia" w:ascii="楷体_GB2312" w:eastAsia="楷体_GB2312"/>
          <w:sz w:val="32"/>
          <w:szCs w:val="32"/>
        </w:rPr>
        <w:t>内容</w:t>
      </w:r>
      <w:bookmarkEnd w:id="34"/>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（1）数据规范性：查看系统过程日志，监测全过程是否运行正常。</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（2）质控符合性：质控过程及手段是否符合相关质控要求，质控数据是否合格。</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（3）逻辑合理性：相关监测项目数据之间逻辑关系是否合理，上下游之间监测数据逻辑关系是否合理。</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（4）数据可比性：当前监测数据与历史数据及最近一次的手工监测数据是否可比。</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（5）样品代表性：由于降雨影响、水体藻类较多、上游断流、冰封期冰层下水深较浅、采样期间水体中有突发性污染团过境等原因导致样品代表性存疑。</w:t>
      </w:r>
    </w:p>
    <w:p>
      <w:pPr>
        <w:spacing w:before="156" w:beforeLines="50" w:after="156" w:afterLines="50" w:line="594" w:lineRule="exact"/>
        <w:outlineLvl w:val="1"/>
        <w:rPr>
          <w:rFonts w:ascii="楷体_GB2312" w:eastAsia="楷体_GB2312"/>
          <w:sz w:val="32"/>
          <w:szCs w:val="32"/>
        </w:rPr>
      </w:pPr>
      <w:bookmarkStart w:id="35" w:name="_Toc148432461"/>
      <w:r>
        <w:rPr>
          <w:rFonts w:ascii="楷体_GB2312" w:eastAsia="楷体_GB2312"/>
          <w:sz w:val="32"/>
          <w:szCs w:val="32"/>
        </w:rPr>
        <w:t>4.5 审核</w:t>
      </w:r>
      <w:r>
        <w:rPr>
          <w:rFonts w:hint="eastAsia" w:ascii="楷体_GB2312" w:eastAsia="楷体_GB2312"/>
          <w:sz w:val="32"/>
          <w:szCs w:val="32"/>
        </w:rPr>
        <w:t>流</w:t>
      </w:r>
      <w:r>
        <w:rPr>
          <w:rFonts w:ascii="楷体_GB2312" w:eastAsia="楷体_GB2312"/>
          <w:sz w:val="32"/>
          <w:szCs w:val="32"/>
        </w:rPr>
        <w:t>程</w:t>
      </w:r>
      <w:bookmarkEnd w:id="35"/>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地表水水质自动监测数据实行在线审核，经初审、复审、终审三级审核，审核全过程各环节记录留痕。</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平台根据质控结果、数据标识、数据波动情况自动判断监测数据的有效性，对存疑数据进行标记提示</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见附录A《平台数据审核标识》</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一级运维人员对平台自动判断结果和标记的监测数据进行确认，对无效及存疑数据说明原因，并提交佐证材料；二级数据审核员对存在疑问的数据提供佐证材料说明后，可标记存疑或无效，提交审核；三级数据审核员对一级、二级数据审核员提交的审核结果进行综合判定，结合断面情况、质控情况、现场维护情况提交审核意见，必要时联系运维人员进行现场确认后进行审核。现场确认后仍无法判断数据有效性时，组织专家进行审核，确保入库数据真实、准确。数据审核流程见图2。</w:t>
      </w:r>
    </w:p>
    <w:p>
      <w:pPr>
        <w:pStyle w:val="2"/>
        <w:rPr>
          <w:rFonts w:ascii="Times New Roman" w:hAnsi="Times New Roman" w:eastAsia="仿宋"/>
          <w:sz w:val="28"/>
          <w:szCs w:val="28"/>
        </w:rPr>
      </w:pPr>
      <w:r>
        <w:rPr>
          <w:rFonts w:hint="eastAsia"/>
        </w:rPr>
        <w:drawing>
          <wp:inline distT="0" distB="0" distL="114300" distR="114300">
            <wp:extent cx="5267960" cy="4183380"/>
            <wp:effectExtent l="0" t="0" r="8890" b="7620"/>
            <wp:docPr id="6" name="ECB019B1-382A-4266-B25C-5B523AA43C14-1" descr="C:/Users/珈铭/AppData/Local/Temp/wps.KwtcDW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B019B1-382A-4266-B25C-5B523AA43C14-1" descr="C:/Users/珈铭/AppData/Local/Temp/wps.KwtcDWwps"/>
                    <pic:cNvPicPr>
                      <a:picLocks noChangeAspect="1"/>
                    </pic:cNvPicPr>
                  </pic:nvPicPr>
                  <pic:blipFill>
                    <a:blip r:embed="rId16"/>
                    <a:stretch>
                      <a:fillRect/>
                    </a:stretch>
                  </pic:blipFill>
                  <pic:spPr>
                    <a:xfrm>
                      <a:off x="0" y="0"/>
                      <a:ext cx="5267960" cy="4183380"/>
                    </a:xfrm>
                    <a:prstGeom prst="rect">
                      <a:avLst/>
                    </a:prstGeom>
                  </pic:spPr>
                </pic:pic>
              </a:graphicData>
            </a:graphic>
          </wp:inline>
        </w:drawing>
      </w:r>
    </w:p>
    <w:p>
      <w:pPr>
        <w:adjustRightInd w:val="0"/>
        <w:snapToGrid w:val="0"/>
        <w:spacing w:line="360" w:lineRule="auto"/>
        <w:ind w:firstLine="560" w:firstLineChars="200"/>
        <w:jc w:val="center"/>
        <w:rPr>
          <w:rFonts w:eastAsia="仿宋"/>
          <w:sz w:val="28"/>
          <w:szCs w:val="28"/>
        </w:rPr>
      </w:pPr>
      <w:r>
        <w:rPr>
          <w:rFonts w:eastAsia="仿宋"/>
          <w:sz w:val="28"/>
          <w:szCs w:val="28"/>
        </w:rPr>
        <w:t>图2 陕西省地表水自动监测数据审核工作流程</w:t>
      </w:r>
    </w:p>
    <w:p>
      <w:pPr>
        <w:pStyle w:val="58"/>
        <w:spacing w:line="594" w:lineRule="exact"/>
        <w:ind w:firstLine="0" w:firstLineChars="0"/>
        <w:outlineLvl w:val="2"/>
        <w:rPr>
          <w:rFonts w:ascii="Times New Roman" w:hAnsi="Times New Roman" w:eastAsia="仿宋_GB2312"/>
          <w:color w:val="000000"/>
          <w:sz w:val="28"/>
          <w:szCs w:val="28"/>
        </w:rPr>
      </w:pPr>
      <w:bookmarkStart w:id="36" w:name="_Toc148432462"/>
      <w:bookmarkStart w:id="37" w:name="_Toc28484"/>
      <w:bookmarkStart w:id="38" w:name="_Toc23811"/>
      <w:r>
        <w:rPr>
          <w:rFonts w:hint="eastAsia" w:ascii="Times New Roman" w:hAnsi="Times New Roman" w:eastAsia="仿宋_GB2312"/>
          <w:color w:val="000000"/>
          <w:sz w:val="28"/>
          <w:szCs w:val="28"/>
        </w:rPr>
        <w:t>4</w:t>
      </w:r>
      <w:r>
        <w:rPr>
          <w:rFonts w:ascii="Times New Roman" w:hAnsi="Times New Roman" w:eastAsia="仿宋_GB2312"/>
          <w:color w:val="000000"/>
          <w:sz w:val="28"/>
          <w:szCs w:val="28"/>
        </w:rPr>
        <w:t>.5.1初审</w:t>
      </w:r>
      <w:bookmarkEnd w:id="36"/>
      <w:bookmarkEnd w:id="37"/>
      <w:bookmarkEnd w:id="38"/>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初审由一级审核人员对原始数据进行审核，结合水站现场运行情况，对系统自动预审的结果进行确认，对异常数据及时响应与核实，针对无效数据进行标记，并写明原因。</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（a）因仪器设备故障导致的数据无效，须详细说明原因（如水泵故障、采水故障等），并提交相关佐证材料；对异常数据应及时进行确认，并提交相关佐证材料。</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（b）若出现监测数据异常超标、超量程、突变等异常情况，运维人员须在规定时间内按照《地表水水质自动监测站运行维护技术要求（试行）》开展数据核实工作。</w:t>
      </w:r>
    </w:p>
    <w:p>
      <w:pPr>
        <w:pStyle w:val="58"/>
        <w:spacing w:line="594" w:lineRule="exact"/>
        <w:ind w:firstLine="0" w:firstLineChars="0"/>
        <w:outlineLvl w:val="2"/>
        <w:rPr>
          <w:rFonts w:ascii="Times New Roman" w:hAnsi="Times New Roman" w:eastAsia="仿宋_GB2312"/>
          <w:color w:val="000000"/>
          <w:sz w:val="28"/>
          <w:szCs w:val="28"/>
        </w:rPr>
      </w:pPr>
      <w:bookmarkStart w:id="39" w:name="_Toc8090"/>
      <w:bookmarkStart w:id="40" w:name="_Toc148432463"/>
      <w:bookmarkStart w:id="41" w:name="_Toc938"/>
      <w:r>
        <w:rPr>
          <w:rFonts w:hint="eastAsia" w:ascii="Times New Roman" w:hAnsi="Times New Roman" w:eastAsia="仿宋_GB2312"/>
          <w:color w:val="000000"/>
          <w:sz w:val="28"/>
          <w:szCs w:val="28"/>
        </w:rPr>
        <w:t>4.5</w:t>
      </w:r>
      <w:r>
        <w:rPr>
          <w:rFonts w:ascii="Times New Roman" w:hAnsi="Times New Roman" w:eastAsia="仿宋_GB2312"/>
          <w:color w:val="000000"/>
          <w:sz w:val="28"/>
          <w:szCs w:val="28"/>
        </w:rPr>
        <w:t>.2复审</w:t>
      </w:r>
      <w:bookmarkEnd w:id="39"/>
      <w:bookmarkEnd w:id="40"/>
      <w:bookmarkEnd w:id="41"/>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复审由二级审核人员对行政区内省级自动监测数据开展审核及申诉、反馈工作，对停运水站进行核实。</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（a）数据审核员重点结合断面上下游、湖库点位间、监测指标间关系等对存疑或无效数据进行标记，并在规定时间内通过平台在线提交佐证材料。</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（b）佐证材料应包括采样点及周边状况图片、上下游最近监测断面的水质监测数据或水量数据、相关说明。</w:t>
      </w:r>
    </w:p>
    <w:p>
      <w:pPr>
        <w:pStyle w:val="58"/>
        <w:spacing w:line="594" w:lineRule="exact"/>
        <w:ind w:firstLine="0" w:firstLineChars="0"/>
        <w:outlineLvl w:val="2"/>
        <w:rPr>
          <w:rFonts w:ascii="Times New Roman" w:hAnsi="Times New Roman" w:eastAsia="仿宋_GB2312"/>
          <w:color w:val="000000"/>
          <w:sz w:val="28"/>
          <w:szCs w:val="28"/>
        </w:rPr>
      </w:pPr>
      <w:bookmarkStart w:id="42" w:name="_Toc148432464"/>
      <w:bookmarkStart w:id="43" w:name="_Toc1334"/>
      <w:bookmarkStart w:id="44" w:name="_Toc12350"/>
      <w:r>
        <w:rPr>
          <w:rFonts w:hint="eastAsia" w:ascii="Times New Roman" w:hAnsi="Times New Roman" w:eastAsia="仿宋_GB2312"/>
          <w:color w:val="000000"/>
          <w:sz w:val="28"/>
          <w:szCs w:val="28"/>
        </w:rPr>
        <w:t>4</w:t>
      </w:r>
      <w:r>
        <w:rPr>
          <w:rFonts w:ascii="Times New Roman" w:hAnsi="Times New Roman" w:eastAsia="仿宋_GB2312"/>
          <w:color w:val="000000"/>
          <w:sz w:val="28"/>
          <w:szCs w:val="28"/>
        </w:rPr>
        <w:t>.5.3终审</w:t>
      </w:r>
      <w:bookmarkEnd w:id="42"/>
      <w:bookmarkEnd w:id="43"/>
      <w:bookmarkEnd w:id="44"/>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终审由三级审核人员对一级、二级审核的结果进行审核及确认，判定数据有效或无效。</w:t>
      </w:r>
    </w:p>
    <w:p>
      <w:pPr>
        <w:pStyle w:val="58"/>
        <w:spacing w:line="594" w:lineRule="exact"/>
        <w:ind w:firstLine="0" w:firstLineChars="0"/>
        <w:outlineLvl w:val="2"/>
        <w:rPr>
          <w:rFonts w:ascii="Times New Roman" w:hAnsi="Times New Roman" w:eastAsia="仿宋_GB2312"/>
          <w:color w:val="000000"/>
          <w:sz w:val="28"/>
          <w:szCs w:val="28"/>
        </w:rPr>
      </w:pPr>
      <w:bookmarkStart w:id="45" w:name="_Toc148432465"/>
      <w:bookmarkStart w:id="46" w:name="_Toc28323"/>
      <w:bookmarkStart w:id="47" w:name="_Toc7235"/>
      <w:r>
        <w:rPr>
          <w:rFonts w:ascii="Times New Roman" w:hAnsi="Times New Roman" w:eastAsia="仿宋_GB2312"/>
          <w:color w:val="000000"/>
          <w:sz w:val="28"/>
          <w:szCs w:val="28"/>
        </w:rPr>
        <w:t>4.5.4审核细则</w:t>
      </w:r>
      <w:bookmarkEnd w:id="45"/>
      <w:bookmarkEnd w:id="46"/>
      <w:bookmarkEnd w:id="47"/>
    </w:p>
    <w:p>
      <w:pPr>
        <w:pStyle w:val="58"/>
        <w:spacing w:line="594" w:lineRule="exact"/>
        <w:ind w:firstLine="0" w:firstLineChars="0"/>
        <w:rPr>
          <w:rFonts w:ascii="Times New Roman" w:hAnsi="Times New Roman" w:eastAsia="仿宋_GB2312"/>
          <w:color w:val="000000"/>
          <w:sz w:val="28"/>
          <w:szCs w:val="28"/>
        </w:rPr>
      </w:pPr>
      <w:bookmarkStart w:id="48" w:name="_Toc8141"/>
      <w:bookmarkStart w:id="49" w:name="_Toc4973"/>
      <w:bookmarkStart w:id="50" w:name="_Toc29880"/>
      <w:r>
        <w:rPr>
          <w:rFonts w:ascii="Times New Roman" w:hAnsi="Times New Roman" w:eastAsia="仿宋_GB2312"/>
          <w:color w:val="000000"/>
          <w:sz w:val="28"/>
          <w:szCs w:val="28"/>
        </w:rPr>
        <w:t>4.5.4.1自动预审</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（a）</w:t>
      </w:r>
      <w:r>
        <w:rPr>
          <w:rFonts w:ascii="Times New Roman" w:hAnsi="Times New Roman" w:eastAsia="仿宋_GB2312"/>
          <w:color w:val="000000"/>
          <w:sz w:val="28"/>
          <w:szCs w:val="28"/>
        </w:rPr>
        <w:t>当监测数据出现以下情况时，平台自动标记为无效数据。</w:t>
      </w:r>
      <w:bookmarkEnd w:id="48"/>
      <w:bookmarkEnd w:id="49"/>
      <w:bookmarkEnd w:id="50"/>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（一）水站停运或维护期间产生的数据；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（二）水质自动分析仪出现故障时产生的数据；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（三）带有仪器通信故障、仪器离线、维护调试、缺试剂、缺纯水、缺水样等非正常标识的数据；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（四）当零点核查、24小时零点漂移、跨度核查、24小时跨度漂移任意一项不满足考核指标要求时，前24小时内获取的监测数据；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（五）当常规五参数周质控结果不合格时，此次至上次核查期间内获取的监测数据；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（六）因电力、网络故障等原因在月度数据入库后上传的监测数据。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（七）当水质自动分析仪多点线性核查、实际水样比对等结果其中任意1项不满足考核指标要求，当月监测数据全部无效。</w:t>
      </w:r>
    </w:p>
    <w:p>
      <w:pPr>
        <w:pStyle w:val="58"/>
        <w:spacing w:line="594" w:lineRule="exact"/>
        <w:ind w:firstLine="560"/>
        <w:rPr>
          <w:rFonts w:ascii="Times New Roman" w:hAnsi="Times New Roman" w:eastAsia="仿宋_GB2312"/>
          <w:color w:val="000000"/>
          <w:sz w:val="28"/>
          <w:szCs w:val="28"/>
        </w:rPr>
      </w:pPr>
      <w:bookmarkStart w:id="51" w:name="_Toc23408"/>
      <w:bookmarkStart w:id="52" w:name="_Toc24045"/>
      <w:bookmarkStart w:id="53" w:name="_Toc24426"/>
      <w:r>
        <w:rPr>
          <w:rFonts w:hint="eastAsia" w:ascii="Times New Roman" w:hAnsi="Times New Roman" w:eastAsia="仿宋_GB2312"/>
          <w:color w:val="000000"/>
          <w:sz w:val="28"/>
          <w:szCs w:val="28"/>
        </w:rPr>
        <w:t>（b）</w:t>
      </w:r>
      <w:r>
        <w:rPr>
          <w:rFonts w:ascii="Times New Roman" w:hAnsi="Times New Roman" w:eastAsia="仿宋_GB2312"/>
          <w:color w:val="000000"/>
          <w:sz w:val="28"/>
          <w:szCs w:val="28"/>
        </w:rPr>
        <w:t>当监测数据出现以下情况时，平台自动标记为存疑数据。</w:t>
      </w:r>
      <w:bookmarkEnd w:id="51"/>
      <w:bookmarkEnd w:id="52"/>
      <w:bookmarkEnd w:id="53"/>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（一）发生突变（大于上一次监测值的3倍及以上或小于上一次监测值的1/3倍及以下）或连续不变（单个指标的测量值连续三组无变化）的监测数据；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（二）为0值或负值的监测数据；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（三）低于仪器检出限的监测数据；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（四）超量程上限的监测数据；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（五）监测指标的关键参数（消解温度、消解时长、显色温度等）不在报备范围内所产生的监测数据；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（六）同时段氨氮大于总氮的监测数据。</w:t>
      </w:r>
    </w:p>
    <w:p>
      <w:pPr>
        <w:pStyle w:val="58"/>
        <w:spacing w:line="594" w:lineRule="exact"/>
        <w:ind w:firstLine="0" w:firstLineChars="0"/>
        <w:rPr>
          <w:rFonts w:ascii="Times New Roman" w:hAnsi="Times New Roman" w:eastAsia="仿宋_GB2312"/>
          <w:color w:val="000000"/>
          <w:sz w:val="28"/>
          <w:szCs w:val="28"/>
        </w:rPr>
      </w:pPr>
      <w:bookmarkStart w:id="54" w:name="_Toc480"/>
      <w:bookmarkStart w:id="55" w:name="_Toc6582"/>
      <w:bookmarkStart w:id="56" w:name="_Toc20725"/>
      <w:r>
        <w:rPr>
          <w:rFonts w:ascii="Times New Roman" w:hAnsi="Times New Roman" w:eastAsia="仿宋_GB2312"/>
          <w:color w:val="000000"/>
          <w:sz w:val="28"/>
          <w:szCs w:val="28"/>
        </w:rPr>
        <w:t>4.5.4.</w:t>
      </w:r>
      <w:r>
        <w:rPr>
          <w:rFonts w:hint="eastAsia" w:ascii="Times New Roman" w:hAnsi="Times New Roman" w:eastAsia="仿宋_GB2312"/>
          <w:color w:val="000000"/>
          <w:sz w:val="28"/>
          <w:szCs w:val="28"/>
        </w:rPr>
        <w:t>2</w:t>
      </w:r>
      <w:r>
        <w:rPr>
          <w:rFonts w:ascii="Times New Roman" w:hAnsi="Times New Roman" w:eastAsia="仿宋_GB2312"/>
          <w:color w:val="000000"/>
          <w:sz w:val="28"/>
          <w:szCs w:val="28"/>
        </w:rPr>
        <w:t>人工审核</w:t>
      </w:r>
      <w:bookmarkEnd w:id="54"/>
      <w:bookmarkEnd w:id="55"/>
      <w:bookmarkEnd w:id="56"/>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数据审核员结合自动预审结果、运维质控情况、水站周边情况、佐证材料等，开展人工审核，最终判定监测数据的有效性。</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(a)无效数据</w:t>
      </w:r>
      <w:r>
        <w:rPr>
          <w:rFonts w:hint="eastAsia" w:ascii="Times New Roman" w:hAnsi="Times New Roman" w:eastAsia="仿宋_GB2312"/>
          <w:color w:val="000000"/>
          <w:sz w:val="28"/>
          <w:szCs w:val="28"/>
        </w:rPr>
        <w:t>：</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（一）水样测试值</w:t>
      </w:r>
      <w:r>
        <w:rPr>
          <w:rFonts w:hint="eastAsia" w:ascii="Times New Roman" w:hAnsi="Times New Roman" w:eastAsia="仿宋_GB2312"/>
          <w:color w:val="000000"/>
          <w:sz w:val="28"/>
          <w:szCs w:val="28"/>
          <w:lang w:val="en-US" w:eastAsia="zh-CN"/>
        </w:rPr>
        <w:t>连续</w:t>
      </w:r>
      <w:r>
        <w:rPr>
          <w:rFonts w:ascii="Times New Roman" w:hAnsi="Times New Roman" w:eastAsia="仿宋_GB2312"/>
          <w:color w:val="000000"/>
          <w:sz w:val="28"/>
          <w:szCs w:val="28"/>
        </w:rPr>
        <w:t>7天及以上超过跨度核查标准样品浓度值的监测数据；（实际审核中，</w:t>
      </w:r>
      <w:r>
        <w:rPr>
          <w:rFonts w:hint="eastAsia" w:ascii="Times New Roman" w:hAnsi="Times New Roman" w:eastAsia="仿宋_GB2312"/>
          <w:color w:val="000000"/>
          <w:sz w:val="28"/>
          <w:szCs w:val="28"/>
          <w:lang w:val="en-US" w:eastAsia="zh-CN"/>
        </w:rPr>
        <w:t>如果</w:t>
      </w:r>
      <w:r>
        <w:rPr>
          <w:rFonts w:ascii="Times New Roman" w:hAnsi="Times New Roman" w:eastAsia="仿宋_GB2312"/>
          <w:color w:val="000000"/>
          <w:sz w:val="28"/>
          <w:szCs w:val="28"/>
        </w:rPr>
        <w:t>相关质控</w:t>
      </w:r>
      <w:r>
        <w:rPr>
          <w:rFonts w:hint="eastAsia" w:ascii="Times New Roman" w:hAnsi="Times New Roman" w:eastAsia="仿宋_GB2312"/>
          <w:color w:val="000000"/>
          <w:sz w:val="28"/>
          <w:szCs w:val="28"/>
          <w:lang w:val="en-US" w:eastAsia="zh-CN"/>
        </w:rPr>
        <w:t>措施合格，</w:t>
      </w:r>
      <w:r>
        <w:rPr>
          <w:rFonts w:ascii="Times New Roman" w:hAnsi="Times New Roman" w:eastAsia="仿宋_GB2312"/>
          <w:color w:val="000000"/>
          <w:sz w:val="28"/>
          <w:szCs w:val="28"/>
        </w:rPr>
        <w:t>则数据有效）</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（二）仪器更换试剂后至校准完成前所产生的监测数据；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（三）高锰酸盐指数、氨氮、总磷、总氮在正常监测周期以外上传的监测数据；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（四）未报备而进行加密监测所产生的数据；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（五）由于仪器或工控机死机等原因导致连续多时段数据重复时，除第一组外的其他时段监测数据；</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（六）若发现站点上传的关键信息与备案的信息不符，在未说明或更正之前的监测数据；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（七）</w:t>
      </w:r>
      <w:r>
        <w:rPr>
          <w:rFonts w:ascii="Times New Roman" w:hAnsi="Times New Roman" w:eastAsia="仿宋_GB2312"/>
          <w:color w:val="000000"/>
          <w:sz w:val="28"/>
          <w:szCs w:val="28"/>
        </w:rPr>
        <w:t>其他不符合运维相关规范要求导致数据有效性严重失真的监测数据。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（b）有效</w:t>
      </w:r>
      <w:r>
        <w:rPr>
          <w:rFonts w:ascii="Times New Roman" w:hAnsi="Times New Roman" w:eastAsia="仿宋_GB2312"/>
          <w:color w:val="000000"/>
          <w:sz w:val="28"/>
          <w:szCs w:val="28"/>
        </w:rPr>
        <w:t>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在质控合格及监测仪器正常运行时，若监测数据出现以下情况，可判定为</w:t>
      </w:r>
      <w:r>
        <w:rPr>
          <w:rFonts w:ascii="Times New Roman" w:hAnsi="Times New Roman" w:eastAsia="仿宋_GB2312"/>
          <w:color w:val="000000"/>
          <w:sz w:val="28"/>
          <w:szCs w:val="28"/>
        </w:rPr>
        <w:t>有效数据</w:t>
      </w:r>
      <w:r>
        <w:rPr>
          <w:rFonts w:hint="eastAsia" w:ascii="Times New Roman" w:hAnsi="Times New Roman" w:eastAsia="仿宋_GB2312"/>
          <w:color w:val="000000"/>
          <w:sz w:val="28"/>
          <w:szCs w:val="28"/>
        </w:rPr>
        <w:t>。</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（一）五参数数据呈明显的规律性变化，经核实，因水泵切换、数据读取时间差异、反冲洗等原因引起变化的数据，若符合原位比对结果，则判定为有效数据；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（二）因背景因素（如高浊度、色度水体等）、自然因素（如降雨、台风、洪涝等）、人为因素（如施工、清淤、闸控等）等 原因，且能够真实反映水体水质情况的监测数据；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（三）受水生生物光合作用及呼吸作用影响，产生的pH值及溶解氧监测数据；</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（四）氨氮和总磷长期在检出限附近，且浓度分别大于</w:t>
      </w:r>
      <w:r>
        <w:rPr>
          <w:rFonts w:hint="eastAsia" w:ascii="Times New Roman" w:hAnsi="Times New Roman" w:eastAsia="仿宋_GB2312"/>
          <w:color w:val="000000"/>
          <w:sz w:val="28"/>
          <w:szCs w:val="28"/>
          <w:lang w:val="en-US" w:eastAsia="zh-CN"/>
        </w:rPr>
        <w:t>仪器检出限</w:t>
      </w:r>
      <w:r>
        <w:rPr>
          <w:rFonts w:hint="eastAsia" w:ascii="Times New Roman" w:hAnsi="Times New Roman" w:eastAsia="仿宋_GB2312"/>
          <w:color w:val="000000"/>
          <w:sz w:val="28"/>
          <w:szCs w:val="28"/>
        </w:rPr>
        <w:t>的监测数据。</w:t>
      </w:r>
    </w:p>
    <w:p>
      <w:pPr>
        <w:spacing w:before="156" w:beforeLines="50" w:after="156" w:afterLines="50" w:line="594" w:lineRule="exact"/>
        <w:outlineLvl w:val="1"/>
        <w:rPr>
          <w:rFonts w:ascii="楷体_GB2312" w:eastAsia="楷体_GB2312"/>
          <w:sz w:val="32"/>
          <w:szCs w:val="32"/>
        </w:rPr>
      </w:pPr>
      <w:bookmarkStart w:id="57" w:name="_Toc148432466"/>
      <w:r>
        <w:rPr>
          <w:rFonts w:ascii="楷体_GB2312" w:eastAsia="楷体_GB2312"/>
          <w:sz w:val="32"/>
          <w:szCs w:val="32"/>
        </w:rPr>
        <w:t>4.6 异常数据</w:t>
      </w:r>
      <w:r>
        <w:rPr>
          <w:rFonts w:hint="eastAsia" w:ascii="楷体_GB2312" w:eastAsia="楷体_GB2312"/>
          <w:sz w:val="32"/>
          <w:szCs w:val="32"/>
        </w:rPr>
        <w:t>认定</w:t>
      </w:r>
      <w:bookmarkEnd w:id="57"/>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4</w:t>
      </w:r>
      <w:r>
        <w:rPr>
          <w:rFonts w:ascii="Times New Roman" w:hAnsi="Times New Roman" w:eastAsia="仿宋_GB2312"/>
          <w:color w:val="000000"/>
          <w:sz w:val="28"/>
          <w:szCs w:val="28"/>
        </w:rPr>
        <w:t>.6.1当自动监测数据出现以下情形之一时，可初步认定为异常数据：</w:t>
      </w:r>
    </w:p>
    <w:p>
      <w:pPr>
        <w:pStyle w:val="35"/>
        <w:adjustRightInd w:val="0"/>
        <w:snapToGrid w:val="0"/>
        <w:spacing w:beforeLines="0" w:afterLines="0" w:line="360" w:lineRule="auto"/>
        <w:ind w:firstLine="560" w:firstLineChars="200"/>
        <w:outlineLvl w:val="9"/>
        <w:rPr>
          <w:rFonts w:ascii="Times New Roman" w:eastAsia="仿宋"/>
          <w:bCs/>
          <w:sz w:val="28"/>
          <w:szCs w:val="28"/>
        </w:rPr>
      </w:pPr>
      <w:bookmarkStart w:id="58" w:name="_Toc12604"/>
      <w:bookmarkStart w:id="59" w:name="_Toc21610"/>
      <w:r>
        <w:rPr>
          <w:rFonts w:ascii="Times New Roman" w:eastAsia="仿宋"/>
          <w:bCs/>
          <w:sz w:val="28"/>
          <w:szCs w:val="28"/>
        </w:rPr>
        <w:t xml:space="preserve">（1）pH值连续多次超出历史波动范围且达劣V类的； </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（2）溶解氧连续多次超出历史波动范围且小于地表水Ⅲ类标准限值或超过饱和浓度的；</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 xml:space="preserve">（3）高锰酸盐指数、氨氮、总磷、总氮（参考湖库标准）浓度超过前三天监测数据平均值的3倍且超Ⅲ类标准限值的； </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 xml:space="preserve">（4）其他监测项目出现历史极值（最大值或最小值），或监测数据与现场环境特征明显不符的； </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（5）自动监测数据波动较大，超过仪器检测上、下限或当前设置检测量程的；</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（6）其他经审核认定异常的数据。</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4.6.2</w:t>
      </w:r>
      <w:r>
        <w:rPr>
          <w:rFonts w:hint="eastAsia" w:ascii="Times New Roman" w:eastAsia="仿宋"/>
          <w:bCs/>
          <w:sz w:val="28"/>
          <w:szCs w:val="28"/>
        </w:rPr>
        <w:t>异常数据的核实</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（1）</w:t>
      </w:r>
      <w:r>
        <w:rPr>
          <w:rFonts w:hint="eastAsia" w:ascii="Times New Roman" w:eastAsia="仿宋"/>
          <w:bCs/>
          <w:sz w:val="28"/>
          <w:szCs w:val="28"/>
        </w:rPr>
        <w:t xml:space="preserve">核实和排查内容包括：仪器运行情况的排查；水站采水口周边及上下游实地踏勘；结合水站历史监测数据，开展数据分析。 </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（2）</w:t>
      </w:r>
      <w:r>
        <w:rPr>
          <w:rFonts w:hint="eastAsia" w:ascii="Times New Roman" w:eastAsia="仿宋"/>
          <w:bCs/>
          <w:sz w:val="28"/>
          <w:szCs w:val="28"/>
        </w:rPr>
        <w:t xml:space="preserve">提交材料包括但不限于以下内容：水质波动情况、数据历史趋势等；质控情况、核查结果、标准曲线等记录；复测方式和结果；采水口和上下游环境照片、视频等，存在异常情况的，应详细记录；有条件时，提供实验室比对分析照片及记录等其他支撑材料。 </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ascii="Times New Roman" w:eastAsia="仿宋"/>
          <w:bCs/>
          <w:sz w:val="28"/>
          <w:szCs w:val="28"/>
        </w:rPr>
        <w:t>4.6.3</w:t>
      </w:r>
      <w:r>
        <w:rPr>
          <w:rFonts w:hint="eastAsia" w:ascii="Times New Roman" w:eastAsia="仿宋"/>
          <w:bCs/>
          <w:sz w:val="28"/>
          <w:szCs w:val="28"/>
        </w:rPr>
        <w:t>异常数据的认定</w:t>
      </w:r>
    </w:p>
    <w:p>
      <w:pPr>
        <w:pStyle w:val="35"/>
        <w:adjustRightInd w:val="0"/>
        <w:snapToGrid w:val="0"/>
        <w:spacing w:beforeLines="0" w:afterLines="0" w:line="360" w:lineRule="auto"/>
        <w:ind w:firstLine="560" w:firstLineChars="200"/>
        <w:outlineLvl w:val="9"/>
        <w:rPr>
          <w:rFonts w:ascii="Times New Roman" w:eastAsia="仿宋"/>
          <w:bCs/>
          <w:sz w:val="28"/>
          <w:szCs w:val="28"/>
        </w:rPr>
      </w:pPr>
      <w:r>
        <w:rPr>
          <w:rFonts w:hint="eastAsia" w:ascii="Times New Roman" w:eastAsia="仿宋"/>
          <w:bCs/>
          <w:sz w:val="28"/>
          <w:szCs w:val="28"/>
        </w:rPr>
        <w:t>三级审核人员对异常数据报送材料进行技术审核，综合分析水站历史监测数据、采水口周边及上下游、气象、水文、质控结果及核实情况等，必要时召开专家会进行研判，最终进行技术确认。</w:t>
      </w:r>
    </w:p>
    <w:bookmarkEnd w:id="58"/>
    <w:bookmarkEnd w:id="59"/>
    <w:p>
      <w:pPr>
        <w:spacing w:before="156" w:beforeLines="50" w:after="156" w:afterLines="50" w:line="594" w:lineRule="exact"/>
        <w:outlineLvl w:val="1"/>
        <w:rPr>
          <w:rFonts w:ascii="楷体_GB2312" w:eastAsia="楷体_GB2312"/>
          <w:sz w:val="32"/>
          <w:szCs w:val="32"/>
        </w:rPr>
      </w:pPr>
      <w:bookmarkStart w:id="60" w:name="_Toc148432467"/>
      <w:r>
        <w:rPr>
          <w:rFonts w:ascii="楷体_GB2312" w:eastAsia="楷体_GB2312"/>
          <w:sz w:val="32"/>
          <w:szCs w:val="32"/>
        </w:rPr>
        <w:t>4.7 质量监督</w:t>
      </w:r>
      <w:bookmarkEnd w:id="60"/>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数据质量控制是指为了保障自动监测数据质量和可信性所采取的一系列措施，分为内部质控和外部质控（见附录B《质控措施技术要求》）。内部质控主要包含日质控、周质控、月质控，外部质控主要包含盲样考核、飞行检查等。</w:t>
      </w:r>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为保障地表水自动监测网络数据质量，首次构建了贯穿水站运行全程序的日质控、周质控、月质控等多级质控措施，以及包含仪器、系统流程日志和关键参数上传，仪器分析原始信号值溯源计算，远程质控、在线盲样考核等在内的多维度质控体系，并将其逐步完善，使其贯穿于水站整个运行维护周期之中。仪器和系统的自动化质控功能与水质自动综合监管平台相结合，可以对多维度的质控信息进行综合分析，实现了主动对监测数据的有效性进行智能判断和预审核的目标，全面保障了监测数据的“真实性”和“准确性”。本标准从以下方面进行质量监督要求：</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（1）</w:t>
      </w:r>
      <w:r>
        <w:rPr>
          <w:rFonts w:ascii="Times New Roman" w:hAnsi="Times New Roman" w:eastAsia="仿宋_GB2312"/>
          <w:color w:val="000000"/>
          <w:sz w:val="28"/>
          <w:szCs w:val="28"/>
        </w:rPr>
        <w:t>所有审核人员均需要经过培训合格后才能参与数据审核工作，</w:t>
      </w:r>
      <w:r>
        <w:rPr>
          <w:rFonts w:hint="eastAsia" w:ascii="Times New Roman" w:hAnsi="Times New Roman" w:eastAsia="仿宋_GB2312"/>
          <w:color w:val="000000"/>
          <w:sz w:val="28"/>
          <w:szCs w:val="28"/>
        </w:rPr>
        <w:t>必须满足一个岗位配备两名审核员</w:t>
      </w:r>
      <w:r>
        <w:rPr>
          <w:rFonts w:ascii="Times New Roman" w:hAnsi="Times New Roman" w:eastAsia="仿宋_GB2312"/>
          <w:color w:val="000000"/>
          <w:sz w:val="28"/>
          <w:szCs w:val="28"/>
        </w:rPr>
        <w:t>，保证审核工作顺利开展。</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（2）</w:t>
      </w:r>
      <w:r>
        <w:rPr>
          <w:rFonts w:ascii="Times New Roman" w:hAnsi="Times New Roman" w:eastAsia="仿宋_GB2312"/>
          <w:color w:val="000000"/>
          <w:sz w:val="28"/>
          <w:szCs w:val="28"/>
        </w:rPr>
        <w:t>各级审核员中设一名数据审核质量监督员，每月定期或不定期对数据审核工作进行抽查，监督其审核流程、审核时限、审核内容是否符合要求。</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（3）</w:t>
      </w:r>
      <w:r>
        <w:rPr>
          <w:rFonts w:hint="eastAsia" w:ascii="Times New Roman" w:hAnsi="Times New Roman" w:eastAsia="仿宋_GB2312"/>
          <w:color w:val="000000"/>
          <w:sz w:val="28"/>
          <w:szCs w:val="28"/>
          <w:lang w:val="en-US" w:eastAsia="zh-CN"/>
        </w:rPr>
        <w:t>根据审核情况，不定期开展</w:t>
      </w:r>
      <w:r>
        <w:rPr>
          <w:rFonts w:ascii="Times New Roman" w:hAnsi="Times New Roman" w:eastAsia="仿宋_GB2312"/>
          <w:color w:val="000000"/>
          <w:sz w:val="28"/>
          <w:szCs w:val="28"/>
        </w:rPr>
        <w:t>数据审核问题汇总交流会，对数据审核工作中遇到的各类问题进行讨论，找出切实可行的解决办法。</w:t>
      </w:r>
    </w:p>
    <w:p>
      <w:pPr>
        <w:pStyle w:val="58"/>
        <w:spacing w:line="594" w:lineRule="exact"/>
        <w:ind w:firstLine="56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（4）</w:t>
      </w:r>
      <w:r>
        <w:rPr>
          <w:rFonts w:ascii="Times New Roman" w:hAnsi="Times New Roman" w:eastAsia="仿宋_GB2312"/>
          <w:color w:val="000000"/>
          <w:sz w:val="28"/>
          <w:szCs w:val="28"/>
        </w:rPr>
        <w:t>加强对运维质量控制的检查，全面保障监测数据的真实性和准确性。</w:t>
      </w:r>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61" w:name="_Toc148432468"/>
      <w:r>
        <w:rPr>
          <w:rFonts w:ascii="黑体" w:hAnsi="黑体" w:eastAsia="黑体"/>
          <w:b w:val="0"/>
          <w:bCs w:val="0"/>
          <w:color w:val="000000"/>
          <w:kern w:val="2"/>
          <w:sz w:val="32"/>
          <w:szCs w:val="32"/>
        </w:rPr>
        <w:t>5 重大意见分歧及处理结果</w:t>
      </w:r>
      <w:bookmarkEnd w:id="61"/>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本标准在编写过程中没有重大意见分歧。</w:t>
      </w:r>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62" w:name="_Toc148432469"/>
      <w:r>
        <w:rPr>
          <w:rFonts w:ascii="黑体" w:hAnsi="黑体" w:eastAsia="黑体"/>
          <w:b w:val="0"/>
          <w:bCs w:val="0"/>
          <w:color w:val="000000"/>
          <w:kern w:val="2"/>
          <w:sz w:val="32"/>
          <w:szCs w:val="32"/>
        </w:rPr>
        <w:t>6 对实施本标准的建议</w:t>
      </w:r>
      <w:bookmarkEnd w:id="31"/>
      <w:bookmarkEnd w:id="32"/>
      <w:bookmarkEnd w:id="62"/>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建议本标准编制后尽快试行或发布，编制组可根据现场实际情况及使用效果，可再行修订。</w:t>
      </w:r>
      <w:bookmarkEnd w:id="0"/>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63" w:name="_Toc148432470"/>
      <w:r>
        <w:rPr>
          <w:rFonts w:ascii="黑体" w:hAnsi="黑体" w:eastAsia="黑体"/>
          <w:b w:val="0"/>
          <w:bCs w:val="0"/>
          <w:color w:val="000000"/>
          <w:kern w:val="2"/>
          <w:sz w:val="32"/>
          <w:szCs w:val="32"/>
        </w:rPr>
        <w:t>7 标准性质的建议说明（推荐性标准还是强制性标准）</w:t>
      </w:r>
      <w:bookmarkEnd w:id="63"/>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本标准为陕西省地方推荐性标准。</w:t>
      </w:r>
    </w:p>
    <w:p>
      <w:pPr>
        <w:pStyle w:val="3"/>
        <w:keepNext w:val="0"/>
        <w:numPr>
          <w:ilvl w:val="0"/>
          <w:numId w:val="0"/>
        </w:numPr>
        <w:spacing w:before="100" w:after="100" w:line="594" w:lineRule="exact"/>
        <w:rPr>
          <w:rFonts w:hint="eastAsia" w:ascii="黑体" w:hAnsi="黑体" w:eastAsia="黑体"/>
          <w:b w:val="0"/>
          <w:bCs w:val="0"/>
          <w:color w:val="000000"/>
          <w:kern w:val="2"/>
          <w:sz w:val="32"/>
          <w:szCs w:val="32"/>
          <w:lang w:val="en-US" w:eastAsia="zh-CN"/>
        </w:rPr>
      </w:pPr>
      <w:r>
        <w:rPr>
          <w:rFonts w:hint="eastAsia" w:ascii="黑体" w:hAnsi="黑体" w:eastAsia="黑体"/>
          <w:b w:val="0"/>
          <w:bCs w:val="0"/>
          <w:color w:val="000000"/>
          <w:kern w:val="2"/>
          <w:sz w:val="32"/>
          <w:szCs w:val="32"/>
          <w:lang w:val="en-US" w:eastAsia="zh-CN"/>
        </w:rPr>
        <w:t>8</w:t>
      </w:r>
      <w:r>
        <w:rPr>
          <w:rFonts w:ascii="黑体" w:hAnsi="黑体" w:eastAsia="黑体"/>
          <w:b w:val="0"/>
          <w:bCs w:val="0"/>
          <w:color w:val="000000"/>
          <w:kern w:val="2"/>
          <w:sz w:val="32"/>
          <w:szCs w:val="32"/>
        </w:rPr>
        <w:t xml:space="preserve"> </w:t>
      </w:r>
      <w:r>
        <w:rPr>
          <w:rFonts w:hint="eastAsia" w:ascii="黑体" w:hAnsi="黑体" w:eastAsia="黑体"/>
          <w:b w:val="0"/>
          <w:bCs w:val="0"/>
          <w:color w:val="000000"/>
          <w:kern w:val="2"/>
          <w:sz w:val="32"/>
          <w:szCs w:val="32"/>
          <w:lang w:val="en-US" w:eastAsia="zh-CN"/>
        </w:rPr>
        <w:t>标准征求意见和采纳情况</w:t>
      </w:r>
    </w:p>
    <w:p>
      <w:pPr>
        <w:pStyle w:val="58"/>
        <w:spacing w:line="594" w:lineRule="exact"/>
        <w:ind w:firstLine="560"/>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2024年1月份，本标准征求意见稿发布，共收到10个单位15条意见。标准编制组经过认真研究，采纳12条，未采纳3条。标准征求意见汇总及采纳情况见表1。</w:t>
      </w:r>
    </w:p>
    <w:p>
      <w:pPr>
        <w:pStyle w:val="2"/>
        <w:rPr>
          <w:rFonts w:hint="default"/>
          <w:lang w:val="en-US" w:eastAsia="zh-CN"/>
        </w:rPr>
      </w:pPr>
    </w:p>
    <w:p>
      <w:pPr>
        <w:pStyle w:val="58"/>
        <w:spacing w:line="594" w:lineRule="exact"/>
        <w:ind w:left="0" w:leftChars="0" w:firstLine="0" w:firstLineChars="0"/>
        <w:rPr>
          <w:rFonts w:ascii="Times New Roman" w:hAnsi="Times New Roman" w:eastAsia="仿宋_GB2312"/>
          <w:color w:val="000000"/>
          <w:sz w:val="28"/>
          <w:szCs w:val="28"/>
        </w:rPr>
        <w:sectPr>
          <w:footerReference r:id="rId11" w:type="default"/>
          <w:footerReference r:id="rId12" w:type="even"/>
          <w:pgSz w:w="11906" w:h="16838"/>
          <w:pgMar w:top="1440" w:right="1800" w:bottom="1440" w:left="1800" w:header="851" w:footer="850" w:gutter="0"/>
          <w:pgNumType w:start="1"/>
          <w:cols w:space="720" w:num="1"/>
          <w:docGrid w:type="lines" w:linePitch="312" w:charSpace="0"/>
        </w:sectPr>
      </w:pPr>
    </w:p>
    <w:p>
      <w:pPr>
        <w:jc w:val="center"/>
        <w:rPr>
          <w:rFonts w:ascii="黑体" w:hAnsi="黑体" w:eastAsia="黑体"/>
          <w:sz w:val="24"/>
          <w:szCs w:val="24"/>
        </w:rPr>
      </w:pPr>
      <w:r>
        <w:rPr>
          <w:rFonts w:hint="eastAsia" w:ascii="黑体" w:hAnsi="黑体" w:eastAsia="黑体"/>
          <w:sz w:val="24"/>
          <w:szCs w:val="24"/>
        </w:rPr>
        <w:t>表</w:t>
      </w:r>
      <w:r>
        <w:rPr>
          <w:rFonts w:hint="eastAsia" w:ascii="黑体" w:hAnsi="黑体" w:eastAsia="黑体"/>
          <w:sz w:val="24"/>
          <w:szCs w:val="24"/>
          <w:lang w:val="en-US" w:eastAsia="zh-CN"/>
        </w:rPr>
        <w:t xml:space="preserve">1  </w:t>
      </w:r>
      <w:r>
        <w:rPr>
          <w:rFonts w:hint="eastAsia" w:ascii="黑体" w:hAnsi="黑体" w:eastAsia="黑体"/>
          <w:sz w:val="24"/>
          <w:szCs w:val="24"/>
        </w:rPr>
        <w:t>地方标准征求意见汇总处理表</w:t>
      </w:r>
    </w:p>
    <w:tbl>
      <w:tblPr>
        <w:tblStyle w:val="20"/>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675"/>
        <w:gridCol w:w="3119"/>
        <w:gridCol w:w="5245"/>
        <w:gridCol w:w="1559"/>
        <w:gridCol w:w="340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blHeader/>
        </w:trPr>
        <w:tc>
          <w:tcPr>
            <w:tcW w:w="675" w:type="dxa"/>
            <w:tcBorders>
              <w:top w:val="single" w:color="auto" w:sz="8" w:space="0"/>
              <w:left w:val="single" w:color="auto" w:sz="12" w:space="0"/>
              <w:bottom w:val="single" w:color="auto" w:sz="8" w:space="0"/>
            </w:tcBorders>
            <w:vAlign w:val="center"/>
          </w:tcPr>
          <w:p>
            <w:pPr>
              <w:spacing w:line="360" w:lineRule="auto"/>
              <w:jc w:val="center"/>
              <w:rPr>
                <w:b/>
                <w:bCs/>
              </w:rPr>
            </w:pPr>
            <w:r>
              <w:rPr>
                <w:rFonts w:hint="eastAsia"/>
                <w:b/>
                <w:bCs/>
              </w:rPr>
              <w:t>序号</w:t>
            </w:r>
          </w:p>
        </w:tc>
        <w:tc>
          <w:tcPr>
            <w:tcW w:w="3119" w:type="dxa"/>
            <w:tcBorders>
              <w:top w:val="single" w:color="auto" w:sz="8" w:space="0"/>
              <w:bottom w:val="single" w:color="auto" w:sz="8" w:space="0"/>
            </w:tcBorders>
            <w:vAlign w:val="center"/>
          </w:tcPr>
          <w:p>
            <w:pPr>
              <w:spacing w:line="360" w:lineRule="auto"/>
              <w:jc w:val="center"/>
              <w:rPr>
                <w:b/>
                <w:bCs/>
              </w:rPr>
            </w:pPr>
            <w:r>
              <w:rPr>
                <w:rFonts w:hint="eastAsia"/>
                <w:b/>
                <w:bCs/>
              </w:rPr>
              <w:t>意见章条及原标准内容</w:t>
            </w:r>
          </w:p>
        </w:tc>
        <w:tc>
          <w:tcPr>
            <w:tcW w:w="5245" w:type="dxa"/>
            <w:tcBorders>
              <w:top w:val="single" w:color="auto" w:sz="8" w:space="0"/>
              <w:bottom w:val="single" w:color="auto" w:sz="8" w:space="0"/>
            </w:tcBorders>
            <w:vAlign w:val="center"/>
          </w:tcPr>
          <w:p>
            <w:pPr>
              <w:spacing w:line="360" w:lineRule="auto"/>
              <w:jc w:val="center"/>
              <w:rPr>
                <w:b/>
                <w:bCs/>
              </w:rPr>
            </w:pPr>
            <w:r>
              <w:rPr>
                <w:rFonts w:hint="eastAsia"/>
                <w:b/>
                <w:bCs/>
              </w:rPr>
              <w:t>修改意见及依据</w:t>
            </w:r>
          </w:p>
        </w:tc>
        <w:tc>
          <w:tcPr>
            <w:tcW w:w="1559" w:type="dxa"/>
            <w:tcBorders>
              <w:top w:val="single" w:color="auto" w:sz="8" w:space="0"/>
              <w:bottom w:val="single" w:color="auto" w:sz="8" w:space="0"/>
            </w:tcBorders>
            <w:vAlign w:val="center"/>
          </w:tcPr>
          <w:p>
            <w:pPr>
              <w:spacing w:line="360" w:lineRule="auto"/>
              <w:jc w:val="center"/>
              <w:rPr>
                <w:b/>
                <w:bCs/>
              </w:rPr>
            </w:pPr>
            <w:r>
              <w:rPr>
                <w:rFonts w:hint="eastAsia"/>
                <w:b/>
                <w:bCs/>
              </w:rPr>
              <w:t>提出单位</w:t>
            </w:r>
          </w:p>
        </w:tc>
        <w:tc>
          <w:tcPr>
            <w:tcW w:w="3402" w:type="dxa"/>
            <w:tcBorders>
              <w:top w:val="single" w:color="auto" w:sz="8" w:space="0"/>
              <w:bottom w:val="single" w:color="auto" w:sz="8" w:space="0"/>
              <w:right w:val="single" w:color="auto" w:sz="12" w:space="0"/>
            </w:tcBorders>
            <w:vAlign w:val="center"/>
          </w:tcPr>
          <w:p>
            <w:pPr>
              <w:spacing w:line="360" w:lineRule="auto"/>
              <w:jc w:val="center"/>
              <w:rPr>
                <w:b/>
                <w:bCs/>
              </w:rPr>
            </w:pPr>
            <w:r>
              <w:rPr>
                <w:rFonts w:hint="eastAsia"/>
                <w:b/>
                <w:bCs/>
              </w:rPr>
              <w:t>意见处理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top w:val="single" w:color="auto" w:sz="8" w:space="0"/>
              <w:left w:val="single" w:color="auto" w:sz="12" w:space="0"/>
            </w:tcBorders>
            <w:vAlign w:val="center"/>
          </w:tcPr>
          <w:p>
            <w:pPr>
              <w:spacing w:line="360" w:lineRule="auto"/>
              <w:jc w:val="center"/>
            </w:pPr>
            <w:r>
              <w:rPr>
                <w:rFonts w:hint="eastAsia"/>
              </w:rPr>
              <w:t>1</w:t>
            </w:r>
          </w:p>
        </w:tc>
        <w:tc>
          <w:tcPr>
            <w:tcW w:w="3119" w:type="dxa"/>
            <w:tcBorders>
              <w:top w:val="single" w:color="auto" w:sz="8" w:space="0"/>
            </w:tcBorders>
            <w:vAlign w:val="center"/>
          </w:tcPr>
          <w:p>
            <w:pPr>
              <w:spacing w:line="480" w:lineRule="auto"/>
              <w:jc w:val="left"/>
              <w:outlineLvl w:val="0"/>
              <w:rPr>
                <w:rFonts w:ascii="Times New Roman" w:hAnsi="Times New Roman" w:eastAsia="黑体"/>
                <w:szCs w:val="21"/>
              </w:rPr>
            </w:pPr>
            <w:bookmarkStart w:id="64" w:name="_Toc29538"/>
            <w:bookmarkStart w:id="65" w:name="_Toc32553"/>
            <w:bookmarkStart w:id="66" w:name="_Toc26082"/>
            <w:bookmarkStart w:id="67" w:name="_Toc10018"/>
            <w:bookmarkStart w:id="68" w:name="_Toc26578"/>
            <w:bookmarkStart w:id="69" w:name="_Toc18948"/>
            <w:bookmarkStart w:id="70" w:name="_Toc145357448"/>
            <w:bookmarkStart w:id="71" w:name="_Toc13588"/>
            <w:r>
              <w:rPr>
                <w:rFonts w:hint="eastAsia" w:ascii="Times New Roman" w:hAnsi="Times New Roman" w:eastAsia="黑体"/>
                <w:szCs w:val="21"/>
              </w:rPr>
              <w:t>1、</w:t>
            </w:r>
            <w:r>
              <w:rPr>
                <w:rFonts w:ascii="Times New Roman" w:hAnsi="Times New Roman" w:eastAsia="黑体"/>
                <w:szCs w:val="21"/>
              </w:rPr>
              <w:t>2 规范性引用文件</w:t>
            </w:r>
            <w:bookmarkEnd w:id="64"/>
            <w:bookmarkEnd w:id="65"/>
            <w:bookmarkEnd w:id="66"/>
            <w:bookmarkEnd w:id="67"/>
            <w:bookmarkEnd w:id="68"/>
            <w:bookmarkEnd w:id="69"/>
            <w:bookmarkEnd w:id="70"/>
            <w:bookmarkEnd w:id="71"/>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HJ/T 91  地表水和污水监测技术规范</w:t>
            </w:r>
          </w:p>
          <w:p>
            <w:pPr>
              <w:adjustRightInd w:val="0"/>
              <w:snapToGrid w:val="0"/>
              <w:spacing w:line="360" w:lineRule="auto"/>
              <w:jc w:val="left"/>
            </w:pPr>
            <w:r>
              <w:rPr>
                <w:rFonts w:hint="eastAsia" w:ascii="Times New Roman" w:hAnsi="Times New Roman" w:eastAsia="黑体"/>
                <w:szCs w:val="21"/>
              </w:rPr>
              <w:t>2、</w:t>
            </w:r>
            <w:r>
              <w:rPr>
                <w:rFonts w:ascii="Times New Roman" w:hAnsi="Times New Roman" w:eastAsia="黑体"/>
                <w:szCs w:val="21"/>
              </w:rPr>
              <w:t>3.4 24小时零点漂移</w:t>
            </w:r>
            <w:r>
              <w:rPr>
                <w:rFonts w:hint="eastAsia" w:ascii="Times New Roman" w:hAnsi="Times New Roman" w:eastAsia="黑体"/>
                <w:szCs w:val="21"/>
              </w:rPr>
              <w:t xml:space="preserve"> 24-hour zero drift</w:t>
            </w:r>
          </w:p>
        </w:tc>
        <w:tc>
          <w:tcPr>
            <w:tcW w:w="5245" w:type="dxa"/>
            <w:tcBorders>
              <w:top w:val="single" w:color="auto" w:sz="8" w:space="0"/>
            </w:tcBorders>
            <w:vAlign w:val="center"/>
          </w:tcPr>
          <w:p>
            <w:pPr>
              <w:adjustRightInd w:val="0"/>
              <w:snapToGrid w:val="0"/>
              <w:spacing w:line="360" w:lineRule="auto"/>
              <w:jc w:val="left"/>
              <w:rPr>
                <w:rFonts w:ascii="Times New Roman" w:hAnsi="Times New Roman"/>
                <w:szCs w:val="21"/>
              </w:rPr>
            </w:pPr>
            <w:r>
              <w:rPr>
                <w:rFonts w:hint="eastAsia" w:ascii="Times New Roman" w:hAnsi="Times New Roman"/>
                <w:szCs w:val="21"/>
              </w:rPr>
              <w:t>1、“</w:t>
            </w:r>
            <w:r>
              <w:rPr>
                <w:rFonts w:ascii="Times New Roman" w:hAnsi="Times New Roman"/>
                <w:szCs w:val="21"/>
              </w:rPr>
              <w:t>HJ/T 91     地表水和污水监测技术规范</w:t>
            </w:r>
            <w:r>
              <w:rPr>
                <w:rFonts w:hint="eastAsia" w:ascii="Times New Roman" w:hAnsi="Times New Roman"/>
                <w:szCs w:val="21"/>
              </w:rPr>
              <w:t>”应修改为“</w:t>
            </w:r>
            <w:r>
              <w:rPr>
                <w:rFonts w:ascii="Times New Roman" w:hAnsi="Times New Roman"/>
                <w:szCs w:val="21"/>
              </w:rPr>
              <w:t>HJ/T 91</w:t>
            </w:r>
            <w:r>
              <w:rPr>
                <w:rFonts w:hint="eastAsia" w:ascii="Times New Roman" w:hAnsi="Times New Roman"/>
                <w:szCs w:val="21"/>
              </w:rPr>
              <w:t>.2 地表水环境质量监测技术规范”。自2022年8月1日起，</w:t>
            </w:r>
            <w:r>
              <w:rPr>
                <w:rFonts w:ascii="Times New Roman" w:hAnsi="Times New Roman"/>
                <w:szCs w:val="21"/>
              </w:rPr>
              <w:t>HJ/T 91</w:t>
            </w:r>
            <w:r>
              <w:rPr>
                <w:rFonts w:hint="eastAsia" w:ascii="Times New Roman" w:hAnsi="Times New Roman"/>
                <w:szCs w:val="21"/>
              </w:rPr>
              <w:t>中涉及地表水环境监测质量部分废止。</w:t>
            </w:r>
          </w:p>
          <w:p>
            <w:pPr>
              <w:spacing w:line="360" w:lineRule="auto"/>
              <w:jc w:val="left"/>
            </w:pPr>
            <w:r>
              <w:rPr>
                <w:rFonts w:hint="eastAsia"/>
              </w:rPr>
              <w:t>2、“</w:t>
            </w:r>
            <w:r>
              <w:rPr>
                <w:rFonts w:ascii="Times New Roman" w:hAnsi="Times New Roman"/>
                <w:szCs w:val="21"/>
              </w:rPr>
              <w:t>仪器指示值在24hh前后的变化.</w:t>
            </w:r>
            <w:r>
              <w:rPr>
                <w:rFonts w:hint="eastAsia"/>
              </w:rPr>
              <w:t>”应修改为“</w:t>
            </w:r>
            <w:r>
              <w:rPr>
                <w:rFonts w:ascii="Times New Roman" w:hAnsi="Times New Roman"/>
                <w:szCs w:val="21"/>
              </w:rPr>
              <w:t>仪器指示值在24h前后的变化</w:t>
            </w:r>
            <w:r>
              <w:rPr>
                <w:rFonts w:hint="eastAsia" w:ascii="Times New Roman" w:hAnsi="Times New Roman"/>
                <w:szCs w:val="21"/>
              </w:rPr>
              <w:t>。</w:t>
            </w:r>
            <w:r>
              <w:rPr>
                <w:rFonts w:hint="eastAsia"/>
              </w:rPr>
              <w:t>”单位错误和标点符号错误。</w:t>
            </w:r>
          </w:p>
        </w:tc>
        <w:tc>
          <w:tcPr>
            <w:tcW w:w="1559" w:type="dxa"/>
            <w:tcBorders>
              <w:top w:val="single" w:color="auto" w:sz="8" w:space="0"/>
            </w:tcBorders>
            <w:vAlign w:val="center"/>
          </w:tcPr>
          <w:p>
            <w:pPr>
              <w:spacing w:line="360" w:lineRule="auto"/>
              <w:jc w:val="left"/>
            </w:pPr>
            <w:r>
              <w:rPr>
                <w:rFonts w:hint="eastAsia"/>
              </w:rPr>
              <w:t>陕西省地质调查实验中心化学分析测试研究所</w:t>
            </w:r>
          </w:p>
        </w:tc>
        <w:tc>
          <w:tcPr>
            <w:tcW w:w="3402" w:type="dxa"/>
            <w:tcBorders>
              <w:top w:val="single" w:color="auto" w:sz="8" w:space="0"/>
              <w:right w:val="single" w:color="auto" w:sz="12" w:space="0"/>
            </w:tcBorders>
            <w:vAlign w:val="center"/>
          </w:tcPr>
          <w:p>
            <w:pPr>
              <w:spacing w:line="360" w:lineRule="auto"/>
              <w:jc w:val="left"/>
            </w:pPr>
            <w:r>
              <w:rPr>
                <w:rFonts w:hint="eastAsia"/>
              </w:rPr>
              <w:t>1、已采纳第一条，引用文件“HJ 91.2      地表水环境质量监测技术规范”</w:t>
            </w:r>
          </w:p>
          <w:p>
            <w:pPr>
              <w:spacing w:line="360" w:lineRule="auto"/>
              <w:jc w:val="left"/>
            </w:pPr>
            <w:r>
              <w:t>2</w:t>
            </w:r>
            <w:r>
              <w:rPr>
                <w:rFonts w:hint="eastAsia"/>
              </w:rPr>
              <w:t>、已采纳第2条，修改符号错误</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left w:val="single" w:color="auto" w:sz="12" w:space="0"/>
            </w:tcBorders>
            <w:vAlign w:val="center"/>
          </w:tcPr>
          <w:p>
            <w:pPr>
              <w:spacing w:line="360" w:lineRule="auto"/>
              <w:jc w:val="center"/>
            </w:pPr>
            <w:r>
              <w:rPr>
                <w:rFonts w:hint="eastAsia"/>
              </w:rPr>
              <w:t>2</w:t>
            </w:r>
          </w:p>
        </w:tc>
        <w:tc>
          <w:tcPr>
            <w:tcW w:w="3119" w:type="dxa"/>
            <w:vAlign w:val="center"/>
          </w:tcPr>
          <w:p>
            <w:pPr>
              <w:pStyle w:val="55"/>
              <w:numPr>
                <w:ilvl w:val="0"/>
                <w:numId w:val="3"/>
              </w:numPr>
              <w:spacing w:line="360" w:lineRule="auto"/>
              <w:ind w:firstLineChars="0"/>
              <w:jc w:val="left"/>
            </w:pPr>
            <w:r>
              <w:rPr>
                <w:rFonts w:hint="eastAsia"/>
              </w:rPr>
              <w:t>DB61/XXXXX-XXXX</w:t>
            </w:r>
          </w:p>
          <w:p>
            <w:pPr>
              <w:pStyle w:val="55"/>
              <w:numPr>
                <w:ilvl w:val="0"/>
                <w:numId w:val="3"/>
              </w:numPr>
              <w:spacing w:line="360" w:lineRule="auto"/>
              <w:ind w:firstLineChars="0"/>
              <w:jc w:val="left"/>
            </w:pPr>
            <w:r>
              <w:rPr>
                <w:rFonts w:hint="eastAsia"/>
              </w:rPr>
              <w:t>前言本标准首次发布</w:t>
            </w:r>
          </w:p>
          <w:p>
            <w:pPr>
              <w:pStyle w:val="55"/>
              <w:numPr>
                <w:ilvl w:val="0"/>
                <w:numId w:val="3"/>
              </w:numPr>
              <w:spacing w:line="360" w:lineRule="auto"/>
              <w:ind w:firstLineChars="0"/>
              <w:jc w:val="left"/>
            </w:pPr>
            <w:r>
              <w:rPr>
                <w:rFonts w:ascii="Times New Roman" w:hAnsi="Times New Roman"/>
                <w:szCs w:val="21"/>
              </w:rPr>
              <w:t>本规范内容引用了下列文件中的条款。凡是不注明日期的引用文件，其有效版本适用于本规范。</w:t>
            </w:r>
          </w:p>
          <w:p>
            <w:pPr>
              <w:pStyle w:val="55"/>
              <w:numPr>
                <w:ilvl w:val="0"/>
                <w:numId w:val="3"/>
              </w:numPr>
              <w:spacing w:line="360" w:lineRule="auto"/>
              <w:ind w:firstLineChars="0"/>
              <w:jc w:val="left"/>
            </w:pPr>
            <w:r>
              <w:rPr>
                <w:rFonts w:hint="eastAsia" w:ascii="Times New Roman" w:hAnsi="Times New Roman"/>
                <w:szCs w:val="21"/>
              </w:rPr>
              <w:t>“本规范”</w:t>
            </w:r>
          </w:p>
          <w:p>
            <w:pPr>
              <w:pStyle w:val="55"/>
              <w:numPr>
                <w:ilvl w:val="0"/>
                <w:numId w:val="3"/>
              </w:numPr>
              <w:spacing w:line="360" w:lineRule="auto"/>
              <w:ind w:firstLineChars="0"/>
              <w:jc w:val="left"/>
            </w:pPr>
            <w:r>
              <w:rPr>
                <w:rFonts w:hint="eastAsia" w:ascii="Times New Roman" w:hAnsi="Times New Roman"/>
                <w:szCs w:val="21"/>
              </w:rPr>
              <w:t>规范性引用文件中的标准</w:t>
            </w:r>
          </w:p>
          <w:p>
            <w:pPr>
              <w:pStyle w:val="55"/>
              <w:numPr>
                <w:ilvl w:val="0"/>
                <w:numId w:val="3"/>
              </w:numPr>
              <w:spacing w:line="360" w:lineRule="auto"/>
              <w:ind w:firstLineChars="0"/>
              <w:jc w:val="left"/>
            </w:pPr>
            <w:r>
              <w:rPr>
                <w:rFonts w:hint="eastAsia"/>
              </w:rPr>
              <w:t>附录A（规范性附录）</w:t>
            </w:r>
          </w:p>
          <w:p>
            <w:pPr>
              <w:pStyle w:val="55"/>
              <w:numPr>
                <w:ilvl w:val="0"/>
                <w:numId w:val="3"/>
              </w:numPr>
              <w:spacing w:line="360" w:lineRule="auto"/>
              <w:ind w:firstLineChars="0"/>
              <w:jc w:val="left"/>
            </w:pPr>
            <w:r>
              <w:rPr>
                <w:rFonts w:hint="eastAsia"/>
              </w:rPr>
              <w:t>附录B（资料性附录）</w:t>
            </w:r>
          </w:p>
        </w:tc>
        <w:tc>
          <w:tcPr>
            <w:tcW w:w="5245" w:type="dxa"/>
            <w:vAlign w:val="center"/>
          </w:tcPr>
          <w:p>
            <w:pPr>
              <w:shd w:val="clear" w:color="auto" w:fill="FFFFFF" w:themeFill="background1"/>
              <w:spacing w:line="360" w:lineRule="auto"/>
              <w:jc w:val="left"/>
            </w:pPr>
            <w:r>
              <w:rPr>
                <w:rFonts w:hint="eastAsia"/>
              </w:rPr>
              <w:t>1、DB61/TXXXXX-XXXX</w:t>
            </w:r>
          </w:p>
          <w:p>
            <w:pPr>
              <w:spacing w:line="360" w:lineRule="auto"/>
              <w:jc w:val="left"/>
            </w:pPr>
            <w:r>
              <w:rPr>
                <w:rFonts w:hint="eastAsia"/>
              </w:rPr>
              <w:t>2、本文件首次发布</w:t>
            </w:r>
          </w:p>
          <w:p>
            <w:pPr>
              <w:spacing w:line="360" w:lineRule="auto"/>
              <w:jc w:val="left"/>
            </w:pPr>
            <w:r>
              <w:rPr>
                <w:rFonts w:hint="eastAsia"/>
              </w:rPr>
              <w:t>3、下列文件中的内容通过文中的规范性引用而构成本文件必不可少的条款。其中，注日期的引用文件，仅该日期对应的版本适用于本文件；不注日期的引用文件，其最新版本（包括所有的修改单）适用于本文件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60" w:lineRule="auto"/>
              <w:jc w:val="left"/>
            </w:pPr>
            <w:r>
              <w:rPr>
                <w:rFonts w:hint="eastAsia"/>
              </w:rPr>
              <w:t>4、“本文件”</w:t>
            </w:r>
          </w:p>
          <w:p>
            <w:pPr>
              <w:spacing w:line="360" w:lineRule="auto"/>
              <w:jc w:val="left"/>
            </w:pPr>
            <w:r>
              <w:rPr>
                <w:rFonts w:hint="eastAsia"/>
              </w:rPr>
              <w:t>5、未在文件出现的纳入参考文献</w:t>
            </w:r>
          </w:p>
          <w:p>
            <w:pPr>
              <w:spacing w:line="360" w:lineRule="auto"/>
              <w:jc w:val="left"/>
            </w:pPr>
            <w:r>
              <w:rPr>
                <w:rFonts w:hint="eastAsia"/>
              </w:rPr>
              <w:t>6、附录A（规范性）</w:t>
            </w:r>
          </w:p>
          <w:p>
            <w:pPr>
              <w:spacing w:line="360" w:lineRule="auto"/>
              <w:jc w:val="left"/>
            </w:pPr>
            <w:r>
              <w:rPr>
                <w:rFonts w:hint="eastAsia"/>
              </w:rPr>
              <w:t>7、附录B（资料性）</w:t>
            </w:r>
          </w:p>
        </w:tc>
        <w:tc>
          <w:tcPr>
            <w:tcW w:w="1559" w:type="dxa"/>
            <w:vAlign w:val="center"/>
          </w:tcPr>
          <w:p>
            <w:pPr>
              <w:spacing w:line="360" w:lineRule="auto"/>
              <w:jc w:val="left"/>
            </w:pPr>
            <w:r>
              <w:rPr>
                <w:rFonts w:hint="eastAsia"/>
              </w:rPr>
              <w:t>陕西省地质矿产实验研究所有限公司</w:t>
            </w:r>
          </w:p>
        </w:tc>
        <w:tc>
          <w:tcPr>
            <w:tcW w:w="3402" w:type="dxa"/>
            <w:tcBorders>
              <w:right w:val="single" w:color="auto" w:sz="12" w:space="0"/>
            </w:tcBorders>
            <w:vAlign w:val="center"/>
          </w:tcPr>
          <w:p>
            <w:pPr>
              <w:spacing w:line="360" w:lineRule="auto"/>
              <w:jc w:val="left"/>
            </w:pPr>
            <w:r>
              <w:rPr>
                <w:rFonts w:hint="eastAsia"/>
              </w:rPr>
              <w:t>已全部采纳</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left w:val="single" w:color="auto" w:sz="12" w:space="0"/>
            </w:tcBorders>
            <w:vAlign w:val="center"/>
          </w:tcPr>
          <w:p>
            <w:pPr>
              <w:spacing w:line="360" w:lineRule="auto"/>
              <w:jc w:val="center"/>
            </w:pPr>
            <w:r>
              <w:rPr>
                <w:rFonts w:hint="eastAsia"/>
              </w:rPr>
              <w:t>3</w:t>
            </w:r>
          </w:p>
        </w:tc>
        <w:tc>
          <w:tcPr>
            <w:tcW w:w="3119" w:type="dxa"/>
            <w:vAlign w:val="center"/>
          </w:tcPr>
          <w:p>
            <w:pPr>
              <w:spacing w:line="360" w:lineRule="auto"/>
              <w:jc w:val="left"/>
              <w:rPr>
                <w:rFonts w:ascii="Times New Roman"/>
              </w:rPr>
            </w:pPr>
            <w:bookmarkStart w:id="72" w:name="_Toc12588"/>
            <w:bookmarkStart w:id="73" w:name="_Toc145357460"/>
            <w:r>
              <w:rPr>
                <w:rFonts w:hint="eastAsia" w:ascii="Times New Roman"/>
              </w:rPr>
              <w:t>1、</w:t>
            </w:r>
            <w:r>
              <w:rPr>
                <w:rFonts w:ascii="Times New Roman"/>
              </w:rPr>
              <w:t>6.2.3有效数据</w:t>
            </w:r>
            <w:bookmarkEnd w:id="72"/>
            <w:bookmarkEnd w:id="73"/>
          </w:p>
          <w:p>
            <w:pPr>
              <w:pStyle w:val="36"/>
              <w:widowControl w:val="0"/>
              <w:numPr>
                <w:ilvl w:val="1"/>
                <w:numId w:val="0"/>
              </w:numPr>
              <w:spacing w:before="156" w:after="156"/>
              <w:jc w:val="left"/>
              <w:outlineLvl w:val="1"/>
            </w:pPr>
            <w:r>
              <w:rPr>
                <w:rFonts w:hint="eastAsia" w:ascii="Times New Roman"/>
              </w:rPr>
              <w:t>2、</w:t>
            </w:r>
            <w:bookmarkStart w:id="74" w:name="_Toc24502"/>
            <w:bookmarkStart w:id="75" w:name="_Toc145357457"/>
            <w:bookmarkStart w:id="76" w:name="_Toc21851"/>
            <w:bookmarkStart w:id="77" w:name="_Toc9565"/>
            <w:bookmarkStart w:id="78" w:name="_Toc25176"/>
            <w:bookmarkStart w:id="79" w:name="_Toc17192"/>
            <w:r>
              <w:rPr>
                <w:rFonts w:ascii="Times New Roman"/>
              </w:rPr>
              <w:t>6.2人工审核</w:t>
            </w:r>
            <w:bookmarkEnd w:id="74"/>
            <w:bookmarkEnd w:id="75"/>
            <w:bookmarkEnd w:id="76"/>
            <w:bookmarkEnd w:id="77"/>
            <w:bookmarkEnd w:id="78"/>
            <w:bookmarkEnd w:id="79"/>
          </w:p>
        </w:tc>
        <w:tc>
          <w:tcPr>
            <w:tcW w:w="5245" w:type="dxa"/>
            <w:vAlign w:val="center"/>
          </w:tcPr>
          <w:p>
            <w:pPr>
              <w:spacing w:line="360" w:lineRule="auto"/>
              <w:jc w:val="left"/>
              <w:rPr>
                <w:rFonts w:ascii="Times New Roman" w:hAnsi="Times New Roman"/>
                <w:kern w:val="0"/>
                <w:szCs w:val="20"/>
              </w:rPr>
            </w:pPr>
            <w:r>
              <w:rPr>
                <w:rFonts w:hint="eastAsia" w:ascii="Times New Roman" w:hAnsi="Times New Roman"/>
                <w:kern w:val="0"/>
                <w:szCs w:val="20"/>
              </w:rPr>
              <w:t>1、建议增加</w:t>
            </w:r>
            <w:r>
              <w:rPr>
                <w:rFonts w:ascii="Times New Roman" w:hAnsi="Times New Roman"/>
                <w:kern w:val="0"/>
                <w:szCs w:val="20"/>
              </w:rPr>
              <w:t>在质控合格及监测仪器正常运行时，</w:t>
            </w:r>
            <w:r>
              <w:rPr>
                <w:rFonts w:hint="eastAsia" w:ascii="Times New Roman" w:hAnsi="Times New Roman"/>
                <w:kern w:val="0"/>
                <w:szCs w:val="20"/>
              </w:rPr>
              <w:t>正常</w:t>
            </w:r>
            <w:r>
              <w:rPr>
                <w:rFonts w:ascii="Times New Roman" w:hAnsi="Times New Roman"/>
                <w:kern w:val="0"/>
                <w:szCs w:val="20"/>
              </w:rPr>
              <w:t>情况</w:t>
            </w:r>
            <w:r>
              <w:rPr>
                <w:rFonts w:hint="eastAsia" w:ascii="Times New Roman" w:hAnsi="Times New Roman"/>
                <w:kern w:val="0"/>
                <w:szCs w:val="20"/>
              </w:rPr>
              <w:t>的监测数据</w:t>
            </w:r>
            <w:r>
              <w:rPr>
                <w:rFonts w:ascii="Times New Roman" w:hAnsi="Times New Roman"/>
                <w:kern w:val="0"/>
                <w:szCs w:val="20"/>
              </w:rPr>
              <w:t>为有效数据。</w:t>
            </w:r>
          </w:p>
          <w:p>
            <w:pPr>
              <w:spacing w:line="360" w:lineRule="auto"/>
              <w:jc w:val="left"/>
            </w:pPr>
            <w:r>
              <w:rPr>
                <w:rFonts w:hint="eastAsia" w:ascii="Times New Roman" w:hAnsi="Times New Roman"/>
                <w:kern w:val="0"/>
                <w:szCs w:val="20"/>
              </w:rPr>
              <w:t>2、建议明确人工审核的时间节点</w:t>
            </w:r>
          </w:p>
        </w:tc>
        <w:tc>
          <w:tcPr>
            <w:tcW w:w="1559" w:type="dxa"/>
            <w:vAlign w:val="center"/>
          </w:tcPr>
          <w:p>
            <w:pPr>
              <w:spacing w:line="360" w:lineRule="auto"/>
              <w:jc w:val="left"/>
            </w:pPr>
            <w:r>
              <w:rPr>
                <w:rFonts w:hint="eastAsia"/>
              </w:rPr>
              <w:t>陕西省水环境监测中心</w:t>
            </w:r>
          </w:p>
        </w:tc>
        <w:tc>
          <w:tcPr>
            <w:tcW w:w="3402" w:type="dxa"/>
            <w:tcBorders>
              <w:right w:val="single" w:color="auto" w:sz="12" w:space="0"/>
            </w:tcBorders>
            <w:vAlign w:val="center"/>
          </w:tcPr>
          <w:p>
            <w:pPr>
              <w:pStyle w:val="55"/>
              <w:numPr>
                <w:ilvl w:val="0"/>
                <w:numId w:val="4"/>
              </w:numPr>
              <w:spacing w:line="360" w:lineRule="auto"/>
              <w:ind w:firstLineChars="0"/>
              <w:jc w:val="left"/>
            </w:pPr>
            <w:r>
              <w:rPr>
                <w:rFonts w:hint="eastAsia"/>
              </w:rPr>
              <w:t>第一条未采纳，因为本文件明确人工审核中遇到如下四种情况判定为有效数据。</w:t>
            </w:r>
          </w:p>
          <w:p>
            <w:pPr>
              <w:pStyle w:val="55"/>
              <w:numPr>
                <w:ilvl w:val="0"/>
                <w:numId w:val="4"/>
              </w:numPr>
              <w:spacing w:line="360" w:lineRule="auto"/>
              <w:ind w:firstLineChars="0"/>
              <w:jc w:val="left"/>
            </w:pPr>
            <w:r>
              <w:rPr>
                <w:rFonts w:hint="eastAsia"/>
              </w:rPr>
              <w:t>第二条未采纳，因为人工审核的时间节点问题属于管理要求。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left w:val="single" w:color="auto" w:sz="12" w:space="0"/>
            </w:tcBorders>
            <w:vAlign w:val="center"/>
          </w:tcPr>
          <w:p>
            <w:pPr>
              <w:spacing w:line="360" w:lineRule="auto"/>
              <w:jc w:val="center"/>
            </w:pPr>
            <w:r>
              <w:rPr>
                <w:rFonts w:hint="eastAsia"/>
              </w:rPr>
              <w:t>4</w:t>
            </w:r>
          </w:p>
        </w:tc>
        <w:tc>
          <w:tcPr>
            <w:tcW w:w="3119" w:type="dxa"/>
            <w:vAlign w:val="center"/>
          </w:tcPr>
          <w:p>
            <w:pPr>
              <w:spacing w:line="480" w:lineRule="auto"/>
              <w:jc w:val="left"/>
              <w:outlineLvl w:val="0"/>
              <w:rPr>
                <w:rFonts w:ascii="Times New Roman" w:hAnsi="Times New Roman" w:eastAsia="黑体"/>
                <w:szCs w:val="21"/>
              </w:rPr>
            </w:pPr>
            <w:r>
              <w:rPr>
                <w:rFonts w:ascii="Times New Roman" w:hAnsi="Times New Roman" w:eastAsia="黑体"/>
                <w:szCs w:val="21"/>
              </w:rPr>
              <w:t>2 规范性引用文件</w:t>
            </w:r>
          </w:p>
          <w:p>
            <w:pPr>
              <w:adjustRightInd w:val="0"/>
              <w:snapToGrid w:val="0"/>
              <w:spacing w:line="360" w:lineRule="auto"/>
              <w:ind w:firstLine="420" w:firstLineChars="200"/>
              <w:jc w:val="left"/>
            </w:pPr>
            <w:r>
              <w:rPr>
                <w:rFonts w:ascii="Times New Roman" w:hAnsi="Times New Roman"/>
                <w:szCs w:val="21"/>
              </w:rPr>
              <w:t>HJ/T 91  地表水和污水监测技术规范</w:t>
            </w:r>
          </w:p>
        </w:tc>
        <w:tc>
          <w:tcPr>
            <w:tcW w:w="5245" w:type="dxa"/>
            <w:vAlign w:val="center"/>
          </w:tcPr>
          <w:p>
            <w:pPr>
              <w:adjustRightInd w:val="0"/>
              <w:snapToGrid w:val="0"/>
              <w:spacing w:line="360" w:lineRule="auto"/>
              <w:jc w:val="left"/>
            </w:pPr>
            <w:r>
              <w:rPr>
                <w:rFonts w:hint="eastAsia" w:ascii="Times New Roman" w:hAnsi="Times New Roman"/>
                <w:szCs w:val="21"/>
              </w:rPr>
              <w:t>1、“</w:t>
            </w:r>
            <w:r>
              <w:rPr>
                <w:rFonts w:ascii="Times New Roman" w:hAnsi="Times New Roman"/>
                <w:szCs w:val="21"/>
              </w:rPr>
              <w:t>HJ/T 91     地表水和污水监测技术规范</w:t>
            </w:r>
            <w:r>
              <w:rPr>
                <w:rFonts w:hint="eastAsia" w:ascii="Times New Roman" w:hAnsi="Times New Roman"/>
                <w:szCs w:val="21"/>
              </w:rPr>
              <w:t>”应修改为“</w:t>
            </w:r>
            <w:r>
              <w:rPr>
                <w:rFonts w:ascii="Times New Roman" w:hAnsi="Times New Roman"/>
                <w:szCs w:val="21"/>
              </w:rPr>
              <w:t>HJ/T 91</w:t>
            </w:r>
            <w:r>
              <w:rPr>
                <w:rFonts w:hint="eastAsia" w:ascii="Times New Roman" w:hAnsi="Times New Roman"/>
                <w:szCs w:val="21"/>
              </w:rPr>
              <w:t>.2 地表水环境质量监测技术规范”。自2022年8月1日起，</w:t>
            </w:r>
            <w:r>
              <w:rPr>
                <w:rFonts w:ascii="Times New Roman" w:hAnsi="Times New Roman"/>
                <w:szCs w:val="21"/>
              </w:rPr>
              <w:t>HJ/T 91</w:t>
            </w:r>
            <w:r>
              <w:rPr>
                <w:rFonts w:hint="eastAsia" w:ascii="Times New Roman" w:hAnsi="Times New Roman"/>
                <w:szCs w:val="21"/>
              </w:rPr>
              <w:t>中涉及地表水环境监测质量部分废止。</w:t>
            </w:r>
          </w:p>
        </w:tc>
        <w:tc>
          <w:tcPr>
            <w:tcW w:w="1559" w:type="dxa"/>
            <w:vAlign w:val="center"/>
          </w:tcPr>
          <w:p>
            <w:pPr>
              <w:spacing w:line="360" w:lineRule="auto"/>
              <w:jc w:val="left"/>
            </w:pPr>
            <w:r>
              <w:rPr>
                <w:rFonts w:hint="eastAsia"/>
              </w:rPr>
              <w:t>中国科学院地球环境研究所</w:t>
            </w:r>
          </w:p>
        </w:tc>
        <w:tc>
          <w:tcPr>
            <w:tcW w:w="3402" w:type="dxa"/>
            <w:tcBorders>
              <w:right w:val="single" w:color="auto" w:sz="12" w:space="0"/>
            </w:tcBorders>
            <w:vAlign w:val="center"/>
          </w:tcPr>
          <w:p>
            <w:pPr>
              <w:spacing w:line="360" w:lineRule="auto"/>
              <w:jc w:val="left"/>
            </w:pPr>
            <w:r>
              <w:rPr>
                <w:rFonts w:hint="eastAsia"/>
              </w:rPr>
              <w:t>已采纳，同第一条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left w:val="single" w:color="auto" w:sz="12" w:space="0"/>
            </w:tcBorders>
            <w:vAlign w:val="center"/>
          </w:tcPr>
          <w:p>
            <w:pPr>
              <w:spacing w:line="360" w:lineRule="auto"/>
              <w:jc w:val="center"/>
            </w:pPr>
            <w:r>
              <w:rPr>
                <w:rFonts w:hint="eastAsia"/>
              </w:rPr>
              <w:t>5</w:t>
            </w:r>
          </w:p>
        </w:tc>
        <w:tc>
          <w:tcPr>
            <w:tcW w:w="3119" w:type="dxa"/>
            <w:vAlign w:val="center"/>
          </w:tcPr>
          <w:p>
            <w:pPr>
              <w:spacing w:line="480" w:lineRule="auto"/>
              <w:jc w:val="left"/>
              <w:outlineLvl w:val="0"/>
              <w:rPr>
                <w:rFonts w:ascii="Times New Roman" w:hAnsi="Times New Roman" w:eastAsia="黑体"/>
                <w:szCs w:val="21"/>
              </w:rPr>
            </w:pPr>
            <w:bookmarkStart w:id="80" w:name="_Toc18993"/>
            <w:bookmarkStart w:id="81" w:name="_Toc21837"/>
            <w:bookmarkStart w:id="82" w:name="_Toc12869"/>
            <w:bookmarkStart w:id="83" w:name="_Toc22186"/>
            <w:bookmarkStart w:id="84" w:name="_Toc145357447"/>
            <w:bookmarkStart w:id="85" w:name="_Toc18946"/>
            <w:bookmarkStart w:id="86" w:name="_Toc21396"/>
            <w:bookmarkStart w:id="87" w:name="_Toc12011"/>
            <w:r>
              <w:rPr>
                <w:rFonts w:ascii="Times New Roman" w:hAnsi="Times New Roman" w:eastAsia="黑体"/>
                <w:szCs w:val="21"/>
              </w:rPr>
              <w:t>1 范围</w:t>
            </w:r>
            <w:bookmarkEnd w:id="80"/>
            <w:bookmarkEnd w:id="81"/>
            <w:bookmarkEnd w:id="82"/>
            <w:bookmarkEnd w:id="83"/>
            <w:bookmarkEnd w:id="84"/>
            <w:bookmarkEnd w:id="85"/>
            <w:bookmarkEnd w:id="86"/>
            <w:bookmarkEnd w:id="87"/>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本</w:t>
            </w:r>
            <w:r>
              <w:rPr>
                <w:rFonts w:hint="eastAsia" w:ascii="Times New Roman" w:hAnsi="Times New Roman"/>
                <w:szCs w:val="21"/>
              </w:rPr>
              <w:t>文件</w:t>
            </w:r>
            <w:r>
              <w:rPr>
                <w:rFonts w:ascii="Times New Roman" w:hAnsi="Times New Roman"/>
                <w:szCs w:val="21"/>
              </w:rPr>
              <w:t>规定了地表水环境质量自动监测数据审核依据、审核过程以及审核细则要求。</w:t>
            </w:r>
          </w:p>
          <w:p>
            <w:pPr>
              <w:spacing w:line="360" w:lineRule="auto"/>
              <w:jc w:val="left"/>
            </w:pPr>
          </w:p>
        </w:tc>
        <w:tc>
          <w:tcPr>
            <w:tcW w:w="5245" w:type="dxa"/>
            <w:vAlign w:val="center"/>
          </w:tcPr>
          <w:p>
            <w:pPr>
              <w:spacing w:line="360" w:lineRule="auto"/>
              <w:jc w:val="left"/>
            </w:pPr>
            <w:r>
              <w:rPr>
                <w:rFonts w:hint="eastAsia"/>
              </w:rPr>
              <w:t>“地表水环境质量自动监测数据”修改为“地表水水质自动监测数据”。规范中的用词前后保持一致</w:t>
            </w:r>
          </w:p>
        </w:tc>
        <w:tc>
          <w:tcPr>
            <w:tcW w:w="1559" w:type="dxa"/>
            <w:vAlign w:val="center"/>
          </w:tcPr>
          <w:p>
            <w:pPr>
              <w:spacing w:line="360" w:lineRule="auto"/>
              <w:jc w:val="left"/>
            </w:pPr>
            <w:r>
              <w:rPr>
                <w:rFonts w:hint="eastAsia"/>
              </w:rPr>
              <w:t>国家林业和草原局西北调查规划院</w:t>
            </w:r>
          </w:p>
        </w:tc>
        <w:tc>
          <w:tcPr>
            <w:tcW w:w="3402" w:type="dxa"/>
            <w:tcBorders>
              <w:right w:val="single" w:color="auto" w:sz="12" w:space="0"/>
            </w:tcBorders>
            <w:vAlign w:val="center"/>
          </w:tcPr>
          <w:p>
            <w:pPr>
              <w:spacing w:line="360" w:lineRule="auto"/>
              <w:jc w:val="left"/>
              <w:rPr>
                <w:color w:val="FF0000"/>
              </w:rPr>
            </w:pPr>
            <w:r>
              <w:rPr>
                <w:rFonts w:hint="eastAsia"/>
              </w:rPr>
              <w:t>已采纳</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left w:val="single" w:color="auto" w:sz="12" w:space="0"/>
            </w:tcBorders>
            <w:vAlign w:val="center"/>
          </w:tcPr>
          <w:p>
            <w:pPr>
              <w:spacing w:line="360" w:lineRule="auto"/>
              <w:jc w:val="center"/>
            </w:pPr>
            <w:r>
              <w:rPr>
                <w:rFonts w:hint="eastAsia"/>
              </w:rPr>
              <w:t>6</w:t>
            </w:r>
          </w:p>
        </w:tc>
        <w:tc>
          <w:tcPr>
            <w:tcW w:w="3119" w:type="dxa"/>
            <w:vAlign w:val="center"/>
          </w:tcPr>
          <w:p>
            <w:pPr>
              <w:spacing w:line="360" w:lineRule="auto"/>
              <w:jc w:val="left"/>
            </w:pPr>
            <w:r>
              <w:rPr>
                <w:rFonts w:ascii="Times New Roman" w:hAnsi="Times New Roman" w:eastAsia="黑体"/>
                <w:szCs w:val="21"/>
              </w:rPr>
              <w:t>3.4 24小时零点漂移</w:t>
            </w:r>
            <w:r>
              <w:rPr>
                <w:rFonts w:hint="eastAsia" w:ascii="Times New Roman" w:hAnsi="Times New Roman" w:eastAsia="黑体"/>
                <w:szCs w:val="21"/>
              </w:rPr>
              <w:t xml:space="preserve"> 24-hour zero drift</w:t>
            </w:r>
          </w:p>
        </w:tc>
        <w:tc>
          <w:tcPr>
            <w:tcW w:w="5245" w:type="dxa"/>
            <w:vAlign w:val="center"/>
          </w:tcPr>
          <w:p>
            <w:pPr>
              <w:spacing w:line="360" w:lineRule="auto"/>
              <w:jc w:val="left"/>
            </w:pPr>
            <w:r>
              <w:rPr>
                <w:rFonts w:hint="eastAsia"/>
              </w:rPr>
              <w:t>“</w:t>
            </w:r>
            <w:r>
              <w:rPr>
                <w:rFonts w:ascii="Times New Roman" w:hAnsi="Times New Roman"/>
                <w:szCs w:val="21"/>
              </w:rPr>
              <w:t>仪器指示值在24hh前后的变化.</w:t>
            </w:r>
            <w:r>
              <w:rPr>
                <w:rFonts w:hint="eastAsia"/>
              </w:rPr>
              <w:t>”应修改为“</w:t>
            </w:r>
            <w:r>
              <w:rPr>
                <w:rFonts w:ascii="Times New Roman" w:hAnsi="Times New Roman"/>
                <w:szCs w:val="21"/>
              </w:rPr>
              <w:t>仪器指示值在24h前后的变化</w:t>
            </w:r>
            <w:r>
              <w:rPr>
                <w:rFonts w:hint="eastAsia" w:ascii="Times New Roman" w:hAnsi="Times New Roman"/>
                <w:szCs w:val="21"/>
              </w:rPr>
              <w:t>。</w:t>
            </w:r>
            <w:r>
              <w:rPr>
                <w:rFonts w:hint="eastAsia"/>
              </w:rPr>
              <w:t>”单位错误和标点符号错误。</w:t>
            </w:r>
          </w:p>
        </w:tc>
        <w:tc>
          <w:tcPr>
            <w:tcW w:w="1559" w:type="dxa"/>
            <w:vAlign w:val="center"/>
          </w:tcPr>
          <w:p>
            <w:pPr>
              <w:spacing w:line="360" w:lineRule="auto"/>
              <w:jc w:val="left"/>
            </w:pPr>
            <w:r>
              <w:rPr>
                <w:rFonts w:hint="eastAsia"/>
              </w:rPr>
              <w:t>陕西晟达检测技术有限公司</w:t>
            </w:r>
          </w:p>
        </w:tc>
        <w:tc>
          <w:tcPr>
            <w:tcW w:w="3402" w:type="dxa"/>
            <w:tcBorders>
              <w:right w:val="single" w:color="auto" w:sz="12" w:space="0"/>
            </w:tcBorders>
            <w:vAlign w:val="center"/>
          </w:tcPr>
          <w:p>
            <w:pPr>
              <w:spacing w:line="360" w:lineRule="auto"/>
              <w:jc w:val="left"/>
            </w:pPr>
            <w:r>
              <w:rPr>
                <w:rFonts w:hint="eastAsia"/>
              </w:rPr>
              <w:t>已采纳，修改文本中的符号错误</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left w:val="single" w:color="auto" w:sz="12" w:space="0"/>
            </w:tcBorders>
            <w:vAlign w:val="center"/>
          </w:tcPr>
          <w:p>
            <w:pPr>
              <w:spacing w:line="360" w:lineRule="auto"/>
              <w:jc w:val="center"/>
            </w:pPr>
            <w:r>
              <w:t>7</w:t>
            </w:r>
          </w:p>
        </w:tc>
        <w:tc>
          <w:tcPr>
            <w:tcW w:w="3119" w:type="dxa"/>
            <w:vAlign w:val="center"/>
          </w:tcPr>
          <w:p>
            <w:pPr>
              <w:pStyle w:val="36"/>
              <w:widowControl w:val="0"/>
              <w:numPr>
                <w:ilvl w:val="1"/>
                <w:numId w:val="0"/>
              </w:numPr>
              <w:spacing w:before="156" w:after="156"/>
              <w:jc w:val="left"/>
              <w:outlineLvl w:val="1"/>
              <w:rPr>
                <w:rFonts w:ascii="Times New Roman"/>
              </w:rPr>
            </w:pPr>
            <w:bookmarkStart w:id="88" w:name="_Toc28814"/>
            <w:bookmarkStart w:id="89" w:name="_Toc145357452"/>
            <w:r>
              <w:rPr>
                <w:rFonts w:ascii="Times New Roman"/>
              </w:rPr>
              <w:t>5.1初审</w:t>
            </w:r>
            <w:bookmarkEnd w:id="88"/>
            <w:bookmarkEnd w:id="89"/>
            <w:r>
              <w:rPr>
                <w:rFonts w:hint="eastAsia" w:ascii="Times New Roman"/>
              </w:rPr>
              <w:t>中“</w:t>
            </w:r>
            <w:r>
              <w:rPr>
                <w:rFonts w:ascii="Times New Roman"/>
              </w:rPr>
              <w:t>《地表水水质自动监测站运行维护技术要求（试行）》</w:t>
            </w:r>
            <w:r>
              <w:rPr>
                <w:rFonts w:hint="eastAsia" w:ascii="Times New Roman"/>
              </w:rPr>
              <w:t>”</w:t>
            </w:r>
          </w:p>
          <w:p>
            <w:pPr>
              <w:pStyle w:val="36"/>
              <w:widowControl w:val="0"/>
              <w:numPr>
                <w:ilvl w:val="1"/>
                <w:numId w:val="0"/>
              </w:numPr>
              <w:spacing w:before="156" w:after="156"/>
              <w:jc w:val="left"/>
              <w:outlineLvl w:val="1"/>
            </w:pPr>
            <w:r>
              <w:rPr>
                <w:rFonts w:ascii="Times New Roman"/>
              </w:rPr>
              <w:t>8.1所有审核人员均需要经过培训合格后才能参与数据审核工作，各级审核人员必须一岗双证，保证审核工作顺利开展。</w:t>
            </w:r>
          </w:p>
        </w:tc>
        <w:tc>
          <w:tcPr>
            <w:tcW w:w="5245" w:type="dxa"/>
            <w:vAlign w:val="center"/>
          </w:tcPr>
          <w:p>
            <w:pPr>
              <w:spacing w:line="360" w:lineRule="auto"/>
              <w:jc w:val="left"/>
              <w:rPr>
                <w:rFonts w:ascii="Times New Roman" w:hAnsi="Times New Roman"/>
              </w:rPr>
            </w:pPr>
            <w:r>
              <w:rPr>
                <w:rFonts w:hint="eastAsia" w:ascii="Times New Roman" w:hAnsi="Times New Roman"/>
              </w:rPr>
              <w:t>1、建议加上出版年份</w:t>
            </w:r>
            <w:r>
              <w:rPr>
                <w:rFonts w:ascii="Times New Roman" w:hAnsi="Times New Roman"/>
              </w:rPr>
              <w:t>。</w:t>
            </w:r>
          </w:p>
          <w:p>
            <w:pPr>
              <w:spacing w:line="360" w:lineRule="auto"/>
              <w:jc w:val="left"/>
            </w:pPr>
            <w:r>
              <w:rPr>
                <w:rFonts w:hint="eastAsia"/>
              </w:rPr>
              <w:t>2、一岗双证应说明，并考虑此规定是否合适</w:t>
            </w:r>
          </w:p>
        </w:tc>
        <w:tc>
          <w:tcPr>
            <w:tcW w:w="1559" w:type="dxa"/>
            <w:vAlign w:val="center"/>
          </w:tcPr>
          <w:p>
            <w:pPr>
              <w:spacing w:line="360" w:lineRule="auto"/>
              <w:jc w:val="left"/>
            </w:pPr>
            <w:r>
              <w:rPr>
                <w:rFonts w:hint="eastAsia"/>
              </w:rPr>
              <w:t>长安大学水利与环境学院</w:t>
            </w:r>
          </w:p>
        </w:tc>
        <w:tc>
          <w:tcPr>
            <w:tcW w:w="3402" w:type="dxa"/>
            <w:tcBorders>
              <w:right w:val="single" w:color="auto" w:sz="12" w:space="0"/>
            </w:tcBorders>
            <w:vAlign w:val="center"/>
          </w:tcPr>
          <w:p>
            <w:pPr>
              <w:pStyle w:val="55"/>
              <w:numPr>
                <w:ilvl w:val="0"/>
                <w:numId w:val="5"/>
              </w:numPr>
              <w:spacing w:line="360" w:lineRule="auto"/>
              <w:ind w:firstLineChars="0"/>
              <w:jc w:val="left"/>
            </w:pPr>
            <w:r>
              <w:rPr>
                <w:rFonts w:hint="eastAsia"/>
              </w:rPr>
              <w:t>未采纳，规范性引用文件中已经说明：不注日期的引用文件，其最新版本（包括所有的修改单）适用于本文件。</w:t>
            </w:r>
          </w:p>
          <w:p>
            <w:pPr>
              <w:pStyle w:val="55"/>
              <w:numPr>
                <w:ilvl w:val="0"/>
                <w:numId w:val="5"/>
              </w:numPr>
              <w:spacing w:line="360" w:lineRule="auto"/>
              <w:ind w:firstLineChars="0"/>
              <w:jc w:val="left"/>
            </w:pPr>
            <w:r>
              <w:rPr>
                <w:rFonts w:hint="eastAsia"/>
              </w:rPr>
              <w:t>已采纳，</w:t>
            </w:r>
            <w:r>
              <w:rPr>
                <w:rFonts w:ascii="Times New Roman"/>
              </w:rPr>
              <w:t>所有审核人员均需要经过培训合格后才能参与数据审核工作，必须</w:t>
            </w:r>
            <w:r>
              <w:rPr>
                <w:rFonts w:hint="eastAsia" w:ascii="Times New Roman"/>
              </w:rPr>
              <w:t>满足一个岗位配备两名审核员</w:t>
            </w:r>
            <w:r>
              <w:rPr>
                <w:rFonts w:ascii="Times New Roman"/>
              </w:rPr>
              <w:t>，保证审核工作顺利开展。</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left w:val="single" w:color="auto" w:sz="12" w:space="0"/>
              <w:bottom w:val="single" w:color="auto" w:sz="6" w:space="0"/>
            </w:tcBorders>
            <w:vAlign w:val="center"/>
          </w:tcPr>
          <w:p>
            <w:pPr>
              <w:spacing w:line="360" w:lineRule="auto"/>
              <w:jc w:val="center"/>
            </w:pPr>
            <w:r>
              <w:t>8</w:t>
            </w:r>
          </w:p>
        </w:tc>
        <w:tc>
          <w:tcPr>
            <w:tcW w:w="3119" w:type="dxa"/>
            <w:tcBorders>
              <w:bottom w:val="single" w:color="auto" w:sz="6" w:space="0"/>
            </w:tcBorders>
            <w:vAlign w:val="center"/>
          </w:tcPr>
          <w:p>
            <w:pPr>
              <w:spacing w:line="360" w:lineRule="auto"/>
              <w:jc w:val="left"/>
            </w:pPr>
          </w:p>
        </w:tc>
        <w:tc>
          <w:tcPr>
            <w:tcW w:w="5245" w:type="dxa"/>
            <w:tcBorders>
              <w:bottom w:val="single" w:color="auto" w:sz="6" w:space="0"/>
            </w:tcBorders>
            <w:vAlign w:val="center"/>
          </w:tcPr>
          <w:p>
            <w:pPr>
              <w:spacing w:line="360" w:lineRule="auto"/>
              <w:jc w:val="left"/>
            </w:pPr>
            <w:r>
              <w:rPr>
                <w:rFonts w:hint="eastAsia"/>
              </w:rPr>
              <w:t>无</w:t>
            </w:r>
          </w:p>
        </w:tc>
        <w:tc>
          <w:tcPr>
            <w:tcW w:w="1559" w:type="dxa"/>
            <w:tcBorders>
              <w:bottom w:val="single" w:color="auto" w:sz="6" w:space="0"/>
            </w:tcBorders>
            <w:vAlign w:val="center"/>
          </w:tcPr>
          <w:p>
            <w:pPr>
              <w:spacing w:line="360" w:lineRule="auto"/>
              <w:jc w:val="left"/>
            </w:pPr>
            <w:r>
              <w:rPr>
                <w:rFonts w:hint="eastAsia"/>
              </w:rPr>
              <w:t>陕西省环境保护有限公司</w:t>
            </w:r>
          </w:p>
        </w:tc>
        <w:tc>
          <w:tcPr>
            <w:tcW w:w="3402" w:type="dxa"/>
            <w:tcBorders>
              <w:bottom w:val="single" w:color="auto" w:sz="6" w:space="0"/>
              <w:right w:val="single" w:color="auto" w:sz="12" w:space="0"/>
            </w:tcBorders>
            <w:vAlign w:val="center"/>
          </w:tcPr>
          <w:p>
            <w:pPr>
              <w:spacing w:line="360" w:lineRule="auto"/>
              <w:jc w:val="left"/>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top w:val="single" w:color="auto" w:sz="6" w:space="0"/>
              <w:left w:val="single" w:color="auto" w:sz="12" w:space="0"/>
              <w:bottom w:val="single" w:color="auto" w:sz="6" w:space="0"/>
            </w:tcBorders>
            <w:vAlign w:val="center"/>
          </w:tcPr>
          <w:p>
            <w:pPr>
              <w:spacing w:line="360" w:lineRule="auto"/>
              <w:jc w:val="center"/>
            </w:pPr>
            <w:r>
              <w:t>9</w:t>
            </w:r>
          </w:p>
        </w:tc>
        <w:tc>
          <w:tcPr>
            <w:tcW w:w="3119" w:type="dxa"/>
            <w:tcBorders>
              <w:top w:val="single" w:color="auto" w:sz="6" w:space="0"/>
              <w:bottom w:val="single" w:color="auto" w:sz="6" w:space="0"/>
            </w:tcBorders>
            <w:vAlign w:val="center"/>
          </w:tcPr>
          <w:p>
            <w:pPr>
              <w:spacing w:line="360" w:lineRule="auto"/>
              <w:jc w:val="left"/>
            </w:pPr>
          </w:p>
        </w:tc>
        <w:tc>
          <w:tcPr>
            <w:tcW w:w="5245" w:type="dxa"/>
            <w:tcBorders>
              <w:top w:val="single" w:color="auto" w:sz="6" w:space="0"/>
              <w:bottom w:val="single" w:color="auto" w:sz="6" w:space="0"/>
            </w:tcBorders>
            <w:vAlign w:val="center"/>
          </w:tcPr>
          <w:p>
            <w:pPr>
              <w:spacing w:line="360" w:lineRule="auto"/>
              <w:jc w:val="left"/>
            </w:pPr>
            <w:r>
              <w:rPr>
                <w:rFonts w:hint="eastAsia"/>
              </w:rPr>
              <w:t>无</w:t>
            </w:r>
          </w:p>
        </w:tc>
        <w:tc>
          <w:tcPr>
            <w:tcW w:w="1559" w:type="dxa"/>
            <w:tcBorders>
              <w:top w:val="single" w:color="auto" w:sz="6" w:space="0"/>
              <w:bottom w:val="single" w:color="auto" w:sz="6" w:space="0"/>
            </w:tcBorders>
            <w:vAlign w:val="center"/>
          </w:tcPr>
          <w:p>
            <w:pPr>
              <w:spacing w:line="360" w:lineRule="auto"/>
              <w:jc w:val="left"/>
            </w:pPr>
            <w:r>
              <w:rPr>
                <w:rFonts w:hint="eastAsia"/>
              </w:rPr>
              <w:t>咸阳市生态环境局兴平分局</w:t>
            </w:r>
          </w:p>
        </w:tc>
        <w:tc>
          <w:tcPr>
            <w:tcW w:w="3402" w:type="dxa"/>
            <w:tcBorders>
              <w:top w:val="single" w:color="auto" w:sz="6" w:space="0"/>
              <w:bottom w:val="single" w:color="auto" w:sz="6" w:space="0"/>
              <w:right w:val="single" w:color="auto" w:sz="12" w:space="0"/>
            </w:tcBorders>
            <w:vAlign w:val="center"/>
          </w:tcPr>
          <w:p>
            <w:pPr>
              <w:spacing w:line="360" w:lineRule="auto"/>
              <w:jc w:val="left"/>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675" w:type="dxa"/>
            <w:tcBorders>
              <w:top w:val="single" w:color="auto" w:sz="6" w:space="0"/>
              <w:left w:val="single" w:color="auto" w:sz="12" w:space="0"/>
              <w:bottom w:val="single" w:color="auto" w:sz="6" w:space="0"/>
            </w:tcBorders>
            <w:vAlign w:val="center"/>
          </w:tcPr>
          <w:p>
            <w:pPr>
              <w:spacing w:line="360" w:lineRule="auto"/>
              <w:jc w:val="center"/>
            </w:pPr>
            <w:r>
              <w:t>10</w:t>
            </w:r>
          </w:p>
        </w:tc>
        <w:tc>
          <w:tcPr>
            <w:tcW w:w="3119" w:type="dxa"/>
            <w:tcBorders>
              <w:top w:val="single" w:color="auto" w:sz="6" w:space="0"/>
              <w:bottom w:val="single" w:color="auto" w:sz="6" w:space="0"/>
            </w:tcBorders>
            <w:vAlign w:val="center"/>
          </w:tcPr>
          <w:p>
            <w:pPr>
              <w:spacing w:line="360" w:lineRule="auto"/>
              <w:jc w:val="left"/>
            </w:pPr>
          </w:p>
        </w:tc>
        <w:tc>
          <w:tcPr>
            <w:tcW w:w="5245" w:type="dxa"/>
            <w:tcBorders>
              <w:top w:val="single" w:color="auto" w:sz="6" w:space="0"/>
              <w:bottom w:val="single" w:color="auto" w:sz="6" w:space="0"/>
            </w:tcBorders>
            <w:vAlign w:val="center"/>
          </w:tcPr>
          <w:p>
            <w:pPr>
              <w:spacing w:line="360" w:lineRule="auto"/>
              <w:jc w:val="left"/>
            </w:pPr>
            <w:r>
              <w:rPr>
                <w:rFonts w:hint="eastAsia"/>
              </w:rPr>
              <w:t>无</w:t>
            </w:r>
          </w:p>
        </w:tc>
        <w:tc>
          <w:tcPr>
            <w:tcW w:w="1559" w:type="dxa"/>
            <w:tcBorders>
              <w:top w:val="single" w:color="auto" w:sz="6" w:space="0"/>
              <w:bottom w:val="single" w:color="auto" w:sz="6" w:space="0"/>
            </w:tcBorders>
            <w:vAlign w:val="center"/>
          </w:tcPr>
          <w:p>
            <w:pPr>
              <w:spacing w:line="360" w:lineRule="auto"/>
              <w:jc w:val="left"/>
            </w:pPr>
            <w:r>
              <w:rPr>
                <w:rFonts w:hint="eastAsia"/>
              </w:rPr>
              <w:t>兴平市环境监测站</w:t>
            </w:r>
          </w:p>
        </w:tc>
        <w:tc>
          <w:tcPr>
            <w:tcW w:w="3402" w:type="dxa"/>
            <w:tcBorders>
              <w:top w:val="single" w:color="auto" w:sz="6" w:space="0"/>
              <w:bottom w:val="single" w:color="auto" w:sz="6" w:space="0"/>
              <w:right w:val="single" w:color="auto" w:sz="12" w:space="0"/>
            </w:tcBorders>
            <w:vAlign w:val="center"/>
          </w:tcPr>
          <w:p>
            <w:pPr>
              <w:spacing w:line="360" w:lineRule="auto"/>
              <w:jc w:val="left"/>
            </w:pPr>
          </w:p>
        </w:tc>
      </w:tr>
    </w:tbl>
    <w:p>
      <w:pPr>
        <w:pStyle w:val="58"/>
        <w:spacing w:line="594" w:lineRule="exact"/>
        <w:ind w:left="0" w:leftChars="0" w:firstLine="0" w:firstLineChars="0"/>
        <w:rPr>
          <w:rFonts w:ascii="Times New Roman" w:hAnsi="Times New Roman" w:eastAsia="仿宋_GB2312"/>
          <w:color w:val="000000"/>
          <w:sz w:val="28"/>
          <w:szCs w:val="28"/>
        </w:rPr>
        <w:sectPr>
          <w:pgSz w:w="16838" w:h="11906" w:orient="landscape"/>
          <w:pgMar w:top="1800" w:right="1440" w:bottom="1800" w:left="1440" w:header="851" w:footer="850" w:gutter="0"/>
          <w:cols w:space="720" w:num="1"/>
          <w:docGrid w:type="lines" w:linePitch="312" w:charSpace="0"/>
        </w:sectPr>
      </w:pPr>
    </w:p>
    <w:p>
      <w:pPr>
        <w:pStyle w:val="3"/>
        <w:keepNext w:val="0"/>
        <w:numPr>
          <w:ilvl w:val="0"/>
          <w:numId w:val="0"/>
        </w:numPr>
        <w:spacing w:before="100" w:after="100" w:line="594" w:lineRule="exact"/>
        <w:rPr>
          <w:rFonts w:ascii="黑体" w:hAnsi="黑体" w:eastAsia="黑体"/>
          <w:b w:val="0"/>
          <w:bCs w:val="0"/>
          <w:color w:val="000000"/>
          <w:kern w:val="2"/>
          <w:sz w:val="32"/>
          <w:szCs w:val="32"/>
        </w:rPr>
      </w:pPr>
      <w:bookmarkStart w:id="90" w:name="_Toc20154_WPSOffice_Level1"/>
      <w:bookmarkStart w:id="91" w:name="_Toc148432471"/>
      <w:bookmarkStart w:id="92" w:name="_Toc8412_WPSOffice_Level1"/>
      <w:r>
        <w:rPr>
          <w:rFonts w:hint="eastAsia" w:ascii="黑体" w:hAnsi="黑体" w:eastAsia="黑体"/>
          <w:b w:val="0"/>
          <w:bCs w:val="0"/>
          <w:color w:val="000000"/>
          <w:kern w:val="2"/>
          <w:sz w:val="32"/>
          <w:szCs w:val="32"/>
          <w:lang w:val="en-US" w:eastAsia="zh-CN"/>
        </w:rPr>
        <w:t>9</w:t>
      </w:r>
      <w:r>
        <w:rPr>
          <w:rFonts w:ascii="黑体" w:hAnsi="黑体" w:eastAsia="黑体"/>
          <w:b w:val="0"/>
          <w:bCs w:val="0"/>
          <w:color w:val="000000"/>
          <w:kern w:val="2"/>
          <w:sz w:val="32"/>
          <w:szCs w:val="32"/>
        </w:rPr>
        <w:t xml:space="preserve"> 其它应予以说明的事项</w:t>
      </w:r>
      <w:bookmarkEnd w:id="90"/>
      <w:bookmarkEnd w:id="91"/>
      <w:bookmarkEnd w:id="92"/>
    </w:p>
    <w:p>
      <w:pPr>
        <w:pStyle w:val="58"/>
        <w:spacing w:line="594" w:lineRule="exact"/>
        <w:ind w:firstLine="560"/>
        <w:rPr>
          <w:rFonts w:ascii="Times New Roman" w:hAnsi="Times New Roman" w:eastAsia="仿宋_GB2312"/>
          <w:color w:val="000000"/>
          <w:sz w:val="28"/>
          <w:szCs w:val="28"/>
        </w:rPr>
      </w:pPr>
      <w:r>
        <w:rPr>
          <w:rFonts w:ascii="Times New Roman" w:hAnsi="Times New Roman" w:eastAsia="仿宋_GB2312"/>
          <w:color w:val="000000"/>
          <w:sz w:val="28"/>
          <w:szCs w:val="28"/>
        </w:rPr>
        <w:t>虽然在标准的起草过程中，工作小组进行了大量调研及验证工作，尽可能使标准科学合理，但由于工作的局限性，难免有疏忽之处，为提高标准质量，请各单位在执行本标准的过程中，注意积累资料，总结经验，如发现需要修改和补充之处，请将意见和有关资料及时反馈给我们，以供今后修订时参考。</w:t>
      </w:r>
    </w:p>
    <w:p>
      <w:pPr>
        <w:pStyle w:val="2"/>
        <w:rPr>
          <w:color w:val="000000"/>
        </w:rPr>
      </w:pPr>
    </w:p>
    <w:p>
      <w:pPr>
        <w:pStyle w:val="2"/>
        <w:rPr>
          <w:color w:val="000000"/>
        </w:rPr>
        <w:sectPr>
          <w:pgSz w:w="11906" w:h="16838"/>
          <w:pgMar w:top="1440" w:right="1800" w:bottom="1440" w:left="1800" w:header="851" w:footer="850" w:gutter="0"/>
          <w:cols w:space="720" w:num="1"/>
          <w:docGrid w:type="lines" w:linePitch="312" w:charSpace="0"/>
        </w:sectPr>
      </w:pPr>
    </w:p>
    <w:p>
      <w:pPr>
        <w:widowControl/>
        <w:spacing w:line="480" w:lineRule="auto"/>
        <w:jc w:val="left"/>
        <w:outlineLvl w:val="0"/>
        <w:rPr>
          <w:rFonts w:eastAsia="黑体"/>
          <w:sz w:val="24"/>
        </w:rPr>
      </w:pPr>
      <w:bookmarkStart w:id="93" w:name="_Toc148432472"/>
      <w:bookmarkStart w:id="94" w:name="_Toc14350"/>
      <w:bookmarkStart w:id="95" w:name="_Toc513"/>
      <w:bookmarkStart w:id="96" w:name="_Toc31226"/>
      <w:r>
        <w:rPr>
          <w:rFonts w:eastAsia="黑体"/>
          <w:sz w:val="24"/>
        </w:rPr>
        <w:t>附录A平台数据审核标识</w:t>
      </w:r>
      <w:bookmarkEnd w:id="93"/>
      <w:bookmarkEnd w:id="94"/>
      <w:bookmarkEnd w:id="95"/>
      <w:bookmarkEnd w:id="96"/>
    </w:p>
    <w:p>
      <w:pPr>
        <w:rPr>
          <w:b/>
          <w:bCs/>
        </w:rPr>
      </w:pPr>
      <w:r>
        <w:rPr>
          <w:b/>
          <w:bCs/>
        </w:rPr>
        <w:t>1、数据标记表</w:t>
      </w:r>
    </w:p>
    <w:tbl>
      <w:tblPr>
        <w:tblStyle w:val="19"/>
        <w:tblW w:w="0" w:type="auto"/>
        <w:jc w:val="center"/>
        <w:tblLayout w:type="fixed"/>
        <w:tblCellMar>
          <w:top w:w="0" w:type="dxa"/>
          <w:left w:w="108" w:type="dxa"/>
          <w:bottom w:w="0" w:type="dxa"/>
          <w:right w:w="108" w:type="dxa"/>
        </w:tblCellMar>
      </w:tblPr>
      <w:tblGrid>
        <w:gridCol w:w="655"/>
        <w:gridCol w:w="1487"/>
        <w:gridCol w:w="5238"/>
        <w:gridCol w:w="1092"/>
      </w:tblGrid>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lang w:bidi="ar"/>
              </w:rPr>
            </w:pPr>
            <w:r>
              <w:rPr>
                <w:b/>
                <w:bCs/>
                <w:kern w:val="0"/>
                <w:szCs w:val="21"/>
                <w:lang w:bidi="ar"/>
              </w:rPr>
              <w:t>标识</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lang w:bidi="ar"/>
              </w:rPr>
            </w:pPr>
            <w:r>
              <w:rPr>
                <w:b/>
                <w:bCs/>
                <w:kern w:val="0"/>
                <w:szCs w:val="21"/>
                <w:lang w:bidi="ar"/>
              </w:rPr>
              <w:t>标识定义</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lang w:bidi="ar"/>
              </w:rPr>
            </w:pPr>
            <w:r>
              <w:rPr>
                <w:b/>
                <w:bCs/>
                <w:kern w:val="0"/>
                <w:szCs w:val="21"/>
                <w:lang w:bidi="ar"/>
              </w:rPr>
              <w:t>说 明</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b/>
                <w:bCs/>
                <w:kern w:val="0"/>
                <w:szCs w:val="21"/>
                <w:lang w:bidi="ar"/>
              </w:rPr>
            </w:pPr>
            <w:r>
              <w:rPr>
                <w:b/>
                <w:bCs/>
                <w:kern w:val="0"/>
                <w:szCs w:val="21"/>
                <w:lang w:bidi="ar"/>
              </w:rPr>
              <w:t>适用范围</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N</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正常</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测量数据正常有效</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T</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超上限</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监测浓度超仪器测量上限</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L</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超下限</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监测浓度超仪器下限或小于检出限</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P</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电源故障</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系统电源故障，可由是否为UPS来供电进行判断</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D</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仪器故障</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仪器故障</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F</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仪器通信故障</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仪器数据采集失败</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B</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仪器离线</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仪器离线</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Z</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取水点无水样</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取水点没有水样或采水泵未正常上水</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S</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手工输入数据</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手工输入的补测值</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M</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维护调试数据</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在线监控（监测）仪器仪表处于维护（调试）期间产生的数据</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r>
        <w:tblPrEx>
          <w:tblCellMar>
            <w:top w:w="0" w:type="dxa"/>
            <w:left w:w="108" w:type="dxa"/>
            <w:bottom w:w="0" w:type="dxa"/>
            <w:right w:w="108" w:type="dxa"/>
          </w:tblCellMar>
        </w:tblPrEx>
        <w:trPr>
          <w:trHeight w:val="86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hd</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现场启动测试</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现场人员通过基站监测系统以手工即时执行的方式发出的命令，并让仪器自动完成操作，包括水样测试、标样核查测试、加标回收测试、零点核查、跨度核查等</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kern w:val="0"/>
                <w:szCs w:val="21"/>
                <w:lang w:bidi="ar"/>
              </w:rPr>
            </w:pPr>
            <w:r>
              <w:rPr>
                <w:kern w:val="0"/>
                <w:szCs w:val="21"/>
                <w:lang w:bidi="ar"/>
              </w:rPr>
              <w:t>通用</w:t>
            </w:r>
          </w:p>
        </w:tc>
      </w:tr>
    </w:tbl>
    <w:p>
      <w:pPr>
        <w:rPr>
          <w:b/>
          <w:bCs/>
        </w:rPr>
      </w:pPr>
      <w:r>
        <w:rPr>
          <w:b/>
          <w:bCs/>
        </w:rPr>
        <w:t>2、预审数据标识</w:t>
      </w:r>
    </w:p>
    <w:tbl>
      <w:tblPr>
        <w:tblStyle w:val="19"/>
        <w:tblW w:w="0" w:type="auto"/>
        <w:tblInd w:w="96" w:type="dxa"/>
        <w:tblLayout w:type="fixed"/>
        <w:tblCellMar>
          <w:top w:w="0" w:type="dxa"/>
          <w:left w:w="108" w:type="dxa"/>
          <w:bottom w:w="0" w:type="dxa"/>
          <w:right w:w="108" w:type="dxa"/>
        </w:tblCellMar>
      </w:tblPr>
      <w:tblGrid>
        <w:gridCol w:w="2220"/>
        <w:gridCol w:w="6176"/>
      </w:tblGrid>
      <w:tr>
        <w:tblPrEx>
          <w:tblCellMar>
            <w:top w:w="0" w:type="dxa"/>
            <w:left w:w="108" w:type="dxa"/>
            <w:bottom w:w="0" w:type="dxa"/>
            <w:right w:w="108" w:type="dxa"/>
          </w:tblCellMar>
        </w:tblPrEx>
        <w:trPr>
          <w:trHeight w:val="414"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lang w:bidi="ar"/>
              </w:rPr>
            </w:pPr>
            <w:r>
              <w:rPr>
                <w:b/>
                <w:bCs/>
                <w:kern w:val="0"/>
                <w:szCs w:val="21"/>
                <w:lang w:bidi="ar"/>
              </w:rPr>
              <w:t>平台标记</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kern w:val="0"/>
                <w:szCs w:val="21"/>
                <w:lang w:bidi="ar"/>
              </w:rPr>
            </w:pPr>
            <w:r>
              <w:rPr>
                <w:b/>
                <w:bCs/>
                <w:kern w:val="0"/>
                <w:szCs w:val="21"/>
                <w:lang w:bidi="ar"/>
              </w:rPr>
              <w:t>说 明</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零值异常</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测量数据为零</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水质明显变差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当前参数水质类别变差（跨水质类别变化）</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水质明显好转</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当前参数水质类别变好（跨水质类别变化）</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质控失败</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质控数据不合格</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离群偏小数据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数据离群偏小【小于上一次监测值的1/3倍(不包含1/3倍)】</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离群偏大数据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数据离群偏大【大于上一次监测值的3倍(不包含3倍)】</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不符合逻辑关系</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不符合逻辑关系，例如氨氮大于总氮等</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关键参数异常</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仪器上传的关键参数（消解温度、消解时长等）不合格标准</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恒值不变</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数据连续3条及以上不变</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不符合范围</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数据超出常规数据</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Cs w:val="21"/>
                <w:lang w:bidi="ar"/>
              </w:rPr>
            </w:pPr>
            <w:r>
              <w:rPr>
                <w:kern w:val="0"/>
                <w:szCs w:val="21"/>
                <w:lang w:bidi="ar"/>
              </w:rPr>
              <w:t>标红数据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lang w:bidi="ar"/>
              </w:rPr>
            </w:pPr>
            <w:r>
              <w:rPr>
                <w:kern w:val="0"/>
                <w:szCs w:val="21"/>
                <w:lang w:bidi="ar"/>
              </w:rPr>
              <w:t>数据超三类水</w:t>
            </w:r>
          </w:p>
        </w:tc>
      </w:tr>
    </w:tbl>
    <w:p>
      <w:r>
        <w:rPr>
          <w:b/>
          <w:bCs/>
        </w:rPr>
        <w:t>3、自动预审数据标识：</w:t>
      </w:r>
      <w:r>
        <w:t>系统根据预设参数限值、规则自动对监测数据进行初审，在数据审核过程中给予对应的提示。</w:t>
      </w:r>
    </w:p>
    <w:tbl>
      <w:tblPr>
        <w:tblStyle w:val="19"/>
        <w:tblW w:w="8483" w:type="dxa"/>
        <w:jc w:val="center"/>
        <w:tblLayout w:type="fixed"/>
        <w:tblCellMar>
          <w:top w:w="0" w:type="dxa"/>
          <w:left w:w="108" w:type="dxa"/>
          <w:bottom w:w="0" w:type="dxa"/>
          <w:right w:w="108" w:type="dxa"/>
        </w:tblCellMar>
      </w:tblPr>
      <w:tblGrid>
        <w:gridCol w:w="969"/>
        <w:gridCol w:w="1487"/>
        <w:gridCol w:w="1178"/>
        <w:gridCol w:w="1163"/>
        <w:gridCol w:w="1294"/>
        <w:gridCol w:w="1090"/>
        <w:gridCol w:w="1302"/>
      </w:tblGrid>
      <w:tr>
        <w:tblPrEx>
          <w:tblCellMar>
            <w:top w:w="0" w:type="dxa"/>
            <w:left w:w="108" w:type="dxa"/>
            <w:bottom w:w="0" w:type="dxa"/>
            <w:right w:w="108" w:type="dxa"/>
          </w:tblCellMar>
        </w:tblPrEx>
        <w:trPr>
          <w:trHeight w:val="369" w:hRule="atLeast"/>
          <w:jc w:val="center"/>
        </w:trPr>
        <w:tc>
          <w:tcPr>
            <w:tcW w:w="96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bookmarkStart w:id="97" w:name="_Toc148432473"/>
            <w:bookmarkStart w:id="98" w:name="_Toc21951"/>
            <w:bookmarkStart w:id="99" w:name="_Toc16491"/>
            <w:bookmarkStart w:id="100" w:name="_Toc26451"/>
            <w:r>
              <w:rPr>
                <w:rFonts w:ascii="Times New Roman" w:hAnsi="Times New Roman"/>
                <w:kern w:val="0"/>
                <w:szCs w:val="21"/>
                <w:lang w:bidi="ar"/>
              </w:rPr>
              <w:t>参数</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水温</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pH</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溶解氧</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电导率</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浊度</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叶绿素α</w:t>
            </w:r>
          </w:p>
        </w:tc>
      </w:tr>
      <w:tr>
        <w:tblPrEx>
          <w:tblCellMar>
            <w:top w:w="0" w:type="dxa"/>
            <w:left w:w="108" w:type="dxa"/>
            <w:bottom w:w="0" w:type="dxa"/>
            <w:right w:w="108" w:type="dxa"/>
          </w:tblCellMar>
        </w:tblPrEx>
        <w:trPr>
          <w:trHeight w:val="371" w:hRule="atLeast"/>
          <w:jc w:val="center"/>
        </w:trPr>
        <w:tc>
          <w:tcPr>
            <w:tcW w:w="96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Times New Roman" w:hAnsi="Times New Roman"/>
                <w:kern w:val="0"/>
                <w:szCs w:val="21"/>
                <w:lang w:bidi="ar"/>
              </w:rPr>
            </w:pPr>
            <w:r>
              <w:rPr>
                <w:rFonts w:ascii="Times New Roman" w:hAnsi="Times New Roman"/>
                <w:kern w:val="0"/>
                <w:szCs w:val="21"/>
                <w:lang w:bidi="ar"/>
              </w:rPr>
              <w:t>（无量纲）</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（mg/L）</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（μS/cm）</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（NTU）</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（mg/L）</w:t>
            </w: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下限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&lt;</w:t>
            </w:r>
            <w:r>
              <w:rPr>
                <w:rFonts w:hint="eastAsia" w:ascii="Times New Roman" w:hAnsi="Times New Roman"/>
                <w:kern w:val="0"/>
                <w:sz w:val="20"/>
                <w:szCs w:val="20"/>
                <w:lang w:bidi="ar"/>
              </w:rPr>
              <w:t>-</w:t>
            </w:r>
            <w:r>
              <w:rPr>
                <w:rFonts w:ascii="Times New Roman" w:hAnsi="Times New Roman"/>
                <w:kern w:val="0"/>
                <w:sz w:val="20"/>
                <w:szCs w:val="20"/>
                <w:lang w:bidi="ar"/>
              </w:rPr>
              <w:t>0</w:t>
            </w:r>
            <w:r>
              <w:rPr>
                <w:rFonts w:hint="eastAsia" w:ascii="Times New Roman" w:hAnsi="Times New Roman"/>
                <w:kern w:val="0"/>
                <w:sz w:val="20"/>
                <w:szCs w:val="20"/>
                <w:lang w:bidi="ar"/>
              </w:rPr>
              <w:t>.5</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&lt;</w:t>
            </w:r>
            <w:r>
              <w:rPr>
                <w:rFonts w:hint="eastAsia" w:ascii="Times New Roman" w:hAnsi="Times New Roman"/>
                <w:kern w:val="0"/>
                <w:sz w:val="20"/>
                <w:szCs w:val="20"/>
                <w:lang w:bidi="ar"/>
              </w:rPr>
              <w:t>2</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&lt;0</w:t>
            </w: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上限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50</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12</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50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hint="eastAsia" w:ascii="Times New Roman" w:hAnsi="Times New Roman"/>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hint="eastAsia" w:ascii="Times New Roman" w:hAnsi="Times New Roman"/>
                <w:kern w:val="0"/>
                <w:sz w:val="20"/>
                <w:szCs w:val="20"/>
                <w:lang w:bidi="ar"/>
              </w:rPr>
              <w:t>-</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&gt;0.1</w:t>
            </w:r>
          </w:p>
        </w:tc>
      </w:tr>
      <w:tr>
        <w:tblPrEx>
          <w:tblCellMar>
            <w:top w:w="0" w:type="dxa"/>
            <w:left w:w="108" w:type="dxa"/>
            <w:bottom w:w="0" w:type="dxa"/>
            <w:right w:w="108" w:type="dxa"/>
          </w:tblCellMar>
        </w:tblPrEx>
        <w:trPr>
          <w:trHeight w:val="347" w:hRule="atLeast"/>
          <w:jc w:val="center"/>
        </w:trPr>
        <w:tc>
          <w:tcPr>
            <w:tcW w:w="969"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参数</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高锰酸盐指数</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氨氮</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总磷</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总氮</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藻密度</w:t>
            </w:r>
          </w:p>
        </w:tc>
        <w:tc>
          <w:tcPr>
            <w:tcW w:w="1302" w:type="dxa"/>
            <w:tcBorders>
              <w:top w:val="single" w:color="000000" w:sz="4" w:space="0"/>
              <w:left w:val="single" w:color="000000" w:sz="4" w:space="0"/>
            </w:tcBorders>
            <w:noWrap/>
            <w:vAlign w:val="center"/>
          </w:tcPr>
          <w:p>
            <w:pPr>
              <w:jc w:val="center"/>
              <w:rPr>
                <w:rFonts w:ascii="Times New Roman" w:hAnsi="Times New Roman"/>
                <w:sz w:val="20"/>
                <w:szCs w:val="20"/>
              </w:rPr>
            </w:pPr>
          </w:p>
        </w:tc>
      </w:tr>
      <w:tr>
        <w:tblPrEx>
          <w:tblCellMar>
            <w:top w:w="0" w:type="dxa"/>
            <w:left w:w="108" w:type="dxa"/>
            <w:bottom w:w="0" w:type="dxa"/>
            <w:right w:w="108" w:type="dxa"/>
          </w:tblCellMar>
        </w:tblPrEx>
        <w:trPr>
          <w:trHeight w:val="266" w:hRule="atLeast"/>
          <w:jc w:val="center"/>
        </w:trPr>
        <w:tc>
          <w:tcPr>
            <w:tcW w:w="969"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（个/L）</w:t>
            </w:r>
          </w:p>
        </w:tc>
        <w:tc>
          <w:tcPr>
            <w:tcW w:w="1302" w:type="dxa"/>
            <w:tcBorders>
              <w:left w:val="single" w:color="000000" w:sz="4" w:space="0"/>
            </w:tcBorders>
            <w:noWrap/>
            <w:vAlign w:val="center"/>
          </w:tcPr>
          <w:p>
            <w:pPr>
              <w:jc w:val="center"/>
              <w:rPr>
                <w:rFonts w:ascii="Times New Roman" w:hAnsi="Times New Roman"/>
                <w:sz w:val="20"/>
                <w:szCs w:val="20"/>
              </w:rPr>
            </w:pP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下限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&lt;</w:t>
            </w:r>
            <w:r>
              <w:rPr>
                <w:rFonts w:hint="eastAsia" w:ascii="Times New Roman" w:hAnsi="Times New Roman"/>
                <w:kern w:val="0"/>
                <w:sz w:val="20"/>
                <w:szCs w:val="20"/>
                <w:lang w:bidi="ar"/>
              </w:rPr>
              <w:t>-</w:t>
            </w:r>
            <w:r>
              <w:rPr>
                <w:rFonts w:ascii="Times New Roman" w:hAnsi="Times New Roman"/>
                <w:kern w:val="0"/>
                <w:sz w:val="20"/>
                <w:szCs w:val="20"/>
                <w:lang w:bidi="ar"/>
              </w:rPr>
              <w:t>0</w:t>
            </w:r>
            <w:r>
              <w:rPr>
                <w:rFonts w:hint="eastAsia" w:ascii="Times New Roman" w:hAnsi="Times New Roman"/>
                <w:kern w:val="0"/>
                <w:sz w:val="20"/>
                <w:szCs w:val="20"/>
                <w:lang w:bidi="ar"/>
              </w:rPr>
              <w:t>.2</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&lt;-0.02</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302" w:type="dxa"/>
            <w:tcBorders>
              <w:left w:val="single" w:color="000000" w:sz="4" w:space="0"/>
            </w:tcBorders>
            <w:noWrap/>
            <w:vAlign w:val="center"/>
          </w:tcPr>
          <w:p>
            <w:pPr>
              <w:jc w:val="center"/>
              <w:rPr>
                <w:rFonts w:ascii="Times New Roman" w:hAnsi="Times New Roman"/>
                <w:sz w:val="20"/>
                <w:szCs w:val="20"/>
              </w:rPr>
            </w:pP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上限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100</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50</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20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100</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hint="eastAsia" w:ascii="Times New Roman" w:hAnsi="Times New Roman"/>
                <w:kern w:val="0"/>
                <w:sz w:val="20"/>
                <w:szCs w:val="20"/>
                <w:lang w:bidi="ar"/>
              </w:rPr>
              <w:t>-</w:t>
            </w:r>
          </w:p>
        </w:tc>
        <w:tc>
          <w:tcPr>
            <w:tcW w:w="1302" w:type="dxa"/>
            <w:tcBorders>
              <w:left w:val="single" w:color="000000" w:sz="4" w:space="0"/>
            </w:tcBorders>
            <w:noWrap/>
            <w:vAlign w:val="center"/>
          </w:tcPr>
          <w:p>
            <w:pPr>
              <w:jc w:val="center"/>
              <w:rPr>
                <w:rFonts w:ascii="Times New Roman" w:hAnsi="Times New Roman"/>
                <w:sz w:val="20"/>
                <w:szCs w:val="20"/>
              </w:rPr>
            </w:pPr>
          </w:p>
        </w:tc>
      </w:tr>
    </w:tbl>
    <w:p>
      <w:pPr>
        <w:widowControl/>
        <w:spacing w:line="480" w:lineRule="auto"/>
        <w:jc w:val="left"/>
        <w:outlineLvl w:val="0"/>
        <w:rPr>
          <w:rFonts w:eastAsia="黑体"/>
          <w:sz w:val="24"/>
        </w:rPr>
      </w:pPr>
      <w:r>
        <w:rPr>
          <w:rFonts w:eastAsia="黑体"/>
          <w:sz w:val="24"/>
        </w:rPr>
        <w:t>附录B质控措施技术要求</w:t>
      </w:r>
      <w:bookmarkEnd w:id="97"/>
      <w:bookmarkEnd w:id="98"/>
      <w:bookmarkEnd w:id="99"/>
      <w:bookmarkEnd w:id="100"/>
    </w:p>
    <w:p>
      <w:pPr>
        <w:spacing w:line="360" w:lineRule="auto"/>
        <w:rPr>
          <w:rFonts w:eastAsia="黑体"/>
        </w:rPr>
      </w:pPr>
      <w:r>
        <w:rPr>
          <w:rFonts w:eastAsia="黑体"/>
        </w:rPr>
        <w:t>1、氨氮、高锰酸盐指数、总磷、总氮质控措施技术要求</w:t>
      </w:r>
    </w:p>
    <w:p>
      <w:pPr>
        <w:spacing w:line="360" w:lineRule="auto"/>
        <w:jc w:val="center"/>
        <w:rPr>
          <w:rFonts w:eastAsia="黑体"/>
        </w:rPr>
      </w:pPr>
      <w:r>
        <w:rPr>
          <w:rFonts w:eastAsia="黑体"/>
        </w:rPr>
        <w:t>表1 质控措施及实施频次</w:t>
      </w:r>
    </w:p>
    <w:tbl>
      <w:tblPr>
        <w:tblStyle w:val="19"/>
        <w:tblpPr w:leftFromText="180" w:rightFromText="180" w:vertAnchor="text" w:horzAnchor="margin" w:tblpXSpec="center" w:tblpY="1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76"/>
        <w:gridCol w:w="1446"/>
        <w:gridCol w:w="1280"/>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质控措施</w:t>
            </w:r>
          </w:p>
        </w:tc>
        <w:tc>
          <w:tcPr>
            <w:tcW w:w="2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水质类别</w:t>
            </w: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质控频次</w:t>
            </w:r>
          </w:p>
        </w:tc>
        <w:tc>
          <w:tcPr>
            <w:tcW w:w="26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实施对象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r>
              <w:rPr>
                <w:bCs/>
                <w:kern w:val="0"/>
                <w:sz w:val="18"/>
                <w:szCs w:val="18"/>
              </w:rPr>
              <w:t>Ⅰ~Ⅱ类水体</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r>
              <w:rPr>
                <w:bCs/>
                <w:kern w:val="0"/>
                <w:sz w:val="18"/>
                <w:szCs w:val="18"/>
              </w:rPr>
              <w:t>Ⅲ~劣Ⅴ类水体</w:t>
            </w: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p>
        </w:tc>
        <w:tc>
          <w:tcPr>
            <w:tcW w:w="26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零点核查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每天</w:t>
            </w:r>
          </w:p>
        </w:tc>
        <w:tc>
          <w:tcPr>
            <w:tcW w:w="26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氨氮、高锰酸盐指数、总磷、总氮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r>
              <w:rPr>
                <w:kern w:val="0"/>
                <w:sz w:val="18"/>
                <w:szCs w:val="18"/>
              </w:rPr>
              <w:t>24小时零点漂移</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每天</w:t>
            </w:r>
          </w:p>
        </w:tc>
        <w:tc>
          <w:tcPr>
            <w:tcW w:w="26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跨度核查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每天</w:t>
            </w:r>
          </w:p>
        </w:tc>
        <w:tc>
          <w:tcPr>
            <w:tcW w:w="26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r>
              <w:rPr>
                <w:kern w:val="0"/>
                <w:sz w:val="18"/>
                <w:szCs w:val="18"/>
              </w:rPr>
              <w:t>24小时跨度漂移</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每天</w:t>
            </w:r>
          </w:p>
        </w:tc>
        <w:tc>
          <w:tcPr>
            <w:tcW w:w="26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标样核查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每7天</w:t>
            </w:r>
          </w:p>
        </w:tc>
        <w:tc>
          <w:tcPr>
            <w:tcW w:w="2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常规五参数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多点线性核查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每月</w:t>
            </w:r>
          </w:p>
        </w:tc>
        <w:tc>
          <w:tcPr>
            <w:tcW w:w="2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氨氮、高锰酸盐指数、总磷、总氮、叶绿素a、蓝绿藻密度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实际水样比对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每月</w:t>
            </w:r>
          </w:p>
        </w:tc>
        <w:tc>
          <w:tcPr>
            <w:tcW w:w="2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常规五参数、氨氮、高锰酸盐指数、总磷、总氮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集成干预检查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每月</w:t>
            </w:r>
          </w:p>
        </w:tc>
        <w:tc>
          <w:tcPr>
            <w:tcW w:w="26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氨氮、高锰酸盐指数、总磷、总氮（浮船站除外）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加标回收率自动测试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kern w:val="0"/>
                <w:sz w:val="18"/>
                <w:szCs w:val="18"/>
              </w:rPr>
            </w:pPr>
            <w:r>
              <w:rPr>
                <w:kern w:val="0"/>
                <w:sz w:val="18"/>
                <w:szCs w:val="18"/>
              </w:rPr>
              <w:t>每月</w:t>
            </w:r>
          </w:p>
        </w:tc>
        <w:tc>
          <w:tcPr>
            <w:tcW w:w="26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18"/>
                <w:szCs w:val="18"/>
              </w:rPr>
            </w:pPr>
          </w:p>
        </w:tc>
      </w:tr>
    </w:tbl>
    <w:p/>
    <w:p>
      <w:pPr>
        <w:spacing w:line="360" w:lineRule="auto"/>
        <w:jc w:val="center"/>
        <w:rPr>
          <w:rFonts w:eastAsia="黑体"/>
        </w:rPr>
      </w:pPr>
      <w:r>
        <w:rPr>
          <w:rFonts w:eastAsia="黑体"/>
        </w:rPr>
        <w:t>表2  氨氮、高锰酸盐指数、总磷、总氮质控措施技术要求</w:t>
      </w:r>
    </w:p>
    <w:tbl>
      <w:tblPr>
        <w:tblStyle w:val="20"/>
        <w:tblW w:w="8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1"/>
        <w:gridCol w:w="1297"/>
        <w:gridCol w:w="992"/>
        <w:gridCol w:w="567"/>
        <w:gridCol w:w="351"/>
        <w:gridCol w:w="992"/>
        <w:gridCol w:w="1068"/>
        <w:gridCol w:w="2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093" w:type="dxa"/>
            <w:gridSpan w:val="3"/>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质控措施</w:t>
            </w:r>
          </w:p>
        </w:tc>
        <w:tc>
          <w:tcPr>
            <w:tcW w:w="6474" w:type="dxa"/>
            <w:gridSpan w:val="6"/>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910"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高锰酸盐指数</w:t>
            </w:r>
          </w:p>
        </w:tc>
        <w:tc>
          <w:tcPr>
            <w:tcW w:w="992"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氨氮</w:t>
            </w:r>
          </w:p>
        </w:tc>
        <w:tc>
          <w:tcPr>
            <w:tcW w:w="1068"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总磷</w:t>
            </w:r>
          </w:p>
        </w:tc>
        <w:tc>
          <w:tcPr>
            <w:tcW w:w="2504"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675" w:type="dxa"/>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零点核查</w:t>
            </w:r>
          </w:p>
        </w:tc>
        <w:tc>
          <w:tcPr>
            <w:tcW w:w="1418" w:type="dxa"/>
            <w:gridSpan w:val="2"/>
            <w:vAlign w:val="center"/>
          </w:tcPr>
          <w:p>
            <w:pPr>
              <w:spacing w:line="360" w:lineRule="exact"/>
              <w:jc w:val="center"/>
              <w:rPr>
                <w:rFonts w:ascii="Times New Roman" w:hAnsi="Times New Roman"/>
                <w:kern w:val="0"/>
                <w:sz w:val="18"/>
                <w:szCs w:val="18"/>
              </w:rPr>
            </w:pPr>
            <w:r>
              <w:rPr>
                <w:rFonts w:ascii="Times New Roman" w:hAnsi="Times New Roman"/>
                <w:bCs/>
                <w:kern w:val="0"/>
                <w:sz w:val="18"/>
                <w:szCs w:val="18"/>
              </w:rPr>
              <w:t>Ⅰ~Ⅲ类水体</w:t>
            </w:r>
          </w:p>
        </w:tc>
        <w:tc>
          <w:tcPr>
            <w:tcW w:w="1910"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±1.0mg/L</w:t>
            </w:r>
          </w:p>
        </w:tc>
        <w:tc>
          <w:tcPr>
            <w:tcW w:w="992"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±0.2mg/L</w:t>
            </w:r>
          </w:p>
        </w:tc>
        <w:tc>
          <w:tcPr>
            <w:tcW w:w="1068"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±0.02mg/L</w:t>
            </w:r>
          </w:p>
        </w:tc>
        <w:tc>
          <w:tcPr>
            <w:tcW w:w="2504"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±0.3mg/L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675" w:type="dxa"/>
            <w:vMerge w:val="continue"/>
            <w:vAlign w:val="center"/>
          </w:tcPr>
          <w:p>
            <w:pPr>
              <w:spacing w:line="360" w:lineRule="exact"/>
              <w:jc w:val="center"/>
              <w:rPr>
                <w:rFonts w:ascii="Times New Roman" w:hAnsi="Times New Roman"/>
                <w:kern w:val="0"/>
                <w:sz w:val="18"/>
                <w:szCs w:val="18"/>
              </w:rPr>
            </w:pPr>
          </w:p>
        </w:tc>
        <w:tc>
          <w:tcPr>
            <w:tcW w:w="1418" w:type="dxa"/>
            <w:gridSpan w:val="2"/>
            <w:vAlign w:val="center"/>
          </w:tcPr>
          <w:p>
            <w:pPr>
              <w:spacing w:line="360" w:lineRule="exact"/>
              <w:jc w:val="center"/>
              <w:rPr>
                <w:rFonts w:ascii="Times New Roman" w:hAnsi="Times New Roman"/>
                <w:kern w:val="0"/>
                <w:sz w:val="18"/>
                <w:szCs w:val="18"/>
              </w:rPr>
            </w:pPr>
            <w:r>
              <w:rPr>
                <w:rFonts w:ascii="Times New Roman" w:hAnsi="Times New Roman"/>
                <w:bCs/>
                <w:kern w:val="0"/>
                <w:sz w:val="18"/>
                <w:szCs w:val="18"/>
              </w:rPr>
              <w:t>Ⅳ~劣Ⅴ类水体</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kern w:val="0"/>
                <w:sz w:val="18"/>
                <w:szCs w:val="18"/>
              </w:rPr>
              <w:t>±</w:t>
            </w:r>
            <w:r>
              <w:rPr>
                <w:rFonts w:ascii="Times New Roman" w:hAnsi="Times New Roman"/>
                <w:bCs/>
                <w:kern w:val="0"/>
                <w:sz w:val="18"/>
                <w:szCs w:val="18"/>
              </w:rPr>
              <w:t>5%FS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675" w:type="dxa"/>
            <w:vMerge w:val="continue"/>
            <w:vAlign w:val="center"/>
          </w:tcPr>
          <w:p>
            <w:pPr>
              <w:spacing w:line="360" w:lineRule="exact"/>
              <w:jc w:val="center"/>
              <w:rPr>
                <w:rFonts w:ascii="Times New Roman" w:hAnsi="Times New Roman"/>
                <w:kern w:val="0"/>
                <w:sz w:val="18"/>
                <w:szCs w:val="18"/>
              </w:rPr>
            </w:pPr>
          </w:p>
        </w:tc>
        <w:tc>
          <w:tcPr>
            <w:tcW w:w="7892" w:type="dxa"/>
            <w:gridSpan w:val="8"/>
            <w:vAlign w:val="center"/>
          </w:tcPr>
          <w:p>
            <w:pPr>
              <w:spacing w:line="360" w:lineRule="exact"/>
              <w:jc w:val="left"/>
              <w:rPr>
                <w:rFonts w:ascii="Times New Roman" w:hAnsi="Times New Roman"/>
                <w:kern w:val="0"/>
                <w:sz w:val="18"/>
                <w:szCs w:val="18"/>
              </w:rPr>
            </w:pPr>
            <w:r>
              <w:rPr>
                <w:rFonts w:ascii="Times New Roman" w:hAnsi="Times New Roman"/>
                <w:bCs/>
                <w:kern w:val="0"/>
                <w:sz w:val="18"/>
                <w:szCs w:val="18"/>
              </w:rPr>
              <w:t>注：湖库总磷 Ⅰ~Ⅳ类水体为</w:t>
            </w:r>
            <w:r>
              <w:rPr>
                <w:rFonts w:ascii="Times New Roman" w:hAnsi="Times New Roman"/>
                <w:kern w:val="0"/>
                <w:sz w:val="18"/>
                <w:szCs w:val="18"/>
              </w:rPr>
              <w:t>±0.02mg/L</w:t>
            </w:r>
            <w:r>
              <w:rPr>
                <w:rFonts w:ascii="Times New Roman" w:hAnsi="Times New Roman"/>
                <w:bCs/>
                <w:kern w:val="0"/>
                <w:sz w:val="18"/>
                <w:szCs w:val="18"/>
              </w:rPr>
              <w:t>；Ⅴ~劣Ⅴ类水体为</w:t>
            </w:r>
            <w:r>
              <w:rPr>
                <w:rFonts w:ascii="Times New Roman" w:hAnsi="Times New Roman"/>
                <w:kern w:val="0"/>
                <w:sz w:val="18"/>
                <w:szCs w:val="18"/>
              </w:rPr>
              <w:t>±</w:t>
            </w:r>
            <w:r>
              <w:rPr>
                <w:rFonts w:ascii="Times New Roman" w:hAnsi="Times New Roman"/>
                <w:bCs/>
                <w:kern w:val="0"/>
                <w:sz w:val="18"/>
                <w:szCs w:val="18"/>
              </w:rPr>
              <w:t>5%FS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24小时零点漂移</w:t>
            </w:r>
          </w:p>
        </w:tc>
        <w:tc>
          <w:tcPr>
            <w:tcW w:w="1910"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跨度核查</w:t>
            </w:r>
          </w:p>
        </w:tc>
        <w:tc>
          <w:tcPr>
            <w:tcW w:w="992" w:type="dxa"/>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±10%（非浮船站）</w:t>
            </w:r>
          </w:p>
        </w:tc>
        <w:tc>
          <w:tcPr>
            <w:tcW w:w="918"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±15%（浮船站）</w:t>
            </w:r>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24小时跨度漂移</w:t>
            </w:r>
          </w:p>
        </w:tc>
        <w:tc>
          <w:tcPr>
            <w:tcW w:w="992" w:type="dxa"/>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±10%（非浮船站）</w:t>
            </w:r>
          </w:p>
        </w:tc>
        <w:tc>
          <w:tcPr>
            <w:tcW w:w="918"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±15%（浮船站）</w:t>
            </w:r>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796" w:type="dxa"/>
            <w:gridSpan w:val="2"/>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多点线性核查</w:t>
            </w:r>
          </w:p>
        </w:tc>
        <w:tc>
          <w:tcPr>
            <w:tcW w:w="1297"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相关系数r</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796" w:type="dxa"/>
            <w:gridSpan w:val="2"/>
            <w:vMerge w:val="continue"/>
            <w:vAlign w:val="center"/>
          </w:tcPr>
          <w:p>
            <w:pPr>
              <w:spacing w:line="360" w:lineRule="exact"/>
              <w:jc w:val="center"/>
              <w:rPr>
                <w:rFonts w:ascii="Times New Roman" w:hAnsi="Times New Roman"/>
                <w:kern w:val="0"/>
                <w:sz w:val="18"/>
                <w:szCs w:val="18"/>
              </w:rPr>
            </w:pPr>
          </w:p>
        </w:tc>
        <w:tc>
          <w:tcPr>
            <w:tcW w:w="1297" w:type="dxa"/>
            <w:vAlign w:val="center"/>
          </w:tcPr>
          <w:p>
            <w:pPr>
              <w:spacing w:line="360" w:lineRule="exact"/>
              <w:jc w:val="left"/>
              <w:rPr>
                <w:rFonts w:ascii="Times New Roman" w:hAnsi="Times New Roman"/>
                <w:kern w:val="0"/>
                <w:sz w:val="18"/>
                <w:szCs w:val="18"/>
              </w:rPr>
            </w:pPr>
            <w:r>
              <w:rPr>
                <w:rFonts w:ascii="Times New Roman" w:hAnsi="Times New Roman"/>
                <w:kern w:val="0"/>
                <w:sz w:val="18"/>
                <w:szCs w:val="18"/>
              </w:rPr>
              <w:t>示值误差（浓度＞20%FS）</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96" w:type="dxa"/>
            <w:gridSpan w:val="2"/>
            <w:vMerge w:val="continue"/>
            <w:vAlign w:val="center"/>
          </w:tcPr>
          <w:p>
            <w:pPr>
              <w:spacing w:line="360" w:lineRule="exact"/>
              <w:jc w:val="center"/>
              <w:rPr>
                <w:rFonts w:ascii="Times New Roman" w:hAnsi="Times New Roman"/>
                <w:kern w:val="0"/>
                <w:sz w:val="18"/>
                <w:szCs w:val="18"/>
              </w:rPr>
            </w:pPr>
          </w:p>
        </w:tc>
        <w:tc>
          <w:tcPr>
            <w:tcW w:w="1297" w:type="dxa"/>
            <w:vAlign w:val="center"/>
          </w:tcPr>
          <w:p>
            <w:pPr>
              <w:spacing w:line="360" w:lineRule="exact"/>
              <w:jc w:val="left"/>
              <w:rPr>
                <w:rFonts w:ascii="Times New Roman" w:hAnsi="Times New Roman"/>
                <w:kern w:val="0"/>
                <w:sz w:val="18"/>
                <w:szCs w:val="18"/>
              </w:rPr>
            </w:pPr>
            <w:r>
              <w:rPr>
                <w:rFonts w:ascii="Times New Roman" w:hAnsi="Times New Roman"/>
                <w:kern w:val="0"/>
                <w:sz w:val="18"/>
                <w:szCs w:val="18"/>
              </w:rPr>
              <w:t>示值误差（浓度≤20% FS）</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参照零点核查要求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2093" w:type="dxa"/>
            <w:gridSpan w:val="3"/>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实际水样比对</w:t>
            </w:r>
          </w:p>
        </w:tc>
        <w:tc>
          <w:tcPr>
            <w:tcW w:w="1910" w:type="dxa"/>
            <w:gridSpan w:val="3"/>
            <w:vAlign w:val="center"/>
          </w:tcPr>
          <w:p>
            <w:pPr>
              <w:spacing w:line="360" w:lineRule="exact"/>
              <w:jc w:val="center"/>
              <w:rPr>
                <w:rFonts w:ascii="Times New Roman" w:hAnsi="Times New Roman" w:eastAsiaTheme="minorEastAsia"/>
                <w:bCs/>
                <w:iCs/>
                <w:kern w:val="0"/>
                <w:sz w:val="18"/>
                <w:szCs w:val="18"/>
              </w:rPr>
            </w:pPr>
            <m:oMathPara>
              <m:oMath>
                <m:sSub>
                  <m:sSubPr>
                    <m:ctrlPr>
                      <w:rPr>
                        <w:rFonts w:ascii="Cambria Math" w:hAnsi="Times New Roman"/>
                        <w:kern w:val="0"/>
                        <w:sz w:val="18"/>
                        <w:szCs w:val="18"/>
                        <w:shd w:val="clear" w:color="auto" w:fill="FFFFFF"/>
                      </w:rPr>
                    </m:ctrlPr>
                  </m:sSubPr>
                  <m:e>
                    <m:r>
                      <m:rPr>
                        <m:sty m:val="p"/>
                      </m:rPr>
                      <w:rPr>
                        <w:rFonts w:ascii="Cambria Math" w:hAnsi="Times New Roman"/>
                        <w:kern w:val="0"/>
                        <w:sz w:val="18"/>
                        <w:szCs w:val="18"/>
                        <w:shd w:val="clear" w:color="auto" w:fill="FFFFFF"/>
                      </w:rPr>
                      <m:t>C</m:t>
                    </m:r>
                    <m:ctrlPr>
                      <w:rPr>
                        <w:rFonts w:ascii="Cambria Math" w:hAnsi="Times New Roman"/>
                        <w:kern w:val="0"/>
                        <w:sz w:val="18"/>
                        <w:szCs w:val="18"/>
                        <w:shd w:val="clear" w:color="auto" w:fill="FFFFFF"/>
                      </w:rPr>
                    </m:ctrlPr>
                  </m:e>
                  <m:sub>
                    <m:r>
                      <m:rPr>
                        <m:sty m:val="p"/>
                      </m:rPr>
                      <w:rPr>
                        <w:rFonts w:ascii="Cambria Math" w:hAnsi="Times New Roman"/>
                        <w:kern w:val="0"/>
                        <w:sz w:val="18"/>
                        <w:szCs w:val="18"/>
                        <w:shd w:val="clear" w:color="auto" w:fill="FFFFFF"/>
                      </w:rPr>
                      <m:t>x</m:t>
                    </m:r>
                    <m:ctrlPr>
                      <w:rPr>
                        <w:rFonts w:ascii="Cambria Math" w:hAnsi="Times New Roman"/>
                        <w:kern w:val="0"/>
                        <w:sz w:val="18"/>
                        <w:szCs w:val="18"/>
                        <w:shd w:val="clear" w:color="auto" w:fill="FFFFFF"/>
                      </w:rPr>
                    </m:ctrlPr>
                  </m:sub>
                </m:sSub>
                <m:r>
                  <m:rPr>
                    <m:sty m:val="p"/>
                  </m:rPr>
                  <w:rPr>
                    <w:rFonts w:ascii="Cambria Math" w:hAnsi="Cambria Math" w:eastAsiaTheme="minorEastAsia"/>
                    <w:sz w:val="18"/>
                    <w:szCs w:val="18"/>
                    <w:shd w:val="clear" w:color="auto" w:fill="FFFFFF"/>
                  </w:rPr>
                  <m:t>&gt;</m:t>
                </m:r>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Ⅳ</m:t>
                    </m:r>
                    <m:ctrlPr>
                      <w:rPr>
                        <w:rFonts w:ascii="Cambria Math" w:hAnsi="Cambria Math"/>
                        <w:iCs/>
                        <w:kern w:val="0"/>
                        <w:sz w:val="18"/>
                        <w:szCs w:val="18"/>
                        <w:shd w:val="clear" w:color="auto" w:fill="FFFFFF"/>
                      </w:rPr>
                    </m:ctrlPr>
                  </m:sub>
                </m:sSub>
              </m:oMath>
            </m:oMathPara>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相对误差≤20%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910" w:type="dxa"/>
            <w:gridSpan w:val="3"/>
            <w:vAlign w:val="center"/>
          </w:tcPr>
          <w:p>
            <w:pPr>
              <w:spacing w:line="360" w:lineRule="exact"/>
              <w:jc w:val="center"/>
              <w:rPr>
                <w:rFonts w:ascii="Times New Roman" w:hAnsi="Times New Roman"/>
                <w:bCs/>
                <w:iCs/>
                <w:kern w:val="0"/>
                <w:sz w:val="18"/>
                <w:szCs w:val="18"/>
              </w:rPr>
            </w:pPr>
            <m:oMathPara>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r>
                  <m:rPr>
                    <m:sty m:val="p"/>
                  </m:rPr>
                  <w:rPr>
                    <w:rFonts w:ascii="Cambria Math" w:hAnsi="Times New Roman"/>
                    <w:sz w:val="18"/>
                    <w:szCs w:val="18"/>
                    <w:shd w:val="clear" w:color="auto" w:fill="FFFFFF"/>
                  </w:rPr>
                  <m:t>&lt;</m:t>
                </m:r>
                <m:sSub>
                  <m:sSubPr>
                    <m:ctrlPr>
                      <w:rPr>
                        <w:rFonts w:ascii="Cambria Math" w:hAnsi="Times New Roman"/>
                        <w:i/>
                        <w:iCs/>
                        <w:kern w:val="0"/>
                        <w:sz w:val="18"/>
                        <w:szCs w:val="18"/>
                        <w:shd w:val="clear" w:color="auto" w:fill="FFFFFF"/>
                      </w:rPr>
                    </m:ctrlPr>
                  </m:sSubPr>
                  <m:e>
                    <m:r>
                      <m:rPr/>
                      <w:rPr>
                        <w:rFonts w:ascii="Cambria Math" w:hAnsi="Times New Roman"/>
                        <w:kern w:val="0"/>
                        <w:sz w:val="18"/>
                        <w:szCs w:val="18"/>
                        <w:shd w:val="clear" w:color="auto" w:fill="FFFFFF"/>
                      </w:rPr>
                      <m:t>C</m:t>
                    </m:r>
                    <m:ctrlPr>
                      <w:rPr>
                        <w:rFonts w:ascii="Cambria Math" w:hAnsi="Times New Roman"/>
                        <w:i/>
                        <w:iCs/>
                        <w:kern w:val="0"/>
                        <w:sz w:val="18"/>
                        <w:szCs w:val="18"/>
                        <w:shd w:val="clear" w:color="auto" w:fill="FFFFFF"/>
                      </w:rPr>
                    </m:ctrlPr>
                  </m:e>
                  <m:sub>
                    <m:r>
                      <m:rPr/>
                      <w:rPr>
                        <w:rFonts w:ascii="Cambria Math" w:hAnsi="Times New Roman"/>
                        <w:kern w:val="0"/>
                        <w:sz w:val="18"/>
                        <w:szCs w:val="18"/>
                        <w:shd w:val="clear" w:color="auto" w:fill="FFFFFF"/>
                      </w:rPr>
                      <m:t>x</m:t>
                    </m:r>
                    <m:ctrlPr>
                      <w:rPr>
                        <w:rFonts w:ascii="Cambria Math" w:hAnsi="Times New Roman"/>
                        <w:i/>
                        <w:iCs/>
                        <w:kern w:val="0"/>
                        <w:sz w:val="18"/>
                        <w:szCs w:val="18"/>
                        <w:shd w:val="clear" w:color="auto" w:fill="FFFFFF"/>
                      </w:rPr>
                    </m:ctrlPr>
                  </m:sub>
                </m:sSub>
                <m:r>
                  <m:rPr>
                    <m:sty m:val="p"/>
                  </m:rPr>
                  <w:rPr>
                    <w:rFonts w:ascii="Cambria Math" w:hAnsi="Times New Roman"/>
                    <w:sz w:val="18"/>
                    <w:szCs w:val="18"/>
                    <w:shd w:val="clear" w:color="auto" w:fill="FFFFFF"/>
                  </w:rPr>
                  <m:t>≤</m:t>
                </m:r>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Ⅳ</m:t>
                    </m:r>
                    <m:ctrlPr>
                      <w:rPr>
                        <w:rFonts w:ascii="Cambria Math" w:hAnsi="Cambria Math"/>
                        <w:iCs/>
                        <w:kern w:val="0"/>
                        <w:sz w:val="18"/>
                        <w:szCs w:val="18"/>
                        <w:shd w:val="clear" w:color="auto" w:fill="FFFFFF"/>
                      </w:rPr>
                    </m:ctrlPr>
                  </m:sub>
                </m:sSub>
              </m:oMath>
            </m:oMathPara>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相对误差≤30%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910" w:type="dxa"/>
            <w:gridSpan w:val="3"/>
            <w:vAlign w:val="center"/>
          </w:tcPr>
          <w:p>
            <w:pPr>
              <w:spacing w:line="360" w:lineRule="exact"/>
              <w:jc w:val="center"/>
              <w:rPr>
                <w:rFonts w:ascii="Times New Roman" w:hAnsi="Times New Roman"/>
                <w:bCs/>
                <w:iCs/>
                <w:kern w:val="0"/>
                <w:sz w:val="18"/>
                <w:szCs w:val="18"/>
              </w:rPr>
            </w:pPr>
            <m:oMathPara>
              <m:oMath>
                <m:sSub>
                  <m:sSubPr>
                    <m:ctrlPr>
                      <w:rPr>
                        <w:rFonts w:ascii="Cambria Math" w:hAnsi="Times New Roman"/>
                        <w:kern w:val="0"/>
                        <w:sz w:val="18"/>
                        <w:szCs w:val="18"/>
                        <w:shd w:val="clear" w:color="auto" w:fill="FFFFFF"/>
                      </w:rPr>
                    </m:ctrlPr>
                  </m:sSubPr>
                  <m:e>
                    <m:r>
                      <m:rPr>
                        <m:sty m:val="p"/>
                      </m:rPr>
                      <w:rPr>
                        <w:rFonts w:ascii="Cambria Math" w:hAnsi="Times New Roman"/>
                        <w:kern w:val="0"/>
                        <w:sz w:val="18"/>
                        <w:szCs w:val="18"/>
                        <w:shd w:val="clear" w:color="auto" w:fill="FFFFFF"/>
                      </w:rPr>
                      <m:t>C</m:t>
                    </m:r>
                    <m:ctrlPr>
                      <w:rPr>
                        <w:rFonts w:ascii="Cambria Math" w:hAnsi="Times New Roman"/>
                        <w:kern w:val="0"/>
                        <w:sz w:val="18"/>
                        <w:szCs w:val="18"/>
                        <w:shd w:val="clear" w:color="auto" w:fill="FFFFFF"/>
                      </w:rPr>
                    </m:ctrlPr>
                  </m:e>
                  <m:sub>
                    <m:r>
                      <m:rPr>
                        <m:sty m:val="p"/>
                      </m:rPr>
                      <w:rPr>
                        <w:rFonts w:ascii="Cambria Math" w:hAnsi="Times New Roman"/>
                        <w:kern w:val="0"/>
                        <w:sz w:val="18"/>
                        <w:szCs w:val="18"/>
                        <w:shd w:val="clear" w:color="auto" w:fill="FFFFFF"/>
                      </w:rPr>
                      <m:t>x</m:t>
                    </m:r>
                    <m:ctrlPr>
                      <w:rPr>
                        <w:rFonts w:ascii="Cambria Math" w:hAnsi="Times New Roman"/>
                        <w:kern w:val="0"/>
                        <w:sz w:val="18"/>
                        <w:szCs w:val="18"/>
                        <w:shd w:val="clear" w:color="auto" w:fill="FFFFFF"/>
                      </w:rPr>
                    </m:ctrlPr>
                  </m:sub>
                </m:sSub>
                <m:r>
                  <m:rPr>
                    <m:sty m:val="p"/>
                  </m:rPr>
                  <w:rPr>
                    <w:rFonts w:ascii="Cambria Math" w:hAnsi="Times New Roman"/>
                    <w:kern w:val="0"/>
                    <w:sz w:val="18"/>
                    <w:szCs w:val="18"/>
                    <w:shd w:val="clear" w:color="auto" w:fill="FFFFFF"/>
                  </w:rPr>
                  <m:t>≤</m:t>
                </m:r>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oMath>
            </m:oMathPara>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相对误差≤40%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6474" w:type="dxa"/>
            <w:gridSpan w:val="6"/>
            <w:vAlign w:val="center"/>
          </w:tcPr>
          <w:p>
            <w:pPr>
              <w:spacing w:line="360" w:lineRule="exact"/>
              <w:jc w:val="left"/>
              <w:rPr>
                <w:rFonts w:ascii="Times New Roman" w:hAnsi="Times New Roman"/>
                <w:kern w:val="0"/>
                <w:sz w:val="18"/>
                <w:szCs w:val="18"/>
                <w:shd w:val="clear" w:color="auto" w:fill="FFFFFF"/>
              </w:rPr>
            </w:pPr>
            <w:r>
              <w:rPr>
                <w:rFonts w:ascii="Times New Roman" w:hAnsi="Times New Roman"/>
                <w:kern w:val="0"/>
                <w:sz w:val="18"/>
                <w:szCs w:val="18"/>
                <w:shd w:val="clear" w:color="auto" w:fill="FFFFFF"/>
              </w:rPr>
              <w:t>除湖库总磷外，当自动监测结果和实验室分析结果均低于</w:t>
            </w:r>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oMath>
            <w:r>
              <w:rPr>
                <w:rFonts w:ascii="Times New Roman" w:hAnsi="Times New Roman"/>
                <w:kern w:val="0"/>
                <w:sz w:val="18"/>
                <w:szCs w:val="18"/>
                <w:shd w:val="clear" w:color="auto" w:fill="FFFFFF"/>
              </w:rPr>
              <w:t>时，认定比对实验结果合格。</w:t>
            </w:r>
          </w:p>
          <w:p>
            <w:pPr>
              <w:spacing w:line="360" w:lineRule="exact"/>
              <w:jc w:val="left"/>
              <w:rPr>
                <w:rFonts w:ascii="Times New Roman" w:hAnsi="Times New Roman"/>
                <w:kern w:val="0"/>
                <w:sz w:val="18"/>
                <w:szCs w:val="18"/>
                <w:shd w:val="clear" w:color="auto" w:fill="FFFFFF"/>
              </w:rPr>
            </w:pPr>
            <w:r>
              <w:rPr>
                <w:rFonts w:ascii="Times New Roman" w:hAnsi="Times New Roman"/>
                <w:kern w:val="0"/>
                <w:sz w:val="18"/>
                <w:szCs w:val="18"/>
                <w:shd w:val="clear" w:color="auto" w:fill="FFFFFF"/>
              </w:rPr>
              <w:t>当湖库总磷自动监测结果和实验室分析结果均低于</w:t>
            </w:r>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Ⅲ</m:t>
                  </m:r>
                  <m:ctrlPr>
                    <w:rPr>
                      <w:rFonts w:ascii="Cambria Math" w:hAnsi="Cambria Math"/>
                      <w:iCs/>
                      <w:kern w:val="0"/>
                      <w:sz w:val="18"/>
                      <w:szCs w:val="18"/>
                      <w:shd w:val="clear" w:color="auto" w:fill="FFFFFF"/>
                    </w:rPr>
                  </m:ctrlPr>
                </m:sub>
              </m:sSub>
            </m:oMath>
            <w:r>
              <w:rPr>
                <w:rFonts w:ascii="Times New Roman" w:hAnsi="Times New Roman"/>
                <w:kern w:val="0"/>
                <w:sz w:val="18"/>
                <w:szCs w:val="18"/>
                <w:shd w:val="clear" w:color="auto" w:fill="FFFFFF"/>
              </w:rPr>
              <w:t>时，认定比对实验结果合格。</w:t>
            </w:r>
          </w:p>
          <w:p>
            <w:pPr>
              <w:spacing w:line="360" w:lineRule="exact"/>
              <w:jc w:val="left"/>
              <w:rPr>
                <w:rFonts w:ascii="Times New Roman" w:hAnsi="Times New Roman"/>
                <w:kern w:val="0"/>
                <w:sz w:val="18"/>
                <w:szCs w:val="18"/>
              </w:rPr>
            </w:pPr>
            <w:r>
              <w:rPr>
                <w:rFonts w:ascii="Times New Roman" w:hAnsi="Times New Roman"/>
                <w:bCs/>
                <w:kern w:val="0"/>
                <w:sz w:val="18"/>
                <w:szCs w:val="18"/>
                <w:shd w:val="clear" w:color="auto" w:fill="FFFFFF"/>
              </w:rPr>
              <w:t>注：①</w:t>
            </w:r>
            <m:oMath>
              <m:sSub>
                <m:sSubPr>
                  <m:ctrlPr>
                    <w:rPr>
                      <w:rFonts w:ascii="Cambria Math" w:hAnsi="Times New Roman"/>
                      <w:i/>
                      <w:iCs/>
                      <w:kern w:val="0"/>
                      <w:sz w:val="18"/>
                      <w:szCs w:val="18"/>
                      <w:shd w:val="clear" w:color="auto" w:fill="FFFFFF"/>
                    </w:rPr>
                  </m:ctrlPr>
                </m:sSubPr>
                <m:e>
                  <m:r>
                    <m:rPr/>
                    <w:rPr>
                      <w:rFonts w:ascii="Cambria Math" w:hAnsi="Times New Roman"/>
                      <w:kern w:val="0"/>
                      <w:sz w:val="18"/>
                      <w:szCs w:val="18"/>
                      <w:shd w:val="clear" w:color="auto" w:fill="FFFFFF"/>
                    </w:rPr>
                    <m:t>C</m:t>
                  </m:r>
                  <m:ctrlPr>
                    <w:rPr>
                      <w:rFonts w:ascii="Cambria Math" w:hAnsi="Times New Roman"/>
                      <w:i/>
                      <w:iCs/>
                      <w:kern w:val="0"/>
                      <w:sz w:val="18"/>
                      <w:szCs w:val="18"/>
                      <w:shd w:val="clear" w:color="auto" w:fill="FFFFFF"/>
                    </w:rPr>
                  </m:ctrlPr>
                </m:e>
                <m:sub>
                  <m:r>
                    <m:rPr/>
                    <w:rPr>
                      <w:rFonts w:ascii="Cambria Math" w:hAnsi="Times New Roman"/>
                      <w:kern w:val="0"/>
                      <w:sz w:val="18"/>
                      <w:szCs w:val="18"/>
                      <w:shd w:val="clear" w:color="auto" w:fill="FFFFFF"/>
                    </w:rPr>
                    <m:t>x</m:t>
                  </m:r>
                  <m:ctrlPr>
                    <w:rPr>
                      <w:rFonts w:ascii="Cambria Math" w:hAnsi="Times New Roman"/>
                      <w:i/>
                      <w:iCs/>
                      <w:kern w:val="0"/>
                      <w:sz w:val="18"/>
                      <w:szCs w:val="18"/>
                      <w:shd w:val="clear" w:color="auto" w:fill="FFFFFF"/>
                    </w:rPr>
                  </m:ctrlPr>
                </m:sub>
              </m:sSub>
            </m:oMath>
            <w:r>
              <w:rPr>
                <w:rFonts w:ascii="Times New Roman" w:hAnsi="Times New Roman"/>
                <w:kern w:val="0"/>
                <w:sz w:val="18"/>
                <w:szCs w:val="18"/>
              </w:rPr>
              <w:t>为实验室分析结果；</w:t>
            </w:r>
          </w:p>
          <w:p>
            <w:pPr>
              <w:spacing w:line="360" w:lineRule="exact"/>
              <w:ind w:firstLine="360" w:firstLineChars="200"/>
              <w:jc w:val="left"/>
              <w:rPr>
                <w:rFonts w:ascii="Times New Roman" w:hAnsi="Times New Roman"/>
                <w:bCs/>
                <w:kern w:val="0"/>
                <w:sz w:val="18"/>
                <w:szCs w:val="18"/>
              </w:rPr>
            </w:pPr>
            <w:r>
              <w:rPr>
                <w:rFonts w:ascii="Times New Roman" w:hAnsi="Times New Roman"/>
                <w:bCs/>
                <w:kern w:val="0"/>
                <w:sz w:val="18"/>
                <w:szCs w:val="18"/>
              </w:rPr>
              <w:t>②B为《地表水环境质量标准》（GB 3838-2002）规定的水质类别限值；</w:t>
            </w:r>
          </w:p>
          <w:p>
            <w:pPr>
              <w:spacing w:line="360" w:lineRule="exact"/>
              <w:ind w:firstLine="360" w:firstLineChars="200"/>
              <w:jc w:val="left"/>
              <w:rPr>
                <w:rFonts w:ascii="Times New Roman" w:hAnsi="Times New Roman"/>
                <w:bCs/>
                <w:kern w:val="0"/>
                <w:sz w:val="18"/>
                <w:szCs w:val="18"/>
              </w:rPr>
            </w:pPr>
            <w:r>
              <w:rPr>
                <w:rFonts w:ascii="Times New Roman" w:hAnsi="Times New Roman"/>
                <w:bCs/>
                <w:kern w:val="0"/>
                <w:sz w:val="18"/>
                <w:szCs w:val="18"/>
              </w:rPr>
              <w:t>③总氮河流无水质类别标准，可参考湖库标准。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加标回收率自动测试</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80%~120%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093" w:type="dxa"/>
            <w:gridSpan w:val="3"/>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集成干预检查</w:t>
            </w:r>
          </w:p>
        </w:tc>
        <w:tc>
          <w:tcPr>
            <w:tcW w:w="1559"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Ⅰ~Ⅱ类水体</w:t>
            </w:r>
          </w:p>
        </w:tc>
        <w:tc>
          <w:tcPr>
            <w:tcW w:w="4915" w:type="dxa"/>
            <w:gridSpan w:val="4"/>
            <w:vAlign w:val="center"/>
          </w:tcPr>
          <w:p>
            <w:pPr>
              <w:spacing w:line="360" w:lineRule="exact"/>
              <w:jc w:val="left"/>
              <w:rPr>
                <w:rFonts w:ascii="Times New Roman" w:hAnsi="Times New Roman"/>
                <w:kern w:val="0"/>
                <w:sz w:val="18"/>
                <w:szCs w:val="18"/>
                <w:shd w:val="clear" w:color="auto" w:fill="FFFFFF"/>
              </w:rPr>
            </w:pPr>
            <w:r>
              <w:rPr>
                <w:rFonts w:ascii="Times New Roman" w:hAnsi="Times New Roman"/>
                <w:kern w:val="0"/>
                <w:sz w:val="18"/>
                <w:szCs w:val="18"/>
                <w:shd w:val="clear" w:color="auto" w:fill="FFFFFF"/>
              </w:rPr>
              <w:t>两者结果均低于</w:t>
            </w:r>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oMath>
            <w:r>
              <w:rPr>
                <w:rFonts w:ascii="Times New Roman" w:hAnsi="Times New Roman"/>
                <w:kern w:val="0"/>
                <w:sz w:val="18"/>
                <w:szCs w:val="18"/>
                <w:shd w:val="clear" w:color="auto" w:fill="FFFFFF"/>
              </w:rPr>
              <w:t>时，认定集成干预检查结果合格。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559"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Ⅲ~劣Ⅴ类水体</w:t>
            </w:r>
          </w:p>
        </w:tc>
        <w:tc>
          <w:tcPr>
            <w:tcW w:w="4915" w:type="dxa"/>
            <w:gridSpan w:val="4"/>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bl>
    <w:p>
      <w:pPr>
        <w:spacing w:line="360" w:lineRule="auto"/>
        <w:rPr>
          <w:rFonts w:eastAsia="黑体"/>
        </w:rPr>
      </w:pPr>
      <w:r>
        <w:rPr>
          <w:rFonts w:eastAsia="黑体"/>
        </w:rPr>
        <w:t>2、常规五参数质控措施实施要求</w:t>
      </w:r>
    </w:p>
    <w:p>
      <w:pPr>
        <w:spacing w:line="360" w:lineRule="exact"/>
        <w:ind w:firstLine="420" w:firstLineChars="200"/>
        <w:rPr>
          <w:rFonts w:eastAsia="黑体"/>
          <w:bCs/>
          <w:szCs w:val="19"/>
        </w:rPr>
      </w:pPr>
      <w:r>
        <w:t>常规五参数每周开展的标准溶液考核和每月开展的实际水样比对应满足表3要求。</w:t>
      </w:r>
    </w:p>
    <w:p>
      <w:pPr>
        <w:spacing w:line="360" w:lineRule="auto"/>
        <w:ind w:firstLine="420" w:firstLineChars="200"/>
        <w:jc w:val="center"/>
        <w:rPr>
          <w:rFonts w:eastAsia="黑体"/>
        </w:rPr>
      </w:pPr>
      <w:r>
        <w:rPr>
          <w:rFonts w:eastAsia="黑体"/>
        </w:rPr>
        <w:t>表3  常规五参数质控措施要求</w:t>
      </w:r>
    </w:p>
    <w:tbl>
      <w:tblPr>
        <w:tblStyle w:val="20"/>
        <w:tblW w:w="83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2265"/>
        <w:gridCol w:w="926"/>
        <w:gridCol w:w="2267"/>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监测项目</w:t>
            </w:r>
          </w:p>
        </w:tc>
        <w:tc>
          <w:tcPr>
            <w:tcW w:w="6853" w:type="dxa"/>
            <w:gridSpan w:val="4"/>
            <w:vAlign w:val="center"/>
          </w:tcPr>
          <w:p>
            <w:pPr>
              <w:jc w:val="center"/>
              <w:rPr>
                <w:rFonts w:ascii="Times New Roman" w:hAnsi="Times New Roman"/>
                <w:kern w:val="0"/>
                <w:sz w:val="18"/>
                <w:szCs w:val="18"/>
              </w:rPr>
            </w:pPr>
            <w:r>
              <w:rPr>
                <w:rFonts w:ascii="Times New Roman" w:hAnsi="Times New Roman"/>
                <w:kern w:val="0"/>
                <w:sz w:val="18"/>
                <w:szCs w:val="18"/>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474" w:type="dxa"/>
            <w:vMerge w:val="continue"/>
            <w:vAlign w:val="center"/>
          </w:tcPr>
          <w:p>
            <w:pPr>
              <w:jc w:val="center"/>
              <w:rPr>
                <w:rFonts w:ascii="Times New Roman" w:hAnsi="Times New Roman"/>
                <w:kern w:val="0"/>
                <w:sz w:val="18"/>
                <w:szCs w:val="18"/>
              </w:rPr>
            </w:pPr>
          </w:p>
        </w:tc>
        <w:tc>
          <w:tcPr>
            <w:tcW w:w="3191"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标准溶液考核</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实际水样比对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Align w:val="center"/>
          </w:tcPr>
          <w:p>
            <w:pPr>
              <w:jc w:val="center"/>
              <w:rPr>
                <w:rFonts w:ascii="Times New Roman" w:hAnsi="Times New Roman"/>
                <w:kern w:val="0"/>
                <w:sz w:val="18"/>
                <w:szCs w:val="18"/>
              </w:rPr>
            </w:pPr>
            <w:r>
              <w:rPr>
                <w:rFonts w:ascii="Times New Roman" w:hAnsi="Times New Roman"/>
                <w:kern w:val="0"/>
                <w:sz w:val="18"/>
                <w:szCs w:val="18"/>
              </w:rPr>
              <w:t>水温</w:t>
            </w:r>
          </w:p>
        </w:tc>
        <w:tc>
          <w:tcPr>
            <w:tcW w:w="3191"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±0.5</w:t>
            </w:r>
            <w:r>
              <w:rPr>
                <w:rFonts w:ascii="Times New Roman" w:hAnsi="Times New Roman"/>
                <w:kern w:val="0"/>
                <w:sz w:val="18"/>
                <w:szCs w:val="18"/>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474" w:type="dxa"/>
            <w:vAlign w:val="center"/>
          </w:tcPr>
          <w:p>
            <w:pPr>
              <w:jc w:val="center"/>
              <w:rPr>
                <w:rFonts w:ascii="Times New Roman" w:hAnsi="Times New Roman"/>
                <w:kern w:val="0"/>
                <w:sz w:val="18"/>
                <w:szCs w:val="18"/>
              </w:rPr>
            </w:pPr>
            <w:r>
              <w:rPr>
                <w:rFonts w:ascii="Times New Roman" w:hAnsi="Times New Roman"/>
                <w:kern w:val="0"/>
                <w:sz w:val="18"/>
                <w:szCs w:val="18"/>
              </w:rPr>
              <w:t>pH</w:t>
            </w:r>
          </w:p>
        </w:tc>
        <w:tc>
          <w:tcPr>
            <w:tcW w:w="3191"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±0.15</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溶解氧</w:t>
            </w:r>
          </w:p>
        </w:tc>
        <w:tc>
          <w:tcPr>
            <w:tcW w:w="3191" w:type="dxa"/>
            <w:gridSpan w:val="2"/>
            <w:vMerge w:val="restart"/>
            <w:vAlign w:val="center"/>
          </w:tcPr>
          <w:p>
            <w:pPr>
              <w:jc w:val="center"/>
              <w:rPr>
                <w:rFonts w:ascii="Times New Roman" w:hAnsi="Times New Roman"/>
                <w:kern w:val="0"/>
                <w:sz w:val="18"/>
                <w:szCs w:val="18"/>
              </w:rPr>
            </w:pPr>
            <w:r>
              <w:rPr>
                <w:rFonts w:ascii="Times New Roman" w:hAnsi="Times New Roman"/>
                <w:kern w:val="0"/>
                <w:sz w:val="18"/>
                <w:szCs w:val="18"/>
              </w:rPr>
              <w:t>±0.3mg/L</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474" w:type="dxa"/>
            <w:vMerge w:val="continue"/>
            <w:vAlign w:val="center"/>
          </w:tcPr>
          <w:p>
            <w:pPr>
              <w:jc w:val="center"/>
              <w:rPr>
                <w:rFonts w:ascii="Times New Roman" w:hAnsi="Times New Roman"/>
                <w:kern w:val="0"/>
                <w:sz w:val="18"/>
                <w:szCs w:val="18"/>
              </w:rPr>
            </w:pPr>
          </w:p>
        </w:tc>
        <w:tc>
          <w:tcPr>
            <w:tcW w:w="3191" w:type="dxa"/>
            <w:gridSpan w:val="2"/>
            <w:vMerge w:val="continue"/>
            <w:vAlign w:val="center"/>
          </w:tcPr>
          <w:p>
            <w:pPr>
              <w:jc w:val="center"/>
              <w:rPr>
                <w:rFonts w:ascii="Times New Roman" w:hAnsi="Times New Roman"/>
                <w:kern w:val="0"/>
                <w:sz w:val="18"/>
                <w:szCs w:val="18"/>
              </w:rPr>
            </w:pP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溶解氧过饱和时不考核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电导率</w:t>
            </w:r>
          </w:p>
        </w:tc>
        <w:tc>
          <w:tcPr>
            <w:tcW w:w="226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标准溶液值</w:t>
            </w:r>
            <w:r>
              <w:rPr>
                <w:rFonts w:ascii="Times New Roman" w:hAnsi="Times New Roman"/>
                <w:kern w:val="0"/>
                <w:sz w:val="20"/>
                <w:szCs w:val="20"/>
                <w:lang w:bidi="ar"/>
              </w:rPr>
              <w:t>&gt;</w:t>
            </w:r>
            <w:r>
              <w:rPr>
                <w:rFonts w:ascii="Times New Roman" w:hAnsi="Times New Roman"/>
                <w:bCs/>
                <w:kern w:val="0"/>
                <w:sz w:val="18"/>
                <w:szCs w:val="18"/>
                <w:lang w:val="zh-CN"/>
              </w:rPr>
              <w:t>100μS/cm</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±5%</w:t>
            </w:r>
          </w:p>
        </w:tc>
        <w:tc>
          <w:tcPr>
            <w:tcW w:w="2267"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电导率</w:t>
            </w:r>
            <w:r>
              <w:rPr>
                <w:rFonts w:ascii="Times New Roman" w:hAnsi="Times New Roman"/>
                <w:kern w:val="0"/>
                <w:sz w:val="20"/>
                <w:szCs w:val="20"/>
                <w:lang w:bidi="ar"/>
              </w:rPr>
              <w:t>&gt;</w:t>
            </w:r>
            <w:r>
              <w:rPr>
                <w:rFonts w:ascii="Times New Roman" w:hAnsi="Times New Roman"/>
                <w:bCs/>
                <w:kern w:val="0"/>
                <w:sz w:val="18"/>
                <w:szCs w:val="18"/>
                <w:lang w:val="zh-CN"/>
              </w:rPr>
              <w:t>100μS/cm</w:t>
            </w:r>
          </w:p>
        </w:tc>
        <w:tc>
          <w:tcPr>
            <w:tcW w:w="139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continue"/>
            <w:vAlign w:val="center"/>
          </w:tcPr>
          <w:p>
            <w:pPr>
              <w:jc w:val="center"/>
              <w:rPr>
                <w:rFonts w:ascii="Times New Roman" w:hAnsi="Times New Roman"/>
                <w:kern w:val="0"/>
                <w:sz w:val="18"/>
                <w:szCs w:val="18"/>
              </w:rPr>
            </w:pPr>
          </w:p>
        </w:tc>
        <w:tc>
          <w:tcPr>
            <w:tcW w:w="226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标准溶液值≤100μS/cm</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±5μS/cm</w:t>
            </w:r>
          </w:p>
        </w:tc>
        <w:tc>
          <w:tcPr>
            <w:tcW w:w="2267"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电导率≤100μS/cm</w:t>
            </w:r>
          </w:p>
        </w:tc>
        <w:tc>
          <w:tcPr>
            <w:tcW w:w="139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±10μS/cm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浊度</w:t>
            </w:r>
          </w:p>
        </w:tc>
        <w:tc>
          <w:tcPr>
            <w:tcW w:w="2265"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浊度≤30NTU；</w:t>
            </w:r>
          </w:p>
          <w:p>
            <w:pPr>
              <w:jc w:val="center"/>
              <w:rPr>
                <w:rFonts w:ascii="Times New Roman" w:hAnsi="Times New Roman"/>
                <w:kern w:val="0"/>
                <w:sz w:val="18"/>
                <w:szCs w:val="18"/>
              </w:rPr>
            </w:pPr>
            <w:r>
              <w:rPr>
                <w:rFonts w:ascii="Times New Roman" w:hAnsi="Times New Roman"/>
                <w:kern w:val="0"/>
                <w:sz w:val="18"/>
                <w:szCs w:val="18"/>
              </w:rPr>
              <w:t>浊度≥1000NTU</w:t>
            </w:r>
          </w:p>
        </w:tc>
        <w:tc>
          <w:tcPr>
            <w:tcW w:w="926" w:type="dxa"/>
            <w:vAlign w:val="center"/>
          </w:tcPr>
          <w:p>
            <w:pPr>
              <w:jc w:val="center"/>
              <w:rPr>
                <w:rFonts w:ascii="Times New Roman" w:hAnsi="Times New Roman"/>
                <w:kern w:val="0"/>
                <w:sz w:val="18"/>
                <w:szCs w:val="18"/>
              </w:rPr>
            </w:pPr>
            <w:r>
              <w:rPr>
                <w:rFonts w:ascii="Times New Roman" w:hAnsi="Times New Roman"/>
                <w:kern w:val="0"/>
                <w:sz w:val="18"/>
                <w:szCs w:val="18"/>
              </w:rPr>
              <w:t>不考核</w:t>
            </w:r>
          </w:p>
        </w:tc>
        <w:tc>
          <w:tcPr>
            <w:tcW w:w="2267" w:type="dxa"/>
            <w:vAlign w:val="center"/>
          </w:tcPr>
          <w:p>
            <w:pPr>
              <w:spacing w:line="360" w:lineRule="exact"/>
              <w:jc w:val="center"/>
              <w:rPr>
                <w:rFonts w:ascii="Times New Roman" w:hAnsi="Times New Roman"/>
                <w:kern w:val="0"/>
                <w:sz w:val="18"/>
                <w:szCs w:val="18"/>
              </w:rPr>
            </w:pPr>
            <w:r>
              <w:rPr>
                <w:rFonts w:ascii="Times New Roman" w:hAnsi="Times New Roman"/>
                <w:bCs/>
                <w:kern w:val="0"/>
                <w:sz w:val="18"/>
                <w:szCs w:val="18"/>
                <w:lang w:val="zh-CN"/>
              </w:rPr>
              <w:t>浊度</w:t>
            </w:r>
            <w:r>
              <w:rPr>
                <w:rFonts w:ascii="Times New Roman" w:hAnsi="Times New Roman"/>
                <w:kern w:val="0"/>
                <w:sz w:val="18"/>
                <w:szCs w:val="18"/>
              </w:rPr>
              <w:t>≤30NTU；</w:t>
            </w:r>
          </w:p>
          <w:p>
            <w:pPr>
              <w:jc w:val="center"/>
              <w:rPr>
                <w:rFonts w:ascii="Times New Roman" w:hAnsi="Times New Roman"/>
                <w:kern w:val="0"/>
                <w:sz w:val="18"/>
                <w:szCs w:val="18"/>
              </w:rPr>
            </w:pPr>
            <w:r>
              <w:rPr>
                <w:rFonts w:ascii="Times New Roman" w:hAnsi="Times New Roman"/>
                <w:bCs/>
                <w:kern w:val="0"/>
                <w:sz w:val="18"/>
                <w:szCs w:val="18"/>
                <w:lang w:val="zh-CN"/>
              </w:rPr>
              <w:t>浊度</w:t>
            </w:r>
            <w:r>
              <w:rPr>
                <w:rFonts w:ascii="Times New Roman" w:hAnsi="Times New Roman"/>
                <w:kern w:val="0"/>
                <w:sz w:val="18"/>
                <w:szCs w:val="18"/>
              </w:rPr>
              <w:t>≥1000NTU</w:t>
            </w:r>
          </w:p>
        </w:tc>
        <w:tc>
          <w:tcPr>
            <w:tcW w:w="1395" w:type="dxa"/>
            <w:vAlign w:val="center"/>
          </w:tcPr>
          <w:p>
            <w:pPr>
              <w:jc w:val="center"/>
              <w:rPr>
                <w:rFonts w:ascii="Times New Roman" w:hAnsi="Times New Roman"/>
                <w:kern w:val="0"/>
                <w:sz w:val="18"/>
                <w:szCs w:val="18"/>
              </w:rPr>
            </w:pPr>
            <w:r>
              <w:rPr>
                <w:rFonts w:ascii="Times New Roman" w:hAnsi="Times New Roman"/>
                <w:kern w:val="0"/>
                <w:sz w:val="18"/>
                <w:szCs w:val="18"/>
              </w:rPr>
              <w:t>不考核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continue"/>
            <w:vAlign w:val="center"/>
          </w:tcPr>
          <w:p>
            <w:pPr>
              <w:jc w:val="center"/>
              <w:rPr>
                <w:rFonts w:ascii="Times New Roman" w:hAnsi="Times New Roman"/>
                <w:kern w:val="0"/>
                <w:sz w:val="18"/>
                <w:szCs w:val="18"/>
              </w:rPr>
            </w:pPr>
          </w:p>
        </w:tc>
        <w:tc>
          <w:tcPr>
            <w:tcW w:w="2265" w:type="dxa"/>
            <w:vAlign w:val="center"/>
          </w:tcPr>
          <w:p>
            <w:pPr>
              <w:jc w:val="center"/>
              <w:rPr>
                <w:rFonts w:ascii="Times New Roman" w:hAnsi="Times New Roman"/>
                <w:kern w:val="0"/>
                <w:sz w:val="18"/>
                <w:szCs w:val="18"/>
              </w:rPr>
            </w:pPr>
            <w:r>
              <w:rPr>
                <w:rFonts w:ascii="Times New Roman" w:hAnsi="Times New Roman"/>
                <w:kern w:val="0"/>
                <w:sz w:val="18"/>
                <w:szCs w:val="18"/>
              </w:rPr>
              <w:t>30NTU</w:t>
            </w:r>
            <w:r>
              <w:rPr>
                <w:rFonts w:ascii="Times New Roman" w:hAnsi="Times New Roman"/>
                <w:kern w:val="0"/>
                <w:sz w:val="20"/>
                <w:szCs w:val="20"/>
                <w:lang w:bidi="ar"/>
              </w:rPr>
              <w:t>&lt;</w:t>
            </w:r>
            <w:r>
              <w:rPr>
                <w:rFonts w:ascii="Times New Roman" w:hAnsi="Times New Roman"/>
                <w:kern w:val="0"/>
                <w:sz w:val="18"/>
                <w:szCs w:val="18"/>
              </w:rPr>
              <w:t>浊度≤50NTU</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±15%</w:t>
            </w:r>
          </w:p>
        </w:tc>
        <w:tc>
          <w:tcPr>
            <w:tcW w:w="2267" w:type="dxa"/>
            <w:vAlign w:val="center"/>
          </w:tcPr>
          <w:p>
            <w:pPr>
              <w:jc w:val="center"/>
              <w:rPr>
                <w:rFonts w:ascii="Times New Roman" w:hAnsi="Times New Roman"/>
                <w:kern w:val="0"/>
                <w:sz w:val="18"/>
                <w:szCs w:val="18"/>
              </w:rPr>
            </w:pPr>
            <w:r>
              <w:rPr>
                <w:rFonts w:ascii="Times New Roman" w:hAnsi="Times New Roman"/>
                <w:kern w:val="0"/>
                <w:sz w:val="18"/>
                <w:szCs w:val="18"/>
              </w:rPr>
              <w:t>30NTU</w:t>
            </w:r>
            <w:r>
              <w:rPr>
                <w:rFonts w:ascii="Times New Roman" w:hAnsi="Times New Roman"/>
                <w:kern w:val="0"/>
                <w:sz w:val="20"/>
                <w:szCs w:val="20"/>
                <w:lang w:bidi="ar"/>
              </w:rPr>
              <w:t>&lt;</w:t>
            </w:r>
            <w:r>
              <w:rPr>
                <w:rFonts w:ascii="Times New Roman" w:hAnsi="Times New Roman"/>
                <w:bCs/>
                <w:kern w:val="0"/>
                <w:sz w:val="18"/>
                <w:szCs w:val="18"/>
                <w:lang w:val="zh-CN"/>
              </w:rPr>
              <w:t>浊度</w:t>
            </w:r>
            <w:r>
              <w:rPr>
                <w:rFonts w:ascii="Times New Roman" w:hAnsi="Times New Roman"/>
                <w:kern w:val="0"/>
                <w:sz w:val="18"/>
                <w:szCs w:val="18"/>
              </w:rPr>
              <w:t>≤50NTU</w:t>
            </w:r>
          </w:p>
        </w:tc>
        <w:tc>
          <w:tcPr>
            <w:tcW w:w="139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continue"/>
            <w:vAlign w:val="center"/>
          </w:tcPr>
          <w:p>
            <w:pPr>
              <w:jc w:val="center"/>
              <w:rPr>
                <w:rFonts w:ascii="Times New Roman" w:hAnsi="Times New Roman"/>
                <w:kern w:val="0"/>
                <w:sz w:val="18"/>
                <w:szCs w:val="18"/>
              </w:rPr>
            </w:pPr>
          </w:p>
        </w:tc>
        <w:tc>
          <w:tcPr>
            <w:tcW w:w="2265" w:type="dxa"/>
            <w:vAlign w:val="center"/>
          </w:tcPr>
          <w:p>
            <w:pPr>
              <w:jc w:val="center"/>
              <w:rPr>
                <w:rFonts w:ascii="Times New Roman" w:hAnsi="Times New Roman"/>
                <w:kern w:val="0"/>
                <w:sz w:val="18"/>
                <w:szCs w:val="18"/>
              </w:rPr>
            </w:pPr>
            <w:r>
              <w:rPr>
                <w:rFonts w:ascii="Times New Roman" w:hAnsi="Times New Roman"/>
                <w:kern w:val="0"/>
                <w:sz w:val="18"/>
                <w:szCs w:val="18"/>
              </w:rPr>
              <w:t>50NTU</w:t>
            </w:r>
            <w:r>
              <w:rPr>
                <w:rFonts w:ascii="Times New Roman" w:hAnsi="Times New Roman"/>
                <w:kern w:val="0"/>
                <w:sz w:val="20"/>
                <w:szCs w:val="20"/>
                <w:lang w:bidi="ar"/>
              </w:rPr>
              <w:t>&lt;</w:t>
            </w:r>
            <w:r>
              <w:rPr>
                <w:rFonts w:ascii="Times New Roman" w:hAnsi="Times New Roman"/>
                <w:kern w:val="0"/>
                <w:sz w:val="18"/>
                <w:szCs w:val="18"/>
              </w:rPr>
              <w:t>浊度</w:t>
            </w:r>
            <w:r>
              <w:rPr>
                <w:rFonts w:ascii="Times New Roman" w:hAnsi="Times New Roman"/>
                <w:kern w:val="0"/>
                <w:sz w:val="20"/>
                <w:szCs w:val="20"/>
                <w:lang w:bidi="ar"/>
              </w:rPr>
              <w:t>&lt;</w:t>
            </w:r>
            <w:r>
              <w:rPr>
                <w:rFonts w:ascii="Times New Roman" w:hAnsi="Times New Roman"/>
                <w:kern w:val="0"/>
                <w:sz w:val="18"/>
                <w:szCs w:val="18"/>
              </w:rPr>
              <w:t>1000NTU</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±10%</w:t>
            </w:r>
          </w:p>
        </w:tc>
        <w:tc>
          <w:tcPr>
            <w:tcW w:w="2267" w:type="dxa"/>
            <w:vAlign w:val="center"/>
          </w:tcPr>
          <w:p>
            <w:pPr>
              <w:jc w:val="center"/>
              <w:rPr>
                <w:rFonts w:ascii="Times New Roman" w:hAnsi="Times New Roman"/>
                <w:kern w:val="0"/>
                <w:sz w:val="18"/>
                <w:szCs w:val="18"/>
              </w:rPr>
            </w:pPr>
            <w:r>
              <w:rPr>
                <w:rFonts w:ascii="Times New Roman" w:hAnsi="Times New Roman"/>
                <w:kern w:val="0"/>
                <w:sz w:val="18"/>
                <w:szCs w:val="18"/>
              </w:rPr>
              <w:t>50NTU</w:t>
            </w:r>
            <w:r>
              <w:rPr>
                <w:rFonts w:ascii="Times New Roman" w:hAnsi="Times New Roman"/>
                <w:kern w:val="0"/>
                <w:sz w:val="20"/>
                <w:szCs w:val="20"/>
                <w:lang w:bidi="ar"/>
              </w:rPr>
              <w:t>&lt;</w:t>
            </w:r>
            <w:r>
              <w:rPr>
                <w:rFonts w:ascii="Times New Roman" w:hAnsi="Times New Roman"/>
                <w:kern w:val="0"/>
                <w:sz w:val="18"/>
                <w:szCs w:val="18"/>
              </w:rPr>
              <w:t>浊度</w:t>
            </w:r>
            <w:r>
              <w:rPr>
                <w:rFonts w:ascii="Times New Roman" w:hAnsi="Times New Roman"/>
                <w:kern w:val="0"/>
                <w:sz w:val="20"/>
                <w:szCs w:val="20"/>
                <w:lang w:bidi="ar"/>
              </w:rPr>
              <w:t>&lt;</w:t>
            </w:r>
            <w:r>
              <w:rPr>
                <w:rFonts w:ascii="Times New Roman" w:hAnsi="Times New Roman"/>
                <w:kern w:val="0"/>
                <w:sz w:val="18"/>
                <w:szCs w:val="18"/>
              </w:rPr>
              <w:t>1000NTU</w:t>
            </w:r>
          </w:p>
        </w:tc>
        <w:tc>
          <w:tcPr>
            <w:tcW w:w="1395" w:type="dxa"/>
            <w:vAlign w:val="center"/>
          </w:tcPr>
          <w:p>
            <w:pPr>
              <w:jc w:val="center"/>
              <w:rPr>
                <w:rFonts w:ascii="Times New Roman" w:hAnsi="Times New Roman"/>
                <w:bCs/>
                <w:kern w:val="0"/>
                <w:sz w:val="18"/>
                <w:szCs w:val="18"/>
                <w:lang w:val="zh-CN"/>
              </w:rPr>
            </w:pPr>
            <w:r>
              <w:rPr>
                <w:rFonts w:ascii="Times New Roman" w:hAnsi="Times New Roman"/>
                <w:bCs/>
                <w:kern w:val="0"/>
                <w:sz w:val="18"/>
                <w:szCs w:val="18"/>
                <w:lang w:val="zh-CN"/>
              </w:rPr>
              <w:t>±20%</w:t>
            </w:r>
          </w:p>
        </w:tc>
      </w:tr>
    </w:tbl>
    <w:p>
      <w:pPr>
        <w:spacing w:line="360" w:lineRule="auto"/>
        <w:rPr>
          <w:rFonts w:eastAsia="黑体"/>
        </w:rPr>
      </w:pPr>
      <w:r>
        <w:rPr>
          <w:rFonts w:eastAsia="黑体"/>
        </w:rPr>
        <w:t>3、叶绿素a、蓝绿藻密度</w:t>
      </w:r>
    </w:p>
    <w:p>
      <w:pPr>
        <w:spacing w:line="360" w:lineRule="exact"/>
        <w:ind w:firstLine="420" w:firstLineChars="200"/>
      </w:pPr>
      <w:r>
        <w:t>叶绿素a、蓝绿藻密度多点线性核查每个浓度的示值误差、多点线性核查相关系数应满足表4要求。</w:t>
      </w:r>
    </w:p>
    <w:p>
      <w:pPr>
        <w:spacing w:line="360" w:lineRule="auto"/>
        <w:ind w:firstLine="420" w:firstLineChars="200"/>
        <w:jc w:val="center"/>
        <w:rPr>
          <w:rFonts w:eastAsia="黑体"/>
        </w:rPr>
      </w:pPr>
      <w:r>
        <w:rPr>
          <w:rFonts w:eastAsia="黑体"/>
        </w:rPr>
        <w:t>表4  叶绿素a、蓝绿藻密度质控措施要求</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842"/>
        <w:gridCol w:w="5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276" w:type="dxa"/>
            <w:shd w:val="clear" w:color="auto" w:fill="auto"/>
            <w:vAlign w:val="center"/>
          </w:tcPr>
          <w:p>
            <w:pPr>
              <w:jc w:val="center"/>
              <w:outlineLvl w:val="3"/>
              <w:rPr>
                <w:bCs/>
                <w:kern w:val="0"/>
                <w:sz w:val="18"/>
                <w:szCs w:val="18"/>
              </w:rPr>
            </w:pPr>
            <w:r>
              <w:rPr>
                <w:bCs/>
                <w:kern w:val="0"/>
                <w:sz w:val="18"/>
                <w:szCs w:val="18"/>
              </w:rPr>
              <w:t>监测项目</w:t>
            </w:r>
          </w:p>
        </w:tc>
        <w:tc>
          <w:tcPr>
            <w:tcW w:w="1842" w:type="dxa"/>
            <w:shd w:val="clear" w:color="auto" w:fill="auto"/>
            <w:vAlign w:val="center"/>
          </w:tcPr>
          <w:p>
            <w:pPr>
              <w:jc w:val="center"/>
              <w:outlineLvl w:val="3"/>
              <w:rPr>
                <w:bCs/>
                <w:kern w:val="0"/>
                <w:sz w:val="18"/>
                <w:szCs w:val="18"/>
              </w:rPr>
            </w:pPr>
            <w:r>
              <w:rPr>
                <w:bCs/>
                <w:kern w:val="0"/>
                <w:sz w:val="18"/>
                <w:szCs w:val="18"/>
              </w:rPr>
              <w:t>质控项目</w:t>
            </w:r>
          </w:p>
        </w:tc>
        <w:tc>
          <w:tcPr>
            <w:tcW w:w="5070" w:type="dxa"/>
            <w:shd w:val="clear" w:color="auto" w:fill="auto"/>
            <w:vAlign w:val="center"/>
          </w:tcPr>
          <w:p>
            <w:pPr>
              <w:jc w:val="center"/>
              <w:outlineLvl w:val="3"/>
              <w:rPr>
                <w:bCs/>
                <w:kern w:val="0"/>
                <w:sz w:val="18"/>
                <w:szCs w:val="18"/>
              </w:rPr>
            </w:pPr>
            <w:r>
              <w:rPr>
                <w:bCs/>
                <w:kern w:val="0"/>
                <w:sz w:val="18"/>
                <w:szCs w:val="18"/>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276" w:type="dxa"/>
            <w:shd w:val="clear" w:color="auto" w:fill="auto"/>
            <w:vAlign w:val="center"/>
          </w:tcPr>
          <w:p>
            <w:pPr>
              <w:jc w:val="center"/>
              <w:outlineLvl w:val="3"/>
              <w:rPr>
                <w:bCs/>
                <w:kern w:val="0"/>
                <w:sz w:val="18"/>
                <w:szCs w:val="18"/>
              </w:rPr>
            </w:pPr>
            <w:r>
              <w:rPr>
                <w:rFonts w:ascii="Times New Roman" w:hAnsi="Times New Roman"/>
                <w:kern w:val="0"/>
                <w:sz w:val="18"/>
                <w:szCs w:val="18"/>
                <w:lang w:val="zh-CN"/>
              </w:rPr>
              <w:t>叶绿素a</w:t>
            </w:r>
            <w:r>
              <w:rPr>
                <w:rFonts w:hint="eastAsia" w:ascii="Times New Roman" w:hAnsi="Times New Roman"/>
                <w:kern w:val="0"/>
                <w:sz w:val="18"/>
                <w:szCs w:val="18"/>
                <w:lang w:val="zh-CN"/>
              </w:rPr>
              <w:t>、蓝绿藻密度</w:t>
            </w:r>
          </w:p>
        </w:tc>
        <w:tc>
          <w:tcPr>
            <w:tcW w:w="1842" w:type="dxa"/>
            <w:shd w:val="clear" w:color="auto" w:fill="auto"/>
            <w:vAlign w:val="center"/>
          </w:tcPr>
          <w:p>
            <w:pPr>
              <w:jc w:val="center"/>
              <w:outlineLvl w:val="3"/>
              <w:rPr>
                <w:bCs/>
                <w:kern w:val="0"/>
                <w:sz w:val="18"/>
                <w:szCs w:val="18"/>
                <w:lang w:val="zh-CN"/>
              </w:rPr>
            </w:pPr>
            <w:r>
              <w:rPr>
                <w:bCs/>
                <w:kern w:val="0"/>
                <w:sz w:val="18"/>
                <w:szCs w:val="18"/>
              </w:rPr>
              <w:t>多点线性核查</w:t>
            </w:r>
          </w:p>
        </w:tc>
        <w:tc>
          <w:tcPr>
            <w:tcW w:w="5070" w:type="dxa"/>
            <w:shd w:val="clear" w:color="auto" w:fill="auto"/>
            <w:vAlign w:val="center"/>
          </w:tcPr>
          <w:p>
            <w:pPr>
              <w:jc w:val="left"/>
              <w:outlineLvl w:val="3"/>
              <w:rPr>
                <w:bCs/>
                <w:kern w:val="0"/>
                <w:sz w:val="18"/>
                <w:szCs w:val="18"/>
              </w:rPr>
            </w:pPr>
            <w:r>
              <w:rPr>
                <w:bCs/>
                <w:kern w:val="0"/>
                <w:sz w:val="18"/>
                <w:szCs w:val="18"/>
                <w:lang w:val="zh-CN"/>
              </w:rPr>
              <w:t>零点绝对误差应为≤3倍检出限，其他点相对误差应≤±5%，线性相关系数应≥0.993</w:t>
            </w:r>
          </w:p>
        </w:tc>
      </w:tr>
    </w:tbl>
    <w:p>
      <w:pPr>
        <w:spacing w:line="360" w:lineRule="auto"/>
        <w:rPr>
          <w:color w:val="000000"/>
          <w:szCs w:val="21"/>
        </w:rPr>
      </w:pPr>
    </w:p>
    <w:sectPr>
      <w:pgSz w:w="11906" w:h="16838"/>
      <w:pgMar w:top="1440" w:right="1800" w:bottom="1440" w:left="180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fldChar w:fldCharType="begin"/>
                          </w:r>
                          <w:r>
                            <w:instrText xml:space="preserve"> PAGE  \* MERGEFORMAT </w:instrText>
                          </w:r>
                          <w:r>
                            <w:fldChar w:fldCharType="separate"/>
                          </w:r>
                          <w:r>
                            <w:t>I</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I</w:t>
                    </w:r>
                    <w:r>
                      <w:fldChar w:fldCharType="end"/>
                    </w:r>
                  </w:p>
                </w:txbxContent>
              </v:textbox>
            </v:shape>
          </w:pict>
        </mc:Fallback>
      </mc:AlternateContent>
    </w:r>
    <w:r>
      <w:rPr>
        <w:rFonts w:hint="eastAsia"/>
      </w:rPr>
      <w:t>I</w:t>
    </w: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fldChar w:fldCharType="begin"/>
                          </w:r>
                          <w:r>
                            <w:instrText xml:space="preserve"> PAGE  \* MERGEFORMAT </w:instrText>
                          </w:r>
                          <w:r>
                            <w:fldChar w:fldCharType="separate"/>
                          </w:r>
                          <w:r>
                            <w:t>II</w:t>
                          </w:r>
                          <w:r>
                            <w:fldChar w:fldCharType="end"/>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Be9cIBAACNAwAADgAAAGRycy9lMm9Eb2MueG1srVPNjtMwEL4j8Q6W&#10;79TZI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NeUOG5x4OefP86//px/fydv&#10;sjx9gBqzbgPmpeG9H3BpZj+gM7MeVLT5i3wIxlHc00VcOSQi8qPVcrWqMCQwNl8Qn90/DxHSB+kt&#10;yUZDI06viMqPnyCNqXNKrub8jTamTNC4/xyImT0s9z72mK007IaJ0M63J+TT4+Ab6nDPKTEfHeqa&#10;d2Q24mzsJiPXgPDukLBw6SejjlBTMZxSYTRtVF6Df+8l6/4v2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PwXvXCAQAAjQMAAA4AAAAAAAAAAQAgAAAAHgEAAGRycy9lMm9Eb2MueG1sUEsF&#10;BgAAAAAGAAYAWQEAAFIFAAAAAA==&#10;">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II</w:t>
                    </w:r>
                    <w:r>
                      <w:fldChar w:fldCharType="end"/>
                    </w:r>
                  </w:p>
                </w:txbxContent>
              </v:textbox>
            </v:shape>
          </w:pict>
        </mc:Fallback>
      </mc:AlternateContent>
    </w: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fldChar w:fldCharType="begin"/>
                          </w:r>
                          <w:r>
                            <w:instrText xml:space="preserve"> PAGE  \* MERGEFORMAT </w:instrText>
                          </w:r>
                          <w:r>
                            <w:fldChar w:fldCharType="separate"/>
                          </w:r>
                          <w:r>
                            <w:t>I</w:t>
                          </w:r>
                          <w: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HoucIBAACNAwAADgAAAGRycy9lMm9Eb2MueG1srVPNjtMwEL4j8Q6W&#10;79TZC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HrB6LnCAQAAjQMAAA4AAAAAAAAAAQAgAAAAHgEAAGRycy9lMm9Eb2MueG1sUEsF&#10;BgAAAAAGAAYAWQEAAFIFAAAAAA==&#10;">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I</w:t>
                    </w:r>
                    <w:r>
                      <w:fldChar w:fldCharType="end"/>
                    </w:r>
                  </w:p>
                </w:txbxContent>
              </v:textbox>
            </v:shape>
          </w:pict>
        </mc:Fallback>
      </mc:AlternateContent>
    </w:r>
    <w:r>
      <w:rPr>
        <w:rFonts w:hint="eastAsia"/>
      </w:rPr>
      <w:tab/>
    </w: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12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67F5B"/>
    <w:multiLevelType w:val="multilevel"/>
    <w:tmpl w:val="07267F5B"/>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D896A84"/>
    <w:multiLevelType w:val="multilevel"/>
    <w:tmpl w:val="0D896A84"/>
    <w:lvl w:ilvl="0" w:tentative="0">
      <w:start w:val="1"/>
      <w:numFmt w:val="decimal"/>
      <w:pStyle w:val="3"/>
      <w:lvlText w:val="%1"/>
      <w:lvlJc w:val="left"/>
      <w:pPr>
        <w:tabs>
          <w:tab w:val="left" w:pos="425"/>
        </w:tabs>
        <w:ind w:left="425" w:hanging="425"/>
      </w:pPr>
      <w:rPr>
        <w:rFonts w:hint="eastAsia"/>
      </w:rPr>
    </w:lvl>
    <w:lvl w:ilvl="1" w:tentative="0">
      <w:start w:val="1"/>
      <w:numFmt w:val="decimal"/>
      <w:pStyle w:val="4"/>
      <w:lvlText w:val="%1.%2"/>
      <w:lvlJc w:val="left"/>
      <w:pPr>
        <w:tabs>
          <w:tab w:val="left" w:pos="567"/>
        </w:tabs>
        <w:ind w:left="567" w:hanging="567"/>
      </w:pPr>
      <w:rPr>
        <w:rFonts w:hint="eastAsia"/>
      </w:rPr>
    </w:lvl>
    <w:lvl w:ilvl="2" w:tentative="0">
      <w:start w:val="1"/>
      <w:numFmt w:val="decimal"/>
      <w:pStyle w:val="5"/>
      <w:lvlText w:val="%1.%2.%3"/>
      <w:lvlJc w:val="left"/>
      <w:pPr>
        <w:tabs>
          <w:tab w:val="left" w:pos="709"/>
        </w:tabs>
        <w:ind w:left="709" w:hanging="709"/>
      </w:pPr>
      <w:rPr>
        <w:rFonts w:hint="eastAsia"/>
      </w:rPr>
    </w:lvl>
    <w:lvl w:ilvl="3" w:tentative="0">
      <w:start w:val="1"/>
      <w:numFmt w:val="decimal"/>
      <w:suff w:val="nothing"/>
      <w:lvlText w:val="（%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F3D6DA0"/>
    <w:multiLevelType w:val="multilevel"/>
    <w:tmpl w:val="2F3D6DA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D74904"/>
    <w:multiLevelType w:val="multilevel"/>
    <w:tmpl w:val="47D74904"/>
    <w:lvl w:ilvl="0" w:tentative="0">
      <w:start w:val="1"/>
      <w:numFmt w:val="decimal"/>
      <w:pStyle w:val="53"/>
      <w:lvlText w:val="（%1）"/>
      <w:lvlJc w:val="left"/>
      <w:pPr>
        <w:tabs>
          <w:tab w:val="left" w:pos="170"/>
        </w:tabs>
        <w:ind w:left="-28" w:firstLine="454"/>
      </w:pPr>
      <w:rPr>
        <w:rFonts w:hint="eastAsia"/>
        <w:lang w:val="en-US"/>
      </w:rPr>
    </w:lvl>
    <w:lvl w:ilvl="1" w:tentative="0">
      <w:start w:val="1"/>
      <w:numFmt w:val="lowerLetter"/>
      <w:lvlText w:val="%2)"/>
      <w:lvlJc w:val="left"/>
      <w:pPr>
        <w:tabs>
          <w:tab w:val="left" w:pos="812"/>
        </w:tabs>
        <w:ind w:left="812" w:hanging="420"/>
      </w:pPr>
    </w:lvl>
    <w:lvl w:ilvl="2" w:tentative="0">
      <w:start w:val="1"/>
      <w:numFmt w:val="lowerRoman"/>
      <w:lvlText w:val="%3."/>
      <w:lvlJc w:val="right"/>
      <w:pPr>
        <w:tabs>
          <w:tab w:val="left" w:pos="1232"/>
        </w:tabs>
        <w:ind w:left="1232" w:hanging="420"/>
      </w:pPr>
    </w:lvl>
    <w:lvl w:ilvl="3" w:tentative="0">
      <w:start w:val="1"/>
      <w:numFmt w:val="decimal"/>
      <w:lvlText w:val="%4."/>
      <w:lvlJc w:val="left"/>
      <w:pPr>
        <w:tabs>
          <w:tab w:val="left" w:pos="1652"/>
        </w:tabs>
        <w:ind w:left="1652" w:hanging="420"/>
      </w:pPr>
    </w:lvl>
    <w:lvl w:ilvl="4" w:tentative="0">
      <w:start w:val="1"/>
      <w:numFmt w:val="lowerLetter"/>
      <w:lvlText w:val="%5)"/>
      <w:lvlJc w:val="left"/>
      <w:pPr>
        <w:tabs>
          <w:tab w:val="left" w:pos="2072"/>
        </w:tabs>
        <w:ind w:left="2072" w:hanging="420"/>
      </w:pPr>
    </w:lvl>
    <w:lvl w:ilvl="5" w:tentative="0">
      <w:start w:val="1"/>
      <w:numFmt w:val="lowerRoman"/>
      <w:lvlText w:val="%6."/>
      <w:lvlJc w:val="right"/>
      <w:pPr>
        <w:tabs>
          <w:tab w:val="left" w:pos="2492"/>
        </w:tabs>
        <w:ind w:left="2492" w:hanging="420"/>
      </w:pPr>
    </w:lvl>
    <w:lvl w:ilvl="6" w:tentative="0">
      <w:start w:val="1"/>
      <w:numFmt w:val="decimal"/>
      <w:lvlText w:val="%7."/>
      <w:lvlJc w:val="left"/>
      <w:pPr>
        <w:tabs>
          <w:tab w:val="left" w:pos="2912"/>
        </w:tabs>
        <w:ind w:left="2912" w:hanging="420"/>
      </w:pPr>
    </w:lvl>
    <w:lvl w:ilvl="7" w:tentative="0">
      <w:start w:val="1"/>
      <w:numFmt w:val="lowerLetter"/>
      <w:lvlText w:val="%8)"/>
      <w:lvlJc w:val="left"/>
      <w:pPr>
        <w:tabs>
          <w:tab w:val="left" w:pos="3332"/>
        </w:tabs>
        <w:ind w:left="3332" w:hanging="420"/>
      </w:pPr>
    </w:lvl>
    <w:lvl w:ilvl="8" w:tentative="0">
      <w:start w:val="1"/>
      <w:numFmt w:val="lowerRoman"/>
      <w:lvlText w:val="%9."/>
      <w:lvlJc w:val="right"/>
      <w:pPr>
        <w:tabs>
          <w:tab w:val="left" w:pos="3752"/>
        </w:tabs>
        <w:ind w:left="3752" w:hanging="420"/>
      </w:pPr>
    </w:lvl>
  </w:abstractNum>
  <w:abstractNum w:abstractNumId="4">
    <w:nsid w:val="6A9A6F39"/>
    <w:multiLevelType w:val="multilevel"/>
    <w:tmpl w:val="6A9A6F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yZDMxNWRkYmY5MjE3NjUxYTk3ZDA1NDUyNmVkYWEifQ=="/>
    <w:docVar w:name="KSO_WPS_MARK_KEY" w:val="a82cb901-5627-4e9b-9e2f-bd939ecc33a0"/>
  </w:docVars>
  <w:rsids>
    <w:rsidRoot w:val="00902BB5"/>
    <w:rsid w:val="00000088"/>
    <w:rsid w:val="0000098B"/>
    <w:rsid w:val="000023F2"/>
    <w:rsid w:val="000030A3"/>
    <w:rsid w:val="00005F32"/>
    <w:rsid w:val="00012B51"/>
    <w:rsid w:val="000175FF"/>
    <w:rsid w:val="000234A4"/>
    <w:rsid w:val="00024F91"/>
    <w:rsid w:val="00026A06"/>
    <w:rsid w:val="0003168E"/>
    <w:rsid w:val="000333CD"/>
    <w:rsid w:val="00034AFB"/>
    <w:rsid w:val="00034B25"/>
    <w:rsid w:val="00035C32"/>
    <w:rsid w:val="000375C2"/>
    <w:rsid w:val="00037AC0"/>
    <w:rsid w:val="00040EEF"/>
    <w:rsid w:val="0004144B"/>
    <w:rsid w:val="00043EA7"/>
    <w:rsid w:val="00047562"/>
    <w:rsid w:val="000536B7"/>
    <w:rsid w:val="00054035"/>
    <w:rsid w:val="000547C9"/>
    <w:rsid w:val="00055062"/>
    <w:rsid w:val="0005540B"/>
    <w:rsid w:val="0005605B"/>
    <w:rsid w:val="000560E7"/>
    <w:rsid w:val="0005629C"/>
    <w:rsid w:val="00060962"/>
    <w:rsid w:val="0006121B"/>
    <w:rsid w:val="000653FB"/>
    <w:rsid w:val="000663E8"/>
    <w:rsid w:val="0006712F"/>
    <w:rsid w:val="00072219"/>
    <w:rsid w:val="00072F1C"/>
    <w:rsid w:val="0007697F"/>
    <w:rsid w:val="000774B3"/>
    <w:rsid w:val="000804E1"/>
    <w:rsid w:val="0008255E"/>
    <w:rsid w:val="0008722E"/>
    <w:rsid w:val="00090348"/>
    <w:rsid w:val="00093ECB"/>
    <w:rsid w:val="000964F3"/>
    <w:rsid w:val="00097859"/>
    <w:rsid w:val="000A074C"/>
    <w:rsid w:val="000A08CA"/>
    <w:rsid w:val="000A1190"/>
    <w:rsid w:val="000A14A9"/>
    <w:rsid w:val="000A29A3"/>
    <w:rsid w:val="000A33B7"/>
    <w:rsid w:val="000A3F21"/>
    <w:rsid w:val="000A51C0"/>
    <w:rsid w:val="000B0999"/>
    <w:rsid w:val="000B2E39"/>
    <w:rsid w:val="000B6E93"/>
    <w:rsid w:val="000B75B7"/>
    <w:rsid w:val="000C4E51"/>
    <w:rsid w:val="000C515E"/>
    <w:rsid w:val="000D03CD"/>
    <w:rsid w:val="000D0AF9"/>
    <w:rsid w:val="000D1974"/>
    <w:rsid w:val="000D353C"/>
    <w:rsid w:val="000D3C86"/>
    <w:rsid w:val="000D5621"/>
    <w:rsid w:val="000D6A76"/>
    <w:rsid w:val="000D7998"/>
    <w:rsid w:val="000E10E9"/>
    <w:rsid w:val="000E20EB"/>
    <w:rsid w:val="000E2776"/>
    <w:rsid w:val="000E3EA4"/>
    <w:rsid w:val="000E4668"/>
    <w:rsid w:val="000E4687"/>
    <w:rsid w:val="000F0526"/>
    <w:rsid w:val="000F0BC0"/>
    <w:rsid w:val="000F3D60"/>
    <w:rsid w:val="000F4401"/>
    <w:rsid w:val="000F6783"/>
    <w:rsid w:val="000F6CDE"/>
    <w:rsid w:val="000F77A8"/>
    <w:rsid w:val="00103211"/>
    <w:rsid w:val="00106D7E"/>
    <w:rsid w:val="0010759F"/>
    <w:rsid w:val="00107A0D"/>
    <w:rsid w:val="00107F32"/>
    <w:rsid w:val="00113B48"/>
    <w:rsid w:val="0011629F"/>
    <w:rsid w:val="0012387A"/>
    <w:rsid w:val="0012460E"/>
    <w:rsid w:val="00127B77"/>
    <w:rsid w:val="00131511"/>
    <w:rsid w:val="00131640"/>
    <w:rsid w:val="0013195B"/>
    <w:rsid w:val="001323C8"/>
    <w:rsid w:val="001338C1"/>
    <w:rsid w:val="00133F93"/>
    <w:rsid w:val="00134204"/>
    <w:rsid w:val="00135C1F"/>
    <w:rsid w:val="00141CB7"/>
    <w:rsid w:val="00143C7B"/>
    <w:rsid w:val="0014490A"/>
    <w:rsid w:val="00146454"/>
    <w:rsid w:val="001466C9"/>
    <w:rsid w:val="00147E0D"/>
    <w:rsid w:val="00147EA9"/>
    <w:rsid w:val="001513DB"/>
    <w:rsid w:val="00151768"/>
    <w:rsid w:val="00154117"/>
    <w:rsid w:val="00155A19"/>
    <w:rsid w:val="00155A1C"/>
    <w:rsid w:val="001573DB"/>
    <w:rsid w:val="00157D49"/>
    <w:rsid w:val="00160133"/>
    <w:rsid w:val="00162687"/>
    <w:rsid w:val="00162C21"/>
    <w:rsid w:val="00163FAE"/>
    <w:rsid w:val="00165722"/>
    <w:rsid w:val="001710B7"/>
    <w:rsid w:val="00173E9A"/>
    <w:rsid w:val="00174A16"/>
    <w:rsid w:val="00174FA7"/>
    <w:rsid w:val="00175B42"/>
    <w:rsid w:val="00176FC7"/>
    <w:rsid w:val="0018372D"/>
    <w:rsid w:val="00187012"/>
    <w:rsid w:val="00192B83"/>
    <w:rsid w:val="00196DAE"/>
    <w:rsid w:val="001A5997"/>
    <w:rsid w:val="001A7583"/>
    <w:rsid w:val="001A7CE2"/>
    <w:rsid w:val="001B1198"/>
    <w:rsid w:val="001B1BC4"/>
    <w:rsid w:val="001B40E0"/>
    <w:rsid w:val="001B6CC2"/>
    <w:rsid w:val="001C0582"/>
    <w:rsid w:val="001C217D"/>
    <w:rsid w:val="001C21C9"/>
    <w:rsid w:val="001C6177"/>
    <w:rsid w:val="001C65B2"/>
    <w:rsid w:val="001C6A51"/>
    <w:rsid w:val="001D0C8B"/>
    <w:rsid w:val="001D1AB6"/>
    <w:rsid w:val="001D1DFC"/>
    <w:rsid w:val="001D466E"/>
    <w:rsid w:val="001D5163"/>
    <w:rsid w:val="001D6324"/>
    <w:rsid w:val="001E1761"/>
    <w:rsid w:val="001E54F5"/>
    <w:rsid w:val="001E62E2"/>
    <w:rsid w:val="001E7DFD"/>
    <w:rsid w:val="001F3C4D"/>
    <w:rsid w:val="001F44CE"/>
    <w:rsid w:val="001F6EC1"/>
    <w:rsid w:val="001F7F6C"/>
    <w:rsid w:val="00204C3C"/>
    <w:rsid w:val="00206A86"/>
    <w:rsid w:val="00207378"/>
    <w:rsid w:val="00210553"/>
    <w:rsid w:val="002105D2"/>
    <w:rsid w:val="00210EAC"/>
    <w:rsid w:val="00212607"/>
    <w:rsid w:val="00212C5F"/>
    <w:rsid w:val="00213644"/>
    <w:rsid w:val="0021492D"/>
    <w:rsid w:val="00216D9D"/>
    <w:rsid w:val="002172F5"/>
    <w:rsid w:val="00217ADF"/>
    <w:rsid w:val="00223471"/>
    <w:rsid w:val="00223FD7"/>
    <w:rsid w:val="00227846"/>
    <w:rsid w:val="00231339"/>
    <w:rsid w:val="0023387D"/>
    <w:rsid w:val="00233DB1"/>
    <w:rsid w:val="00234713"/>
    <w:rsid w:val="00234D2A"/>
    <w:rsid w:val="00234D86"/>
    <w:rsid w:val="00236C99"/>
    <w:rsid w:val="0024165E"/>
    <w:rsid w:val="00241998"/>
    <w:rsid w:val="0024530A"/>
    <w:rsid w:val="00246391"/>
    <w:rsid w:val="002464D3"/>
    <w:rsid w:val="00250CBE"/>
    <w:rsid w:val="00250E9F"/>
    <w:rsid w:val="00252C61"/>
    <w:rsid w:val="002533BF"/>
    <w:rsid w:val="002534A0"/>
    <w:rsid w:val="00256F38"/>
    <w:rsid w:val="00262409"/>
    <w:rsid w:val="00264D55"/>
    <w:rsid w:val="00280F1A"/>
    <w:rsid w:val="0028278C"/>
    <w:rsid w:val="002831F8"/>
    <w:rsid w:val="0028344F"/>
    <w:rsid w:val="00284A05"/>
    <w:rsid w:val="00287017"/>
    <w:rsid w:val="0028784F"/>
    <w:rsid w:val="002919A6"/>
    <w:rsid w:val="002944AB"/>
    <w:rsid w:val="002A2072"/>
    <w:rsid w:val="002A50B7"/>
    <w:rsid w:val="002A5F0E"/>
    <w:rsid w:val="002A6940"/>
    <w:rsid w:val="002A7B29"/>
    <w:rsid w:val="002B1F46"/>
    <w:rsid w:val="002C0850"/>
    <w:rsid w:val="002C19AA"/>
    <w:rsid w:val="002C2CEC"/>
    <w:rsid w:val="002C32E9"/>
    <w:rsid w:val="002C6E6D"/>
    <w:rsid w:val="002C6FCC"/>
    <w:rsid w:val="002D02A5"/>
    <w:rsid w:val="002D089D"/>
    <w:rsid w:val="002D2731"/>
    <w:rsid w:val="002D2F76"/>
    <w:rsid w:val="002D323F"/>
    <w:rsid w:val="002D3EE0"/>
    <w:rsid w:val="002D5FD8"/>
    <w:rsid w:val="002D728F"/>
    <w:rsid w:val="002E2ECB"/>
    <w:rsid w:val="002E2FC2"/>
    <w:rsid w:val="002E3936"/>
    <w:rsid w:val="002E402C"/>
    <w:rsid w:val="002F129C"/>
    <w:rsid w:val="002F1922"/>
    <w:rsid w:val="002F6155"/>
    <w:rsid w:val="002F6472"/>
    <w:rsid w:val="002F7D47"/>
    <w:rsid w:val="003037B3"/>
    <w:rsid w:val="00307808"/>
    <w:rsid w:val="00321B35"/>
    <w:rsid w:val="00322D0E"/>
    <w:rsid w:val="00323331"/>
    <w:rsid w:val="00326D55"/>
    <w:rsid w:val="00327EA3"/>
    <w:rsid w:val="0033064F"/>
    <w:rsid w:val="00332038"/>
    <w:rsid w:val="00332144"/>
    <w:rsid w:val="0033713A"/>
    <w:rsid w:val="00343849"/>
    <w:rsid w:val="0034423C"/>
    <w:rsid w:val="00345D4A"/>
    <w:rsid w:val="00347AD8"/>
    <w:rsid w:val="0035090F"/>
    <w:rsid w:val="00354D36"/>
    <w:rsid w:val="00357C04"/>
    <w:rsid w:val="00360716"/>
    <w:rsid w:val="00360EFB"/>
    <w:rsid w:val="00362094"/>
    <w:rsid w:val="00364CED"/>
    <w:rsid w:val="00365405"/>
    <w:rsid w:val="003661DB"/>
    <w:rsid w:val="00366416"/>
    <w:rsid w:val="00371862"/>
    <w:rsid w:val="00373A55"/>
    <w:rsid w:val="00376D1D"/>
    <w:rsid w:val="00381597"/>
    <w:rsid w:val="0038254E"/>
    <w:rsid w:val="00382E77"/>
    <w:rsid w:val="003834B6"/>
    <w:rsid w:val="003851A0"/>
    <w:rsid w:val="00385218"/>
    <w:rsid w:val="00386A28"/>
    <w:rsid w:val="00391E44"/>
    <w:rsid w:val="00392355"/>
    <w:rsid w:val="00396559"/>
    <w:rsid w:val="00396AF6"/>
    <w:rsid w:val="00396B0C"/>
    <w:rsid w:val="003A620B"/>
    <w:rsid w:val="003B0307"/>
    <w:rsid w:val="003B1D3E"/>
    <w:rsid w:val="003B2FDD"/>
    <w:rsid w:val="003B313A"/>
    <w:rsid w:val="003B39F2"/>
    <w:rsid w:val="003B4200"/>
    <w:rsid w:val="003B5182"/>
    <w:rsid w:val="003B5EB8"/>
    <w:rsid w:val="003B61D2"/>
    <w:rsid w:val="003C03A2"/>
    <w:rsid w:val="003C07C3"/>
    <w:rsid w:val="003C130C"/>
    <w:rsid w:val="003C7089"/>
    <w:rsid w:val="003C7B8B"/>
    <w:rsid w:val="003D04CC"/>
    <w:rsid w:val="003D3173"/>
    <w:rsid w:val="003D45AC"/>
    <w:rsid w:val="003D5656"/>
    <w:rsid w:val="003D773F"/>
    <w:rsid w:val="003E0671"/>
    <w:rsid w:val="003E3626"/>
    <w:rsid w:val="003E4261"/>
    <w:rsid w:val="003E498B"/>
    <w:rsid w:val="003E5876"/>
    <w:rsid w:val="003F11FC"/>
    <w:rsid w:val="003F30C3"/>
    <w:rsid w:val="003F3B22"/>
    <w:rsid w:val="003F3C14"/>
    <w:rsid w:val="003F5ACF"/>
    <w:rsid w:val="003F6CC8"/>
    <w:rsid w:val="00401281"/>
    <w:rsid w:val="00410EFE"/>
    <w:rsid w:val="004110FB"/>
    <w:rsid w:val="0041442D"/>
    <w:rsid w:val="00415F2F"/>
    <w:rsid w:val="00416A0F"/>
    <w:rsid w:val="00417D12"/>
    <w:rsid w:val="00420405"/>
    <w:rsid w:val="00423BA5"/>
    <w:rsid w:val="00424A89"/>
    <w:rsid w:val="0042782C"/>
    <w:rsid w:val="00427BFD"/>
    <w:rsid w:val="004307E2"/>
    <w:rsid w:val="004307EE"/>
    <w:rsid w:val="0043136F"/>
    <w:rsid w:val="00431790"/>
    <w:rsid w:val="00432B8A"/>
    <w:rsid w:val="00433B59"/>
    <w:rsid w:val="004342F1"/>
    <w:rsid w:val="0043651D"/>
    <w:rsid w:val="00443D21"/>
    <w:rsid w:val="00443FA1"/>
    <w:rsid w:val="004446A3"/>
    <w:rsid w:val="00444E64"/>
    <w:rsid w:val="00445547"/>
    <w:rsid w:val="00453241"/>
    <w:rsid w:val="00457973"/>
    <w:rsid w:val="00462D2A"/>
    <w:rsid w:val="004634A4"/>
    <w:rsid w:val="004635E4"/>
    <w:rsid w:val="00465B6D"/>
    <w:rsid w:val="00467628"/>
    <w:rsid w:val="00471154"/>
    <w:rsid w:val="004713F0"/>
    <w:rsid w:val="00475782"/>
    <w:rsid w:val="00475E54"/>
    <w:rsid w:val="00481044"/>
    <w:rsid w:val="004814E4"/>
    <w:rsid w:val="00481ED9"/>
    <w:rsid w:val="004849F2"/>
    <w:rsid w:val="00491A09"/>
    <w:rsid w:val="00491FFC"/>
    <w:rsid w:val="00492387"/>
    <w:rsid w:val="00492453"/>
    <w:rsid w:val="00492994"/>
    <w:rsid w:val="004931F3"/>
    <w:rsid w:val="00495B90"/>
    <w:rsid w:val="0049775E"/>
    <w:rsid w:val="004A47FC"/>
    <w:rsid w:val="004A49E5"/>
    <w:rsid w:val="004A7A30"/>
    <w:rsid w:val="004B1950"/>
    <w:rsid w:val="004B2835"/>
    <w:rsid w:val="004B44E1"/>
    <w:rsid w:val="004B6259"/>
    <w:rsid w:val="004B6524"/>
    <w:rsid w:val="004C157F"/>
    <w:rsid w:val="004C1F67"/>
    <w:rsid w:val="004C329A"/>
    <w:rsid w:val="004C59A0"/>
    <w:rsid w:val="004C6332"/>
    <w:rsid w:val="004C6D67"/>
    <w:rsid w:val="004C6F38"/>
    <w:rsid w:val="004D0033"/>
    <w:rsid w:val="004D4DB5"/>
    <w:rsid w:val="004D55E7"/>
    <w:rsid w:val="004D5FA4"/>
    <w:rsid w:val="004D718A"/>
    <w:rsid w:val="004E1ED5"/>
    <w:rsid w:val="004E3E35"/>
    <w:rsid w:val="004E5D64"/>
    <w:rsid w:val="004E5FBE"/>
    <w:rsid w:val="004E634E"/>
    <w:rsid w:val="004E70AD"/>
    <w:rsid w:val="004E74DB"/>
    <w:rsid w:val="004F103F"/>
    <w:rsid w:val="004F1F12"/>
    <w:rsid w:val="004F5C2E"/>
    <w:rsid w:val="004F5D7B"/>
    <w:rsid w:val="004F612F"/>
    <w:rsid w:val="005013BE"/>
    <w:rsid w:val="00506545"/>
    <w:rsid w:val="0051021E"/>
    <w:rsid w:val="00511B67"/>
    <w:rsid w:val="00511BD7"/>
    <w:rsid w:val="00512DED"/>
    <w:rsid w:val="00513FB3"/>
    <w:rsid w:val="005171F1"/>
    <w:rsid w:val="00517234"/>
    <w:rsid w:val="00520AEF"/>
    <w:rsid w:val="00523858"/>
    <w:rsid w:val="00523C0D"/>
    <w:rsid w:val="0052658B"/>
    <w:rsid w:val="00531FAA"/>
    <w:rsid w:val="0053718F"/>
    <w:rsid w:val="00540257"/>
    <w:rsid w:val="00540BCD"/>
    <w:rsid w:val="005419EC"/>
    <w:rsid w:val="00543096"/>
    <w:rsid w:val="00543C6F"/>
    <w:rsid w:val="005458D9"/>
    <w:rsid w:val="00545AD0"/>
    <w:rsid w:val="00545D69"/>
    <w:rsid w:val="00546BCF"/>
    <w:rsid w:val="005505B7"/>
    <w:rsid w:val="00552316"/>
    <w:rsid w:val="00553284"/>
    <w:rsid w:val="0055328F"/>
    <w:rsid w:val="00554D0C"/>
    <w:rsid w:val="005575E0"/>
    <w:rsid w:val="005631F2"/>
    <w:rsid w:val="0056495C"/>
    <w:rsid w:val="00566291"/>
    <w:rsid w:val="00571FE2"/>
    <w:rsid w:val="0057351B"/>
    <w:rsid w:val="00577EC3"/>
    <w:rsid w:val="005811D0"/>
    <w:rsid w:val="00582E91"/>
    <w:rsid w:val="005855AF"/>
    <w:rsid w:val="005857CA"/>
    <w:rsid w:val="00590963"/>
    <w:rsid w:val="0059097F"/>
    <w:rsid w:val="00594A78"/>
    <w:rsid w:val="00595E99"/>
    <w:rsid w:val="00595F08"/>
    <w:rsid w:val="0059697C"/>
    <w:rsid w:val="00596D45"/>
    <w:rsid w:val="005A152A"/>
    <w:rsid w:val="005A2DBF"/>
    <w:rsid w:val="005A33AB"/>
    <w:rsid w:val="005A367A"/>
    <w:rsid w:val="005A6CBA"/>
    <w:rsid w:val="005B1A0F"/>
    <w:rsid w:val="005B1D65"/>
    <w:rsid w:val="005B1DF2"/>
    <w:rsid w:val="005B6209"/>
    <w:rsid w:val="005B62E7"/>
    <w:rsid w:val="005C1E6B"/>
    <w:rsid w:val="005C473F"/>
    <w:rsid w:val="005C5007"/>
    <w:rsid w:val="005C5B14"/>
    <w:rsid w:val="005C7F00"/>
    <w:rsid w:val="005D12DE"/>
    <w:rsid w:val="005D16C3"/>
    <w:rsid w:val="005D7273"/>
    <w:rsid w:val="005D78CA"/>
    <w:rsid w:val="005D7DD9"/>
    <w:rsid w:val="005E03CD"/>
    <w:rsid w:val="005E147B"/>
    <w:rsid w:val="005E35A1"/>
    <w:rsid w:val="005E53F7"/>
    <w:rsid w:val="005F03B7"/>
    <w:rsid w:val="005F58EB"/>
    <w:rsid w:val="005F5921"/>
    <w:rsid w:val="005F62D5"/>
    <w:rsid w:val="005F6ADF"/>
    <w:rsid w:val="006002BB"/>
    <w:rsid w:val="00600AB5"/>
    <w:rsid w:val="00600D47"/>
    <w:rsid w:val="00601245"/>
    <w:rsid w:val="00602BEB"/>
    <w:rsid w:val="00615C3D"/>
    <w:rsid w:val="0061670F"/>
    <w:rsid w:val="00616B15"/>
    <w:rsid w:val="00617590"/>
    <w:rsid w:val="00620FC5"/>
    <w:rsid w:val="00621CE5"/>
    <w:rsid w:val="00625D80"/>
    <w:rsid w:val="00634767"/>
    <w:rsid w:val="006359D9"/>
    <w:rsid w:val="00636F54"/>
    <w:rsid w:val="006414B5"/>
    <w:rsid w:val="00642A29"/>
    <w:rsid w:val="006505C9"/>
    <w:rsid w:val="00654D29"/>
    <w:rsid w:val="00656084"/>
    <w:rsid w:val="00656DF9"/>
    <w:rsid w:val="0066079B"/>
    <w:rsid w:val="00667538"/>
    <w:rsid w:val="00671407"/>
    <w:rsid w:val="00671955"/>
    <w:rsid w:val="00674635"/>
    <w:rsid w:val="0067471D"/>
    <w:rsid w:val="006756B5"/>
    <w:rsid w:val="00680E6D"/>
    <w:rsid w:val="006820E6"/>
    <w:rsid w:val="006856A7"/>
    <w:rsid w:val="006859D7"/>
    <w:rsid w:val="0069189C"/>
    <w:rsid w:val="00693AB3"/>
    <w:rsid w:val="006A2143"/>
    <w:rsid w:val="006A4074"/>
    <w:rsid w:val="006A6C28"/>
    <w:rsid w:val="006A758D"/>
    <w:rsid w:val="006A7927"/>
    <w:rsid w:val="006B59E7"/>
    <w:rsid w:val="006B5B3E"/>
    <w:rsid w:val="006B5EC7"/>
    <w:rsid w:val="006B7D92"/>
    <w:rsid w:val="006C3C80"/>
    <w:rsid w:val="006C5699"/>
    <w:rsid w:val="006C6441"/>
    <w:rsid w:val="006C6E65"/>
    <w:rsid w:val="006C7870"/>
    <w:rsid w:val="006C7CB5"/>
    <w:rsid w:val="006D17E6"/>
    <w:rsid w:val="006D2906"/>
    <w:rsid w:val="006D2DC5"/>
    <w:rsid w:val="006D4A9E"/>
    <w:rsid w:val="006E2465"/>
    <w:rsid w:val="006E3002"/>
    <w:rsid w:val="006E3819"/>
    <w:rsid w:val="006E4102"/>
    <w:rsid w:val="006E51E3"/>
    <w:rsid w:val="006E7DDC"/>
    <w:rsid w:val="006F229D"/>
    <w:rsid w:val="006F259B"/>
    <w:rsid w:val="006F76E3"/>
    <w:rsid w:val="0070242B"/>
    <w:rsid w:val="00702A73"/>
    <w:rsid w:val="00710B72"/>
    <w:rsid w:val="0071235E"/>
    <w:rsid w:val="00712CB7"/>
    <w:rsid w:val="0072115E"/>
    <w:rsid w:val="00721418"/>
    <w:rsid w:val="007239D2"/>
    <w:rsid w:val="007248CB"/>
    <w:rsid w:val="00724DB2"/>
    <w:rsid w:val="00725495"/>
    <w:rsid w:val="00726872"/>
    <w:rsid w:val="0072737A"/>
    <w:rsid w:val="007305C3"/>
    <w:rsid w:val="007312DE"/>
    <w:rsid w:val="007328AC"/>
    <w:rsid w:val="00733088"/>
    <w:rsid w:val="00733E3E"/>
    <w:rsid w:val="00734995"/>
    <w:rsid w:val="00742FD1"/>
    <w:rsid w:val="00744DE6"/>
    <w:rsid w:val="00746EBA"/>
    <w:rsid w:val="0074750A"/>
    <w:rsid w:val="00747593"/>
    <w:rsid w:val="0075254F"/>
    <w:rsid w:val="0075385F"/>
    <w:rsid w:val="00755284"/>
    <w:rsid w:val="00755F36"/>
    <w:rsid w:val="00761671"/>
    <w:rsid w:val="00762E6E"/>
    <w:rsid w:val="00764EC2"/>
    <w:rsid w:val="0076693B"/>
    <w:rsid w:val="00766ADF"/>
    <w:rsid w:val="00770224"/>
    <w:rsid w:val="00770CEB"/>
    <w:rsid w:val="0077238C"/>
    <w:rsid w:val="00772625"/>
    <w:rsid w:val="007730EF"/>
    <w:rsid w:val="00773CC7"/>
    <w:rsid w:val="0078067F"/>
    <w:rsid w:val="00780CF0"/>
    <w:rsid w:val="0078150F"/>
    <w:rsid w:val="007859E2"/>
    <w:rsid w:val="00785A96"/>
    <w:rsid w:val="007866DF"/>
    <w:rsid w:val="00791286"/>
    <w:rsid w:val="007936D8"/>
    <w:rsid w:val="007952A3"/>
    <w:rsid w:val="007955AB"/>
    <w:rsid w:val="00796D21"/>
    <w:rsid w:val="007A08CB"/>
    <w:rsid w:val="007A3A79"/>
    <w:rsid w:val="007A7429"/>
    <w:rsid w:val="007B0F99"/>
    <w:rsid w:val="007B2EC7"/>
    <w:rsid w:val="007B3BA6"/>
    <w:rsid w:val="007B5D5B"/>
    <w:rsid w:val="007B7194"/>
    <w:rsid w:val="007C3174"/>
    <w:rsid w:val="007C3CAA"/>
    <w:rsid w:val="007C4109"/>
    <w:rsid w:val="007C6606"/>
    <w:rsid w:val="007C7A71"/>
    <w:rsid w:val="007D1D8A"/>
    <w:rsid w:val="007D2D22"/>
    <w:rsid w:val="007D4A6E"/>
    <w:rsid w:val="007D55E7"/>
    <w:rsid w:val="007D7B4D"/>
    <w:rsid w:val="007D7BA3"/>
    <w:rsid w:val="007E2F9C"/>
    <w:rsid w:val="007E30CD"/>
    <w:rsid w:val="007E3923"/>
    <w:rsid w:val="007E4F45"/>
    <w:rsid w:val="007E5490"/>
    <w:rsid w:val="007E71E2"/>
    <w:rsid w:val="007E7D20"/>
    <w:rsid w:val="007F3EA8"/>
    <w:rsid w:val="007F4F28"/>
    <w:rsid w:val="007F60F1"/>
    <w:rsid w:val="007F7059"/>
    <w:rsid w:val="00800C94"/>
    <w:rsid w:val="00801785"/>
    <w:rsid w:val="0080236B"/>
    <w:rsid w:val="00803C19"/>
    <w:rsid w:val="00803F26"/>
    <w:rsid w:val="00805E77"/>
    <w:rsid w:val="00812430"/>
    <w:rsid w:val="008126D8"/>
    <w:rsid w:val="00812FCF"/>
    <w:rsid w:val="008139CE"/>
    <w:rsid w:val="00815B00"/>
    <w:rsid w:val="00823572"/>
    <w:rsid w:val="008241DA"/>
    <w:rsid w:val="00825872"/>
    <w:rsid w:val="00830942"/>
    <w:rsid w:val="00841651"/>
    <w:rsid w:val="00841BD4"/>
    <w:rsid w:val="0084547C"/>
    <w:rsid w:val="00845F8A"/>
    <w:rsid w:val="00846113"/>
    <w:rsid w:val="0084623A"/>
    <w:rsid w:val="00846B81"/>
    <w:rsid w:val="00852E41"/>
    <w:rsid w:val="00855CA1"/>
    <w:rsid w:val="008579E6"/>
    <w:rsid w:val="00857AE0"/>
    <w:rsid w:val="00860446"/>
    <w:rsid w:val="0086109E"/>
    <w:rsid w:val="00866E55"/>
    <w:rsid w:val="00867AEA"/>
    <w:rsid w:val="00870BAD"/>
    <w:rsid w:val="008726C1"/>
    <w:rsid w:val="008728BD"/>
    <w:rsid w:val="0087388B"/>
    <w:rsid w:val="00873D9A"/>
    <w:rsid w:val="00873FF8"/>
    <w:rsid w:val="00875589"/>
    <w:rsid w:val="008770FF"/>
    <w:rsid w:val="00880E13"/>
    <w:rsid w:val="00880FF2"/>
    <w:rsid w:val="008824E7"/>
    <w:rsid w:val="008831A1"/>
    <w:rsid w:val="00884B43"/>
    <w:rsid w:val="00886DA1"/>
    <w:rsid w:val="00887332"/>
    <w:rsid w:val="00892066"/>
    <w:rsid w:val="0089221F"/>
    <w:rsid w:val="0089259B"/>
    <w:rsid w:val="00892926"/>
    <w:rsid w:val="008957EB"/>
    <w:rsid w:val="00895C3D"/>
    <w:rsid w:val="008A0602"/>
    <w:rsid w:val="008A1D80"/>
    <w:rsid w:val="008A2FB5"/>
    <w:rsid w:val="008A300B"/>
    <w:rsid w:val="008A3F64"/>
    <w:rsid w:val="008A56B2"/>
    <w:rsid w:val="008B1926"/>
    <w:rsid w:val="008B21ED"/>
    <w:rsid w:val="008B3ED9"/>
    <w:rsid w:val="008B5690"/>
    <w:rsid w:val="008B7B08"/>
    <w:rsid w:val="008C5BD7"/>
    <w:rsid w:val="008C6EA8"/>
    <w:rsid w:val="008C7500"/>
    <w:rsid w:val="008C7611"/>
    <w:rsid w:val="008D1E7C"/>
    <w:rsid w:val="008D2242"/>
    <w:rsid w:val="008D51E6"/>
    <w:rsid w:val="008D6170"/>
    <w:rsid w:val="008E3E61"/>
    <w:rsid w:val="008E7208"/>
    <w:rsid w:val="008F03BF"/>
    <w:rsid w:val="008F1805"/>
    <w:rsid w:val="008F209A"/>
    <w:rsid w:val="008F3528"/>
    <w:rsid w:val="008F5D3D"/>
    <w:rsid w:val="009014B6"/>
    <w:rsid w:val="00902BB5"/>
    <w:rsid w:val="00902F26"/>
    <w:rsid w:val="009033A2"/>
    <w:rsid w:val="00910BE1"/>
    <w:rsid w:val="0091793E"/>
    <w:rsid w:val="00925537"/>
    <w:rsid w:val="009264A0"/>
    <w:rsid w:val="00927CCA"/>
    <w:rsid w:val="009307EA"/>
    <w:rsid w:val="00931B8B"/>
    <w:rsid w:val="00931C3D"/>
    <w:rsid w:val="00932FC4"/>
    <w:rsid w:val="009334ED"/>
    <w:rsid w:val="00935936"/>
    <w:rsid w:val="009367CB"/>
    <w:rsid w:val="009369EA"/>
    <w:rsid w:val="00942B82"/>
    <w:rsid w:val="0094539A"/>
    <w:rsid w:val="00950D45"/>
    <w:rsid w:val="00950D9E"/>
    <w:rsid w:val="00951B00"/>
    <w:rsid w:val="00951DF2"/>
    <w:rsid w:val="009524EE"/>
    <w:rsid w:val="0095636C"/>
    <w:rsid w:val="00957B09"/>
    <w:rsid w:val="00960193"/>
    <w:rsid w:val="00960312"/>
    <w:rsid w:val="00961D40"/>
    <w:rsid w:val="009626DA"/>
    <w:rsid w:val="00963C63"/>
    <w:rsid w:val="00964EC2"/>
    <w:rsid w:val="009727C8"/>
    <w:rsid w:val="00976355"/>
    <w:rsid w:val="00976E8E"/>
    <w:rsid w:val="00977FFC"/>
    <w:rsid w:val="00980234"/>
    <w:rsid w:val="009814B1"/>
    <w:rsid w:val="009838F2"/>
    <w:rsid w:val="009857A1"/>
    <w:rsid w:val="009909DB"/>
    <w:rsid w:val="009931DB"/>
    <w:rsid w:val="009941F4"/>
    <w:rsid w:val="00994AD8"/>
    <w:rsid w:val="009A24F0"/>
    <w:rsid w:val="009A3D84"/>
    <w:rsid w:val="009A6F22"/>
    <w:rsid w:val="009B0490"/>
    <w:rsid w:val="009B0975"/>
    <w:rsid w:val="009B13D1"/>
    <w:rsid w:val="009B1800"/>
    <w:rsid w:val="009B2E1E"/>
    <w:rsid w:val="009B4294"/>
    <w:rsid w:val="009B46C0"/>
    <w:rsid w:val="009B4F2A"/>
    <w:rsid w:val="009B5AB6"/>
    <w:rsid w:val="009B70DF"/>
    <w:rsid w:val="009C3071"/>
    <w:rsid w:val="009C327B"/>
    <w:rsid w:val="009C37EB"/>
    <w:rsid w:val="009C5117"/>
    <w:rsid w:val="009C5563"/>
    <w:rsid w:val="009C5FB8"/>
    <w:rsid w:val="009C69E0"/>
    <w:rsid w:val="009C6F8C"/>
    <w:rsid w:val="009D2A34"/>
    <w:rsid w:val="009D4923"/>
    <w:rsid w:val="009D57C0"/>
    <w:rsid w:val="009E593B"/>
    <w:rsid w:val="009E6C85"/>
    <w:rsid w:val="009E79BD"/>
    <w:rsid w:val="009E7C3D"/>
    <w:rsid w:val="009F01CA"/>
    <w:rsid w:val="009F2B17"/>
    <w:rsid w:val="009F37D9"/>
    <w:rsid w:val="009F3A98"/>
    <w:rsid w:val="009F3C92"/>
    <w:rsid w:val="009F3F00"/>
    <w:rsid w:val="009F5841"/>
    <w:rsid w:val="009F6248"/>
    <w:rsid w:val="00A0106F"/>
    <w:rsid w:val="00A0152F"/>
    <w:rsid w:val="00A03D45"/>
    <w:rsid w:val="00A07F67"/>
    <w:rsid w:val="00A15340"/>
    <w:rsid w:val="00A16CCC"/>
    <w:rsid w:val="00A1780F"/>
    <w:rsid w:val="00A17B9E"/>
    <w:rsid w:val="00A249C8"/>
    <w:rsid w:val="00A269E2"/>
    <w:rsid w:val="00A30C96"/>
    <w:rsid w:val="00A3153B"/>
    <w:rsid w:val="00A31676"/>
    <w:rsid w:val="00A317B5"/>
    <w:rsid w:val="00A34D4D"/>
    <w:rsid w:val="00A36B6B"/>
    <w:rsid w:val="00A40F46"/>
    <w:rsid w:val="00A42E9D"/>
    <w:rsid w:val="00A50A8F"/>
    <w:rsid w:val="00A51331"/>
    <w:rsid w:val="00A51C82"/>
    <w:rsid w:val="00A52A0B"/>
    <w:rsid w:val="00A52C06"/>
    <w:rsid w:val="00A5371A"/>
    <w:rsid w:val="00A53B04"/>
    <w:rsid w:val="00A53F27"/>
    <w:rsid w:val="00A54CA9"/>
    <w:rsid w:val="00A5514B"/>
    <w:rsid w:val="00A6255B"/>
    <w:rsid w:val="00A62AC5"/>
    <w:rsid w:val="00A634EF"/>
    <w:rsid w:val="00A66E32"/>
    <w:rsid w:val="00A66EE1"/>
    <w:rsid w:val="00A67098"/>
    <w:rsid w:val="00A715A9"/>
    <w:rsid w:val="00A71BA7"/>
    <w:rsid w:val="00A72398"/>
    <w:rsid w:val="00A72F1E"/>
    <w:rsid w:val="00A757CC"/>
    <w:rsid w:val="00A80818"/>
    <w:rsid w:val="00A8306C"/>
    <w:rsid w:val="00A83370"/>
    <w:rsid w:val="00A84032"/>
    <w:rsid w:val="00A854B7"/>
    <w:rsid w:val="00A85DA1"/>
    <w:rsid w:val="00A87440"/>
    <w:rsid w:val="00A92C33"/>
    <w:rsid w:val="00A943D5"/>
    <w:rsid w:val="00A944D0"/>
    <w:rsid w:val="00A94671"/>
    <w:rsid w:val="00A95015"/>
    <w:rsid w:val="00A96A0D"/>
    <w:rsid w:val="00A97CD7"/>
    <w:rsid w:val="00AA1024"/>
    <w:rsid w:val="00AA15A8"/>
    <w:rsid w:val="00AA21FB"/>
    <w:rsid w:val="00AA35A9"/>
    <w:rsid w:val="00AA4B7E"/>
    <w:rsid w:val="00AA7136"/>
    <w:rsid w:val="00AA7AE5"/>
    <w:rsid w:val="00AA7CAE"/>
    <w:rsid w:val="00AA7E84"/>
    <w:rsid w:val="00AA7FB3"/>
    <w:rsid w:val="00AB120E"/>
    <w:rsid w:val="00AB1AAC"/>
    <w:rsid w:val="00AB2A98"/>
    <w:rsid w:val="00AB44DE"/>
    <w:rsid w:val="00AB46A3"/>
    <w:rsid w:val="00AC37C0"/>
    <w:rsid w:val="00AC3D26"/>
    <w:rsid w:val="00AC3F4C"/>
    <w:rsid w:val="00AC5F70"/>
    <w:rsid w:val="00AC6A8A"/>
    <w:rsid w:val="00AC75EA"/>
    <w:rsid w:val="00AD1A08"/>
    <w:rsid w:val="00AD54C7"/>
    <w:rsid w:val="00AE18AA"/>
    <w:rsid w:val="00AE46D8"/>
    <w:rsid w:val="00AF7A0E"/>
    <w:rsid w:val="00B019E9"/>
    <w:rsid w:val="00B0323B"/>
    <w:rsid w:val="00B07950"/>
    <w:rsid w:val="00B101E0"/>
    <w:rsid w:val="00B10F5F"/>
    <w:rsid w:val="00B11410"/>
    <w:rsid w:val="00B11FD9"/>
    <w:rsid w:val="00B12C8F"/>
    <w:rsid w:val="00B14F71"/>
    <w:rsid w:val="00B172DF"/>
    <w:rsid w:val="00B215AC"/>
    <w:rsid w:val="00B22867"/>
    <w:rsid w:val="00B25F48"/>
    <w:rsid w:val="00B272E1"/>
    <w:rsid w:val="00B27720"/>
    <w:rsid w:val="00B27C2E"/>
    <w:rsid w:val="00B27FE4"/>
    <w:rsid w:val="00B358C9"/>
    <w:rsid w:val="00B37D12"/>
    <w:rsid w:val="00B41186"/>
    <w:rsid w:val="00B415C6"/>
    <w:rsid w:val="00B41FEC"/>
    <w:rsid w:val="00B429DE"/>
    <w:rsid w:val="00B43A9C"/>
    <w:rsid w:val="00B43EB7"/>
    <w:rsid w:val="00B4755F"/>
    <w:rsid w:val="00B554C2"/>
    <w:rsid w:val="00B62656"/>
    <w:rsid w:val="00B65A19"/>
    <w:rsid w:val="00B66E08"/>
    <w:rsid w:val="00B66E2D"/>
    <w:rsid w:val="00B71C54"/>
    <w:rsid w:val="00B73269"/>
    <w:rsid w:val="00B740B7"/>
    <w:rsid w:val="00B753D5"/>
    <w:rsid w:val="00B775C2"/>
    <w:rsid w:val="00B77728"/>
    <w:rsid w:val="00B80923"/>
    <w:rsid w:val="00B80F2C"/>
    <w:rsid w:val="00B83BBF"/>
    <w:rsid w:val="00B8634A"/>
    <w:rsid w:val="00B8669A"/>
    <w:rsid w:val="00B91093"/>
    <w:rsid w:val="00B92362"/>
    <w:rsid w:val="00B939E6"/>
    <w:rsid w:val="00B9470F"/>
    <w:rsid w:val="00B948C2"/>
    <w:rsid w:val="00B95206"/>
    <w:rsid w:val="00B95786"/>
    <w:rsid w:val="00B96196"/>
    <w:rsid w:val="00B97EF8"/>
    <w:rsid w:val="00BA0897"/>
    <w:rsid w:val="00BA167B"/>
    <w:rsid w:val="00BA46F3"/>
    <w:rsid w:val="00BA4F90"/>
    <w:rsid w:val="00BA5159"/>
    <w:rsid w:val="00BA69D8"/>
    <w:rsid w:val="00BA7962"/>
    <w:rsid w:val="00BB1282"/>
    <w:rsid w:val="00BB2C7C"/>
    <w:rsid w:val="00BB51A7"/>
    <w:rsid w:val="00BB65E6"/>
    <w:rsid w:val="00BC2E07"/>
    <w:rsid w:val="00BC4492"/>
    <w:rsid w:val="00BC580D"/>
    <w:rsid w:val="00BC69DB"/>
    <w:rsid w:val="00BD03C9"/>
    <w:rsid w:val="00BD3124"/>
    <w:rsid w:val="00BD3C43"/>
    <w:rsid w:val="00BD59DD"/>
    <w:rsid w:val="00BD59E6"/>
    <w:rsid w:val="00BD5C24"/>
    <w:rsid w:val="00BE0C45"/>
    <w:rsid w:val="00BF070C"/>
    <w:rsid w:val="00BF1725"/>
    <w:rsid w:val="00BF1AAF"/>
    <w:rsid w:val="00BF6349"/>
    <w:rsid w:val="00BF68FA"/>
    <w:rsid w:val="00BF7F11"/>
    <w:rsid w:val="00C01A47"/>
    <w:rsid w:val="00C033D6"/>
    <w:rsid w:val="00C063B6"/>
    <w:rsid w:val="00C07F22"/>
    <w:rsid w:val="00C11343"/>
    <w:rsid w:val="00C13661"/>
    <w:rsid w:val="00C15909"/>
    <w:rsid w:val="00C15BCD"/>
    <w:rsid w:val="00C21EAA"/>
    <w:rsid w:val="00C21F91"/>
    <w:rsid w:val="00C22F30"/>
    <w:rsid w:val="00C27C95"/>
    <w:rsid w:val="00C27D77"/>
    <w:rsid w:val="00C329F5"/>
    <w:rsid w:val="00C4044A"/>
    <w:rsid w:val="00C4100C"/>
    <w:rsid w:val="00C425AA"/>
    <w:rsid w:val="00C42E6C"/>
    <w:rsid w:val="00C4320E"/>
    <w:rsid w:val="00C4600C"/>
    <w:rsid w:val="00C462A2"/>
    <w:rsid w:val="00C479FE"/>
    <w:rsid w:val="00C54857"/>
    <w:rsid w:val="00C551E3"/>
    <w:rsid w:val="00C55978"/>
    <w:rsid w:val="00C55F0B"/>
    <w:rsid w:val="00C57622"/>
    <w:rsid w:val="00C606CB"/>
    <w:rsid w:val="00C61FA4"/>
    <w:rsid w:val="00C649A3"/>
    <w:rsid w:val="00C64DB8"/>
    <w:rsid w:val="00C66598"/>
    <w:rsid w:val="00C73D75"/>
    <w:rsid w:val="00C73EEE"/>
    <w:rsid w:val="00C75DD4"/>
    <w:rsid w:val="00C76094"/>
    <w:rsid w:val="00C7664C"/>
    <w:rsid w:val="00C773AD"/>
    <w:rsid w:val="00C77A90"/>
    <w:rsid w:val="00C80E0A"/>
    <w:rsid w:val="00C839C3"/>
    <w:rsid w:val="00C8576C"/>
    <w:rsid w:val="00C86EEF"/>
    <w:rsid w:val="00C900E4"/>
    <w:rsid w:val="00C90E08"/>
    <w:rsid w:val="00C91AD8"/>
    <w:rsid w:val="00C91C48"/>
    <w:rsid w:val="00C9211A"/>
    <w:rsid w:val="00C97EA0"/>
    <w:rsid w:val="00CA2E66"/>
    <w:rsid w:val="00CA3530"/>
    <w:rsid w:val="00CA5675"/>
    <w:rsid w:val="00CA657E"/>
    <w:rsid w:val="00CB0D1E"/>
    <w:rsid w:val="00CB1677"/>
    <w:rsid w:val="00CB40D8"/>
    <w:rsid w:val="00CB460F"/>
    <w:rsid w:val="00CB4D1C"/>
    <w:rsid w:val="00CB519F"/>
    <w:rsid w:val="00CB5EE3"/>
    <w:rsid w:val="00CC096E"/>
    <w:rsid w:val="00CC206D"/>
    <w:rsid w:val="00CC4D84"/>
    <w:rsid w:val="00CC6954"/>
    <w:rsid w:val="00CC6EEC"/>
    <w:rsid w:val="00CC7312"/>
    <w:rsid w:val="00CC7666"/>
    <w:rsid w:val="00CC7BF7"/>
    <w:rsid w:val="00CD16C6"/>
    <w:rsid w:val="00CD5664"/>
    <w:rsid w:val="00CD5999"/>
    <w:rsid w:val="00CE0EC5"/>
    <w:rsid w:val="00CE2123"/>
    <w:rsid w:val="00CE3757"/>
    <w:rsid w:val="00CE4220"/>
    <w:rsid w:val="00CE7AE7"/>
    <w:rsid w:val="00CF2E4D"/>
    <w:rsid w:val="00CF3874"/>
    <w:rsid w:val="00CF3C61"/>
    <w:rsid w:val="00CF43BE"/>
    <w:rsid w:val="00CF6226"/>
    <w:rsid w:val="00CF706A"/>
    <w:rsid w:val="00CF7FB6"/>
    <w:rsid w:val="00D008AD"/>
    <w:rsid w:val="00D039F2"/>
    <w:rsid w:val="00D05443"/>
    <w:rsid w:val="00D10C1C"/>
    <w:rsid w:val="00D10F83"/>
    <w:rsid w:val="00D13C1F"/>
    <w:rsid w:val="00D15E5C"/>
    <w:rsid w:val="00D1657A"/>
    <w:rsid w:val="00D226ED"/>
    <w:rsid w:val="00D2421A"/>
    <w:rsid w:val="00D266BC"/>
    <w:rsid w:val="00D27243"/>
    <w:rsid w:val="00D27A40"/>
    <w:rsid w:val="00D30071"/>
    <w:rsid w:val="00D31D1E"/>
    <w:rsid w:val="00D31D2F"/>
    <w:rsid w:val="00D32A29"/>
    <w:rsid w:val="00D32EAA"/>
    <w:rsid w:val="00D336AF"/>
    <w:rsid w:val="00D338B2"/>
    <w:rsid w:val="00D33A40"/>
    <w:rsid w:val="00D341F3"/>
    <w:rsid w:val="00D36029"/>
    <w:rsid w:val="00D37637"/>
    <w:rsid w:val="00D405E0"/>
    <w:rsid w:val="00D4440D"/>
    <w:rsid w:val="00D45BA3"/>
    <w:rsid w:val="00D4754B"/>
    <w:rsid w:val="00D47DF9"/>
    <w:rsid w:val="00D50BA3"/>
    <w:rsid w:val="00D50C0B"/>
    <w:rsid w:val="00D52037"/>
    <w:rsid w:val="00D53E16"/>
    <w:rsid w:val="00D55016"/>
    <w:rsid w:val="00D60824"/>
    <w:rsid w:val="00D60950"/>
    <w:rsid w:val="00D60C87"/>
    <w:rsid w:val="00D61C56"/>
    <w:rsid w:val="00D63EEC"/>
    <w:rsid w:val="00D63F21"/>
    <w:rsid w:val="00D66819"/>
    <w:rsid w:val="00D70617"/>
    <w:rsid w:val="00D72977"/>
    <w:rsid w:val="00D738AA"/>
    <w:rsid w:val="00D73E98"/>
    <w:rsid w:val="00D75C12"/>
    <w:rsid w:val="00D77C0F"/>
    <w:rsid w:val="00D8094D"/>
    <w:rsid w:val="00D841DD"/>
    <w:rsid w:val="00D84309"/>
    <w:rsid w:val="00D906F6"/>
    <w:rsid w:val="00D90FDF"/>
    <w:rsid w:val="00D92F18"/>
    <w:rsid w:val="00D932B6"/>
    <w:rsid w:val="00D96000"/>
    <w:rsid w:val="00DA1A37"/>
    <w:rsid w:val="00DA1C0F"/>
    <w:rsid w:val="00DA46E0"/>
    <w:rsid w:val="00DA56A4"/>
    <w:rsid w:val="00DB074C"/>
    <w:rsid w:val="00DB1E6C"/>
    <w:rsid w:val="00DB2CEE"/>
    <w:rsid w:val="00DB4ED9"/>
    <w:rsid w:val="00DB7747"/>
    <w:rsid w:val="00DB7876"/>
    <w:rsid w:val="00DC056E"/>
    <w:rsid w:val="00DC139F"/>
    <w:rsid w:val="00DC2EF7"/>
    <w:rsid w:val="00DC620D"/>
    <w:rsid w:val="00DD0A5A"/>
    <w:rsid w:val="00DD0EDC"/>
    <w:rsid w:val="00DD12AE"/>
    <w:rsid w:val="00DD14F2"/>
    <w:rsid w:val="00DD206F"/>
    <w:rsid w:val="00DD2602"/>
    <w:rsid w:val="00DD406E"/>
    <w:rsid w:val="00DD43C0"/>
    <w:rsid w:val="00DD5592"/>
    <w:rsid w:val="00DE412F"/>
    <w:rsid w:val="00DE4BC5"/>
    <w:rsid w:val="00DE4DB9"/>
    <w:rsid w:val="00DE680A"/>
    <w:rsid w:val="00DF308C"/>
    <w:rsid w:val="00DF314C"/>
    <w:rsid w:val="00DF7DAC"/>
    <w:rsid w:val="00E00209"/>
    <w:rsid w:val="00E02A4D"/>
    <w:rsid w:val="00E05EF2"/>
    <w:rsid w:val="00E05FAA"/>
    <w:rsid w:val="00E07873"/>
    <w:rsid w:val="00E126E2"/>
    <w:rsid w:val="00E12C81"/>
    <w:rsid w:val="00E15E4B"/>
    <w:rsid w:val="00E16D3B"/>
    <w:rsid w:val="00E17BC6"/>
    <w:rsid w:val="00E2010F"/>
    <w:rsid w:val="00E24F20"/>
    <w:rsid w:val="00E26D1C"/>
    <w:rsid w:val="00E271E3"/>
    <w:rsid w:val="00E300D3"/>
    <w:rsid w:val="00E32CC6"/>
    <w:rsid w:val="00E363AA"/>
    <w:rsid w:val="00E3675D"/>
    <w:rsid w:val="00E36C59"/>
    <w:rsid w:val="00E42A45"/>
    <w:rsid w:val="00E45EEC"/>
    <w:rsid w:val="00E46BD4"/>
    <w:rsid w:val="00E504FA"/>
    <w:rsid w:val="00E50909"/>
    <w:rsid w:val="00E50DBF"/>
    <w:rsid w:val="00E52B00"/>
    <w:rsid w:val="00E57C37"/>
    <w:rsid w:val="00E60F31"/>
    <w:rsid w:val="00E6191C"/>
    <w:rsid w:val="00E62DB2"/>
    <w:rsid w:val="00E6746C"/>
    <w:rsid w:val="00E676EE"/>
    <w:rsid w:val="00E703C4"/>
    <w:rsid w:val="00E83304"/>
    <w:rsid w:val="00E854F4"/>
    <w:rsid w:val="00E913F6"/>
    <w:rsid w:val="00E91B3E"/>
    <w:rsid w:val="00E94017"/>
    <w:rsid w:val="00E96ABB"/>
    <w:rsid w:val="00E976DB"/>
    <w:rsid w:val="00EA163A"/>
    <w:rsid w:val="00EA2057"/>
    <w:rsid w:val="00EA24DD"/>
    <w:rsid w:val="00EA3F8D"/>
    <w:rsid w:val="00EA750D"/>
    <w:rsid w:val="00EB1441"/>
    <w:rsid w:val="00EB4F8D"/>
    <w:rsid w:val="00EB528A"/>
    <w:rsid w:val="00EB561A"/>
    <w:rsid w:val="00EB794E"/>
    <w:rsid w:val="00EC0578"/>
    <w:rsid w:val="00EC087F"/>
    <w:rsid w:val="00EC36D6"/>
    <w:rsid w:val="00EC40D9"/>
    <w:rsid w:val="00EC547F"/>
    <w:rsid w:val="00ED0B66"/>
    <w:rsid w:val="00ED29D2"/>
    <w:rsid w:val="00ED386E"/>
    <w:rsid w:val="00ED4C42"/>
    <w:rsid w:val="00ED6CF7"/>
    <w:rsid w:val="00ED6FEF"/>
    <w:rsid w:val="00EE3AB0"/>
    <w:rsid w:val="00EE56B5"/>
    <w:rsid w:val="00EE5FBD"/>
    <w:rsid w:val="00EE7C9F"/>
    <w:rsid w:val="00EE7CBF"/>
    <w:rsid w:val="00EF1DC0"/>
    <w:rsid w:val="00EF500A"/>
    <w:rsid w:val="00EF505E"/>
    <w:rsid w:val="00EF59B8"/>
    <w:rsid w:val="00F033FB"/>
    <w:rsid w:val="00F03B1D"/>
    <w:rsid w:val="00F04724"/>
    <w:rsid w:val="00F04CE8"/>
    <w:rsid w:val="00F05281"/>
    <w:rsid w:val="00F072C8"/>
    <w:rsid w:val="00F12EE8"/>
    <w:rsid w:val="00F138D5"/>
    <w:rsid w:val="00F1485A"/>
    <w:rsid w:val="00F16139"/>
    <w:rsid w:val="00F17BEC"/>
    <w:rsid w:val="00F22B4B"/>
    <w:rsid w:val="00F238E1"/>
    <w:rsid w:val="00F243E4"/>
    <w:rsid w:val="00F24E54"/>
    <w:rsid w:val="00F25B67"/>
    <w:rsid w:val="00F2637B"/>
    <w:rsid w:val="00F338B8"/>
    <w:rsid w:val="00F33F7F"/>
    <w:rsid w:val="00F3646D"/>
    <w:rsid w:val="00F367C6"/>
    <w:rsid w:val="00F36F9A"/>
    <w:rsid w:val="00F37A16"/>
    <w:rsid w:val="00F434ED"/>
    <w:rsid w:val="00F443D5"/>
    <w:rsid w:val="00F46203"/>
    <w:rsid w:val="00F4708F"/>
    <w:rsid w:val="00F47B17"/>
    <w:rsid w:val="00F47EC5"/>
    <w:rsid w:val="00F47FDC"/>
    <w:rsid w:val="00F5046F"/>
    <w:rsid w:val="00F50567"/>
    <w:rsid w:val="00F512E4"/>
    <w:rsid w:val="00F5429F"/>
    <w:rsid w:val="00F545FA"/>
    <w:rsid w:val="00F55C73"/>
    <w:rsid w:val="00F561C0"/>
    <w:rsid w:val="00F64247"/>
    <w:rsid w:val="00F64FB8"/>
    <w:rsid w:val="00F66BB0"/>
    <w:rsid w:val="00F67A92"/>
    <w:rsid w:val="00F705D5"/>
    <w:rsid w:val="00F72755"/>
    <w:rsid w:val="00F737D3"/>
    <w:rsid w:val="00F753A9"/>
    <w:rsid w:val="00F75439"/>
    <w:rsid w:val="00F8010C"/>
    <w:rsid w:val="00F80A7E"/>
    <w:rsid w:val="00F80CAF"/>
    <w:rsid w:val="00F81020"/>
    <w:rsid w:val="00F81B83"/>
    <w:rsid w:val="00F83D3E"/>
    <w:rsid w:val="00F83E72"/>
    <w:rsid w:val="00F84375"/>
    <w:rsid w:val="00F85063"/>
    <w:rsid w:val="00F8588B"/>
    <w:rsid w:val="00F86A4E"/>
    <w:rsid w:val="00F91D87"/>
    <w:rsid w:val="00F9370F"/>
    <w:rsid w:val="00F93D38"/>
    <w:rsid w:val="00F9409F"/>
    <w:rsid w:val="00F9456A"/>
    <w:rsid w:val="00F95549"/>
    <w:rsid w:val="00F955E4"/>
    <w:rsid w:val="00F978D1"/>
    <w:rsid w:val="00FA00CD"/>
    <w:rsid w:val="00FA3886"/>
    <w:rsid w:val="00FA3F7B"/>
    <w:rsid w:val="00FA4664"/>
    <w:rsid w:val="00FA4771"/>
    <w:rsid w:val="00FA6BE3"/>
    <w:rsid w:val="00FB1E99"/>
    <w:rsid w:val="00FB2C07"/>
    <w:rsid w:val="00FB456E"/>
    <w:rsid w:val="00FB5D1C"/>
    <w:rsid w:val="00FB69DE"/>
    <w:rsid w:val="00FC125A"/>
    <w:rsid w:val="00FC1D6B"/>
    <w:rsid w:val="00FD090C"/>
    <w:rsid w:val="00FD6542"/>
    <w:rsid w:val="00FD6D56"/>
    <w:rsid w:val="00FF609D"/>
    <w:rsid w:val="00FF7328"/>
    <w:rsid w:val="00FF74B1"/>
    <w:rsid w:val="04566DED"/>
    <w:rsid w:val="04F115DD"/>
    <w:rsid w:val="05061261"/>
    <w:rsid w:val="06353C14"/>
    <w:rsid w:val="067237B9"/>
    <w:rsid w:val="06E10DAC"/>
    <w:rsid w:val="09AD3DFB"/>
    <w:rsid w:val="0B783A8C"/>
    <w:rsid w:val="0DB24CA8"/>
    <w:rsid w:val="0E306C92"/>
    <w:rsid w:val="0F691F09"/>
    <w:rsid w:val="119836EC"/>
    <w:rsid w:val="12401891"/>
    <w:rsid w:val="168A4ED6"/>
    <w:rsid w:val="16CD7489"/>
    <w:rsid w:val="16D80DAC"/>
    <w:rsid w:val="17025F34"/>
    <w:rsid w:val="18C16139"/>
    <w:rsid w:val="21F10DF5"/>
    <w:rsid w:val="22515455"/>
    <w:rsid w:val="230E34C6"/>
    <w:rsid w:val="23323003"/>
    <w:rsid w:val="23971A56"/>
    <w:rsid w:val="26DD1991"/>
    <w:rsid w:val="283E4B96"/>
    <w:rsid w:val="28A86C54"/>
    <w:rsid w:val="292D0766"/>
    <w:rsid w:val="2AD00F59"/>
    <w:rsid w:val="2CEB299B"/>
    <w:rsid w:val="2D4B1E20"/>
    <w:rsid w:val="2D837727"/>
    <w:rsid w:val="301B75E5"/>
    <w:rsid w:val="30CC048E"/>
    <w:rsid w:val="30E07B8F"/>
    <w:rsid w:val="32707A28"/>
    <w:rsid w:val="32781E90"/>
    <w:rsid w:val="3A34318C"/>
    <w:rsid w:val="3C1110A5"/>
    <w:rsid w:val="3DAA2667"/>
    <w:rsid w:val="416C40CA"/>
    <w:rsid w:val="422A188F"/>
    <w:rsid w:val="42ED0852"/>
    <w:rsid w:val="465629FD"/>
    <w:rsid w:val="4A064990"/>
    <w:rsid w:val="4A4E4337"/>
    <w:rsid w:val="4AEB622F"/>
    <w:rsid w:val="4BF00A65"/>
    <w:rsid w:val="4BF03B3C"/>
    <w:rsid w:val="4C750B25"/>
    <w:rsid w:val="4D2841BF"/>
    <w:rsid w:val="4FDE4F00"/>
    <w:rsid w:val="53476745"/>
    <w:rsid w:val="560E46CB"/>
    <w:rsid w:val="56E177DB"/>
    <w:rsid w:val="58564E76"/>
    <w:rsid w:val="58FF1E58"/>
    <w:rsid w:val="5B835E40"/>
    <w:rsid w:val="5D69550A"/>
    <w:rsid w:val="5D972FAA"/>
    <w:rsid w:val="5E6B1F68"/>
    <w:rsid w:val="5EAE1426"/>
    <w:rsid w:val="61961967"/>
    <w:rsid w:val="66C8073A"/>
    <w:rsid w:val="687436E1"/>
    <w:rsid w:val="6A4D0020"/>
    <w:rsid w:val="6C0818D0"/>
    <w:rsid w:val="6EE2759B"/>
    <w:rsid w:val="70C16CB8"/>
    <w:rsid w:val="74AB5DA4"/>
    <w:rsid w:val="74D55484"/>
    <w:rsid w:val="773F747C"/>
    <w:rsid w:val="77BF58AE"/>
    <w:rsid w:val="7BD01B72"/>
    <w:rsid w:val="7C54529B"/>
    <w:rsid w:val="7E120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qFormat="1"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4">
    <w:name w:val="heading 2"/>
    <w:basedOn w:val="3"/>
    <w:next w:val="1"/>
    <w:qFormat/>
    <w:uiPriority w:val="0"/>
    <w:pPr>
      <w:numPr>
        <w:ilvl w:val="1"/>
      </w:numPr>
      <w:spacing w:line="240" w:lineRule="auto"/>
      <w:outlineLvl w:val="1"/>
    </w:pPr>
    <w:rPr>
      <w:sz w:val="28"/>
    </w:rPr>
  </w:style>
  <w:style w:type="paragraph" w:styleId="5">
    <w:name w:val="heading 3"/>
    <w:basedOn w:val="1"/>
    <w:next w:val="1"/>
    <w:qFormat/>
    <w:uiPriority w:val="0"/>
    <w:pPr>
      <w:keepNext/>
      <w:keepLines/>
      <w:numPr>
        <w:ilvl w:val="2"/>
        <w:numId w:val="1"/>
      </w:numPr>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rPr>
      <w:rFonts w:ascii="黑体" w:hAnsi="宋体" w:eastAsia="黑体"/>
      <w:szCs w:val="20"/>
    </w:rPr>
  </w:style>
  <w:style w:type="paragraph" w:styleId="6">
    <w:name w:val="caption"/>
    <w:basedOn w:val="1"/>
    <w:next w:val="1"/>
    <w:qFormat/>
    <w:uiPriority w:val="0"/>
    <w:pPr>
      <w:spacing w:line="360" w:lineRule="auto"/>
    </w:pPr>
    <w:rPr>
      <w:rFonts w:ascii="Cambria" w:hAnsi="Cambria" w:eastAsia="黑体"/>
      <w:sz w:val="20"/>
    </w:rPr>
  </w:style>
  <w:style w:type="paragraph" w:styleId="7">
    <w:name w:val="Document Map"/>
    <w:basedOn w:val="1"/>
    <w:link w:val="27"/>
    <w:qFormat/>
    <w:uiPriority w:val="0"/>
    <w:rPr>
      <w:rFonts w:ascii="宋体"/>
      <w:sz w:val="18"/>
      <w:szCs w:val="18"/>
    </w:rPr>
  </w:style>
  <w:style w:type="paragraph" w:styleId="8">
    <w:name w:val="annotation text"/>
    <w:basedOn w:val="1"/>
    <w:link w:val="28"/>
    <w:qFormat/>
    <w:uiPriority w:val="0"/>
    <w:pPr>
      <w:jc w:val="left"/>
    </w:pPr>
  </w:style>
  <w:style w:type="paragraph" w:styleId="9">
    <w:name w:val="Body Text"/>
    <w:basedOn w:val="1"/>
    <w:link w:val="29"/>
    <w:qFormat/>
    <w:uiPriority w:val="0"/>
    <w:pPr>
      <w:spacing w:line="360" w:lineRule="exact"/>
    </w:pPr>
    <w:rPr>
      <w:rFonts w:ascii="黑体" w:hAnsi="黑体"/>
      <w:bCs/>
      <w:szCs w:val="19"/>
    </w:rPr>
  </w:style>
  <w:style w:type="paragraph" w:styleId="10">
    <w:name w:val="toc 3"/>
    <w:basedOn w:val="1"/>
    <w:next w:val="1"/>
    <w:qFormat/>
    <w:uiPriority w:val="39"/>
    <w:pPr>
      <w:ind w:left="840" w:leftChars="400"/>
    </w:pPr>
  </w:style>
  <w:style w:type="paragraph" w:styleId="11">
    <w:name w:val="Plain Text"/>
    <w:basedOn w:val="1"/>
    <w:link w:val="30"/>
    <w:qFormat/>
    <w:uiPriority w:val="0"/>
    <w:rPr>
      <w:rFonts w:ascii="宋体" w:hAnsi="Courier New"/>
      <w:szCs w:val="21"/>
    </w:rPr>
  </w:style>
  <w:style w:type="paragraph" w:styleId="12">
    <w:name w:val="Balloon Text"/>
    <w:basedOn w:val="1"/>
    <w:link w:val="31"/>
    <w:qFormat/>
    <w:uiPriority w:val="0"/>
    <w:rPr>
      <w:sz w:val="18"/>
      <w:szCs w:val="18"/>
    </w:rPr>
  </w:style>
  <w:style w:type="paragraph" w:styleId="13">
    <w:name w:val="footer"/>
    <w:basedOn w:val="1"/>
    <w:link w:val="32"/>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8">
    <w:name w:val="annotation subject"/>
    <w:basedOn w:val="8"/>
    <w:next w:val="8"/>
    <w:link w:val="33"/>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22"/>
    <w:rPr>
      <w:color w:val="CC0000"/>
    </w:rPr>
  </w:style>
  <w:style w:type="character" w:styleId="23">
    <w:name w:val="page number"/>
    <w:qFormat/>
    <w:uiPriority w:val="0"/>
  </w:style>
  <w:style w:type="character" w:styleId="24">
    <w:name w:val="HTML Typewriter"/>
    <w:qFormat/>
    <w:uiPriority w:val="0"/>
    <w:rPr>
      <w:rFonts w:ascii="宋体" w:hAnsi="宋体" w:eastAsia="宋体" w:cs="宋体"/>
      <w:bCs/>
      <w:sz w:val="24"/>
      <w:szCs w:val="24"/>
      <w:lang w:val="en-US" w:eastAsia="zh-CN" w:bidi="ar-SA"/>
    </w:rPr>
  </w:style>
  <w:style w:type="character" w:styleId="25">
    <w:name w:val="Hyperlink"/>
    <w:qFormat/>
    <w:uiPriority w:val="99"/>
    <w:rPr>
      <w:color w:val="0000FF"/>
      <w:u w:val="single"/>
    </w:rPr>
  </w:style>
  <w:style w:type="character" w:styleId="26">
    <w:name w:val="annotation reference"/>
    <w:qFormat/>
    <w:uiPriority w:val="0"/>
    <w:rPr>
      <w:sz w:val="21"/>
      <w:szCs w:val="21"/>
    </w:rPr>
  </w:style>
  <w:style w:type="character" w:customStyle="1" w:styleId="27">
    <w:name w:val="文档结构图 字符"/>
    <w:link w:val="7"/>
    <w:qFormat/>
    <w:uiPriority w:val="0"/>
    <w:rPr>
      <w:rFonts w:ascii="宋体"/>
      <w:kern w:val="2"/>
      <w:sz w:val="18"/>
      <w:szCs w:val="18"/>
    </w:rPr>
  </w:style>
  <w:style w:type="character" w:customStyle="1" w:styleId="28">
    <w:name w:val="批注文字 字符"/>
    <w:link w:val="8"/>
    <w:qFormat/>
    <w:uiPriority w:val="0"/>
    <w:rPr>
      <w:kern w:val="2"/>
      <w:sz w:val="21"/>
      <w:szCs w:val="24"/>
    </w:rPr>
  </w:style>
  <w:style w:type="character" w:customStyle="1" w:styleId="29">
    <w:name w:val="正文文本 字符"/>
    <w:link w:val="9"/>
    <w:qFormat/>
    <w:uiPriority w:val="0"/>
    <w:rPr>
      <w:rFonts w:ascii="黑体" w:hAnsi="黑体"/>
      <w:bCs/>
      <w:kern w:val="2"/>
      <w:sz w:val="21"/>
      <w:szCs w:val="19"/>
    </w:rPr>
  </w:style>
  <w:style w:type="character" w:customStyle="1" w:styleId="30">
    <w:name w:val="纯文本 字符"/>
    <w:link w:val="11"/>
    <w:qFormat/>
    <w:uiPriority w:val="0"/>
    <w:rPr>
      <w:rFonts w:ascii="宋体" w:hAnsi="Courier New" w:cs="Courier New"/>
      <w:kern w:val="2"/>
      <w:sz w:val="21"/>
      <w:szCs w:val="21"/>
    </w:rPr>
  </w:style>
  <w:style w:type="character" w:customStyle="1" w:styleId="31">
    <w:name w:val="批注框文本 字符"/>
    <w:link w:val="12"/>
    <w:qFormat/>
    <w:uiPriority w:val="0"/>
    <w:rPr>
      <w:kern w:val="2"/>
      <w:sz w:val="18"/>
      <w:szCs w:val="18"/>
    </w:rPr>
  </w:style>
  <w:style w:type="character" w:customStyle="1" w:styleId="32">
    <w:name w:val="页脚 字符"/>
    <w:link w:val="13"/>
    <w:qFormat/>
    <w:uiPriority w:val="99"/>
    <w:rPr>
      <w:kern w:val="2"/>
      <w:sz w:val="18"/>
      <w:szCs w:val="18"/>
    </w:rPr>
  </w:style>
  <w:style w:type="character" w:customStyle="1" w:styleId="33">
    <w:name w:val="批注主题 字符"/>
    <w:link w:val="18"/>
    <w:qFormat/>
    <w:uiPriority w:val="0"/>
    <w:rPr>
      <w:b/>
      <w:bCs/>
      <w:kern w:val="2"/>
      <w:sz w:val="21"/>
      <w:szCs w:val="24"/>
    </w:rPr>
  </w:style>
  <w:style w:type="paragraph" w:customStyle="1" w:styleId="34">
    <w:name w:val="前言、引言标题"/>
    <w:next w:val="1"/>
    <w:qFormat/>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35">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6">
    <w:name w:val="一级条标题"/>
    <w:basedOn w:val="35"/>
    <w:next w:val="1"/>
    <w:link w:val="39"/>
    <w:qFormat/>
    <w:uiPriority w:val="0"/>
    <w:pPr>
      <w:spacing w:beforeLines="0" w:afterLines="0"/>
      <w:outlineLvl w:val="2"/>
    </w:pPr>
  </w:style>
  <w:style w:type="paragraph" w:customStyle="1" w:styleId="37">
    <w:name w:val="段"/>
    <w:basedOn w:val="38"/>
    <w:next w:val="38"/>
    <w:link w:val="40"/>
    <w:qFormat/>
    <w:uiPriority w:val="0"/>
    <w:pPr>
      <w:ind w:firstLine="200" w:firstLineChars="200"/>
      <w:jc w:val="both"/>
    </w:pPr>
    <w:rPr>
      <w:sz w:val="21"/>
    </w:rPr>
  </w:style>
  <w:style w:type="paragraph" w:customStyle="1" w:styleId="38">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39">
    <w:name w:val="一级条标题 Char"/>
    <w:link w:val="36"/>
    <w:qFormat/>
    <w:uiPriority w:val="0"/>
    <w:rPr>
      <w:rFonts w:ascii="黑体" w:eastAsia="黑体"/>
      <w:sz w:val="21"/>
      <w:lang w:val="en-US" w:eastAsia="zh-CN" w:bidi="ar-SA"/>
    </w:rPr>
  </w:style>
  <w:style w:type="character" w:customStyle="1" w:styleId="40">
    <w:name w:val="段 Char"/>
    <w:link w:val="37"/>
    <w:qFormat/>
    <w:uiPriority w:val="0"/>
    <w:rPr>
      <w:rFonts w:ascii="宋体"/>
      <w:sz w:val="21"/>
      <w:lang w:val="en-US" w:eastAsia="zh-CN" w:bidi="ar-SA"/>
    </w:rPr>
  </w:style>
  <w:style w:type="paragraph" w:customStyle="1" w:styleId="41">
    <w:name w:val="二级条标题"/>
    <w:basedOn w:val="36"/>
    <w:next w:val="1"/>
    <w:link w:val="42"/>
    <w:qFormat/>
    <w:uiPriority w:val="0"/>
    <w:pPr>
      <w:ind w:left="540"/>
      <w:outlineLvl w:val="3"/>
    </w:pPr>
  </w:style>
  <w:style w:type="character" w:customStyle="1" w:styleId="42">
    <w:name w:val="二级条标题 Char"/>
    <w:link w:val="41"/>
    <w:qFormat/>
    <w:uiPriority w:val="0"/>
    <w:rPr>
      <w:rFonts w:ascii="黑体" w:eastAsia="黑体"/>
      <w:sz w:val="21"/>
      <w:lang w:val="en-US" w:eastAsia="zh-CN" w:bidi="ar-SA"/>
    </w:rPr>
  </w:style>
  <w:style w:type="paragraph" w:customStyle="1" w:styleId="43">
    <w:name w:val="三级条标题"/>
    <w:basedOn w:val="41"/>
    <w:next w:val="1"/>
    <w:qFormat/>
    <w:uiPriority w:val="0"/>
    <w:pPr>
      <w:ind w:left="0"/>
      <w:outlineLvl w:val="4"/>
    </w:pPr>
  </w:style>
  <w:style w:type="paragraph" w:customStyle="1" w:styleId="44">
    <w:name w:val="四级条标题"/>
    <w:basedOn w:val="43"/>
    <w:next w:val="1"/>
    <w:qFormat/>
    <w:uiPriority w:val="0"/>
    <w:pPr>
      <w:tabs>
        <w:tab w:val="left" w:pos="360"/>
      </w:tabs>
      <w:outlineLvl w:val="5"/>
    </w:pPr>
  </w:style>
  <w:style w:type="paragraph" w:customStyle="1" w:styleId="45">
    <w:name w:val="五级条标题"/>
    <w:basedOn w:val="44"/>
    <w:next w:val="1"/>
    <w:qFormat/>
    <w:uiPriority w:val="0"/>
    <w:pPr>
      <w:outlineLvl w:val="6"/>
    </w:pPr>
  </w:style>
  <w:style w:type="paragraph" w:customStyle="1" w:styleId="46">
    <w:name w:val="正文表标题"/>
    <w:next w:val="37"/>
    <w:qFormat/>
    <w:uiPriority w:val="0"/>
    <w:pPr>
      <w:ind w:left="5580"/>
      <w:jc w:val="center"/>
    </w:pPr>
    <w:rPr>
      <w:rFonts w:ascii="黑体" w:hAnsi="Times New Roman" w:eastAsia="黑体" w:cs="Times New Roman"/>
      <w:sz w:val="21"/>
      <w:lang w:val="en-US" w:eastAsia="zh-CN" w:bidi="ar-SA"/>
    </w:rPr>
  </w:style>
  <w:style w:type="paragraph" w:customStyle="1" w:styleId="4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8">
    <w:name w:val="_Style 47"/>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9">
    <w:name w:val="公式 Char Char"/>
    <w:link w:val="50"/>
    <w:qFormat/>
    <w:uiPriority w:val="0"/>
    <w:rPr>
      <w:kern w:val="2"/>
      <w:sz w:val="21"/>
    </w:rPr>
  </w:style>
  <w:style w:type="paragraph" w:customStyle="1" w:styleId="50">
    <w:name w:val="公式"/>
    <w:basedOn w:val="1"/>
    <w:link w:val="49"/>
    <w:qFormat/>
    <w:uiPriority w:val="0"/>
    <w:pPr>
      <w:adjustRightInd w:val="0"/>
      <w:snapToGrid w:val="0"/>
      <w:spacing w:beforeLines="50" w:afterLines="50" w:line="360" w:lineRule="auto"/>
      <w:ind w:firstLine="880" w:firstLineChars="200"/>
      <w:jc w:val="right"/>
    </w:pPr>
    <w:rPr>
      <w:szCs w:val="20"/>
    </w:rPr>
  </w:style>
  <w:style w:type="paragraph" w:customStyle="1" w:styleId="51">
    <w:name w:val="Char Char7 Char Char Char Char Char Char Char Char Char Char"/>
    <w:basedOn w:val="1"/>
    <w:next w:val="1"/>
    <w:qFormat/>
    <w:uiPriority w:val="0"/>
    <w:pPr>
      <w:spacing w:line="360" w:lineRule="auto"/>
      <w:ind w:firstLine="200" w:firstLineChars="200"/>
    </w:pPr>
    <w:rPr>
      <w:kern w:val="0"/>
      <w:sz w:val="20"/>
      <w:szCs w:val="20"/>
    </w:rPr>
  </w:style>
  <w:style w:type="paragraph" w:customStyle="1" w:styleId="52">
    <w:name w:val="表"/>
    <w:next w:val="1"/>
    <w:qFormat/>
    <w:uiPriority w:val="0"/>
    <w:pPr>
      <w:jc w:val="center"/>
    </w:pPr>
    <w:rPr>
      <w:rFonts w:ascii="宋体" w:hAnsi="Times New Roman" w:eastAsia="宋体" w:cs="Times New Roman"/>
      <w:sz w:val="21"/>
      <w:lang w:val="en-US" w:eastAsia="zh-CN" w:bidi="ar-SA"/>
    </w:rPr>
  </w:style>
  <w:style w:type="paragraph" w:customStyle="1" w:styleId="53">
    <w:name w:val="编号正文缩进"/>
    <w:basedOn w:val="1"/>
    <w:link w:val="54"/>
    <w:qFormat/>
    <w:uiPriority w:val="0"/>
    <w:pPr>
      <w:numPr>
        <w:ilvl w:val="0"/>
        <w:numId w:val="2"/>
      </w:numPr>
      <w:tabs>
        <w:tab w:val="left" w:pos="-256"/>
      </w:tabs>
    </w:pPr>
    <w:rPr>
      <w:szCs w:val="20"/>
    </w:rPr>
  </w:style>
  <w:style w:type="character" w:customStyle="1" w:styleId="54">
    <w:name w:val="编号正文缩进 Char Char"/>
    <w:link w:val="53"/>
    <w:qFormat/>
    <w:uiPriority w:val="0"/>
    <w:rPr>
      <w:kern w:val="2"/>
      <w:sz w:val="21"/>
    </w:rPr>
  </w:style>
  <w:style w:type="paragraph" w:styleId="55">
    <w:name w:val="List Paragraph"/>
    <w:basedOn w:val="1"/>
    <w:qFormat/>
    <w:uiPriority w:val="34"/>
    <w:pPr>
      <w:ind w:firstLine="420" w:firstLineChars="200"/>
    </w:pPr>
  </w:style>
  <w:style w:type="character" w:customStyle="1" w:styleId="56">
    <w:name w:val="段 Char Char"/>
    <w:qFormat/>
    <w:uiPriority w:val="0"/>
    <w:rPr>
      <w:rFonts w:ascii="宋体" w:hAnsi="宋体"/>
      <w:sz w:val="21"/>
      <w:lang w:val="en-US" w:eastAsia="zh-CN" w:bidi="ar-SA"/>
    </w:rPr>
  </w:style>
  <w:style w:type="paragraph" w:customStyle="1" w:styleId="57">
    <w:name w:val="正文缩进1"/>
    <w:basedOn w:val="1"/>
    <w:qFormat/>
    <w:uiPriority w:val="99"/>
    <w:pPr>
      <w:widowControl/>
      <w:spacing w:before="100" w:beforeAutospacing="1" w:after="100" w:afterAutospacing="1"/>
      <w:ind w:firstLine="420" w:firstLineChars="200"/>
      <w:jc w:val="left"/>
    </w:pPr>
    <w:rPr>
      <w:szCs w:val="21"/>
    </w:rPr>
  </w:style>
  <w:style w:type="paragraph" w:customStyle="1" w:styleId="58">
    <w:name w:val="zhengwen"/>
    <w:basedOn w:val="1"/>
    <w:link w:val="59"/>
    <w:qFormat/>
    <w:uiPriority w:val="0"/>
    <w:pPr>
      <w:ind w:firstLine="420" w:firstLineChars="200"/>
    </w:pPr>
    <w:rPr>
      <w:rFonts w:ascii="宋体" w:hAnsi="宋体"/>
      <w:kern w:val="0"/>
      <w:szCs w:val="21"/>
    </w:rPr>
  </w:style>
  <w:style w:type="character" w:customStyle="1" w:styleId="59">
    <w:name w:val="zhengwen Char"/>
    <w:link w:val="58"/>
    <w:qFormat/>
    <w:uiPriority w:val="0"/>
    <w:rPr>
      <w:rFonts w:ascii="宋体" w:hAnsi="宋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e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extobjs>
    <extobj name="ECB019B1-382A-4266-B25C-5B523AA43C14-1">
      <extobjdata type="ECB019B1-382A-4266-B25C-5B523AA43C14" data="ewoJIkZpbGVJZCIgOiAiMTg2NzE0NTYyMTA0IiwKCSJHcm91cElkIiA6ICIzNTY0NTgzMDIiLAoJIkltYWdlIiA6ICJpVkJPUncwS0dnb0FBQUFOU1VoRVVnQUFBNUlBQUFOSUNBWUFBQUMxMU5CYkFBQUFDWEJJV1hNQUFBc1RBQUFMRXdFQW1wd1lBQUFnQUVsRVFWUjRuT3pkZVh5TlovNy84ZmZKSGlTV1VvcFdLYTJXWVVoQ296UkVyTFdVS3FWcUg3VU1JNWJSV2hwYktZazFTdTJxcXBYYVcyS3J0U2dSSGQ5U3hhQm8xUzVrSWNuSk9iOC84c3M5amlTNEZTZDRQUitQZVR6T3VlN3IzUGZudnVWMDhzNTEzZGR0c2R2dGRnRUFBQUFBY0pkY25GMEFBQUFBQU9EUlFwQUVBQUFBQUpoQ2tBUUFBQUFBbUVLUUJBQUFBQUNZUXBBRUFBQUFBSmhDa0FRQUFBQUFtRUtRQkFBQUFBQ1lRcEFFQUFBQUFKaENrQVFBQUFBQW1FS1FCQUFBQUFDWVFwQUVBQUFBQUpoQ2tBUUFBQUFBbUVLUUJBQUFBQUNZUXBBRUFBQUFBSmhDa0FRQUFBQUFtRUtRQkFBQUFBQ1lRcEFFQUFBQUFKaENrQVFBQUFBQW1FS1FCQUFBQUFDWVFwQUVBQUFBQUpoQ2tBUUFBQUFBbUVLUUJBQUFBQUNZUXBBRUFBQUFBSmhDa0FRQUFBQUFtRUtRQkFBQUFBQ1lRcEFFQUFBQUFKaENrQVFBQUFBQW1FS1FCQUFBQUFDWVFwQUVBQUFBQUpoQ2tBUUFBQUFBbUVLUUJBQUFBQUNZUXBBRUFBQUFBSmhDa0FRQUFBQUFtRUtRQkFBQUFBQ1lRcEFFQUFBQUFKaENrQVFBQUFBQW1FS1FCQUFBQUFDWVFwQUVBQUFBQUpoQ2tBUUFBQUFBbUVLUUJBQUFBQUNZUXBBRUFBQUFBSmhDa0FRQUFBQUFtRUtRQkFBQUFBQ1lRcEFFQUFBQUFKaENrQVFBQUFBQW1FS1FCQUFBQUFDWTR1YnNBZ0FBanlhcjFhbzFhOVpvK2ZMbE9uTGtpRzdjdU9Ic2t2Q0FlWGw1cVZTcFVtcmF0S21hTm0wcWQzZDNaNWNFQUhBU2k5MXV0enU3Q0FEQW84VnF0ZXFERHo3UTVzMmJuVjBLbkNRZ0lFQ1JrWkdFU1FCNFFqRWlDUUF3YmMyYU5kcThlYk5LbGl5cHdZTUhxM1RwMHZMeDhYRjJXWGpBRWhJU2RPTEVDWTBiTjA0eE1URmF1SENoT25iczZPeXlBQUJPd0QyU0FBRFRsaTlmTGtrYVBIaXdLbFdxUkloOFF1VEprMGQvKzl2Zk5HVElFRW5TdW5Ycm5Gd1JBTUJaQ0pJQUFOT09IRGtpU1NwZHVyU1RLNEV6RkM5ZVhKSjA2dFFwSjFjQ0FIQVdnaVFBd0xTTWhYVVlpWHd5NWM2ZFc1S1VuSnpzNUVvQUFNNUNrQVFBQUFBQW1FS1FCQUFBQUFDWVFwQUVBQUFBQUpoQ2tBUUFBQUFBbUVLUUJBQUFBQUNZUXBBRUFBQUFBSmhDa0FRQUFBQUFtRUtRQkFBQUFBQ1lRcEFFQUFBQUFKaENrQVFBQUFBQW1FS1FCQUFBQUFDWVFwQUVBQUFBQUpoQ2tBUUFBQUFBbUVLUUJBQUFBQUNZUXBBRUFBQUFBSmhDa0FRQVBGSk9uanlwaVJNbjN0Tm5iVGFiUm80Y0tadk5kc2UrS1NrcDJmN1BicmRuK1puejU4OHJPanI2bm1xN25iUzBOSVdGaFdXcU95a3BTY09HRFZOeWN2SjlQeVlBQUxmajV1d0NBQUF3WTgyYU5icDY5V3EyMnk5ZnZxeG16WnBsYXQrNmRhdHNOcHRXckZpaHdZTUhPMnhyMEtDQjhmcjY5ZXQ2NmFXWGRQYnNXVW1TM1c3WG1UTm5WS3hZTWFQUGhBa1Q5TUlMTDJRNmh0MXVWMFJFaENwVXFPRFFQOE9LRlNzMGN1VElPNS9rL3hjYkd5dEpPbnYyckhidjNpMFhGOGUvL3k1Y3VGREp5Y255OVBTODYzMENBSEEvRUNRQkFEbGFXbHFhcWxTcG9yeDU4enEwQndjSE83eS9ldldxWW1OalZhQkFBVzNkdWpYTGZkbHNObGtzbGt5QmJNV0tGZHE4ZWJOZWV1a2xEUm8wU0wxNzkxYTVjdVVrU2FkT25kSkhIMzJrK2ZQblo5cWZuNStmQ2hRbzRORG00dUtpRGgwNlpPb2JGeGVuUFh2MnFISGp4cEtrS2xXcWFPdldyZkwyOWpiNlpOVW1TYWRQbjFhcFVxVWMyczZjT2FPdnYvNWFDeGN1bE0xbVU1Y3VYVFJ1M0RnVkxGZ3d5M01IQU9CK0lrZ0NBQjRKbXpadHluWmJSdGpNenErLy9xcU9IVHRLU2g4MURBd01sSlErZlhYTm1qVXFWS2lRMXExYnA2RkRoMnJhdEdsR2lHelVxSkZTVWxKMC9mcDFOV3JVU0pMazRlR2haY3VXU1VvUGpSczJiSEE0bHArZm56R1NlTE9BZ0FCWkxCYTV1cm9hYlM0dUxnN3ZzMnJyMkxHamZ2bmxGMWtzRmxXdlhsM1hyMTlYVEV5TVJvd1lvYlp0MjZwbzBhS1NwS1pObXlvaUlrS2ZmUEpKdHRjQkFJRDdoU0FKQUhqc2xTMWJWcnQyN1ZKOGZMd2FObXlvN2R1M1Mwb2YxWFIzZDVlTGk0cysvdmhqdFd2WFR2bno1emMrbDVTVXBFMmJOaWtoSVVGNTh1UXhQcE1oTEN4TWI3Lzl0aElTRWh5T2QvTlVXVW5La3llUHdzTEM3cW4yZWZQbUtTd3NURldyVmxXZE9uVlV0MjVkalJzM1RqRXhNVXBMUzlQbXpac1ZIeCt2eE1SRVhidDJUZnYzNzFmRmloWHY2VmdBQU53dGdpUUE0SkZRcDA2ZHUrb1hGQlFrU2NhaU9CbjNEeTVldkZnV2kwVmVYbDVHWDZ2VktqYzNOeVA0WGJod1FiMTY5ZEtsUzVjMGQrNWNvOThiYjd5UjVYVFpSbzBhS1R3ODNHR2JuNTlmcGdWM2dvS0NqQkhOZTNINDhHRjE2dFJKNTg2ZFU5R2lSUlVTRXFJeVpjcW9lUEhpS2xpd29Bb1VLS0M4ZWZOcTFhcFZtak5uanFaTW1YTFB4d0lBNEc0UUpBRUFqNFJicDVEZTdPYXByUm1ocm12WHJucjc3YmNkQXVpQkF3Y2M3bWxNVFUyVnA2ZW5FZnlxVjYrdWxTdFhxbjc5K2c2TDZWZ3NsdnR5RG41K2ZnN3ZhOVNva2FuUHpXMWR1M2JWZSsrOXAwdVhMdW01NTU3VDk5OS9yeGRmZkZIKy92N3k5L2ZQOU5rR0RScW9kdTNhOTZWV0FBQnVoeUFKQUhqcy9QVFRUenAzN3B5Q2c0TTFidHc0OWV2WFQ2NnVyanA4K0xDeGFJM2RicGZWYXBXN3U3dkRaMy8vL1hjMWE5Yk1ZY0diVy92YzZ0YlJ4dXhHSHpQdW5VeEpTVkZnWUtEMjdObmpjRCtrbjUrZnRtL2ZybHk1Y2hsdCsvZnZsNCtQanhJU0VyUnIxeTRqalByNStlbnBwNTkyMkg5Y1hKeDI3ZHAxMjFvQkFMZ2ZDSklBZ0VmQzNVNXR0ZGxzbWpoeG9qcDE2aVJYVjFjbEp5ZHJ4NDRkZXYzMTE3VnQyemJWckZsVFV2cGpQakx1ajd4WnFWS2wxS3RYTCtQOWhRc1hWS0pFaWRzZTg3dnZ2ak5lKy9uNU9ieVgvamZkOXVaOSt2cjZabHBvSnlzVksxWlV3NFlOMWI1OWV5VWtKS2hQbno2UzBoZjl1WFVLYmNZaVFnQUFQR2dFU1FEQUkrRnVwN2FPSERsU3YvLyt1d29VS0tEVnExZkx6YzFOMGRIUmV2YlpaL1hUVHo4WnozRk1Ta3B5R1BuTHlzQ0JBN1Y1ODJZZE8zWk1zYkd4OHZQejA4Q0JBelAxdTNWeG5WdmYzK3JISDM4MFZvYTlHMTI2ZE5HK2ZmdjB5eSsvNk1TSkU2cFFvY0pkZnhZQWdBZUJJQWtBZUt5OCtPS0xzbHF0K3Vtbm4xU2dRQUg5L2U5LzE3bHo1elJ5NUVpMWFkTkducDZlU2sxTjFhRkRoekk5QS9KVzVjcVYwNGNmZnFpSWlBZ05IejVjM2JwMVU4T0dEUjM2aElXRk9hemttdFZpT3pjL3V1VDQ4ZU9hUG4yNmhnOGZmdGZudEdMRkNzWEZ4YWxidDI3cTNyMjd2dmppaTd2K0xBQUFEd0pCRWdEd1NMamJxYTJ0VzdmTzFCWVpHU21iemFiT25UdHJ4NDRkNnRldm45emMzTlMvZjM5SjZhT1ROMjdjY0ZoVVo4dVdMWm84ZWJMR2pCbWpzbVhMYXM2Y09lcmJ0Nit1WGJ1bWQ5NTV4K2gzYzRqTVRrYWZsU3RYYXNLRUNlcmF0YXRlZSsyMXV6cWZyNzc2U2xGUlVab3hZNGFlZnZwcFZhaFFRYVZLbFZKcWFxcWFObTE2Vi9zQUFPQitJMGdDQUhJMGk4VWlQejgvelp3NU05cytOcHROM2JwMXkzYjd1KysrcS9idDI4dmQzVjAxYTliVTd0Mjc1ZUxpWXR3ZjJieDVjOTI0Y1VQTm1qV1RKQzFac2tSZmZmV1ZJaUlpak5WYkN4VXFwQmt6Wm1qZ3dJR3FXN2R1dHFPWnQ2N01lclBDaFF0cjBxUkpxbFNwVXBiYnUzYnRtbWxobitlZmYxNnpaOC9XVTA4OUpVbDY1WlZYSktXdjdqcHg0a1NIdnFHaG9ka2VHd0NBKzhsaXQ5dnR6aTRDQVBCb3lRaExHYXVRUG01c05wdXNWcXM4UER3eWJiUGI3ZmZ0Y1NDUHNzZjlad0FBY0hzdWQrNENBTUNUeGNYRkpjc1FLZDIvWjBvQ0FQQW9JMGdDQUFBQUFFd2hTQUlBQUFBQVRDRklBZ0FBQUFCTUlVZ0NBQUFBQUV3aFNBSUFBQUFBVENGSUFnQUFBQUJNSVVnQ0FBQUFBRXdoU0FJQUFBQUFUQ0ZJQWdBQUFBQk1JVWdDQUFBQUFFd2hTQUlBQUFBQVRDRklBZ0FBQUFCTUlVZ0NBRXp6OHZLU0pDVWtKRGk1RWpoRFVsS1NKTW5EdzhQSmxRQUFuSVVnQ1FBd3JWU3BVcEtrRXlkT09Ma1NPTU9mZi80cFNTcFdySmlUS3dFQU9BdEJFZ0JnV3RPbVRTVko0OGFOMCtIRGg1V1ltT2praXZBd0pDVWw2ZGl4WTRxSWlKQWtoWVNFT0xraUFJQ3pXT3gydTkzWlJRQUFIaTJwcWFucTFhdVhZbUppbkYwS25LUjgrZkthUFh1MjNOM2RuVjBLQU1BSkNKSUFnSHVTbXBxcWhRc1hhdDI2ZFRwMTZwU1NrNU9kWFJJZU1BOFBEeFVyVmt3aElTSHEzTGt6SVJJQW5tQUVTUUFBN2tHUklrVWtTV2ZQbm5WeUpRQUFQSHpjSXdrQUFBQUFNSVVnQ1FBQUFBQXdoU0FKQUFBQUFEQ0ZJQWtBQUFBQU1JVWdDUUFBQUFBd2hTQUpBQUFBQURDRklBa0FBQUFBTUlVZ0NRQUFBQUF3aFNBSkFBQUFBRENGSUFrQUFBQUFNSVVnQ1FBQUFBQXdoU0FKQUFBQUFEQ0ZJQWtBQUFBQU1JVWdDUUFBQUFBd2hTQUpBQUFBQURDRklBa0FBQUFBTUlVZ0NRQUFBQUF3aFNBSkFBQUFBRENGSUFrQUFBQUFNSVVnQ1FBQUFBQXdoU0FKQUFBQUFEQ0ZJQWtBQUFBQU1JVWdDUUFBQUFBd2hTQUpBQUFBQURDRklBa0FBQUFBTUlVZ0NRQUFBQUF3aFNBSkFBQUFBRENGSUFrQUFBQUFNSVVnQ1FBQUFBQXd4YzNaQlFBQTd0N2V2WHQxNU1nUlo1ZUJtOHlhTmN2WkplQWhLRldxbEdyWHJ1M3NNZ0FneDdEWTdYYTdzNHNBQU55ZFYxOTlWYW1wcWM0dUE1TCsrT01QWjVlQWg4amQzVjJuVDU5MmRoa0FrR013SWdrQWo1Q01FTm1tVFJzblY0TERodzhyS1NsSkpVdVdkSFlwZU1CbXpackZIM0FBNEJhTVNBTEFJOFRQejArU0ZCc2I2K1JLZ0NkSGtTSkZKRWxuejU1MWNpVUFrSE93MkE0QUFBQUF3QlNDSkFBQUFBREFGSUlrQUFBQUFNQVVnaVFBQUFBQXdCU0NKQUFBQUFEQUZJSWtBQUFBQU1BVWdpUUFBQUFBd0JTQ0pBQUFBQURBRklJa0FBQUFBTUFVZ2lRQUFBQUF3QlNDSkFBQUFBREFGRGRuRndBQUFKQ1RiTisrWGQ5Ly8zMm05bUhEaGhtdi9mMzkxYWhSbzRkWUZRRGtMQVJKQUFDQW03aTZ1dXF6eno3TDFINXoyOXk1Y3g5bVNRQ1E0ekMxRlFBQTRDWlZxbFJSdm56NXN0MmVKMDhlaFlTRVBNU0tBQ0RuSVVnQ0FBRGN4TTNOVFUyYk5zMTIrK3V2dnk0UEQ0K0hXQkVBNUR4TWJRV0FIR3pQbmozYXNXTkhwdmFKRXljYXJ5dFVxS0RhdFdzL3pMS0F4OTRiYjd5aHp6Ly9QTXR0alJzM2ZzalZBRURPWTdIYjdYWm5Gd0VBeUZwc2JLeTZkdTE2Mno3aDRlRUtEZzUrU0JVQlQ0Yms1R1NWSzFkT0NRa0pEdTI1Y3VYU0w3LzhJaTh2THlkVkJnQTVBMU5iQVNBSHExaXhvbng5ZmJQZG5qdDNidFdvVWVNaFZnUThHVHc5UGJNY2VheGV2VG9oRWdCRWtBU0FITTNOelUxMTY5Yk5kbnZWcWxYbDd1NytFQ3NDbmh4dnZQSEdYYlVCd0pPSUlBa0FPZHp0cHEyeWNpVHc0RlNyVmsyNWN1VXkzbnQ1ZWZIc1NBRDQvd2lTQUpERFZhcFVTYmx6NTg3VTd1WGxwWm8xYXo3OGdvQW5SSzVjdVZTL2ZuM2pmV0JnWUpiZlJRQjRFaEVrQVNDSDgvRHd5SEpWMWlwVnFzalQwOU1KRlFGUGpwdnZrMnpRb0lFVEt3R0FuSVVnQ1FDUGdLeUNKQ3UxQWc5ZWpSbzE1T25wS1hkM2R6VnAwc1RaNVFCQWpzRnpKQUhnRWVEbjV5ZHZiMjlkdjM1ZFV2cUtranc3RW5qdzh1VEpvenAxNmlndUxrNzU4dVZ6ZGprQWtHTXdJZ2tBandCdmIyK0greUg5L1B3Y0ZnRUI4T0EwYWRMRTRWNUpBQUFqa2dEd3lLaGR1N2FpbzZNbGlVVjI4SmQwNjlaTk1URXh6aTdqa1dHejJXUzMyelY5K25SbmwvSkl5Sjgvdjc3NjZpc1ZLbFRJMmFVQWVJQVlrUVNBUjBTVktsWGs0ZUVoTnpjMzFhbFR4OW5sNEJGR2lEVEh4Y1ZGcnE2dXppN2prWEhseWhYOStPT1B6aTREd0FQR2lDUUFQQ0p5NTg2dEdqVnE2TnExYS9MMTlYVjJPWGdNeE1iR09yc0VQR2E2ZHUycTJOaFlQZlBNTTg0dUJjQURScEFFZ0VkSW5UcDFkT25TSldlWEFRQUFubkFFU1FBNUR2ZHYzVmw0ZUxpelM4aHh5cFVycHdVTEZqaTdEQUFBbmdqY0l3a2d4eUZFNGw0Y1BIalEyU1VBQVBERVlFUVNRSTdGL1Z1NFczNStmczR1QVFDQUp3b2prZ0FBQUFBQVV3aVNBQUFBQUFCVENKSUFBQUFBQUZNSWtnQUFBQUFBVXdpU0FBQUFBQUJUQ0pJQUFBQUFBRk1Ja2dBQUFBQUFVd2lTQUFBQUFBQlRDSklBQUFBQUFGTUlrZ0FBQUFBQVV3aVNBUEFZdVhIamhyTkxBQUFBVHdDQ0pBRGNKemFielhnOWNlSkVoMjJSa1pFNmQrNmNRMXR5Y3JMRFoyNG5KaVpHa25UdTNEbjk4Y2Nma3FTZ29DQkowckZqeDNUeDRrVWxKU1dwWnMyYVNrbEp5WElmUC96d3c5MmRDUEFRSlNZbXFrR0RCbmZzdDJiTm1reHRTVWxKK3VHSEgrNzZlM1EzeDdtZlpzMmFwYjE3OTk2eDM5V3JWN1YyN2RvNzluc1Vyd0dBeDVlYnN3c0FnTWZGNjYrL2JvUzFwVXVYS2pRMFZKSVVHeHVyNzcvL1hqMTc5blRvdjJyVkttM2N1RkZqeG94UnExYXQ1T2Iydi84a1c2MVdiZGl3UWQ5Kys2MGFOMjZzZ1FNSGF0T21UZHErZmJzMmJOaWdHVE5tU0pMc2RycysvdmhqOWV6WlUxYXJWYzg5OTV3OFBEeXlyRy93NE1IYXVuV3JtamR2THB2TkpoZVh6SDlMakl1TDA2Wk5tKzdMOWNEamIvdjI3WXFNakhSb08zNzh1RXFWS3BXcGIxUlVWSmI3c05sc09uLysvQjJQRlJrWnFZWU5HenEwaFllSGErUEdqUm81Y3FScTFxeHB0SWVHaHVyNDhlT1o5bkh4NGtVMWJkbzBVL3ZLbFN2dmVQenN2UFhXVy9MMjlwYVVIb3FYTDE4dUtYMTJ3SmRmZnBtcDVxeWtwcVpxekpneHlwY3ZuMTU5OWRWcysrWFVhd0RneVVTUUJJQUh5R2F6YWZ6NDhVcE1UTlFiYjd4aHRCY3VYRmp6NTg5WGZIeThGaXhZSUVtS2pvNDJBbDZkT25Va1NkT21UVlBqeG8yTnp6VnYzbHhidG16Um4zLytLVW42NVpkZlZMSmtTZm41K1duOCtQR3FVS0hDWGRVMWYvNTg1Y3VYTDFON2NIRHdQWjhybmp5M2hzaS9JcXVmdmVyVnEydkVpQkZaOWwreVpJbU9IRG1pZWZQbXFXL2Z2aXBidHF5S0ZDa2l5WEZHUUZwYW1tYk9uS21qUjQ4cVBqNWV6enp6ak9yVnE2ZG16WnJkbDdwZFhWMjFjT0ZDU1ZMTGxpMjFaTWtTTFZxMFNPZk9uVk91WExuMC92dnY2OUtsUzNybW1XY2tTY3VXTFZOQVFJQUtGeTRzU2Zyenp6LzF6RFBQeU1mSFI2TkdqWEpvazZRNWMrWVlmWFBxTlFEd1pDSklBc0FETkhQbVRMbTV1U2s2T2xxblRwMXlHS2xKVGs1V3AwNmRaTGZidFhyMWFrbFNTRWpJYlVjRVc3Um9JVW5xMmJPbmtwS1NOSFRvVUVuU3pwMDd0V2JOR25sNGVLaFJvMFpLVEV4VWFtcXErdlhycHkrKytFSnhjWEZLVEV4VWNIQ3c4dVhMcDg2ZE84dlYxZlVCbmptZUJPZk9uZFBXclZzZDJnSURBek9OUG1aTXc3NmQ3SDd1Vzdac3FkVFVWRjI2ZEVrdFc3YlVQLzd4RDhYSHgydnUzTG1hTjIrZUNoY3VyTjY5ZTZ0SGp4NktqSXhVc1dMRmpNL3UzTGxUVTZaTVVlWEtsVFZ1M0RnMWJ0eFlreWRQMXRpeFl4VWRIYTN1M2J1clVxVks5M0RtMld2Um9vWEtsQ21qQVFNR2FOR2lSZkwxOVZXelpzM1VyMTgvdmZiYWEwYS83Nzc3VGxMNjljcDRuZUhXdGtmdEdnQjRNaEFrQWVBQjJiRmpoeFl1WEtqUFAvOWNwMCtmVm84ZVBkU21UUnUxYTlkTzE2NWQwN3Z2dnF1d3NERDUrL3ZmOVQ2WExWdW1reWRQNnVPUFA5YVpNMmRVdjM1OXRXM2JWc3VYTDFkY1hKeldybDJyUW9VS2FkYXNXVXBJU0ZDelpzMk1VWWVnb0NCdDJyUkp6WnMzMTV3NWM0d1J5VEZqeHVqRER6K1VKSDMwMFVmMy8wTGdzZlhPTys5bzM3NTltang1c2lScDlPalJ4cmJRMEZCZHZueFpBUUVCZXVlZGQ0ejJHemR1T0l5eVo4Z1loYy93N2JmZnlzdkxTMUZSVVZxL2ZyMG1UcHlveFlzWDY1TlBQdEdXTFZ2MDJXZWZHU04xSVNFaFNrdExVNGNPSFRSKy9Iajk4c3N2V3JGaWhhNWZ2NjUvLy92ZlJvQnIyTENoUEQwOTlkRkhIMm5IamgzNitPT1A1ZUxpb3JDd01KVXJWKzZlcmtGYVdwcmF0Mit2MDZkUHEzejU4dHF6WjQ4R0R4NnNVYU5HcVdEQmdwS2tBUU1HcUgvLy92ckhQLzVoWEl1UkkwZnE1NTkvVm1wcXFscTJiT213ejV2Ym9xS2ljdncxQVBCa0lrZ0N3QU5TdFdwVnpaNDlXeSs4OElLazlPbWsvL3JYdjNUbzBDR05IajFhWVdGaEdqQmdnREV0N2s1U1VsSTBZOFlNL2VjLy8xRllXSmplZSs4OWxTbFRSdDI2ZFZQRmloWGw3Kyt2WThlT3FWQ2hRanAyN0ppcVZhdDJWL3Zkc0dHREVTU3ptMFlJWktWNzkrNWF0V3FWc2NEVDRjT0g1ZUhob1ppWUdLV2twQ2dsSlVXblRwM1N1SEhqak0vWWJEWmR2bnhac2JHeDJlN1h6OC9QWWZHWTlldlhLems1V1FzV0xGQmdZS0JxMUtpaEhqMTZaUHJjMUtsVFZiSmtTVzNac2tVZE8zYlUyTEZqTldiTUdJYys2OWF0YzZpbFI0OGVLbDI2OUQxZmc1NDlleW80T0ZndFc3YlVvRUdERkJZV3B2YnQyMnY4K1BFTy9TWk1tS0I1OCthcFVhTkdrbVRNSnNocUJEZXJ0cHg4RFFBOG1RaVNBSENmVEpzMnplRzltNXVieXBZdGE3d3ZVcVNJNXN5Wm94OSsrRUVXaTBYKy92NWFzbVNKbm5ycUthT1B4V0xKZHYvdTd1NTYrZVdYMWJOblQ0MGZQMTVEaHc1VnJWcTE1Ty92THg4Zkh5MWV2RmpidDI5WFFFQ0E5dTdkcTE2OWVrbEtYN2puNk5HalNrNU9WdnYyN1hYMjdGbTFhOWZPT0ZaOGZMekQ0aHZEaGcxanFodnVXcE1tVGRTa1NST3RYcjFhVTZkTzFkQ2hReFVSRWFGMzMzMVhUWm8wK2N2N1AzSGloT3gydXp3OVBYWHc0RUZWcUZCQkpVcVVVSFIwdERadTNLaml4WXVyYk5teSt2WFhYNVV2WHo1NWVIaW9kKy9la3RKSC9XNDNWVHd3TU5BSWR2ZHExcXhaeHYyZFJZb1VVWjA2ZGJSbzBhSk0vY0xEdzFXaVJBazkvZlRUbWJiZE9pSjVxNXgrRFFBOG1RaVNBSENmVktoUXdWaGEzOGZISjl0bDlqMDhQRlMvZm4xSjZTdGNlbnA2U2twZmdmVjJRZEppc1dqYXRHbWFPbldxVHA4K3JWMjdkaG5oZGU3Y3VhcFZxNVphdDI2dFo1OTlWa1dMRmxXeFlzVmt0VnJWdkhsenZmVFNTM0p6YzlPb1VhUFV0V3RYTFYrKzNMaEhNamc0bUJVYmNjLzI3OSt2NmRPbnk5dmJXd01IRHRTcVZhczBmZnAwalIwN1ZzdVdMVlBidG0wVkZCUWtkM2QzaDgvZE9wVTFPeE1uVGxTYk5tMDBmUGh3RFJreVJGYXJWWTBiTjliNjlldDE2ZElsSFRwMFNHWExsdFgwNmRQVnRtMWJoNFZwYnR5NGtlVUtwZmRUV2xxYUpPbjA2ZE5xMjdhdE1jUGc2dFdyNnR5NWM2YitWcXZWNGY3azFhdFhxMENCQWc1OXJsNjk2dkErcDE4REFFOG1naVFBM0VkeGNYSGF0V3VYcFBSN0VqTVdJcm41ZFdCZ29ORS9JaUpDZmZ2MmxTU2RQMzllaFFvVnV1Mys1OCtmcnpadDJtalpzbVVxVWFLRURoMDZwTEN3TVBuNitzckZ4VVhWcTFkWGVIaTRzV0tqbTV1YlZxMWFaZFJRdkhoeHBhU2t5TlhWMVJnRmlZK1BOMTRYSzFZczB6TXdnYXhzMjdaTnMyYk5VbHBhbW5yMjdHbmNnN2RxMVNxZE9uVktZOGVPMWU3ZHV6Vjc5bXdOR3paTS8vNzN2OVdrU1JOWkxCYmx5Wk5IR3pac3lIYmZRVUZCc2xnc3hzOXF4aU14ZkgxOUpVa1ZLMWJVenAwN1ZhbFNKWTBlUFZvcEtTazZjdVNJS2xldTdMQWZMeSt2Mi82UjVPYnY0bC8xN0xQUEdpRXlJU0ZCSzFldWRKaENhckZZOVBYWFgrdktsU3ZHZVRScTFFaHhjWEdaUmltdlhMa2l1OTJ1TFZ1MlBGTFhBTUNUaFNBSkFFNlNsSlNrVTZkT3FVS0ZDbHEzYnAxV3JWcWw1T1JrWGJseXhlRVgwSnNsSkNTb2ZQbnlDZ3NMMDV0dnZxblBQLzljWVdGaGNuRnhrYzFtVTBKQ2dpUVo5NnpkNnV6WnMwWll2WGp4b3NPVXQ3aTRPSFhxMU9rK255VWVWMFdLRk5FLy8vbFBWYTFhVlMxYnRqUVczSkhTRjkyeDJXejY3YmZmMUtoUkl3MFpNc1NZd24zbHloWDE3OTlma2pSdjNqelZyVnRYeFlvVjA1UXBVOVNoUXdkNWVYbXBZY09HU2t0TGs3ZTN0OGFPSFp2cDJFRkJRZHE1YzZkcTFhb2xxOVdxblR0M3FrcVZLcGxXSXI1eDQ0YXBhWnZuenAzTDlsRWJkK1BzMmJQeThQQlFodzRkMUtGREI2UGRhcldxVHAwNnNsZ3NPbkhpaElvWEx5NHBQWFNIaG9ZcU1EQlFyVnExa3NWaTBkcTFheFVaR1duY3Iremg0ZkZRcndFQTNDMkNKQUE0eWY3OSsvWGlpeS9LMjl0YjhmSHhtak5uamlwVXFLQ09IVHRxNnRTcEtsNjh1S0tqb3gwK1U3Um9VWTBZTVVLVEowL1crUEhqNWVYbHBjT0hENnQ4K2ZJYU9YS2s0dUxpTkg3OGVBMFpNa1RYcmwxVDgrYk5NeDB6WS9FZjRLOTQ4Y1VYamRkZmZQR0ZWcTVjcVpDUUVCVW9VRUN4c2JHYVBIbXltamR2cm03ZHVqbE0zWXlJaURBV2RybDQ4YUpXckZpaG5qMTd5bTYzYTgyYU5Ycm5uWGQwNGNJRkRSMDZWQk1uVHBTSGgwZW1ZOWVyVjAvKy92NXljM1BUd29VTE5Yanc0Q3lua3IvOTl0c2FPSEJndHVkdzh5SkFLU2twNnRxMXE5NTg4MDExN05qeHJxN0IvLzNmLytuQ2hRdjYxNy8rcGRPblQydlFvRUhxMDZlUENoUW9ZRHdUVmtyLzNtVThGM0xQbmozRzgxNWRYRncwZHV4WURSOCtYT3ZXclpPcnE2czhQVDAxWjg0YzQzbVFraDdhTlFBQU13aVNBSEFmZlBIRkYxcXdZSUZTVWxLTWU3OFNFeE96ZkozUnAxNjllcXBjdWJJdVg3NnN2bjM3S2pnNFdLR2hvWXFLaWxMbnpwMDFaY29VUGYvODg0cVBqNWVibTVzU0VoSVVIaDZ1Mk5oWUJRVUZhZVhLbGJweTVZcDI3TmloSGoxNnlOdmJXNUdSa2NxVks1Y2lJaUkwY09CQVk3cHJhbXFxUER3OHRIYnRXdU9aZmpkUGFaWCtkNjhYWUpiVmF0V05HemZVcDA4ZnBhYW02dXpaczRxSWlKQ2ZuNTlEdjlXclYrdm8wYVBHWTBKQ1FrSVVGaGFtbmoxN0tpUWtSTk9tVGRNNzc3eWpmdjM2cVhuejV2cjY2NjhkSGgwaVpYMXZaVnhjbkhidjNpMkx4YUxaczJjN0JNSHNSdmN6ckYyN1ZnTUhEbFM5ZXZVMGUvWnNkZS9lWFZldlhsV2ZQbjN1ZU41WHIxNVZtelp0NU9mbnAvRHdjSWZBMTdkdlgrM1pzMGR1Ym03S2xTdVhQdmpnQTEyL2ZsMnJWcTNTeElrVGxaeWNyQU1IRG1qbnpwMDZjT0NBaWhZdEtxdlZxdE9uVCt1cnI3NVNwVXFWVkxKa1NUMzc3TE5HSUgwWTF3QUE3cGJGYnJmYm5WMEVBTndzNDVmUDJ6MGU0SEV3WXNRSTFhaFJRNUdSa1FvSkNWSDM3dDJOeFhiV3JWdW5GMTk4VVczYnRwWE5abFBMbGkwVkdocXFiZHUycVVxVkt2THk4bkxZMTc1OSsxU3BVaVdIeFhyT25UdW4vUG56cTBPSERqcHo1b3hhdFdvbHE5V3FkdTNhS1cvZXZBb09EczV5YXV1eVpjc2V6Z1c0ajU2VW41bjc1VUZlcjk5KyswM2ZmZmVkTVVXelpNbVN4clkvLy94VGx5OWZOcDVYYUxQWmRPclVLVDMvL1BPeTIrMjZjZU9HdkwyOUphVS9oN1YwNmRMR1ZOTUdEUnBrR3FGL0VDNWV2S2hqeDQ2cGF0V3E5MzNmeDQ4ZjE4eVpNL1hlZSsrcFc3ZHVLbHUyckFJREF4VVNFcUxubm50T1V2cjEyN3AxcS9idDI2Y3paODVvd1lJRnhqVjVXTmZncitqYXRhdGlZMk0xWThZTVU4L0lCZkRvSVVnQ3lIR2V0RkJ3N2RvMVl3R05CKzFPSzhNK3FwNjBuNW0vNm1GY3I4ZjFaKzJ2eXJndWFXbHBtZTVuZkJ3UUpJRW5oOHVkdXdBQUhxU0hGU0tsMnorbkVyaWYrRm5MV3NaMWVSeERKSUFuQzBFU0FBQUFBR0FLUVJJQUFBQUFZQXBCRWdBQUFBQmdDa0VTQUFBQUFHQUtRUklBQUFBQVlBcEJFbjRvbjVBQUFDQUFTVVJCVkFBQUFBQmdDa0VTQUFBQUFHQUtRUklBQUFBQVlJcWJzd3NBZ096NCtmazV1d1FBQUFCa2dSRkpBRGxPdVhMbG5GMENIa0V2dlBDQ3Mwc0FBT0NKd1lna2dCeG53WUlGemk0aHg4b1lwWTJOalhWeUpRQUE0RW5HaUNRQUFBQUF3QlJHSkFFQWVFSnhIeklBNEY0eElna0F3Qk9HKzVEeElQbjYrcXBZc1dMT0xnUEFBOGFJSkFBQVR4anVRemFIZTVNQklETkdKQUVBQUFBQXBoQWtBUUFBQUFDbUVDUUJBQUFBQUtZUUpBRUFBQUFBcGhBa0FRQUFBQUNtRUNRQkFBQUFBS1lRSkFFQUFBQUFwaEFrQVFBQUFBQ21FQ1FCQUFBQUFLWVFKQUVBQUFBQXBoQWtBUUFBQUFDbUVDUUJBQUFBQUtZUUpBRUFBQUFBcGhBa0FRQUFBQUNtRUNRQkFBQUFBS1lRSkFFQUFBQUFwaEFrQVFBQUFBQ21FQ1FCQUFBQUFLWVFKQUVBQUFBQXBoQWtBUUFBQUFDbUVDUUJBSGQwOHVSSmgvZEpTVW42NDQ4L25GUU5BQUJ3Tm9Ja0FPQ09XclJvNGZCKzI3WnQrdWlqajB6dDQvZmZmOWVZTVdOa3RWcnZaMmwzRkI4ZnIrblRwMmU1YmN5WU1WbTJKeVVsWmJzL204Mm1TWk1tS1NVbEpjdCsyN1p0VTBwS1NyYWZQM3o0OEIwcXZyMGRPM2JvMnJWckR2V01IRGt5Mi9jWkZpOWViTHcrZi82OGR1elk0YkI5MjdadHN0dnR0ejEyYW1xcVpzK2VMWnZOWnFybVU2ZE9hY3VXTGRsdWo0eU1WRVJFaEVOYlNrcUtHalpzcU4yN2Q1czZGZ0RnNFhCemRnRUFnRWZQVHovOXBBb1ZLbVM1emQvZlg0VUtGVkpDUW9MZWV1c3Q3ZDI3MTloMjh1UkovZlRUVC9MdzhKQWtsUzVkV20rOTlaWTZkT2dnU2JKWUxQTHg4ZEhMTDcrc0ZpMWFLRGc0K0MvWHVtelpNbDI2ZENuTGJXdlhydFdISDM2WXFYM1FvRUY2OWRWWDljNDc3MlQ1dVMrLy9GS0JnWUdhTUdHQ0prMmFwR2VlZWNiWWR1clVLUjA1Y2tSZHVuUngrTXpWcTFlVk4yOWV0V25UUnJHeHNmZDhQa2VQSHRXbm4zNnFHVE5teU1mSFIzYTdYU3RXck5EUW9VTWxLZFA3RE5PbVRWT3JWcTBrU1FrSkNSb3laSWpHakJtalYxOTlWYkd4c1pvd1lZS3FWcTBxVDA5UGg4OE5HREJBYjd6eGhtcldyS25rNUdSTm56NWRuVHAxeXJJMmYzOS8rZnI2R3U5ZFhWMjFZY01HclZ1M3p1RWEzZXpZc1dOYXRHaVJpaFFwWWx5WG9rV0xxbmp4NHJwdzRZSW1UWnBrOUMxVXFKQ21USmxpOG9vQkFCNEVnaVFBd0JTYnphWnQyN1lwTEN3c3krMjVjK2RXZEhTMCt2ZnZyM0xseXVuOTk5L1hnQUVETkdIQ0JDTkFUcHc0VWZYcTFkTXJyN3lpbjMvK1daSzBmZnQyZVh0N0t5NHVUakV4TVlxTWpEUkdQbDFjN20wQ3paVXJWelIvL256bHlaTkhBUUVCS2xxMHFITG56cTA2ZGVvb0tpcEtpWW1KYXRDZ2dTVEoxOWZYR0xVYk1tU0lPblRvb0tKRmkrcjExMTkzMktmRllwSEZZbEhWcWxYVnNXTkhYYmx5UmIvOTlwdEdqQmpoMEcvSmtpV3kyV3h5ZFhWVmRIUzA2dGV2cjEyN2R0M1RlZHlzUTRjT09uRGdnTFpzMmFLSkV5Y2E3YmVHN3VEZ1lHM2N1REhMYTFlcVZDa05IVHBVRnk5ZVZGcGFtc2FQSDY4UkkwWmtDcEZIang3VmpoMDdOR2pRSUVucC8vWVdpeVhiZnc5ZlgxOXQyclJKYytiTVVlZk9uVlduVGgzWmJEWjkrKzIzU2t4TTFPVEprNDIrenozM25FYVBIcTErL2ZwcDh1VEordW1ubnhRUUVLREtsU3NyTmpaV3c0Y1AxN3AxNi9UcHA1K3FXN2R1S2xTbzBEMWZNd0RBL1VlUUJBQmtLU2dveUhodHM5bU05NzE2OWRMbHk1YzFmUGh3U1ZKeWNyS1NrcEwwN0xQUDZwdHZ2akg2SHp4NFVLTkdqWktYbDVkOGZYMjFmUGx5dFdyVlNzZU9IZFBhdFd1ekhOV3lXQ3pLbnorLzZ0YXRxMWRmZlZYdnZ2dXVvcUtpc2gwWnZKUFJvMGVyWk1tU21qdDNyb0tEZzdWeTVVcGpXOGVPSFZXelprMUZSMGRMY2d4aUJRc1cxUGp4NDVVclZ5NE5HREFnMHdoaVdscWFRLzlObXpicC9mZmZWNFVLRlZTcVZDblo3WFpqL3htanJmZFRlSGk0TEJhTEdqZHVyTFMwTkZXcFVrV2JObTB5YXJ2NWZkT21UU1dsVDlkdDJyU3A2dGF0cSsrKys4N1lWMWhZbUo1Kytta05IRGhRa3JSNjlXcTV1TGpJYnJjcklpSkNhV2xwYXRpd29kSGZicmNyTUREUW9aNndzRERWcjEvZmVQLzExMStyYytmT2txU3RXN2ZxanovKzBMWnQyNVE3ZDI0RkJ3ZHIrZkxseXBzM3IzYnYzcTIyYmR1cVNwVXFLbHk0c0tLaW9sUzVjbVVOR0RCQTMzMzNuWExseXFXZ29DREZ4TVE0MUFBQWNENkNKQUFnUzF1M2JqVmVCd1FFR08rN2R1MnEvUG56R3dGc3hZb1YyclZybDhhT0hXdjAzNzkvdi83Kzk3OXIrdlRwUmdnN2RlcVV2djMyVzBucFV4Ujc5dXdwRHc4UGhZYUdabmw4WDE5ZnZmdnV1MXE2ZE9rOUI4a1BQL3hReWNuSjJXN1A2cDdBUllzV2FkNjhlZkwyOXRhcVZhc1VIaDZlcVUrTkdqVzBZY01HdWJxNkdtM1BQdnVzK3ZUcFl3UTN1OTJ1ZDk5OTk1N3F2aE9MeFdLOHZ0TjlqU3RYcnRTUFAvNm9nUU1IR2tHNlo4K2V4dmFBZ0FEajMvSm1DeFlzMEpVclY3UjU4MmJseXBWTGtuVDI3Rm0xYnQxYW16ZHZ2dXRhWjh5WW9lTEZpK3Z5NWN2S2xTdVhrcEtTNU9QakkwbXFXcldxb3FPakZSVVZaZlJ2MmJLbHJsNjltaW1BejU4LzM2RWZBTUM1Q0pJQWdMdDI5ZXBWK2ZuNTZlelpzN3A0OGFJS0ZpeW9RNGNPcVhUcDBwbjZXU3dXaFlhR0tqUTBWSmN2WDg2MEw1dk5wcmx6NXhwVFc3TlNwa3daL2ZiYmI3TFpiUGMwdmJWang0N0c2L2o0ZUNQa3paMDdWMDg5OVZTV2k4YTBhZE5HYmRxMFVmWHExYlBkYis3Y3VYWDkrblhseVpQSGFQUHo4OU1YWDN5aGpoMDc2dVRKa3hvM2JwemMzZDFOMTN3N2MrYk0wWUlGQzVTU2ttSk1rNzJiYTdOaHd3Wko2ZmVvbGloUjRxNk9WYkprU1UyZE90VUlrWktVbUpnb0x5K3ZPMzcyNXFEYm9rVUxIVDkrWEgvKythZTh2YjMxMUZOUE9kUTdiTml3VEo4UENBZ2dOQUpBRGtlUUJBQmtxMDZkT3BMU3cwcWRPblhrNmVtcDc3NzdUbWZPbk5HV0xWdlVyRmt6YmR1MlRlUEdqWFA0WE0yYU5SVVZGYVVEQnc3bzZOR2pEbE1wTTJTRXV0dXhXcTF5ZFhXOTUzc2tiNTdLZXZQVTFvejdJcTlmdjI2OGpvK1AxNFFKRTlTM2IxK0hmV1JjZ3l0WHJpaC8vdnpxMTYrZmZIMTlkZTNhTlljZ2VmbnlaVVZHUnNyRHcwUDkrdlhUcUZHakZCMGRyZDY5ZSt1NTU1NjdwL3B2MWJselozWHUzRm1CZ1lFNmQrNmMyclp0SytsLy96NVoxYjE4K1hMOS9QUFBzbHF0Q2cwTjFhQkJneHdXNHJIWmJNWTFxRjY5dWdZUEhxemR1M2NiVTExdlpyZmJsWnFhbW1scXF5UWoyS2FtcHNyTjdYKy9YclJvMFVKZmYvMjFUcDQ4S1RjM041VXFWY3JZOXRWWFh4blRvVzltczluVXZIbnpMSy9Cc21YTHNyNDRBSUNIaWlBSkFNaFdRa0tDd3dJeEdRR2lZY09HeHFNOGZIeDg5TGUvL1MzVFordlhyNitkTzNkS1VwYjNRNTQvZi82T3gvLzU1NTlWdG16WmV5MWZVbnBvdkhucVpxTkdqUlFkSGEwREJ3Nm9mZnYyR2pac21LcFdyWnJ0NXpORzg2cFhyMjY4WHJWcWxTNWV2S2lpUll0S2t0YXNXYVB3OEhBRkJnWnF3WUlGOHZEd1VQbnk1YlY0OFdMMTZkUEg0ZEViOTB2aHdvVzFZY01HYmQrK1hYUG16Tkg4K2ZNbC9lOGV5WXhhWjgyYXBUcDE2bWpod29YNitPT1B0WFRwVW9mcmtkWFUxcXBWcTJhNU1OQ1FJVVAwL2ZmZmE4R0NCU3BUcGt5V2RjWEh4eXQzN3R3T2JlWEtsZE9TSlV1VW1KaW9paFVyR3UydFc3ZFc2OWF0YjN1ZVprWlJBUUFQRDBFU0FHQmExYXBWVmFCQUFVVkVSR1Q3T0lhMHREVGovc1MwdERUVHg3aHc0WUlXTDE2cy92MzcvNlZhcy9PZi8veEhOV3ZXMU5LbFMyOGJKQzlkdXFTbm5ucktvYTFZc1dMNi9mZmZqVWVnVks5ZVhhKzk5cHJlZU9NTlkyWGE5OTkvWDd0MjdkS05HemZ1K3hUWG02MWR1MVkxYTliTWNsdHljcktpb3FMMHpUZmZhT0hDaFhyNTVaYzFaTWlRZXpyTzd0Mjd0V3ZYTG9XRmhTa2lJa0xUcDAvUGNxVDQ5OTkvbDQrUGo1S1Nrb3hWWU11Vks2ZVJJMGZxeElrVHhpSk5HYkliZWN4d2M1Q3NVYU5HdHZmVUFnQWVMb0lrQU1DMHBLUWszYmh4UXhhTEpkTXpHbTAybTFxM2JxMHpaODRvTWpKU1V2cEtyMUw2OU5LTTFVU25UcDJhYWI5MnUxMVhybHpSanovK3FFOC8vVlJ2dlBHRzZ0V3JaMncvZCs2Y0NoY3VmRi9PWWYzNjlSbzNicHo2OXUyclBYdjJxRXFWS3BuNkxGdTJUSWNQSDg3MHJNa3laY3JvOE9IRGF0aXdvYUtqby9YNjY2L0wzZDA5eThCNHUzc0svK3I1Yk55NFVULy8vTFB4ZUk1YmVYcDZhdlRvMGNxWEw1L1JsakdOTmNQTlUxc2xxVisvZmdvSkNYSG9zM256Wm8wWU1VS2pSbzNTYTYrOXBtM2J0bW40OE9FYU1tU0l3em12WHIxYTgrZlBWMXhjbkhyMzdxMmxTNWRLa2x4Y1hPVHY3Ni9qeDQrclpNbVNEdnZPbUtyNjVaZGZxbEtsU25ybGxWY2N0Z2NFQkRDZEZRQnlJSUlrQUNCYktTa3BtWUxINWN1WDFiZHZYNzN3d2d2cTFhdVgvdjN2Zit1Ly8vMnZldlRvSVU5UFQ3bTR1R2pTcEVueThmSFIrUEhqZGZqd1llM2V2VnRTK2xUWmpQdjZKQm1yaVVycG8wMFdpMFcrdnI0cVg3NjhCZzhlckdyVnFqblUwclZyVjczNTVwc09pK2pjeWFWTGwvVFdXMi9wK3ZYcmF0YXNtYVQwRVBuODg4K3JTSkVpK3Vpamp4UWFHcXJ3OEhDVkwxL2VxUFBHalJ2Njhzc3Y5ZGxubituR2pSdEtTMHRUZEhTMC92dmYvNnBodzRiNjVwdHZGQm9hcXM4Ly8xeisvdjY2ZE9tU01kVTFLN2RPRmIyWDgwbElTRENtRkgvenpUZGF2MzY5SmsrZW5Ha3E2YzBDQWdJYzN0ODZqVFc3VlZzbDZiZmZmdE5ubjMybXZYdjM2cE5QUGpGR2JvY05HNllQUC94UTdkcTFVNjlldlJRWUdDaUx4YUlyVjY1bzZkS2xtak5uanI3NjZpc05HalJJNGVIaDJyMTd0N1pzMlNJWEZ4Y3RYYnBVelpzM2QxaVFSMG9QdlgzNjlOSENoUXYxOU5OUDM5WDFBQUE0RDBFU0FKQ3R5cFVyYTlhc1djYjdreWRQNnIzMzNsT3paczNVdVhObldTd1d6WnMzVDRNR0RkTHUzYnUxYU5FaVNUSkcyVzVlMUVWS0g1RmN1SEJocHVQYytwekdySGg0ZUdqMjdObnEzcjI3cmw2OXFqNTkrdHpWT1d6ZHV0VUl1Skwwd1FjZjZMUFBQdFBzMmJNbFNXWExsdFdRSVVQMHozLytVLzM2OVZQanhvMTE4T0JCRlN0V1RGT21UTkg3NzcrdjgrZlBxM1RwMHZyeHh4OVZwa3dadmZEQ0MvTDI5bFowZExUaTR1SlVzR0JCVFpnd1FiVnExY3EyanJpNE9GMjdkczJZK25vdjUvUHR0OThxSlNWRml4Y3YxcHc1YzNUNjlHbDE2OVpOcnE2dWNuTnprNXVibTZ4V3F3b1hMcXlRa0JDVktGRkNzMmJOTXIxWTBhbFRwelI2OUdqdDM3OWZUWnMyMWRLbFM1VTNiMTVqdTRlSGh5SWlJclIwNlZLRmhZV3BZTUdDR2o1OHVQcjM3NjkyN2RxcFJJa1NHakJnZ0pZdVhhcng0OGRyeTVZdG1qaHhvcnk4dk5TL2YzOUZSVVhwN2JmZjFsdHZ2V1VFeWhZdFd1anc0Y1A2OWRkZjVlbnBLUjhmSHgwOWV0UjRWQWdBSUdleDJPLzBBQ29BUUk3aDUrY242ZTZDMTRPUW1wcXE0OGVQNjZXWFhuSm90MXF0K3YzMzMvWDg4ODlyMGFKRmF0T21UWmFmbnpadG1ucjA2UEdYYXJoNDhhS09IVHQyMi9zYWIrZVBQLzVRZkh4OHBrVjhmdnZ0Ti9uNCtCajNROGJGeFNsZnZueTZkT21TOHVmUG55bU1IVHQyekJpTmUvUE5OL1hKSjU5bzd0eTV4bjJCZ1lHQkRxT1E3ZHUzMXkrLy9LSW1UWm80Qkd3ejU1T1NraUkzTjdkTXRhU2xwU2sxTlZWV3ExVlMrdU0zTEJhTHczVGJvS0FnaDJlRFpnZ0lDRkJNVEl4RG05MXUxNG9WSy9UYWE2L2RjWFF3T1RsWnAwK2ZsdFZxMWQ2OWV4MUduTGR0MjZhTkd6ZXFmLy8rOHZYMU5jNWgwYUpGOHZiMlZxdFdyVElkVjBwZjlUY2hJVUc1Y3VWU3QyN2RIdGp6T08rV3M3OTNBSkFURVNRQjRCSENMN1E1VjNKeXNoRWk4WGpoZXdjQW1kM2JnN2tBQUlBRFFpUUE0RWxDa0FRQUFBQUFtRUtRQkFBQUFBQ1lRcEFFQUFBQUFKaENrQVFBQUFBQW1FS1FCQUFBQUFDWVFwQUVBQUFBQUpqaTV1d0NBQUFBOE9UcDFxMmJZbUppbkYwRzhNZ3FWNjZjRml4WTRMVGpNeUlKQUFDQWg0NFFDZncxQnc4ZWRPcnhHWkVFQUFDQTA4VEd4anE3Qk9DUjQrZm41K3dTR0pFRUFBQUFBSmhEa0FRQUFBQUFtRUtRQkFBQUFBQ1lRcEFFQUFBQUFKaENrQVFBQUFBQW1FS1FCQUFBQUFDWVFwQUVBQUFBQUpoQ2tBUUFBQUFlSXpkdTNIQjJDWGdDdURtN0FBQkE5dmJzMmFNZE8zWmthcDg0Y2FMeHVrS0ZDcXBkdS9iRExBdDRyUEc5dzErMVpzMGFOV3pZMEtFdEtTbEorL2J0VTdWcTFlVGk4cit4bk9Ua1pMbTd1enUwWlNjbUprWUJBUUU2ZCs2Y3JGYXJpaFVycHFDZ0lHM2R1bFhIamgxVDNyeDVsU3RYTGdVSEIydmJ0bTN5OFBESXRJOGZmdmhCMWF0WC8rc24rUURZYkRaMTd0eFpvMGVQMWpQUFBHTzBUNXMyVFVXS0ZGSHo1czJkV0IxdVJaQUVnQnpNMWRWVkN4Y3V6TlIrYzF0NGVQakRMQWw0N1BHOU0rZjgrZk02Y09DQVhudnROWGw2ZWpxN25Cd2hNakl5VTVBTUR3L1h4bzBiTlhMa1NOV3NXZE5vWDdWcWxUWnUzS2d4WThhb1ZhdFdjblA3MzYvblZxdFZHelpzMExmZmZxdkdqUnRyNE1DQjJyUnBrN1p2MzY0Tkd6Wm94b3daa2lTNzNhNlBQLzVZUFh2MmxOVnExWFBQUFpkbGlKU2t3WU1IYSt2V3JXcmV2TGxzTmx1V0FUWXVMazZiTm0zSzl2eisrOS8vNnQvLy9yZm16cDJyZlBueVpkb2VFeE9qSGoxNjNQWWFaZGkyYlp1OHZiMGxTUzR1TGdvS0N0THExYXZWcFVzWG84KytmZnNjM21mbDJyVnI2dEtsaTBhT0hLbVhYbnJwcm82TnY0WWdDUUE1V01XS0ZlWHI2NnRyMTY1bHVUMTM3dHlxVWFQR1E2NEtlTHp4dlRQbnlwVXJHakJnZ0N3V2kyclhycTE2OWVvcE1ERFFDQWVRbGl4Wm9pTkhqbWpldkhucTI3ZXZ5cFl0cXlKRmlraVMzbjc3YmNYSHgydkJnZ1dTcE9qb2FDUGcxYWxUUjFMNmlGemp4bzJOL1RWdjNseGJ0bXpSbjMvK0tVbjY1WmRmVkxKa1NmbjUrV244K1BHcVVLSENYZFUxZi83OExJTmdjSEJ3dHAreDJXejY2S09QRkJvYW11Vm5KU2tnSUVBeE1URU9uNmxTcFlxMmJkdW1YTGx5WmVxL2Z2MTZUWmt5UlZKNktMWllMRnF4WW9Va2FkR2lSVHAwNkpBcVZxeDQyM1B4OWZWVnYzNzlOSFRvVUgzOTlkZDNOY0tMdjRZZ0NRQTVtSnVibStyV3Jhc2xTNVprdWIxcTFhcHlkM2QveUZVQmp6ZStkL2ZHYnJkcjQ4YU4ycmh4b3l3V2k0S0NnbFMvZm4wRkJnWXFUNTQ4emk3dm9XalpzcVZTVTFOMTZkSWx0V3paVXYvNHh6OFVIeCt2dVhQbmF0NjhlU3BjdUxCNjkrNnRIajE2S0RJeVVzV0tGVk55Y3JJNmRlb2t1OTJ1MWF0WFM1SkNRa0p1T3lMWW9rVUxTVkxQbmoyVmxKU2tvVU9IU3BKMjd0eXBOV3ZXeU1QRFE0MGFOVkppWXFKU1UxUFZyMTgvZmZIRkY0cUxpMU5pWXFLQ2c0T1ZMMTgrZGU3Y1dhNnVycWJPY2R1MmJiSllMS2IrbUJJZkh5OTNkL2NzUTZRazFhMWJWM1hyMXMxeVcwWW9mT2VkZHlSSlo4NmNVZEdpUmJWeTVjcE1mYXRXcmFvOGVmSm8wNlpOQ2drSnVldjZjRytJNmdDUXc5M3VMOFA4SHlYd1lQQzkrMnZzZHJ1MmJObWlEejc0UUxWcTFWSy9mdjIwZHUxYXhjWEZPYnUwQnlvcUtrcmR1M2ZYVTA4OXBjV0xGMnZ2M3IyYU1XT0dQdjMwVXhVdVhGaFMrcy9QKysrL3J3NGRPbWpQbmoxcTBhS0Y5dTdkSzR2RmN0ZkhXYlpzbVNaT25LaUNCUXZLMWRWVjlldlgxOEtGQzNYaXhBbkZ4Y1Zwd1lJRit1Njc3OVNtVFJ1OTlkWmJhdGFzbVpZdFc2Wk5tellwZCs3Y1JraWRNMmVPb3FLaUZCVVZwVXFWS2htdmIzY1A1YnAxNjFTdlhqMVQxK1hVcVZNcVZxelliZnNrSmlhcVM1Y3VpbytQMTZwVnE3Um8wU0tscEtSbzBhSkY4dmYzMThxVks3Vnk1VXA1ZVhucG0yKyt5WFkvZGV2VzFZWU5HMHpWaDN2RGlDUUE1SENWS2xWUzd0eTVsWmlZNk5EdTVlWGxjSjhOZ1B1SDc5MzlZN1BadEdYTEZtM1pza1d1cnE0S0RBek1kdlRwY2JCKy9Yb2xKeWRyd1lJRkNnd01WSTBhTmJLOFgzRHExS2txV2JLa3dzTENOR0RBZ0N6dnk4MUtTa3FLWnN5WW9mLzg1ejhLQ3d2VGUrKzlwekpseXFoYnQyNnFXTEdpL1AzOWRlellNUlVxVkVqSGpoMVR0V3JWN21xL0d6WnMwSWNmZmloSkdqRmlSTGI5RGh3NG9KWXRXMmE3ZmYvKy9WbmV6Mml6MlJRUUVKRGxaMkppWXZUSko1K29mUG55OHZIeFVhMWF0ZFNwVXllZFBuMWFoUW9WMHVuVHB5VkpseTlmbG8rUFQ3YjNmMHBTdVhMbDlNVVhYMlM3SGZjUFFSSUFjamdQRHcvVnJsMWJxMWF0Y21pdlVxVUtDMXNBRHdqZnV3ZkRicmNyUGo1ZUZ5OWVkSFlwRDhTSkV5ZGt0OXZsNmVtcGd3Y1Bxa0tGQ2lwUm9vU2lvNk8xY2VOR0ZTOWVYR1hMbHRXdnYvNnFmUG55eWNQRFEvNysvbHF5WkltZWV1b3BZeiszRzUxMGQzZlh5eSsvcko0OWUycjgrUEVhT25Tb2F0V3FKWDkvZi9uNCtHang0c1hhdm4yN0FnSUN0SGZ2WHZYcTFVdFMrc0k5UjQ4ZVZYSnlzdHEzYjYrelo4K3FYYnQyeHJIaTQrUFZ0R2xUNHpqRGhnMVRwVXFWTWgzLy9QbnpldnJwcDdPdHIyTEZpZzczUjBwU2FHaW9hdFNvb1ZLbFNxbGl4WXFaem0vMTZ0WDY0NDgvakNtNjd1N3U2dEtsaXhJVEU5V25UeDgxYWRKRTE2NWQwODgvLzZ4WFhua2wyMk5MMHROUFAvM1kvbnpsTkFSSkFIZ0VaUFVMN2UybTNnSDQ2L2plM1I4dUxpNnFXTEdpWG43NVpaVXVYZG9JS3htTHF6eE9KazZjcURadDJtajQ4T0VhTW1TSXJGYXJHamR1clBYcjErdlNwVXM2ZE9pUXlwWXRxK25UcDZ0dDI3YkdkTmZqeDQ4YmY2RElXR3dtT3hhTFJkT21UZFBVcVZOMSt2UnA3ZHExUzlPbVRaTWt6WjA3VjdWcTFWTHIxcTMxN0xQUHFtalJvaXBXckppc1ZxdWFOMit1bDE1NlNXNXViaG8xYXBTNmR1MnE1Y3VYRy9kSUJnY0haM25mNGEzdVZOK3RUcDgrclQxNzlpZ3NMRXkxYTlmV3JsMjdNbzBvMXFoUlE4OC8vN3phdDIrdlNaTW1hZXZXcmRxeFk0Y21UNTRzU2ZMMzk5ZldyVnNWR3h1cktsV3EzUFd4OFdBUkpBSGdFZURuNXlkdmIyOWR2MzVka3VUcDZja3o3SUFIak8vZHZiTllMS3BVcVpLQ2c0UFZvRUdEYkZmM2ZKeWtwS1RJMWRWVnI3NzZxcVQwVlVTbDlCRzZuVHQzcWxLbFNobzllclJTVWxKMDVNZ1JWYTVjMmZoc1JFU0UrdmJ0S3lsOXhLOVFvVUszUGRiOCtmUFZwazBiTFZ1MlRDVktsTkNoUTRjVUZoWW1YMTlmdWJpNHFIcjE2Z29QRHplZWZlcm01bWI4VVNRb0tFakZpeGMzNnMyWXBob2ZIMis4TGxhc21NTnpVMjlXc0dCQlhicDBTVVdMRnIzak5iSGI3ZnJrazAvVXZIbnpiSDhHdnYvK2U3MysrdXNxVjY2YzNuMzNYYjMvL3Z0S1RrN1dwRW1UakQ0TkdqVFFwRW1UZE9IQ0JmWHUzZnUyeDd4dzRZSUtGaXg0eDlydzE3SFlEZ0E4QXJ5OXZSM3V5L0x6ODh0MjlUc0E5d2ZmdTN0VHExWXRiZG15UmJObXpWTHIxcTJmaUJBcHBVK0hIanQyYktiMm9LQWc3ZHk1VTZWS2xaTFZhdFhPblR0VnBVb1ZZeVF3S1NsSnAwNmRVb1VLRmJSdTNUcnQyclZMeWNuSnVuTGxpdGF0VzVmbHNSSVNFbFMrZkhtRmhZVnB4WW9WR2pSb2tBWU5HaVFYRnhmWmJEWWxKQ1JJU2crM1dUbDc5cXdSVmk5ZXZLaW9xQ2pGeE1Rb0tpcEtNMmZPMU1tVEo3TTl6NWRmZmxrSER4NjhxMnNTR1JtcE0yZk9xSHYzN3RuMkdUcDBxRkZ2bzBhTlZMQmdRYVdtcGpyODNGU3JWazFYcjE1VnRXclZWS0JBZ2RzZTgrREJnM2VjL29yN2d5QUpBSStJbTBkQ1dPd0RlRGo0M3QyWmo0K1BCZzBhcEU2ZE9rbEtYK3prU1huY3g2MnlXZ1NtWHIxNmF0dTJyZHpjM0xSdzRVSnQyTERCZUQ2a2xMNDR6WXN2dmlodmIyOGxKaVpxenB3NWV2bmxsOVd4WTBlZE9YTkdVdnF6Slc5V3RHaFJqUmd4UXVYS2xkUDQ4ZU9Wa0pDZ3c0Y1B5MnExYXZqdzRZcUxpOVA0OGVNMWJOZ3dMVnUyTEZOTisvZnYxd3N2dkhCUDUxaW5UaDJ0WDcvK3RuMXUzTGloRVNOR2FOMjZkWm82ZGFyeEJ4aFBUMCtkTzNmTzZIZnk1RW01dTdzcmYvNzhrcVJQUC8xVVZxdFZUWnMyVmJkdTNYVDU4bVZKNmMvUjlQTHkwZzgvL0tEWTJOamJIbnZEaGcyc3JQeVFNTFVWQUI0UlZhcFVrWWVIaDJ3Mm04TXZJUUFlSEw1M2QxYTBhRkc5OWRaYm1qRmpock5MeVhHeStwbUppNHZUN3QyN1piRllOSHYyYk8zWXNVT1ZLMWZXNWN1WDFiZHZYd1VIQnlzME5GUlJVVkhxM0xtenBreVpvdWVmZjE3eDhmRnljM05UUWtLQ3dzUERGUnNicTZDZ0lLMWN1VkpYcmx6UmpoMDcxS05IRDNsN2V5c3lNbEs1Y3VWU1JFU0VCZzRjYUV4M1RVMU5sWWVIaDlhdVhhdWdvQ0JKamxOYUpTa3RMZTIyNXhRU0VxS1pNMmNxTmpaV2ZuNSttYmFmUG4xYVBYcjBVTkdpUmZYNTU1ODdURE45NzczMzFLNWRPM2w1ZVVtU1VsTlQxYkZqUnlVbEpXbnMyTEU2ZXZTb3BrK2Zycng1ODBwS0h5MmRPWE9tZnZqaEI4MmNPVlA3OXUxVDc5NjkxYjkvZnpWcjFpelRzZmZ0MjZmTGx5OFRKQjhTZ2lRQVBDSnk1ODZ0R2pWcTZOcTFhOGE5TndBZUxMNTMrQ3Z1NW5tR1NVbEpxbEdqaHJwMDZhS1FrQkJqR21qTGxpMlZOMjllZVhoNEtEZzRXRGFiVFMxYnRsU2VQSGxVdTNadGZmamhoMFlnSzFDZ2dGNTQ0UVdWTDE5ZWxTcFZNaGJEZWZYVlZ4VVZGYVg4K2ZPclE0Y09PblBtakZxMWFpV3IxV29zSE9YajQ2T29xQ2lqbnJpNE9HTjBPU3R1Ym00YVBueTRSbzBhcFhuejVtV2E3djNzczgvcWd3OCtVTFZxMVRJdHl0TzllL2NzcDdtdVhMbFNWcXRWczJmUE52YlhxMWN2elpvMVM0Y1BIOWE4ZWZOVXFGQWhGUzFhVkhueTVOSE1tVE5WdjM1OWVYdDdPMXpIVHo3NVJNT0dEVE9tRGVQQnN0anRkcnV6aThEL1krL093Mk02MndlT2Z5ZWJXQkpyaWxoYVZTMXZMRVdpcFVsRGhJcTFVclh2VzVIV1Vrb3RrYW8xRllKWWFpZVVVclZIRUZSQ0tCcWxHcXBldGFSSXJKRk5sc25NNzQvOGN0NU1aaVlTWkw4LzE5V3JtVE5uZVdhY1o4NTluMmM1UWdpUlBVRkJRVHg2OUlpZVBYdm1kMUdFS0RhazNtWFB5cFVyV2JWcUZaOS8vam1EQmcxNjd2cnByVm5QNjZwWVhPVGx6WXFjenJ4cVNFSkNBaFlXRnBpWjVWNjdsRnF0UnFWUzZTV0doc3F2VnF0SlRrNHVOdU9ZQzBMOWtSWkpJWVFvQks1ZHUwWndjREEvL1BBRENRa0pQSG55aEpZdFcxS3ZYcjM4THBvUVJaYlVPNUdYOHJMRisyV1RTQ0JQRWpaalNhcWg4cHVabWVWcVVpdjB5YmN0aEJBRlZIb1F1My8vZmlJaUluVGVXN05tRFd2V3JLRnExYXAwNk5CQmdsc2hYaEdwZDBJSWtUMlNTQW9oUkFGaUxJaXRXTEVpam82T3RHdlhEbk56Y3dJREF6bDU4aVQzN3QyVDRGYUlseVQxVGdnaGNrNFNTU0dFeUdmUEMyTGQzTnl3dDdmWDZjclR1SEZqdEZvdEZ5OWU1TUNCQXhMY0NwRkRVdStFRU9MbFNDSXBoQkQ1NEVXQzJNeFVLaFh2dnZzdTc3NzdyZ1MzUW1TRDFEc2hoSGgxQ25VaU9XTEVDTTZkTzVmZnhSQ2kwTEt6czhQZjN6Ky9pMUZzdklvZzFoZ0pib1V3VE9xZEVFTGtqa0tkU0VvU0tjVExDUThQeis4aUZIbTVHY1FhSThHdEtPNmszZ2toUk80cjFNK1JMQWpQVHhHaXNKTDZrM3Z5STRqTmpzekJiVlJVbFBLZUJMZWlzSk42bC85ZTlEbVNRb2dYSjgrUlM3Z0JkZ0FBSUFCSlJFRlVGRUtJUXE2Z0JyRVpTWXVKS0dxazNoVnVkbloyMGpOR2lKZFF1M2J0ZkQyK3RFZ0tVVXhKL1hsNWhTR0l6WTdpMUdJaUNqK3Bkd1ZYVGxza2hSQ0ZtN1JJQ2lGRURoU1ZJRFlqYVRFUkJaM1VPNmwzUW9pQ1J4SkpJWVI0anFJWXhCb2p3YTBvS0tUZVNiMFRRaFJza2tnS0lZUUJ4U21JTlVhQ1c1SFhwTjVKdlJOQ0ZCNlNTQW9oeFArVElOWTRDVzVGYnBGNlo1elVPeUZFUVNhSnBCQ2lXSk1nTnVja3VCVXZTK3BkemttOUUwSVVOSkpJQ29NU0V4T3h0TFRNNzJJSWtTc2tpSDA1MGRIUmxDdFhEcERnVm1TZjFMdVhJL1ZPQ0ZIUXlPTS9DcWdEQnc3UXZuMTduV1VKQ1FtY1AzK2VGaTFhWUdKaW9peFBTa3JDM054Y1o1a3g1ODZkdzhIQmdhaW9LTlJxTmRXcVZjUFoyWm5nNEdDdVg3OU8yYkpsS1ZXcUZDNHVMb1NFaEdCaFlhRzNqNU1uVCtMbzZQanlIeklYYURRYWhnd1p3cHc1YzZoYXRhcXlmUG55NVZTcFVnVjNkL2Q4TEYzQlVwVHJqeUV2R3NTNnVia1JHQmlZN2VOY3ZYcVYyclZyWTJaV2RPN1RCUVlHY3YzNmRVYU5Hb1ZXcTZWWnMyYktlWk9ZbU1qQ2hRc3BYYm8wWThhTVViWXBpbzgyRURrbjllN0ZGY1o2SjQvL0VLSjRLVHEvdUVXTW41K2ZYaUk1Zi81OGpodzV3c3laTTJuWnNxV3lmTy9ldlJ3NWNvUzVjK2ZTbzBjUG5RdXBXcTBtS0NpSWZmdjIwYWxUSnlaTm1zU3hZOGM0Y2VJRVFVRkJyRnk1RWtpNytNeWVQUnNQRHcvVWFqVTFhOVkwbUVRQ1RKMDZsZURnWU56ZDNkRm9OQVlUMk9qb2FJNGRPMmIwOC8zM3YvOWw0c1NKckZ1M1RybkRtdEc1YytjWU5XcFVsdDlSdXBDUUVFcVdMQW1BaVlrSnpzN09CQVFFTUhUb1VHV2Q4K2ZQNjd3MkpDWW1ocUZEaHpKejVremVlZWVkYkIyN09McCsvVG9uVDU1a3dJQUIrVjJVNTNyVkxTQ1RKazNpanovK01QaGVldEM3Yk5reVNwY3V6ZXpac3psdzRBRHo1czB6dVA2elo4LzBrbmg3ZTN1cVZhdG1jUDA3ZCs3dzIyKy9LYTlkWEZ6MDFvbUxpOFBDd2tLdjduYnQycFV2dnZnQ0J3Y0hLbGV1YlB3REFsRlJVWnc3ZDA1bldjdVdMVGw1OGlRYk4yNmtmLy8reW5LTlJzT3dZY093c3JMaTY2Ky8xdGxHV2t5S0w2bDNhYVRlQ1NHS09ra2tDNGtkTzNidzk5OS9zMzc5ZXI3ODhrdnExcTFMbFNwVkFQajAwMCtKalkzRjM5OGZTTHV3cGlkNGJkcTBBZEphNURwMTZxVHN6OTNkbmVQSGozUHYzajBBTGwrK1RLMWF0V2phdENrTEZpeWdZY09HMlNyWGhnMGJEQ2FDaGk2MjZUUWFEZE9uVDJmY3VIRUd0d1Z3Y0hEUXVhaHFOQnFhTld0R1NFZ0lwVXFWMGx2LzhPSERMRm15QkVoTGlsVXFGYnQzN3daZ3k1WXRYTGx5aFVhTkdtWDVXYXl0clJrL2ZqeWVucDc4K09PUDJXcmhMUzZ1WGJ0R1NFZ0lCdzRjNE9iTm13QUZOcEhNemU1ejN0N2V6MTFuOXV6WjlPdlhqOVdyVi9QWlo1L1JzV05IZytzNU9Eam9MVE0zTjJmUG5qMEcxMi9ldkxuTzY4dzNhbmJ1M01rUFAvekE2dFdycVZDaGd0SHk3ZCsvUDh2eVp5NVhseTVkbEw5Ly8vMTNwVjZsTDQrSmljSGEycG92dnZnQ1UxTlRkdTdjcWJkUENXNkxQcWwzVXUrRUVNV1BKSklGVFBmdTNVbEpTZUhSbzBkMDc5NmRZY09HRVJzYnk3cDE2MWkvZmoyVksxZG05T2pSakJvMUNqOC9QNnBWcTBaU1VoS0RCdzlHcTlVU0VCQUFnS3VyYTVZdGd0MjZkUVBBdzhPRGhJUUVQRDA5QVRoMTZoUUhEaHpBd3NLQ2poMDdFaDhmVDBwS0N1UEhqMmZUcGsxRVIwY1RIeCtQaTRzTDVjcVZZOGlRSVppYW11Ym9NNGFFaEtCU3FYQnljc3IyTnJHeHNaaWJteHRNSWdIYXRtMUwyN1p0RGI2WG5oVDI3TmtUZ0x0MzcySnJhMnN3Y0hqdnZmY29VNllNeDQ0ZHc5WFZOZHZsSzRxdVhMbENTRWdJKy9mdjUrN2R1L2xkbkN6bFJoQzdZY01HZHUzYXhmMzc5NVhnelZpd21aR1ZsUlVMRml5Z1RKa3lPZjRjS1NrcGRPL2UzZWg3aGlRbEpiRnc0VUl1WGJyRXpaczMyYmR2SCtIaDRRd2RPcFMzMzM1YmIzMWpBWFpHTjI3Y29FS0ZDcFF0VzVaLy8vMDMyOTJmRFFYcG1VbHdXM1JJdlpONko0UW8zaVNSTEdDMmI5L080Y09IOGZYMVpkdTJiY3liTjQvang0L3ovZmZmSzExalhGMWRTVTFOWmVEQWdjeWVQWnVaTTJmaTVlV0Z2YjE5dG8remMrZE9idDI2eGV6WnM3bDc5eTd0MnJXamI5Kys3TnExaStqb2FBNGVQSWlOalEyclY2OG1MaTZPcmwyNzByVnJWd0NjblowNWR1d1k3dTd1ckYyN1ZtbFZuRHQzTHBNblR3WmcrdlRwUm85OTZOQWhQdnJvb3h4OUw3ZHYzemJhOVNoZGZIdzhZOGFNd2RmWGwxOSsrWVc0dURpNmRldkdsaTFic0xlM3g5ZlhGd0FuSnlkKyt1a25vL3RwMjdZdFFVRkJ4UzZSMUdxMVhMNThtZVBIajNQZ3dBRWlJeVB6dTBoWnl1MkpPd1lPSEVqYnRtM3AxS2xUdGdMWmpHclhydjFDeHpRM04yZjc5dTBHMzh2Y01nSnc1c3dadkwyOXNiT3pZKzNhdFRnNk90S3JWeS8yNzkvUG1ERmphTml3SVI0ZUh0U3NXVlBaNW5rdEkrN3U3aHc0Y0lDbVRadnkvdnZ2MDdwMWF3QSsvdmhqbzkzZHRWb3RQLzMwazdKdWRrbHdXL2hJdlpONko0UVE2U1NSTElBT0h6NU1VbElTL3Y3K05HL2VIQ2NuSjRQakJaY3VYVXF0V3JYdzh2TGlxNisrWXZQbXpkbmFmM0p5TWl0WHJ1VENoUXQ0ZVhuUnIxOC82dFNwdzRnUkkyalVxQkgyOXZaY3YzNGRHeHNicmwrL1Rvc1dMYksxMzZDZ0lDV1IvUGJiYjQydTkrZWZmeHE5K3d0dzhlSkZnK01aTlJxTjBUdXY1ODZkWTk2OGVkU3ZYeDhyS3l0YXRXckY0TUdEaVlpSXdNYkdSZ2w0SGo5K2pKV1ZsZEVMTTRDZG5SMmJObTB5K241Ujg4Y2ZmL0RMTDc4UUdCaklnd2NQc3IzZG5EbHowR2cwcU5WcU5Cb05HbzJHMU5SVW5kZnBmNmVtcGlyL1pYNXRhRm5tN2RWcXRiSzhYNzkraEllSDYzUjlybENoQWs1T1RxOTgxc2NUSjA0QWNPblNKZXpzN09qUW9ZUHkzb01IRDdDeHNWRmVXMXRiVTdkdVhZNGVQVXBTVXBKU1BrZEhSNE90OWhxTlJtOVpTa3FLVHBlMnpPK2x1M0hqQnZQbnorZjY5ZXRNbURCQjZjSU9ZR3BxaXJ1N08rM2J0MmZ0MnJYMDd0MmJUejc1aERGanhsQ3laRW11WHIyYTVSamdEUnMyNkV5VThkMTMzd0ZwWTdoT256NXRjSnYwWU52WXVMVHNNQmJjbmpoeFFpZTR0Yk96VTdyeGk3dzFZc1FJcVhmRnVONkZoNGNEWUdabWhxbXBLV1ptWmxoWVdGQ2lSQWxLbENoQjZkS2xlZlRvRVdENGV4WkNGRDJTU0JZd04yN2NRS3ZWVXFKRUNjTER3Mm5Zc0NHdnYvNDZnWUdCSERseWhPclZxMU8zYmwzKyt1c3Z5cFVyaDRXRkJmYjI5dXpZc1lPS0ZTc3ErOG5xZ201dWJrNjlldlh3OFBCZ3dZSUZlSHA2MHFwVksrenQ3Ykd5c21MYnRtMmNPSEVDQndjSGZ2dnRONzc0NGdzZ2JlS2VhOWV1a1pTVXhJQUJBNGlNaktSLy8vN0tzV0pqWTNVdXh0OTg4dzJOR3pmV08vNzkrL2Q1N2JYWGpKYXZVYU5HZXBNT2pCczNEaWNuSjk1ODgwMGFOV3FrOS9rQ0FnSzRjK2VPMGtYWDNOeWNvVU9IRWg4Zno5aXhZK25jdVRNeE1URmN1blNKLy96blAwYVBEZkRhYTYveDhPSERMTmNwS3JSYUxmSHg4VHg4K0JDMVdwMmpiWC8rK2VkY0twVnhLcFdLMU5SVUVoSVNkSlpiV0ZoZ1kyTkQ2ZEtsWCtueGpoOC9Ub1VLRlRoeTVBaXJWcTFpLy83OVNuRHE2T2hJWUdDZ01pWTMzWXdaTTNSdWVCaWEzQVBTZ3ZMTUZpOWV6QWNmZkdDd0xLR2hvY3JmWmN1V3BVbVRKdmo0K09oMDkyN1pzcVZTRmt0TFN6dzhQT2pZc1NOaFlXR1ltSmd3Y3VSSUprMmFSRUpDZ3RFdTZhVktsYUpmdjM1NjNjZ3pkditMalkzRnlzcks0UGF2U3FsU3BiQ3hzZEc3NlpPWW1KaXJ4eFhHU2IwcnZ2VXU0Nys5V3ExR3JWYVRsSlJFZkh5OHdmMWN2WG8xVjhzcGhDZ1lKSkVzWUh4OWZlbmR1emN6WnN4ZzJyUnBxTlZxT25YcXhPSERoM24wNkJGWHJseWhidDI2ckZpeGdyNTkreXJkWGYvNTV4OUtsQ2dCb0hlQnpVeWxVckY4K1hLV0xsMUtSRVFFcDArZlp2bnk1UUNzVzdlT1ZxMWEwYXRYTDJyVXFJR3RyUzNWcWxWRHJWYmo3dTdPTysrOGc1bVpHYk5teldMNDhPSHMyclZMdVRDNnVMaGtxeXZTODhxWFdVUkVCR2ZQbnNYTHk0dldyVnR6K3ZScHZZdWNrNU1UYjd6eEJnTUdER0RSb2tVRUJ3Y1RHaHJLNHNXTGdiUlorWUtEZ3drTEM2TlpzMmJaUG5aUnAxS3BhTjY4T2MyYk4wZXIxYkpvMFNJZVAzN01yNy8reXVQSGo3UGNkdXJVcVppWm1XRmlZb0tabVJrcWxRcFRVMVBsVHJXSmlRbW1wcWJLL3pQK1oySmlvbXlYL2pyak5wbTN5L2gzK3JsejRjSUZwVHRXWkdTa2N1ZThTcFVxZE96WUVXZG5aK3JWcS9mQ3JTUW5UcHpnelRmZjVPYk5tNHdiTjQ1YnQyN3gwMDgvRVJVVnBVeTNyMWFyNmRHakIzUG16TW54VEwvZmYvODlrTlpWY1BUbzBRYlhNWGJUSlRBd2tLRkRoK0xnNEtBWFdHYnNraDBiRzB0b2FLankySnRldlhyUnExY3Y3TzN0T1h2MnJNNkVVazJiTnVYczJiTkdBOTFwMDZieDhjY2ZLK3RtRE83VEp3SjVHVnF0VnVrMkdSQVFvTk50c2xLbFNuend3UWRLeTVmSUgvNysvbEx2aW5HOWUvcjBLVStlUE9IUm8wYzhmUGlRSjArZThQVHBVNTQrZlVwc2JDd3hNVEZjdTNhTisvZnZ5OHpuUWhRVGtrZ1dJTW5KeVppYW12TCsrKzhEYVYxMklLMkY3dFNwVXpSdTNKZzVjK2FRbkp6TTMzLy9UWk1tVFpSdGZYeDgrUExMTDRHMGkyREdyaitHYk5pd2dkNjllN056NTA1ZWYvMTFybHk1Z3BlWEY5YlcxcGlZbU9EbzZNajgrZk9WY1lWbVptYnMzYnNYU0JzaldiMTZkYVc4R2UrV3B2OWRyVm8xWmR2TUtsV3F4S05IajdDMXRYM3VkNkxWYXBrM2J4N3U3dTVHWjNnOWV2UW9IMzc0SVhaMmR2VHAwNGZQUHZ1TXBLUWtGaTFhcEt6ajV1Ykdva1dMZVBEZ2dkSGdJZDJEQncrb1ZLblNjOHRXMUtoVUtzYU5HNmU4L3UyMzN6aDA2QkFuVHB3dzJPVTF2NS9KbWQ0ZEMzSW5xYnh6NXc3OSsvZFhKcTJxVnEwYW16ZHZ4c2ZIUjFuSHpNeU1MbDI2NE9ucHllYk5tN1BzTXAzWm8wZVB1SERoQXExYnQxWWVZYkI3OTI0cVZLakFoeDkrU0dwcUtzMmFOY3Z5V1hvYWpZYURCdzhhUFc3NnMwSXpVcXZWcUZTcUhNMUszS1ZMRjBxVUtNR1dMVnVVWmIxNjlkSlp4OS9mMytETWtWbkpTUkFyRDZrdkdLVGVGZDk2VjY1Y09jcVZLMGV0V3JXTTdqdjlPWkl5NjdrUXhZTWtrZ1dJaFlXRndXbk9uWjJkT1hYcUZLMWF0VUt0Vm5QcTFDbWFOV3VtM0pWTVNFamc5dTNiTkd6WWtFT0hEckYzNzE2U2twSjQ4dVFKaHc0ZE1uaXN1TGc0NnRldmo1ZVhGeDkvL0RFYk4yN0V5OHNMRXhNVE5Cb05jWEZ4UUZweWEwaGtaS1NTckQ1OCtGQm5odGpvNkdnR0R4NXM5SFBXcTFlUDhQQndHalJvOE56dnhNL1BqN3QzN3pKLy9ueWo2M2g2ZWhJUUVFRDU4dVhwMkxFanUzZnY1dWJObXpxSlo0c1dMWmd4WXdZdFdyVEljb3AyZ1BEdzhPZDJmeTBPN08zdGxkYWZDeGN1Y1BEZ1FXVXlob0ltTjRMYjlGbCswKzNZc1lOYXRXcFJ0MjVkbmVXOWV2VmkrL2J0ckZ5NVV1a0dEbW5CNXBVclY0enUvOXExYTZ4YnQwNlpLT1B4NDhmNCtmbnBqUy9PUEhhcmUvZnU5T25USjh1eUcrTG01Z2FnZEdGT2Y1MVJ4cGtsdi9qaUMrVlp0cGxua0d6YXRDbGJ0MjdWYVVYSnpzeVJJTWxqVVNMMTd2bWszZ2toaWpKSkpBc1lRM2M0UC9yb0krenQ3VEV6TTJQejVzMU1uVHBWNTJKMDhlSkYzbjc3YlVxV0xFbHNiQ3hyMTY2bFljT0dEQm8waUtWTGwxSzllblc5dTZ1MnRyWjgrKzIzTEY2OG1BVUxGbUJwYWNuVnExZXBYNzgrTTJmT0pEbzZtZ1VMRmpCdDJqUmlZbUwwV3A4dVhyejR3alBrdFduVGh1M2J0K3NGREJrbEppYnkzWGZmY2ViTUdWYXRXcVdNR3lsUm9nUlJVVkhVcUZFRGdGdTNibUZ1Yms3NTh1V0J0SWRTcTlWcXVuVHB3b2dSSTFpN2RpMFZLbFJnK2ZMbFdGcGFjdkxrU2NMQ3dnemVNVTRYRkJURXA1OSsra0tmcmFqS0dEQmV1blNKZ3djUDVuT0pqTXV0RnBNYk4yNG80NnZpNCtOSlRVMEYwc2JqZnY3NTU1dzZkVXFaSEFoZzBLQkJOR3ZXRERNek15SWpJNVhudmtKYXNCc1NFcUxjc0lpSmlXSDgrUEU0T0RqZzYrdkxvMGVQY0hSMEJMTDM2SVBzU1A4TjJMeDVNNmRQbjJiWnNtVTY3MmZ1TnBjZDZSTWdQWG55Uk9sYWI0Z0VzVVdmMUR2RHBONEpJWW95U1NRTHVJeXp3cVdMam83bXpKa3pxRlFxMXF4WlEyaG9LRTJhTk9IeDQ4ZDgrZVdYdUxpNE1HN2NPTFp2Mzg2UUlVTllzbVFKYjd6eEJyR3hzWmlabVJFWEY4ZjgrZk1KQ3d2RDJkbVpQWHYyOE9USkUwSkRReGsxYWhRbFM1YkV6OCtQVXFWSzRlUGp3NlJKazVUdXJpa3BLVmhZV0hEdzRFR2NuWjBCM1M2dGdIS2hOOGJWMVpWVnExWVpUZWdpSWlJWU5Xb1V0cmEyYk55NFVhZWJhYjkrL2VqZnZ6K1dscFpBMmtRRWd3WU5JaUVoQVc5dmI2NWR1OGFLRlNzb1c3WXNrTlphdW1yVktrNmVQTW1xVmFzNGYvNDhvMGVQWnNLRUNjcmpUREk2Zi80OGp4OC9MbmFQL3NpSkJnMGFaS3MxdVNCNGxjSHQ1TW1UdVhuenB0SWJ3TVhGUlhtdlhidDJ0R3ZYRG9Dd3NEREtsU3ZIb0VHRGFObXlKWEZ4Y2JpN3UrdDA5ZEpvTk5Tc1dSTnZiMi9DdzhPWk9IRWlqbzZPVEpvMGlZaUlDTmFzV2NQMzMzK1BtWmtaTGk0dW1KaVlvTlZxbFJsc2QrM2FwZFFMWTdOTlpuYjc5bTIyYk5uQzJiTm5sYkhEMldWc2Nxekl5RWdHRHg2TXFha3AvZnIxMDNsUGd0amlTK3JkLzBpOXkxcm1tWUNGRURtVDN6T1pxN1JhclRiZmp2NlMwcE9RN0Q2MHR6QnhjM1BMY294R1J0OSsreTFPVGs3NCtmbmg2dXJLeUpFamxRdkVvVU9IZVB2dHQrbmJ0eThhallidTNic3pidHc0UWtKQ2FOYXNtWktRcFR0Ly9qeU5HemZXdWNCRVJVVlJ2bng1Qmc0Y3lOMjdkK25Sb3dkcXRacisvZnRUdG14WlhGeGNESFp0eldyY3hxVkxsNWcxYXhicjE2L1htNlVPMG1iS2E5R2lSYll2ZEh2MjdPSHMyYk5NblRwVlozK3JWNi9tMUtsVGZQZmRkMHBYM09QSGo3TnExU3JXcmwxTHlaSWxsWFVURWhJWU9IQWcwNlpObzJIRGh0azZibUZXbE92UDgyUU1icU9pb3BUbGhvTGJnd2NQS3NFcVpHK3lxSnpNcnBpUWtNRDU4K2VWbHBETXRGcXRFc3dDeXFSR0FPUEhqOGZiMnhzek04UDNCQ2RQbnN6TW1UTXhNek1qTkRTVXlNaElPblhxWkxEbnc4eVpNNWs2ZFdxMnhqYU5IRG1TWmN1VzZhMWIySUpZa2JlazNoWDllcGMrUmpMam8weXlrbFh2SUNGRTl1Um5IQ2VKWkJFU0V4T2pUTkNUMjNJNjg2b2hDUWtKV0ZoWUdMMFl2d3JwRXh4azdqWmtxUHhxdFpyazVHU0RpVzFSSlBVblRVNkNXNkd2SUFXeG92Q1FldmR5Q21xOWU5RkVzcmhmaDRSNEVRV2gva2pYMWlJa3I1Skl5UG81bGRtVkZ3bWJzU1RWVVBuTnpNeHlOYWtWQlZOdXowSlpGQlhVSUZZVUhsTHZjazdxblJDaW9KR29XUWdoL3A4RXQ4WkpFQ3R5aTlRNzQ2VGVDU0VLTWtra2hSRENBQWx1SllnVmVVL3FuZFE3SVVUaElZbWtFRUk4UjNFS2JpV0lGUVdGMUxzMFV1K0VFQVdWSkpKQ0NKRURSVEc0bFNCV0ZIUlM3d3IyWnhGQ0ZFK1NTQW9oeEFzcXpNR3RCTEdpc0pKNko0UVFCWU1ra2tJSThRb1VodUJXZ2xoUjFFaTlFMEtJL0ZNa0VrbDVvSzBRb2lBcFNNR3RCTEdpdUpCNkp3cVM1T1JrTEN3czBHZzBKQ1ltNXZrenFoTVRFN0cwdE16VFk0cmlwMUFua25aMmRvU0hoK2QzTVlRb3RHclhycDNmUlNqeThpTzRsU0JXRkhkUzcwUitjM0Z4VWM2NXp6Ly9uSjA3ZCtxOG41cWFTbGhZR0crOTlSWVZLbFFBSUNnb2lEWnQydWlzZC9YcVZTd3RMWG45OWRkMWxrZEZSYUZXcTZsV3JSck96czRFQndkei9mcDF5cFl0UzZsU3BYQnhjU0VrSkFRTEN3dTlzcDA4ZVJKSFI4ZFgvSWxmRFkxR3c1QWhRNWd6Wnc1VnExWlZsaTlmdnB3cVZhcmc3dTZlajZVVG1SWHFSTkxmM3orL2l5Q0VFTm1XbThHdEJMRkNHQ2IxTHZmZHYzK2ZQLy84azlUVTFQd3VTb0VXSFIxTldGZ1lvYUdoSEQ5K0hJMUdnN2UzTisrOTl4NEFVNlpNMFVzazc5MjdoNit2TDVzM2I4Ykt5a3BaZnVMRUNZS0NnbGk1Y2lXUWRpN09uajBiRHc4UDFHbzFOV3ZXTkpoRUFreWRPcFhnNEdEYzNkM1JhRFNZbUpnWUxPdXhZOGVNZnBiLy92ZS9USnc0a1hYcjFsR3VYRG05OTgrZE84ZW9VYU9lLzZVQUlTRWhsQ3haRWdBVEV4T2NuWjBKQ0FoZzZOQ2h5anJuejUvWGVXMUlURXdNUTRjT1plYk1tYnp6emp2Wk9yWjRPWVU2a1JSQ2lNTHFWUVMzRXNRS2tUTlM3M0xIa3lkUCtPcXJyNVRYLy96ekQ4K2VQVk9TZytMdXdZTUg5T2pSZzF1M2JsRzNibDJhTm0zS2Q5OTlSNDBhTllpT2p0WmJ2MDJiTmpwSmVWSlNFbDI2ZEZGZUh6dDJESGQzZDQ0ZlA4NjllL2NBdUh6NU1yVnExYUpwMDZZc1dMQ0FoZzBiWnF0c0d6WnNNSmdJdXJpNEdOMUdvOUV3ZmZwMHhvMGJaM0JiQUFjSEI4NmRPNmV6VGJObXpRZ0pDVEhZemZmdzRjTXNXYklFU0t0aktwV0szYnQzQTdCbHl4YXVYTGxDbzBhTnN2d3MxdGJXakI4L0hrOVBUMzc4OFVlRENiSjR0VlJhclZhYjM0VVFRZ2lSSm1Od0d4VVZwU3pQR055YW1wb1NFaElpUWF3UXI0alV1NWR6OWVwVmV2ZnVyYk5NcFZMaDdPeE11M2J0YU42OE9XWEtsTkhiTG4yT2k3Q3dzRHdwWjE1SVQ4Q2VQbjFLMmJKbG1UaHhJdDdlM3ZqNitsS3ZYajFLbENpaHJMdDE2MWJDd3NJNGYvNjh6alpQbno0MStwMmtKMmdadTNoR1JFUlFvMFlOQUNaTW1JQ25weWNXRmhhWW1wb1NIeDlQU2tvSzQ4ZVBaOU9tVFVSSFJ4TVRFNE8xdFRYbHlwVkRwVkpoYW1xcWQ1eUhEeDhhYlpFOGZ2dzRxMWV2NW9jZmZzajI5L0wwNlZQYXRXdkg2ZE9uczcxTnVoOS8vSkZseTVZcFhZRHYzcjJMcmEwdGUvYnNNYmorNE1HRDZkMjdONjZ1cmprK1ZtRlNFT3FQSkpKQ0NGRkFHUXR1TTVJZ1ZvaFhTK3BkemhsS0pETXlNVEhod3c4L3BFMmJOcnovL3Z0S0sxWkJDSVJ6aTZPakl5ZFBuZ1RTdXBLR2hZVmhadmEvam9BYWpRWXpNelBtenAyTG5aMGQ4TDhrOGVEQmc3aTZ1cko0OFdLc3JhMFpObXdZSzFhc29GYXRXZ0MwYTljT2dGdTNiakY3OW16KytPTVBCZzhlVE4rK2ZkbTFheGNMRnk3azRNR0QyTmpZc0hyMWF1TGk0aGczYnB4eTdQUXhsZTd1N2pwZFUrZk9uY3ZreVpNQm1ENTlPdDkrKzYzQnp6WjU4bVRxMWF0SC8vNzlzLzE5WExwMGlSa3packJqeHc2ajY4VEh4ek5tekJoOGZYMzU1WmRmaUl1TG8xdTNiblRyMW8zYXRXdmo2K3NMZ0pPVEUwZVBIalhhZGZmSEgzL2s5OTkveDl2Yk85dmxLNHdLUXYyUnJxMUNDRkZBR2VxR0Z4b2FpbHF0bGlCV2lGd2k5ZTdWMDJnMEhEOStuT1BIajJOcWFrcno1czFwMjdadGZoY3IxeVVrSkNoakY3TXJPVG1aT25YcU1HalFJS3BYcjY2TU14dzRjQ0RUcGszRDNOeWM5OTkvbjAyYk5uSGh3Z1c4dkx6bzE2OGZkZXJVWWNTSUVUUnExQWg3ZTN1dVg3K09qWTBOMTY5ZnAwV0xGdGs2ZGxCUWtKSklHa3NpQWY3ODgwKzZkKzl1OVAyTEZ5OGFITStvMFdod2NIQXd1TTI1YytlWU4yOGU5ZXZYeDhyS2lsYXRXakY0OEdBaUlpS3dzYkZSZWdFOGZ2d1lLeXNybzBra3BFM0d1V25USnFQdmkxZEhFa2toaENnRTBvUGI5RHVRMDZkUHorY1NDVkgwU2IxNzliUmFMYkd4c1R4OCtEQy9pL0xLcWRWcWZ2MzFWOExEdzBsTVRLUjkrL1lzVzdhTUtWT21HRnkvWk1tU2JOMjZsYi8rK290TGx5NmgwV2pvMEtFREgzMzBFWjA2ZGRKSjFrcVdMTW44K2ZPWk0yY08vLzc3TC9YcTFjUER3NE1GQ3hiZzZlbEpxMWF0c0xlM3g4cktpbTNidG5IaXhBa2NIQno0N2JmZitPS0xMNVR5WGJ0MmphU2tKQVlNR0VCa1pDVDkrL2RYYm9yRXhzYnFqTVg4NXB0dmFOeTRzVjY1NzkrL3oydXZ2V2IwZTJqVXFKSE8rRWlBY2VQRzRlVGt4SnR2dmttalJvMzBic1FFQkFSdzU4NGRQRDA5QVRBM04yZm8wS0hFeDhjemR1eFlPbmZ1VEV4TURKY3VYZUkvLy9sUFZ2OE12UGJhYTBYeS9DcUlKSkVVUWdnaGhCQzV4c1RFaEVhTkdsR3ZYajNlZXVzdEpWbEpuMXlscUVoS1NtTENoQWswYTlZTUN3c0xBZ01ES1ZteUpQZnYzemM0TnREUjBSR3RWc3VFQ1JONDk5MTNNVEV4NGVlZmYrYmV2WHVNSFR1VzlldlhHenpPdEduVG1ENTlPa3VYTGlVaUlvTFRwMCt6ZlBseUFOYXRXMGVyVnEzbzFhc1hOV3JVd05iV2xtclZxcUZXcTNGM2QrZWRkOTdCek15TVdiTm1NWHo0Y0hidDJxV01rWFJ4Y1RFNjdqQ2o5TWx3c2lzaUlvS3paOC9pNWVWRjY5YXRPWDM2dEY2TG9wT1RFMis4OFFZREJneGcwYUpGQkFjSEV4b2F5dUxGaXdHd3Q3Y25PRGlZc0xBd21qVnJsdTFqaTl3bGlhUVFRZ2doaEhpbFZDb1ZqUnMzeHNYRkJUYzNONk96ZXhZbHBVdVg1dWpSbzVRdVhScEhSOGRzelZwclltSkNRRUFBa0RaenFiVzFOZGJXMWdRR0JpcnJaSjRCRmRKbVcrM2R1emM3ZCs3azlkZGY1OHFWSzNoNWVXRnRiWTJKaVFtT2pvN01uejlmR1Zkb1ptYkczcjE3Z2JReGt0V3JWeWM1T1JsVFUxT2w1VE0yTmxiNXUxcTFhc3EybVZXcVZJbEhqeDVoYTJ2NzNNK24xV3FaTjI4ZTd1N3VScytCbzBlUDh1R0hIMkpuWjBlZlBuMzQ3TFBQU0VwS1l0R2lSY282Ym01dUxGcTBpQWNQSGpCNjlPZ3NqL25nd1FNcVZhcjAzTEtKbHllSnBCQkNDQ0dFZUdrcWxRcDdlM3RhdDI2Tm01dWJ3WmxhaTdyU3BVdnJMVXRKU2NseVRPR0xpSXVMbzM3OStuaDVlZkh4eHgremNlTkd2THk4TURFeFFhUFJFQmNYQjZTTnVUUWtNaklTR3hzYlFIK0cxdWpvYUFZUEhtejAyUFhxMVNNOFBKd0dEUm84dDV4K2ZuN2N2WHVYK2ZQbkcxM0gwOU9UZ0lBQXlwY3ZUOGVPSGRtOWV6YzNiOTdVU1R4YnRHakJqQmt6YU5HaWhUSjdxekhoNGVIUDdmNHFYZzFKSklVUVFnZ2h4QXV6c3JKaXlwUXBkT2pRQVV0THkvd3VUb0ZqYm03Tzl1M2I5Wlk3T2pxKzhENXRiVzM1OXR0dldieDRNUXNXTE1EUzBwS3JWNjlTdjM1OVpzNmNTWFIwTkFzV0xHRGF0R25FeE1Ub1BDNEUwaWJFcVYyNzlnc2R1MDJiTm16ZnZwMmVQWHNhWFNjeE1aSHZ2dnVPTTJmT3NHclZLdVhaa1NWS2xDQXFLa3A1WE1tdFc3Y3dOemVuZlBueUFDeGJ0Z3kxV2syWExsMFlNV0lFYTlldXBVS0ZDaXhmdmh4TFMwdE9uanhKV0ZpWU1tN1prS0NnSUQ3OTlOTVgrbXdpWnlTUkZFSUlJWVFRTDh6VzFwWlBQdmtrdjR0UklOeTVjd2UxV3EwekJqQWxKVVZuRXB2TTd0MjdSNGtTSlpUSGd6ZzdPK3U4cjlGb2RKWjkrT0dIbUppWUVCWVdock96TTN2MjdPSEpreWVFaG9ZeWF0UW9TcFlzaVorZkg2VktsY0xIeDRkSmt5WXAzVjFUVWxLd3NMRGc0TUdEeWo0emRta0ZTRTFOemZJenVycTZzbXJWS3FNSlhVUkVCS05HamNMVzFwYU5HemZxZERQdDE2OGYvZnYzVjI0NHBLU2tNR2pRSUJJU0V2RDI5dWJhdFd1c1dMR0NzbVhMQW1tdHBhdFdyZUxreVpPc1dyV0s4K2ZQTTNyMGFDWk1tRURYcmwzMWpuMysvSGtlUDM1YzVKOGhXVkJJSWltRUVFSUlJY1FyNE9YbHhjT0hEM1dlc1dodWJtNXdFcHYwRnNtdnZ2cUtxMWV2OHRGSEh3RVFIQno4M09PRWhJUXdlZkprSlNHclVLRUN0V3ZYcG43OStqUnUzRmpXYVRqYkFBQWdBRWxFUVZTWkRPZjk5OTluKy9idGxDOWZub0VEQjNMMzdsMTY5T2lCV3EzR3hjVUZTR3RSenRoaStyeXVyV1ptWnN5WU1ZTlpzMmF4ZnYxNnBiVXhYWTBhTmZqNjY2OXAwYUtGM3FROEkwZU9aT1RJa1hyNzNMTm5EMnExbWpWcjFpajcrK0tMTDFpOWVqVlhyMTVsL2ZyMTJOallZR3RyUzVreVpWaTFhaFh0MnJYVEdZZWFrSkRBdkhueitPYWJiNVFKaEVUdVVtbTFXbTErRjBJSUlVVDJGSVFIRUF0UjNFaTl5eDN5dmVhZm5NNjhha2hDUWdJV0ZoWktTMnB1VUt2VnFGUXF2Y1RRVVBuVmFqWEp5Y2w2aVcxUlZSRHFqN1JJQ2lHRUVFSUlVWXk4YkJJSjVFbkNaaXhKTlZSK016T3pYRTFxaFQ2VC9DNkFFRUlJSVlRUVFvakNSUkpKSVlRUVFnZ2hoQkE1SW9ta0VFSUlJWVFRUW9nY2tVUlNDQ0dFRUVJSUlVU09TQ0lwaEJCQ0NDR0VFQ0pISkpFVVFnZ2hoQkJDQ0pFak1rZXVFRUlJSVlUSU4rblB3eE5DRkM3U0lpbUVFRUlJSWZLY25aMWRmaGRCaUVLdGR1M2ErWHA4YVpFVVFnZ2hoQkI1enQvZlA3K0xJSVI0Q2RJaUtZUVFRZ2doaEJBaVJ5U1JGRUlJSVlRUVFnaVJJNUpJQ2lHRUVFSUlJWVRJRVVra2hSQkNDQ0dFRUVMa2lDU1NRZ2doaEJCQ0NDRnlSQkpKSVlRUVFnZ2hoQkE1SW8vL0VFS0lRbWpMbGkzNVhZUmlMeUlpQXJWYVRhMWF0Zks3S0VJSUlVU2VVMm0xV20xK0YwSUlJVVQydlAvKys2U2twT1IzTVFTZzFXcFJxVlQ1WFF5UlI4ek16RGh6NWt4K0YwTUlJUW9NYVpFVVFvaENaUGJzMlZ5NGNDRy9peUg0WDZ0dzc5Njk4N2trSWkvVXJWczN2NHNnaEJBRmlyUklDaUdFRUMrZ2FkT21BSVNGaGVWelNZUVFRb2k4SjVQdENDR0VFRUlJSVlUSUVVa2toUkJDQ0NHRUVFTGtpQ1NTUWdnaGhCQkNDQ0Z5UkJKSklZUVFRZ2doaEJBNUlvbWtFRUlJSVlRUVFvZ2NrVVJTQ0NHRUVFSUlJVVNPU0NJcGhCQkNDQ0dFRUNKSEpKRVVRZ2doaEJCQ0NKRWpLcTFXcTgzdlFnZ2hoQkFGbmIrL1A0Y1BIMVplWDdseUJZQjY5ZW9weSt6dDdSazdkbXllbDAwSUlZVElhMmI1WFFBaGhCQ2lNREEzTjFlU3g0d3lMbk53Y01qTElna2hoQkQ1Umxva2hSQkNpR3hJVEV6RTBkR1JyQzZiSjA2Y29GU3BVbmxZS2lHRUVDSi95QmhKSVlRUUloc3NMUzJwVmF1VzBmZHRiR3draVJSQ0NGRnNTQ0lwaEJCQ1pGUEhqaDJOdnRlNmRlczhMSWtRUWdpUnY2UnJxeEJDQ0pGTmNYRnhPRHM3RzN6dmwxOSt3ZHJhT285TEpJUVFRdVFQYVpFVVFnZ2hzcWxNbVRMVXFGRkRiM25GaWhVbGlSUkNDRkdzU0NJcGhCQkM1SUNibTV2ZU1pY25wM3dvaVJCQ0NKRi9wR3VyRUVJSWtRT1BIeittYmR1Mk9yTzNIanAwaUVxVkt1VmpxWVFRUW9pOEpTMlNRZ2doUkE1VXFGQ0JxbFdyS3EvTGxTc25TYVFRUW9oaVJ4SkpJWVFRSW9mYXRHbWovTjI4ZWZOOExJa1FRZ2lSUHlTUkZFSUlJWEtvVjY5ZUFHaTFXa2FPSEpuUHBSRkNDQ0h5bmxsK0YwQUlJWVFvYkd4c2JIanR0ZGRJVEV5a1dyVnErVjBjSVlRUUlzOUpJaW1FRUVLOEFGZFhWNktpb3ZLN0dFSUlJVVMrS1BTSjVLMWJ0N0sxM3V1dnZ5N2J5WGF5bld6M1NyZXpzTERRbVhSRkZBL1hybDBqT0RpWWZmdjI4ZXpaTTFhc1dFSExsaTJwVjY5ZWZoZE5DQ0dFeURPRlBwRVVRb2o4a3B5Y25OOUZFSGtrUFhuY3YzOC9FUkVST3UrdFdiT0dOV3ZXVUxWcVZUcDA2Q0JKcFJCQ2lHSkJuaU1waEJBdklMMjFNbk1ycGlnNmpDV1BGU3RXeE5IUmtYYnQybUZ1Yms1Z1lDQW5UNTdVNmVZcVNhVVFRb2lpcmxBbmtoTElDU0dFZUpXZWx6eTZ1YmxoYjIrUFNxWFMyVTZyMVhMeDRrVU9IRGdnU2FVUVFvaGlRUkpKSVlRUXhkcUxKby9HU0ZJcGhCQ2lPSkJFVWdnaFJMSHpxcE5IWXlTcEZLL1NpQkVqT0hmdVhINFhRNGhDeTg3T0RuOS8vL3d1UnBFaGlhUVFRb2hpSWErU1IyTWtxUlF2cTJuVHB2bGRCQ0VLdmJDd3NQd3VRcEVoaWFRUVFyd0ErZjBwSFBJN2VUUkdra3J4SXRJVFNRbUVoY2c1cVQrdm5qeitRd2doUkpGU1VKUEhqRlFxRmUrKyt5N3Z2dnV1WGxKNTc5NDllYVNJRUVLSUFrOFNTU0dFRUlWZVlVZ2VqWkdrVWdnaFJHRWtpYVFRUW9oQ3FUQW5qOFpJVWltRUVLS3drRVJTQ0NGRW9WRVVrMGRqSktrVVFnaFJrRWtpS1lRUW9rQXJUc21qTVpKVUNpR0VLR2dLOWF5dFF1U20yTmhZU3BjdWpZbUp5UXZ2NDh5Wk16UnIxcXhRQjdoYXJiWlFseiszeUt5dHVVdVN4K3lSMlYrTEY1bDFVb2dYSi9YbjFYdnhDRm5raWZqNGVOemMzSjY3M3ZmZmY2KzNUSzFXczJYTEZsSlNVckoxck9jZDU5bXpaOW5lVjJhaG9hRnMzcnhaWjFsU1VoSlRwa3poNzcvL2ZxRjk1cmFXTFZzU0dSbjVVdnNZTldvVUdvM21GWlVvemZQT2lUdDM3dkRzMmJNWDJyZGFyU1lxS29yTGx5OERhVUhxd0lFRHVYMzd0c0gxaTlzNUlYTFh0V3ZYV0xObURSOS8vREU5ZS9aa3hZb1ZSRVJFVUxGaVJicDA2Y0wzMzMvUG9VT0htRDU5T2c0T0RzVStpWVQvdFZST21US0ZnSUFBMXE1ZHl5ZWZmRUxseXBXVmxzcStmZnZTc1dOSFZxeFl3WlVyVi9LN3lFSUlJWW9JNmRxYWkwNmNPSUdmbjUvT3NuLysrWWMzMzN4VGI5M3QyN2NiM0lkR28rSCsvZnZQUGRibXpac1pNV0tFempJek16T3VYYnZHaGcwYkdEWnNtTEo4M0xoeC9QUFBQM3I3ZVBqd0lWMjZkTkZidm1mUEhnRDgvZjM1L2ZmZldiaHdJYVZLbGNMZTNwNmFOV3ZxclgvdjNqMU9uejZ0czZ4Um8wYjQrdnJ5d1FjZlVLdFdMUUFXTFZxRXViazViNzMxMW5NLzMvUGN2bjJicFV1WGN1N2NPUklURTJuVXFCR2VucDVVcTFaTmI5M2h3NGNURmhiR2lSTW5LRldxMUFzZjA5blpXZWQxY0hEd2M3ZkppM01pS0NpSW9LQWdsaXhad3NpUkk1WGx0Mi9mcG1iTm1zci8wMjNhdElsMTY5YXhZOGNPbmo1OXlwdHZ2a25GaWhWWnNtUUoyN1p0SXp3OG5DRkRodWdkQXdyMk9TRUtoOXh1ZVV4T1RzYkN3Z0tOUmtOaVl1SkwxZm1DVHJxL0N2SGlFaE1Uc2JTMHpPOWlDRkdvU0NLWml6SW5EQy9EeGNWRmI1bWpveVBmZnZ1dHpySW5UNTdRdlh0M0lDMkFBckN3c05CSlN0S1RBSURVMUZSV3JWckZ0V3ZYaUkyTnBXclZxbnowMFVkMDdkcFY3M2pEaHcvSHg4ZUhmZnYyMGFOSEQ4ek56ZG01YzZmZWVzMmJOMWYrN3RpeG85NCs0dUxpcUZpeG9yS3NjK2ZPQUV5Yk5vMzMzMy9mK0plUWhlRGdZT3p0N1prMmJScHF0WnB2dnZtR2FkT21zWDc5ZXAzMURoMDZ4TTJiTnczdVE2MVc4K1RKRTJ4c2JQVGVlL0xrQ2VYTGw5ZFpGaGNYcDNTUFNPOHU4VHg1ZFU2a3BxYXlmUGx5blgvM0xsMjZzSDM3ZHVYL0dRMGJOb3dSSTBiZzVPU2t2SGZtekJsMjdkckZrU05IS0ZldUhBQzdkKy9XT1g4Szhqa2hDcTY4N0xicTR1TEN5Wk1uaVl5TTVQUFBQOWM3UDFOVFV3a0xDK090dDk2aVFvVUtRTnB2WkpzMmJYVFd1M3IxS3BhV2xsbDJaUTRORGNYZTNwNFNKVW9ZZkgvLy92M0srZi92di85U3ZYcDF3UGpOSkVqckZmRDQ4V09kK3BFZGtsU0t3dWJBZ1FPMGI5OWVaMWxDUWdMbno1K25SWXNXT3NOTWtwS1NNRGMzejliUWszUG56dUhnNEVCVVZCUnF0WnBxMWFyaDdPeE1jSEF3MTY5ZnAyelpzcFFxVlFvWEZ4ZENRa0t3c0xEUTI4ZkpreWR4ZEhSOCtRK1pDelFhRFVPR0RHSE9uRGxVclZwVldiNTgrWEtxVkttQ3U3dDdQcFpPRkhXRk9wRXM2R09Vb3FLaTlGcXBtamR2cmhmRVoyN1pNdVRZc1dNR2w2ZDNjVXhNVE1UTnpRMGZIeCtDZ29KNCt2UXBuMzc2S1N0V3JLQjI3ZHBFUjBkVHRteFpuY0RzMUtsVExGbXloQ1pObXZEZGQ5L1JxVk1uRmk5ZWpMZTNONEdCZ1l3Y09aTEdqUnNyNjZ0VUtyNzY2aXZsZFVwS2lzRVd6SXoyNzkrdjgzcnIxcTNjdm4yYlNaTW1QZmN6NTBTZlBuMTBMaWg5K3ZUQnc4TURqVWFqTEgvMjdCbUxGeTltNE1DQkxGaXdRRzhmSjArZXhNL1BqNTkvL2xsbitjMmJOeGs4ZURCNzkrNmxUSmt5UnN0dzllcFZoZzhmcnJjOFBlSGJ0bTFibnB3VDZSY1ZqVVpEbHk1ZGxCYVlxS2dvZXZYcXBmd2Ywc2FCN3QrL0h6TXozWitDbUpnWVpzMmF4ZFNwVXhreFlnUyt2cjdjdW5XTEZTdFdzRzdkT21XOWdueE81TGFDK3J0VFVCV2tNWS9SMGRHRWhZVVJHaHJLOGVQSDBXZzBlSHQ3ODk1Nzd3RXdaY29VdlVUeTNyMTcrUHI2c25uelpxeXNySlRsZi96eEI3YTJ0bFNxVkltWk0yZXllZk5tU3BRb3dmSGp4M0Z5Y3NMVTFGUlpkOGFNR1VvaU9XellNSVlNR1VLM2J0M3c4UEFnTURDUS9mdjNVN2R1WFJZdVhFaHNiQ3d4TVRFa0pTVlJvVUlGRmkxYXhHdXZ2ZlpDbjFlU3lvTG44dVhMeE1YRjBhUkpFNzNmMytMS3o4OVBMNUdjUDM4K1I0NGNZZWJNbWJSczJWSlp2bmZ2WG80Y09jTGN1WFBwMGFPSHpuZW9WcXNKQ2dwaTM3NTlkT3JVaVVtVEpuSHMyREZPbkRoQlVGQVFLMWV1Qk5KdTBzeWVQUnNQRHcvVWFqVTFhOVkwbUVRQ1RKMDZsZURnWU56ZDNYWGlpb3lpbzZPTlhwY0IvdnZmL3pKeDRrVFdyVnVuM0p6TjZOeTVjNHdhTlNyTDd5aGRTRWdJSlV1V0JNREV4QVJuWjJjQ0FnSVlPblNvc3M3NTgrZDFYaHNTRXhQRDBLRkRtVGx6SnUrODgwNjJqaTFFUnZMcmxZdDY5dXpKK2ZQbldieDRNUUJ6NXN4UjNoczNiaHlQSHovR3djR0JuajE3S3NzVEV4UHAxS21UM3I0eUJ6WDc5dTNEMHRLU3dNQkEvdnJyTDRZT0hVcGdZS0R5L3NLRkMrbmF0U3UxYTlkR3E5VXlmdng0dW5UcFF2djI3ZG14WXdlN2QrL20yYk5uVEp3NGtROCsrQUNBOXUzYlU2SkVDYVpQbjA1b2FDaXpaOC9HeE1RRUx5OHY3T3pzOU1wa2JtNnVkSHZOS0dQcjA5YXRXL25wcDUrVTF4RVJFZGphMmhxOFEyYW9KU3U3TXYrb1AzNzhtUExseStzc1g3Tm1EUTRPRGpSbzBNRGdQdmJ1M2F1MGhHWDB4aHR2MEtCQkEvejkvYlA4a1gvbm5YZjBrc1NtVFp0eTdOZ3hKWmpNN1hNaU9UbVpnUU1IOHRsbm4vSFJSeDhCYWY4R2tOWWl1WFhyVnVYLzhML1d3YWxUcDNMMjdGa1NFeE9WL2U3YXRZc3laY293ZlBod0Jnd1lnRmFyWmNHQ0JRYTdDNmNyU09lRXlIOEZLWGtFZVBEZ0FUMTY5T0RXclZ2VXJWdVhwazJiOHQxMzMxR2pSZzJpbzZQMTFtL1RwZzJwcWFuSzY2U2tKSjBiSmNlT0hTTThQSncxYTlhd1pNa1NKY0E4ZnZ3NHk1WXRvMFdMRmpnNk91cDE2MDUzN3R3NUpYaUxpWWxoNGNLRmJOaXdnY3VYTC9QRER6OWdZMk5qTkxCOVVjVXhxVFRVZXlNdUxnNExDd3U5NzdkcjE2NTg4Y1VYdVY2bXYvNzZpOW16WjFPcVZDbmF0R2xENjlhdHMyek5MbzUyN05qQjMzLy96ZnIxNi9ueXl5K3BXN2N1VmFwVUFlRFRUejhsTmpZV2YzOS9BQUlEQTVYNmwzNE5XNzU4dWM2MTA5M2RuZVBIajNQdjNqMGdMWm12VmFzV1RaczJaY0dDQlRSczJEQmI1ZHF3WVlQQlJORFFlWlpPbzlFd2ZmcDB4bzBiWjNCYkFBY0hCODZkTzZlelRiTm16UWdKQ1RIWUpmL3c0Y01zV2JJRStOK2tlTHQzN3daZ3k1WXRYTGx5aFVhTkdtWDVXYXl0clJrL2ZqeWVucDc4K09PUEx6VzVvQ2llSkpITVJTTkhqbVR2M3IxS0Y5T3JWNjlpWVdIQnVYUG5TRTVPSmprNW1kdTNiL1BkZDk4cDIyZzBHaDQvZnB6bGpGSk5temJWbWNBbHZhdmhvMGVQcUZpeEludjM3aVVzTEl3NWMrWnc5dXhaZnYzMVYxSlNVdWpRb1FPbXBxYmN2MytmUVlNRzRlM3R6ZHk1YzNYMmZlalFJWjJ5akJvMWlyZmVlb3YxNjllemFkTW1uajE3cGdSRk8zYnNNRmkrak10NzllcWx0SDdkdW5XTGtTTkhzbXZYcmx6OXNWS3IxZnp3d3c5ODhza255ckxidDIremUvZHV0bS9menQyN2QvVzJpWXlNNVBUcDAweWJOczNnUG9jT0hjcklrU1BwMmJPbjB2M05rRHQzN21CcWFxcGM3RExMN1hQQzJ0cWFHVE5tTUdiTUdLWDFOUDM3TnpFeG9WZXZYc3IvTTVvOWV6Ymg0ZUgwNzk5ZnArdnEyYk5uV2IxNk5WV3JWbVhXckZuVXFGRkRlYTh3blJNaTd4U1U1REU5cUh2MjdCa3VMaTVNbkRnUk16TXpKaytlVEwxNjlYUUM5cTFidHhJV0ZzYjU4K2VCdERybjR1TEMwNmRQamRZN0J3Y0hBSHIwNk1HQkF3YzRmZm8wR28yRzZPaG9acytlalorZjMzT1R3QzVkdWlnM1hqWnMySUNibXhzMWE5YkV4TVFreXhzMnIwcHhTU296dHhMdDNMbVRIMzc0Z2RXclYyZjVlNTRYRWhJUzJMTm5EM3YyN01IUzBoSVhGeGZhdG0yTHZiMjkwdUpVMUhYdjNwMlVsQlFlUFhwRTkrN2RHVFpzR0xHeHNheGJ0NDcxNjlkVHVYSmxSbzhlemFoUm8vRHo4Nk5hdFdva0pTVXhlUEJndEZvdEFRRUJBTGk2dW1iWkl0aXRXemNBUER3OFNFaEl3TlBURTBqcm5YWGd3QUVzTEN6bzJMRWo4Zkh4cEtTa01INzhlRFp0MmtSMGREVHg4Zkc0dUxoUXJsdzVoZ3dab3RQVElEdENRa0pRcVZRNE9UbGxlNXZZMkZqTXpjMk5qdXR1MjdZdGJkdTJOZmhlZWxLWWZsUDY3dDI3Mk5yYUdyelIrOTU3NzFHbVRCbU9IVHVHcTZ0cnRzc25CRWdpbWVzNmQrNU01ODZkQ1FnSVlPblNwWGg2ZXVMajQwT2ZQbjBNdG43bDFMTm56emgxNmhTcHFha01IanlZZnYzNnNXdlhMcXl0clZtN2RpMDNidHpnMmJObmJOcTBpZERRVU5ScU5hTkhqd1pnNXN5WldmN29ObS9lWEdteEdqUm9FSU1HRFZKYWxtN2R1cVV6dWMvOSsvZjF1bDE5OWRWWFNzc2JwTjF4MTJnMEJzZGZwalAwSTVkVGMrZk94Y1RFaE1HREJ5dkxmSHg4R0RSb0VCVXJWalNZU1A3NDQ0OTgrT0dIUm9PS0JnMGFZR2RuaDcrL1AyUEhqbFdXWjc0RHVYLy9mdTdldmN1TUdUT01saSszejRrR0RScXdkZXRXS2xldVROZXVYUms0Y0tEUmRUTzJZcWVmQ3dFQkFUZzVPVEY4K0hEaTQrT3BYTGt5cFV1WDFra2lvWENkRXlKM0ZaVGtNYVAwODluUjBWSDUrOFNKRTN6OTlkYzYzZUEwR2cxbVptYk1uVHNYSHg4ZklDMUpQSGJzR0FjUEhrU3RWck40OFdLc3JhMFpObXdZSzFhc29GYXRXc3ljT1JOSXUwR3plUEZpS2xTb1FFcEtDcFVyVjJidDJyVUdKNTNLN1AzMzM2ZHAwNmFFaG9ZeWZQandWejdEYzA0VWg2UXlLU21KaFFzWGN1blNKVzdldk1tK2Zmc0lEdzluNk5DaHZQMzIyL2xkUEJJVEV6bHc0QUFIRGh5Z1JJa1NPRHM3MDZaTkc5NTc3ejFLbHk2ZDM4WExOZHUzYitmdzRjUDQrdnF5YmRzMjVzMmJ4L0hqeC9uKysrK3BYTGt5a0pZa3BxYW1NbkRnUUdiUG5zM01tVFB4OHZMQzN0NCsyOGZadVhNbnQyN2RZdmJzMmR5OWU1ZDI3ZHJSdDI5ZmR1M2FSWFIwTkFjUEhzVEd4b2JWcTFjVEZ4ZEgxNjVkbFd1VHM3TXp4NDRkdzkzZG5iVnIxeXF0aW5QbnptWHk1TWtBVEo4KzNlaXhEeDA2cFBRU3lxN2J0MjgvOTRaU2ZIdzhZOGFNd2RmWGwxOSsrWVc0dURpNmRldkdsaTFic0xlM3g5ZlhGd0FuSnllZG5rQ1p0VzNibHFDZ0lFa2tSWTVKSXBuTExsNjh5SW9WS3loWnNpU1RKazFpNzk2OXJGaXhBbTl2YjNidTNFbmZ2bjF4ZG5iRzNOeGNaN3ZNM1JhTitlR0hIM0J5Y2lJaUlnSWZIeDlPblRyRnBrMmJVS2xVYk5xMGljdVhMN044K1hJU0VoTDQ1cHR2bUQ5L3ZySnRZbUxpYzhlekdmUDY2NjhyU1VoU1VoS3RXclhTU1VyU3BTZGFnWUdCK1B2N3MzSGp4bGZlVlNzalgxOWZmdi85ZDlhc1dhTWNKemc0bUx0MzcrcDBGODBvSmlhR24zLyttZFdyVjJlNTcvNzkrek5wMGlRR0RoeW9YRVRTQTlUMHlYWjY5ZXBGcDA2ZHVIUG5qdEVMUUc2ZkU0QVNrQTRjT0pESmt5ZHovZnAxZyt1bGo4MVVxOVVjUFhvVU16TXpqaHc1d3M4Ly84em5uMzlPcFVxVkdERmlCT2JtNXNyeDQrTGltREJoZ2s2TEx4VGNjeUszRlBReDJubGx4SWdST3QyeEtsU29nSk9UVTRGNnptTkNRb0l5SGlxN2twT1RxVk9uRG9NR0RhSjY5ZXBLdC9hQkF3Y3liZG8wek0zTmNYSnlZdFdxVlJ3OWVoUklxeHM5ZXZSUTlwRjVQSEJtM2JwMUl5RWhRZWx5QzJrM1RtSmpZNVdiZUZGUlVWU3VYSmtaTTJaa2UxS3ZsMlVzcVR4eDRvUk9VbWxuWjhmbHk1ZFJxVlJLandJVEV4T2R2OVBmVTZsVWV1dGxYR2JvYjBQdlpkemUyREhLbGkzTDIyKy9yVE5yOVprelovRDI5c2JPem82MWE5Zmk2T2hJcjE2OTJMOS9QMlBHaktGaHc0WjRlSGdvTndCKytPRUhidDY4eWJObno3SlZMbVB2R1N2NzFhdFhzL3czU0VwSzR2RGh3eHcrZkJoemMzTWNIUjJOdGo0VkJZY1BIeVlwS1FsL2YzK2FOMitPazVPVHdhRWtTNWN1cFZhdFduaDVlZkhWVjEvcFBVTEttT1RrWkZhdVhNbUZDeGZ3OHZLaVg3OSsxS2xUaHhFalJ0Q29VU1BzN2UyNWZ2MDZOalkyWEw5K25SWXRXbVJydjBGQlFVb2ltWG55dzR6Ky9QTlBaU0pFUXk1ZXZHaHdQS05HbzFGNlAyUjI3dHc1NXMyYlIvMzY5Ykd5c3FKVnExWU1IanlZaUlnSWJHeHNsSnQ2ang4L3hzcktLc3ZyckoyZEhaczJiVEw2dmhER1NDS1pTMEpDUWxpOWVqV3BxYWw0ZUhnbzR4RDM3dDNMN2R1MzhmYjI1c3laTTZ4WnM0WnZ2dm1HaVJNbjBybHpaMVFxRldYS2xOSHBYcGlaczdNektwV0sxTlJVZHV6WXdaWXRXOWl5WlF0MTZ0U2hUcDA2L1B2dnY4eWRPNWVvcUNqV3JWdUhpWWtKdzRjUFo5aXdZVHFCaUtXbFpaYXRQUm5IdFdXVW5KeXNrNEFtSmlhU2xKUkU2OWF0ZFg2b2R1M2FoYVdsSlFjUEhtVFJva1ZvTkJxanlWemp4bzJWYmlZdmF1blNwWnc4ZVpKVnExYnB0Q3p1M2J1WHlNaElXcmR1RGZ3dnlYSnpjMlBldkhuOCt1dXZORzdjbUxwMTYyYTUvdzgrK0lDcVZhdXlaY3NXbzJNbHJhMnQ2ZEdqQnpkdjN0UkxKUFBpbkVnM1pzd1laczJheGR0dnY2M1hmZG1RQXdjTzRPRGdRR0JnSUFzWEx1VHc0Y05VcVZLRjBhTkhNMzM2ZENYNXUzZnZIa09HRE5HYnZhNmduaE1pOXlVa0pPaTh0ckN3d01iR0psOWJVTlJxTmIvKytpdmg0ZUVrSmliU3ZuMTdsaTFieHBRcFV3eXVYN0prU2JadTNjcGZmLzNGcFV1WDBHZzBkT2pRZ1k4KytvaE9uVHJwQklBbFM1Wmsvdno1ekpremg1czNiekp1M0RqR2pSdEhRa0lDTGk0dXowMGVNOXE1Y3lkK2ZuNXMyclJKWjd5NmxaV1ZzcCtjN2pNM2xDcFZ5dUI0emNURVJDQnRmSlphcmM2UG9obFV2bng1NVViY2pSczNtRDkvUHRldlgyZkNoQWs2TitSTVRVMXhkM2VuZmZ2MnJGMjdsdDY5ZS9QSko1OHdidHc0L3ZqakQ4TEN3bmp5NUVsK2ZReUZWcXNsSmlhR0J3OGU1SGRSY3NXTkd6ZlFhcldVS0ZHQzhQQndHalpzcU55WVBITGtDTldyVjZkdTNicjg5ZGRmbEN0WERnc0xDK3p0N2RteFk0Zk9iTVpaM2JReU56ZW5YcjE2ZUhoNHNHREJBanc5UFduVnFoWDI5dlpZV1ZteGJkczJUcHc0Z1lPREE3Lzk5cHN5VGxhdFZuUHQyaldTa3BJWU1HQUFrWkdSOU8vZlh6bFdiR3lzenJYdm0yKyswWm1rTUoyaEhqb1pOV3JVU09lR0hLVE5tK0RrNU1TYmI3NUpvMGFOOUQ1ZlFFQUFkKzdjVWE2VDV1Ym1EQjA2bFBqNGVNYU9IVXZuenAySmlZbmgwcVZML09jLy96RjZiSURYWG51Tmh3OGZacm1PRUlaSUlwbExxbFNwd3VlZmY4NTc3NzFIOSs3ZGRicnp6Wmt6QjQxR3c4MmJOK25Zc1NQVHBrMVRmZ3lmUEhuQ2hBa1RnTFF4YUczYnRxVmF0V29zV2JLRWdRTUhZbWxwU2Z2MjdVbE5UY1hVMUZUcFVwVnV4WW9WK1B2NzA3RmpSK2JQbjA5RVJBUmp4b3pCM3Q1ZWIxeGNZbUtpM3FNWXNrT3RWck5vMFNKbGtvZ3hZOGFRa3BKQ2xTcFZkTHAySkNjbnMyalJJbzRlUGNxS0ZTdDBwcmR2MnJRcHAwK2ZObmlITFAwT2ZFNnNYTG1TNE9CZ2cyTmVNcy9RZXVuU0pRWU9IRWhnWUNDbFNwV2lSSWtTZWpQRkdmUHR0OS9xVEs5dGlMRWtNeS9PQ1VnTDdLT2lvckMydHRhN0Ezcmp4ZzNsbVkzcHZ2LytlNDRjT2NMa3laTUpEQXhFcFZKUnExWXRSbzhlelZkZmZjV0JBd2VvVktrUzVjcVZZK3pZc1h6NTVaZDYvejY1ZlU2SWdzdmYzNThMRnk0bzNTQWpJeU9WRnFzcVZhclFzV05IbkoyZHFWZXZYcDYxVGlZbEpURmh3Z1NhTld1R2hZVUZnWUdCbEN4Wmt2djM3eHVjK01iUjBSR3RWc3VFQ1JONDk5MTNNVEV4NGVlZmYrYmV2WHVNSFR0Vzd6RkM2YVpObTZiOGhxYW1wcEthbXFyem03cHg0OFlzeXhrYkc4dmZmLzlOeFlvVldibHlKWThlUGFKZHUzYjVQb3VuVnF0VnVpc0hCQVRvZEZldVZLa1NIM3p3Z1Y2THMxYXJWVzdTYVRRYU5Cb05XcTFXK1MvamUrbXZEUzNQdUw2aDl3eXRsL2x2VTFOVFpWeFoyYkpsYWRLa0NUNCtQanBqelZxMmJLbVUzZExTRWc4UER6cDI3S2lNaWUzVHB3OXVibTRrSnljYlBiNmh2ek4vQitsL1ovN3NmLzc1WjViUEhyYXdzS0J4NDhhODlkWmJ2UGZlZThwTmhvVUxGNzd3djJ0QjVldnJTKy9ldlpreFk0YnlDSzlPblRweCtQQmhIajE2eEpVclY2aGJ0eTRyVnF5Z2I5Kyt5dlhubjMvK1VjWTZwMDgyWTR4S3BXTDU4dVVzWGJxVWlJZ0lUcDgremZMbHl3Rll0MjRkclZxMW9sZXZYdFNvVVFOYlcxdXFWYXVHV3EzRzNkMmRkOTU1QnpNek0yYk5tc1h3NGNQWnRXdVhNa2JTeGNVbFc4TXZubGUrekNJaUlqaDc5aXhlWGw2MGJ0M2E0TFhSeWNtSk45NTRnd0VEQnJCbzBTS0NnNE1KRFExVllndDdlM3VDZzRNSkN3dWpXYk5tMlQ2MkVEa2hpV1F1eVRqZVl0T21UZXpac3dkWFYxY3FWS2hBV0ZnWWl4Y3Z4dDNkblJFalJ1Z2tQajQrUHNyRDJCOCtmTWp1M2J2eDhQQkFxOVZ5NE1BQmV2YnN5WU1IRC9EMDlNVFgxMWR2dXVhdVhidmk2T2lJblowZDI3ZHZaOW15WlhUdjNwMkFnQUIrK3VrblB2MzBVMlhkVHovOU5NdEhMbVNjOEFYU0VrKzFXazN2M3IwWk5Xb1V0V3JWWXY3OCtjVEV4TEI2OVdxKytPSUwvUHo4R0RseUpHWm1acXhidDQ3YnQyK3plZk5teXBZdG02M3ZMVGs1bWVIRGgvUHh4eDh6YU5DZ2JHMERzR3JWS2tDLysyZDJFcE1tVFpvb2Y4Zkh4Mk5wYWFuTTZwWjUyOHhqZ3JKNlRNZTllL2N3TlRWVnVqUGwxVG54eHg5L1lHZG5SNVVxVmRpMmJScy8vL3d6RHg0OFlPVElrVGc2T3JKdDJ6WjhmWDF4Y25KU3Vzek1tREZENXptWmI3NzVKc3VYTCtlTk45NmdaczJhREIwNkZDc3JLeVpObXFRRU5KQTM1NFFvK05LN1FRSUZJcWtzWGJvMFI0OGVwWFRwMGpnNk9tWnIwaElURXhObDBvN0RodzlqYlcyTnRiVzFUdmZzekxNcXd2KzZyMzcvL2ZmRXhzYnFQQTduZVh4OGZPalpzeWV6WnMxaXlaSWxUSmt5aFNaTm1oaWQxVEUzdlVqeW1KRktwVktDNjV4T1JKS2JLbFNvd05DaFEzRndjTkI1YkF1Z014NHNOamFXME5CUVpmYm83TTdnK2FKMjd0eXBsMGltdDdTNXVyclN1blhyTEI4M1ZWUWtKeWRqYW1xcVBDL1kydG9hU0d1aE8zWHFGSTBiTjJiT25Ea2tKeWZ6OTk5LzYxeXZmWHg4K1BMTEw0RzBGajlEejRET2FNT0dEZlR1M1p1ZE8zZnkrdXV2YytYS0ZieTh2TEMydHNiRXhBUkhSMGZtejUrdmpDczBNek5qNzk2OVFOcTF2bnIxNmtwNTAyL1N4c2JHS245WHExWk4yVGF6U3BVcThlalJJMnh0YlovN25XaTFXdWJObTRlN3U3dlIzNEtqUjQveTRZY2ZZbWRuUjU4K2ZmanNzODlJU2twaTBhSkZ5anB1Ym00c1dyU0lCdzhlS0hOakdQUGd3UU1xVmFyMDNMSUprWmtra25sQXJWYVRtSmpJMkxGalNVbEpJVEl5RWg4Zkg3M3hMZ0VCQVZ5N2RrMTVKSVNycXl0ZVhsNTRlSGpnNnVySzhuYzdPUXNBQUNBQVNVUkJWT1hMNmRtekorUEhqOGZkM1owZmYveFJyMXRnbFNwVnVIWHJGZ01HRE9EcDA2Y3NXYktFeG8wYjA2VkxGMGFPSE1tLy8vN0x2bjM3bFBVenp0SnF5TUdEQjVrMGFSSWZmZlFSbHk5ZnBtclZxbno5OWRmY3VuV0xidDI2VWJObVRSWXZYb3labVJrTEZ5N2syMisvcFh2MzduVHUzSmsrZmZwZ1pXVkZZR0FneTVZdDA5dDMxNjVkOVFLUy9mdjNzMmJOR2thT0hNblRwMDkxSnJiSlNsWXptbWJXb0VFRG8rdlBtVE9IZ3djUEFtbEJZMVlQQWUvVnE1ZlNVcmh0MnpabCtkU3BVemw4K0RBcWxZcE9uVG9aRExweTg1eUlpb3JpM1hmZjVkU3BVeXhldkpqcTFhc3pjdVJJb3FPajBXZzB5c3h4SzFhc1lOT21UVXlmUGwzdkFoSVhGOGZWcTFmWnNHRUR2LzMyRzU5KytpbjkrdlhUQzhUeTZwd1FoVWRCU1NvTmRhMU5TVW5KY3B6U3l6aDI3QmhqeG96UlcyNXMrbjIxV2sxeWNySnlZNlpjdVhJc1g3NmNJMGVPVUtkT25Wd3BZMll2bXp3V0pocU5ob01IRHhxOXNaaFg0MDh6czdTMHBGbXpacmk2dXVMaTRsSnNabXBOWjJGaGdiZTN0OTV5WjJkblRwMDZSYXRXclZDcjFadzZkWXBtelpvcE55a1NFaEs0ZmZzMkRSczI1TkNoUSt6ZHU1ZWtwQ1NlUEhsaU5LNkppNHVqZnYzNmVIbDU4ZkhISDdOeDQwYTh2THd3TVRGQm85RVFGeGNIb015cW5sbGtaS1NTckQ1OCtGQm5zc0xvNkdpZENmNHlxMWV2SHVIaDRVWWZQNWFSbjU4ZmQrL2UxWm5USWpOUFQwOENBZ0lvWDc0OEhUdDJaUGZ1M2R5OGVWTW44V3pSb2dVelpzeWdSWXNXejUyZE9EdzgvTG5kWDRVd1NGdUkzYng1VTN2ejVzMzhMa2FPM0xoeFErdm41NmZ0MEtHRDlwOS8vdEY1Nys3ZHU5by8vL3hUZVoyYW1xcTljZU9HVnF2VmFqVWFqVFloSVVGNTcrVEprOXJJeUVqbDlRY2ZmS0RWYXJYYXYvNzZTOXVwVXlmdDZ0V3J0WW1KaVhyN1g3cDBxVmFqMGJ4dytaODllNlpOVEV6VSt2ajRhSC81NVJlRDYxeTRjRUc3Wk1tU2x6ck9nd2NQdEwvKyt1c0xiLytpNHVQanRROGVQTkErZnZ6NHBmYWowV2kwcWFtcDJWcjNWWjhUNDhhTjAvNzY2Ni9hUC8vOFUzdjU4bVd0VnF2Vjl1M2JWK3ZxNnFyMTl2YlcyWDlRVUpET1BoWXZYcXpWYXJYYXEvL0gzcDNIMVpUL2Z3Qi8zVlpSTWRuTmpIVXdOTWFZYW1JcUlsdDJHUmtqeWRiSWxyNUtaRkRhaEhaVUtwSWtSVVFLWVpnS1k2YXhSR09aa0lpa1V0SjZ1K2YzUjQ5N2Z2ZDA3MjFUa3Q3UHgyTWUwejNiL2R6cjNITSs3L1A1Zk42ZisvY1pEdzhQSmprNW1hbW9xS2l4L0IvcW5Qall0TVRyVDNPNmNlTUc0K3pzekJnYUdqTGZmLzg5Kzkra1NaT1lQWHYyTUhmdjNtMlM4ME40YldRWWhoaytmSGl0MnpBTXcyaHFha3JjVHRyeXBLUWt4dERRc05iZnZPaitFeWRPWk1yS3l0aS9oZGFzV2NPY1BYdVdmVDE2OU9nYWoxbGZBb0dBdVgvL1ByTjM3MTVtK3ZUcG5IK0w4ZVBITXc0T0RzejE2OWMvcWQ4cXd6RE05OTkvejM3ZkRWbmYyRkpTVXBpelo4L1crejJGLzFhZkl0SGZRWDUrUHZQZmYvK3hyKzNzN0pqRXhFVDI5WlVyVnhoVFUxT0dZUmltc0xDUW1USmxDbU5uWjhkTW56NmR5Y3pNNUJ4WDlEZFVWbGJHYk4rK25kSFYxV1hHamgzTFJFUkVNQlVWRmN6bXpadVpSWXNXTWIvLy9qdWpvNlBESER0MmpIT01rU05ITXZIeDhZeWRuWjNZTVlYbG5UbHpwdFRQRmg4Znp5eGN1TERHejE5U1VzSTRPRGd3a3laTllwNDllOFl1SHpGaUJQUDA2VlAyOVpNblQ1aVJJMGV5cjNmdDJzVXNXTENBOGZIeFlXYk1tTUhrNXVZeURNTXd2cjYrekpRcFV4aGRYVjNtNzcvL3J2RzlGeTllekp3NWM2YkdiVDRGbi9MdnA3bndHSVpobWp1WWJZMllldmFYSjU4K09pZGFGc3JhMm5DaUxaWFoyZG5zOHNac3FYeisvRG40ZkQ0V0xsekl0aHhvYW1wS3pLYWNtNXZMVG5PaHFLaUl5Wk1uNCtyVnEySmQxNHVLaWpqZERRME1ETEIyN1ZyTW16Y1BpeFl0a2poOXo5dTNiOUd1WFRzOGVQQUFTNWN1UldKaUlnQkl6Sml0cjYrUHhNUkVSRVpHc3VNa3g0d1pVK00wVFhYQnRLS1dSMmxxRzRQZFVzWm9DMXRPNjlNTHA2VXdORFJFZkh5OHhBemxiOTY4UWZ2MjdjSGo4UkFVRklTb3FDakl5OHRqL3Z6NStOLy8vb2VoUTRmQ3lzb0trWkdSQ0E0T2hvK1BEM3IzN28yM2I5K3kzVmwzN05pQmxKUVVqQm8xQ29zWEwwWitmajZTazVPUmxKUUVKU1VsdUxxNm9tM2J0cmgyN1Jwc2JXMWhaV1VGWFYxZFZGUlV3TlRVRk9ycTZoZzFhaFJtenB3SkxTMHRUcjZCeXNwS01BeUQ2T2hvaVorTnorZkQyTmdZR3pkdWxOajZuWm1aaWVYTGw2TkhqeDV3ZG5ibTlCTHk4L05EWkdRazJyUnBBNkNxWjRXSmlRbU1qWTNoNXVhR2h3OGZ3cy9QRCszYnQ0ZXZyeThtVEppQTZPaG9Odm5nUC8vOEExZFhWMWhiVzB1Y2F1dWZmLzZCazVNVG9xS2lQcXB1NlUzaFUvNzlOQmZxMnRwTVB0V2JOV2s0T2lkSWEvRWh1cjl1MmJJRnIxKy9ocW1wS2J0TVhsNWVZbUlNWVJaaUd4c2IzTDkvbjUzdnJhWmtLRUtIRHgvR1YxOTloYWxUcDBwY2IybHBpZHUzYjBOQlFRRW1KaWJzY2tubE9IRGdBTFp1M2NwSnRpTXRlM1p0S0hnVTE5RHByc2lIVlZPR2NxSGk0bUxvNmVsaHlaSWxHRHQyTER2Vmk3R3hNZHEzYnc4RkJRV01HVE1HQW9FQXhzYkdVRlpXaG9HQkFUWnMyTUFHWkdwcWF1alhyeCsrK2VZYkRCczJqUDBkREI4K0hKR1JrZmpzczg5Z1ptYUdyS3dzekprekIzdytuODFncnFLaXdrNmZCZFRldFZWT1RnNE9EZzV3Y25MQy92MzdPWW1mQU9ETEw3L0UrdlhyOGVPUFA0cjlIaTBzTERoVDJRakZ4TVNBeitjaktDaUlQZDZxVmFzUUdCaUkrL2Z2WS8vKy9lamN1VE42OU9nQlpXVmw3TjI3RnhNblR1UjBueTR1THNhMmJkdGdiMi8veVFlUnBHbFFpeVFoVWdoYkVvVEpjaHJpenovL3hBOC8vTkNpSzJyVVVpb1p0VWcydmcvUlV0bllCQUlCS2lvcTJPeVJ6WW1DUituV3JsMExOemMzcVJseE4yellBRWRIeDJiUG1Gc2JhbEhoS2l3c1pCUDBOTFhHdUJjV0Z4ZERRVUdoU2M4elBwL1BTWDRsSktuOHdySGExUVBiVHhYOWZob2ZCWkxOSkRBd0VNT0dEWU9tcG1hTjJ4VVVGT0RxMWF1WU9IRmlqZHY1Ky90ajJiSmxuR1Y4UGgrUmtaR1lQWHUyMk9UMmtnaTdsVWhUVWxJQ09UbTVPaDJydXVUa1pEeCsvSmp6Ukw2c3JBd09EZzR3TXpQalpEVDlXR2hvYU9EVXFWTjF5ckpXMHpHdVg3OWVweWQ5alhWT1BILytIR3BxYWcxSzJzRG44NUdibTR2YzNGd01IandZRE1QQXpNd01qbzZPN0VUZG9scmJPU0dLQXNtbTFSS0R5dVpBd1dQclFoVmhRaHFPZmorTjcrTis5RmFMajcwaU4ydldMTFl5Lys3ZE94dy9maHhBMVpRSmh3NGRxdFBjaFJVVkZYQjFkVVdIRGgzWTlOaVNoSVdGaVFXU2NuSnllUGp3SVVKQ1FyQjA2VkoydVpXVkZSNDllaVIyak5ldlgwdnMraVBzZ2hVYUdvb2JOMjdBdzhNRGJkdTJoYWFtcHNUZzRzV0xGMkp6dFEwZE9oU2VucDdRMGRGaHh4VjRlWGxCWGw2ZW5kcmlmVHg5K2hTN2R1M0NYMy85aGRMU1Vnd2RPaFNiTm0yU09CN0szTndjS1NrcFNFeE1mSytuY05YSFQ5V2xHOXlIT0NjU0VoS1FrSkFBSHg4ZlRuZVlwMCtmb21mUG51ei9oUTRlUEloOSsvYmg2TkdqS0Nnb1FOKytmZEd4WTBmNCtQamd5SkVqdUh2M0xoWXZYaXoySHNESGZVNDB0WS8xdXZPcCtGaXl2MzZNS0hna2hCRHlNV2pSTFpJZmV5QnBiR3pNOXFFM05qYUdzYkV4d3NQRGtaMmRqYlp0MjBKUlVSRzV1Ym5zQlBmUjBkSFEwdEppSjl0OThlSUZ1MDVJZEZsd2NEQzdyYTZ1THBLU2twQ2ZuOCttdHhlbXNLNmVQRUIwL0VGbFpTWDI3dDJMaHc4ZjR1Yk5teGd3WUFBbVRKZ2djVUEyd3pEWXVYTW5ldmJzaVRsejVtREVpQkVTSi9jV1hTNDZPVGRRMWVKVVZGUWtjVnFOMzM3N3JjWmd1U1lIRHg2RW9xSWlKazZjQ0Q2ZkQzdDdlN3g5KzFac0l2R3paOC9DM2QwZHVibTVZb0Vrbjg5SGZuNCttOTVidEVVeVB6K2ZNOCtpY0wzd3FaYm8zOVczRVcyUi9GRG5SSEJ3TUxLeXNyQnAweVoydStuVHB5TW1Kb2I5dnlnK253OVpXVm5vNmVraEtTa0pRRlczM08zYnR5TTRPSmhOS1g3aXhBa2tKQ1N3VTNkOHpPY0UrVFMxMXBaS0NoNEpRQzBxaEx3UCt2MDB2aGJkSXRuUy9QVFRUK2pmdno5c2JHd1FIaDRPVlZWVnpKdzVFMnZYcnVWTThpNmNOMi9FaUJGaWMraFZYMlpvYUFpZ3FrWEwwTkFRTzNmdVJFSkNBZ29LQ2pCNzltejQrZm1oWDc5K25JeG5RbGV1WElHUGp3KysvLzU3Yk4rK0hWT25Ub1czdHpmYzNOd1FIeDhQQ3dzTERCczJqTjJleCtOeEp0dXVxS2lvTlhsQjlmSWZQbndZVDU4K2hhMnRiVjIvdGpxWk4yOGVaeXpqdkhuenNHTEZDZ2dFQW5aNVNVa0p2TDI5WVdabUJuZDNkN0ZqSkNVbHdkZlhGOGVPSGVNc2YvTGtDUll0V29TVEowL1dPRUgwL2Z2M1lXNXVMclpjT0RoZmRLNUpvYVk0SndRQ0FSWXZYZ3lCUUlEcDA2ZXp3WEoyZGpibXpwM0wvaCtvR2djYUd4c3JObDZqc0xBUVRrNU8yTGh4STVZdFd3WlBUMDlrWkdUQXo4OFArL2J0WTdmN21NOEo4bWxxVFMyVkZEd1NRZ2o1bUZFZzJZUXFLeXV4WU1FQ1pHWm00cHR2dnNIMTY5ZXhjZU5HT0RrNXNhbWRiV3hzWUcxdGphVkxsK0xubjM4R0FEZzZPaUkxTlZYaTVObWl5eUlqSXhFZkg0OTc5KzVoeVpJbG5QR05IaDRlbURsekp2cjE2d2VHWWJCMjdWcE1uejRka3laTnd0R2pSM0hpeEFtVWxKUmczYnAxYk1BeWFkSWtLQ29xWXZQbXpVaE9Ub2F6c3pOa1pHU3daY3NXcUt1cmkzMCthUmtRUmJNTUhqNThHRkZSVWV6cnpNeE05T2pSQTBaR1JtTDdTVXViWFJmVkUrTGs1ZVhoczg4KzR5d1BDZ3FDbHBhVzFBbUJUNTQ4S1RGOWYrL2V2VEZreUJDRWhvWmkrZkxsVXNzd2NPQkFzZTZ0R2hvYXVIanhJdHNpMmRUblJGQlFFTXpNelBEcnI3K3ltU2NQSHo0TW9LcEY4dkRodyt6L2dmOXZIZHk0Y1NPdVg3K08wdEpTTnZYNjhlUEhvYXlzREhOemN5eFlzQUFNdzhEZDNWMWlkMkdoaittY0lKKytUekdvcE9DUkVFSklTMEZkVzV2UXhZc1hNV2JNR0JnYkc4UEh4d2RidG15Qm5wNGVUcDQ4eWRuT3lzb0srL2Z2aDVPVEV5WlBub3kvL3ZvTEFDUjJFNVMwek5mWEYwZU9IRUZNVEF3NmR1eUlreWRQWXUvZXZYQnhjVUZwYVNtdVhidUd2Ly8rRy92Mzc0ZXNyQ3g4Zkh3d2NPQkF1TG01MVRoR1VDQVFZUG55NVJnM2JoekN3OE54OE9CQmxKU1VzTy8vL1BsemlVR0Z0T1VaR1Jtd3NMQkFiR3pzZTJWQ3JRMmZ6NGVabVJsMGRYWFpjYU5Qbno3RndvVUxFUmtaaWF5c0xKaVptWEc2dHI1OCtSSXpaODdFNmRPbm9hYW1Cb0RidFRVMU5SVVdGaFk0ZWZJa1ozMzFycTNQbnorSHJLd3N1blhyeGk0WDdkcjZJYzZKMU5SVVdGcGF3dEhSRWR1M2IyYy9ZMmxwS2RxMGFjUCtIL2ovRmtrQXVIdjNMa3hOVFRsZFBxNWZ2dzVQVDA4b0tDakF5Y2tKWDM3NUpidHUvLzc5TGVhY2FBb2YrL1duTld0cDNWOHBlQ1IxUlYzekNHazQrdjAwUG1xUmJFS0JnWUZzdDhadTNicXhBVmwxTzNic1FLOWV2ZENsU3hleGRkVmJuNm9yS1NuQmxTdFhVRmxaaVVXTEZtSCsvUGs0ZnZ3NFZGVlZFUndjak1lUEg2T2twQVFIRHg1RWNuSXkrSHcrVnE5ZURhQ3FsYXVtaWE1SGpCakJ0bGd0WExnUUN4Y3VaRnVXTWpJeU9NbDlYcjE2SlZaK0d4c2JlSHQ3czY4TEN3c2hFQWdranI4VWt0U2FWVit1cnE2UWtaSGh6T20wYytkT0xGeTRFQjA3ZGtSV1ZwYllQaEVSRVJnNWNpUWJKRlkzWk1nUXFLdXJJelEwRkd2V3JHR1hDLzk5aFdKalk1R1ZsUVVIQndlSngva1E1OFNRSVVOdytQQmhkTzNhRlRObnpvU1ptWm5VYlVWYnNZWG53dW5UcDZHbnB3ZHpjM084ZS9jT1hidDJSYnQyN1RoQkpOQ3l6Z25TdXJTRWxrb0tIZ2toaExSMEZFZzJvY3JLU2dCVlhmZE1URXdRRmhZR29HcjZodXBaTUlIL1QzZ2lKTm82SmxSUVVNQjVmZWpRSWVqcDZTRXpNeE03ZCs3RWxTdFhjUERnUWZCNFBCdzhlQkJwYVduWXMyY1Bpb3VMWVc5dmp4MDdkckQ3bHBhV05uaUM1bDY5ZXJGQlNGbFpHVWFQSGkxeDZoQmgwQlFmSDQvUTBGQWNPSEJBTFBsUFkvTDA5TVNOR3pjUUZCVEV2cy9seTVlUmxaWEZkaE90cnJDd0VNZU9IVU5nWUdDTnh6WTFOWVd0clMzTXpNelk1RFBDNEV2NGxHdnUzTG1ZT25XcTFCYTREM0ZPQUZXdHlRQmdabWFHRFJzMklEMDlYZUpuRWliKzRmUDV1SERoQXVUazVIRCsvSGtjTzNZTUsxZXVSS2RPbmJCczJUTEl5OHV6WFY2TGlvcGdiVzJOV2JObWNZNzFzWjRUcEhYN21JSktDaDVKWXhIZWN3Z2hwRGxSSVBrQmZQbmxsMnpBVUZSVWhKaVlHSnc5ZTVaZHorUHhFQkVSZ2Z6OGZIWmkzU2xUcHVETm16ZGlMVHI1K2ZsZ0dBYVhMbDFDWldVbGpoNDlpdkR3Y0lTSGg2Ti8vLzdvMzc4L25qMTdCbGRYVjJSbloyUGZ2bjJRa1pHQnViazVsaTVkeXJuNXRHblRwc2JXSHRGeGJhTEt5OHM1QVdocGFTbkt5c3BnWUdEQUNRaU9IeitPTm0zYTRNeVpNL0R5OG9KQUlKQWF6QTBiTm95VFliUWhkdTNhaGFTa0pPemR1NWNUYkowOGVSSXZYNzZFZ1lFQmdQOFBzZ3dORGJGdDJ6WmN1M1lOdzRZTnc5ZGZmMTNqOFhWMGROQzllM2VFaDRkTEhTdXBxcXFLT1hQbTRNbVRKeldPSld5cWMwTEkwdElTVGs1T0dEQmdBRnhkWFd2OFhBQVFGeGNITFMwdHhNZkh3OFBEQStmT25VTzNidDJ3ZXZWcWJONjhtUTMrWHJ4NGdjV0xGME5YVjVlei84ZDZUaEFpcWptQ1Nnb2VTV05TVjFmSDNidDNtN3NZaExSWS9mcjFhKzRpZkZJb2tQeEFYcjU4Q1FVRkJaaVptWEc2R3ZMNWZJd2JOdzQ4SGcrUEh6L0dGMTk4QWFBcStMR3lzc0tJRVNNd1o4NGM4SGc4bkRsekJyNit2dGk2ZFNzQVFGWldGdDdlM3B5Z3ljL1BENkdob1pneVpRcDI3TmlCek14TVdGcGFRbE5UazgzVUtWUmFXaW8yRlVOZDhQbDhlSGw1WWVEQWdRQ3FncGFLaWdwMDY5WU5temR2WnJjckx5K0hsNWNYTGx5NEFEOC9QL1R0MjVkZHA2R2hnYXRYcjBwc2ljck96bWFudTZpcmdJQUFYTDU4R1lHQmdXSXRkdFV6dEthbXBzTE16QXp4OGZIc2xCdDFtYjhSQUxadTNTbzIvVVoxTlNYa0VkVVU1d1FBRkJjWEl6czdHNnFxcW1MZFlCOC9mc3pPMlNqazcrK1A4K2ZQWThPR0RZaVBqd2VQeDBPZlBuMndldlZxMk5qWUlDNHVEcDA2ZFVLSERoMndaczBhL085Ly94UDc5Mm5xYzRLUXh0YVVRU1VGajZTcGhJYUdObmNSQ0NHRVJZRmtFN2w5K3paeWNuSmdhV21Kek14TTJOblpZYzJhTlZCVFUrTk1TWEhyMWkwMk1MbCsvVHErL2ZaYkFGVlpTTjNjM09EZzRJQ3paODlDVmxZV2lvcUtDQTRPWmhPNUFHQXI3a0l6Wjg2RXJxNHUxTlhWRVJrWmlkMjdkOFBZMkJpblQ1OUdWRlFVWnMrZXpXNDdlL2JzR3FkYzJMNTlPK2QxYVdrcCtIdytmdm5sRnl4ZnZoeDkrdlRCamgwN1VGaFlpTURBUUt4YXRRcSt2cjZ3c0xDQW5Kd2M5dTNiaDZkUG55SXNMQXp0MjdldjAvZFdYbDRPYzNOenpKZ3hBd3NYTHF6VFBnQ3dkKzllQUdDN1h3clZKVEQ1L3Z2djJiL2Z2WHVITm0zYTRNV0xGd0RFNStBY05HZ1E1L1dvVWFPa0h2ZkZpeGVRbFpWbC82MC8xRGx4Ky9adHFLdXJvMXUzYmpoeTVBaU9IVHVHbkp3Y1dGaFlRRmRYRjBlT0hJR25weWYwOVBTZ3BhVUZBSEJ3Y09ETWs5bTNiMS9zMmJNSHZYdjNScytlUGJGa3lSS29xS2pBMXRhV015M0poemduQ0dscWpSRlVVdkJJQ0NHa3RXblJXVnMvWm9tSmliaDM3eDQwTkRUd3pUZmZjQUtTTld2VzRQcjE2NUNUazBQYnRtMnhmdjE2YUd0clkvcjA2ZkQwOU1SWFgzMkZPM2Z1NE1xVkt6aDM3aHg2OU9nQlBwK1BuSndjakI0OUdzT0dEVU9mUG4zdzVaZGZzc0dIcnE0dVp5TDVYYnQyb2FDZ0FBNE9EaGcyYkJpZVBuMEtDd3NMakIwN0ZxZE9uYXJYWjdHMXRjV0VDUlB3enovL3dON2VIbloyZHNqSXlNQ2hRNGZRczJkUHVMaTRRRlZWRlNVbEpkaTZkU3Z1MzcrUGFkT21ZZGFzV1ZCUlVVRjhmRHc3Z2IzUWl4Y3YwSzFiTjdFS1ZXeHNMQ2ZvRVUxczh5RnMzTGdSWjg2Y0FRQm9hV25Cejg5UGFxVnY1ODZkc0xhMkJsQTFSK1NjT1hQWVk1dzdkdzQ4SGc5VHAwNWx1MmQrcUhQQzE5Y1hTa3BLK09hYmIrRHQ3WTB2dnZnQ0ZoWVc2TlNwRXlaTm1vUXJWNjdncjcvK2dwK2ZINVNWbGJGNTgyWjI2aEhoZWZUbXpSdjgrZWVmdUhyMUt2NysrMjlNbWpRSjgrZlBoNHFLQ3VjNytGRG54TWVJc3JaKyt1cVMvVlZXVmhaLy9QRUhCWStFRUVKYUhRb2tQeEtQSGozQzNyMTdNWC8rZkN4YnRneGZmLzAxUm93WWdiRmp4NkpuejU0QWdDZFBudUR5NWN2NDU1OS9rSldWaGREUVVDZ3BLUUg0L3dEZy92MzdzTEd4d2JScDB6Qi8vbndvS2lxeTcvSGl4UXRFUjBkaitmTGxEYTdVbEphV2dzZmpZZGV1WGREUTBJQyt2cjdZTnJkdTNjSWZmL3lCbFN0WE52aDlYcjkramZUMGRHaHJhemRvLzRZcUxpNUdjWEV4WkdWbE9TMTA5Y1V3REJpR2VhOHBMUnA2VG16Y3VCRno1c3lCc3JJeVpHUmtNR2pRSU15ZlB4OHZYNzdFdUhIanNHN2RPdlk5enA4L0R4MGRIZlk4OHZIeHdlclZxL0hnd1FPY1BuMGEydHJhK09HSEh5QW5KNzN6d29jNkp6NDJGRWkyTHRLQ1NsRVVQQkpDQ0dsTktKRDhpREFNQXg2UGg4cktTazZtVHRKNjBUbng4YUpBc3ZVU0JwWENLWlVvZUNTRUVOSWFVU0JKQ0NFTlFJRWtvY210Q1NHRXRHWXRPdGtPVmVRSUljMkZyanVFRUVJSWFjMGFQb0NMRUVJSUlZUVFRa2lyUklFa0lZUVFRZ2doaEpCNm9VQ1NFRUlJSVlRUVFraTlVQ0JKQ0NFTmtKR1J3WTdUSm9RUVFnaHBiU2lRSklRUVFnZ2hoQkJTTHhSSUVrSUlJWVFRUWdpcEZ3b2tDU0dFRUVJSUlZVFVDd1dTaEJCQ0NDR0VFRUxxUmE2NUM5RFk2cHI4b3ZwazRyUWY3VWY3MFg2TnRSOGhoQkJDeUtldVJRZVMxU3Q1aEJEeUljbkx5emQzRVFnaGhCQkNtZ1dQWVJpbXVRdEJDQ0dFdERRYUdob0FnSlNVbEdZdUNTR0VFUExoMFJoSlFnZ2hoQkJDQ0NIMVFvRWtJWVFRUWdnaGhKQjZvVUNTRUVJSUlZUVFRa2k5VUNCSkNDR0VFRUlJSWFSZUtKQWtoQkJDQ0NHRUVGSXZGRWdTUWdnaGhCQkNDS2tYQ2lRSklZUVFRZ2doaE5RTEJaS0VFRUlJSVlRUVF1cUZBa2xDQ0NHRUVFSUlJZlZDZ1NRaGhCQkNDQ0dFa0hxaFFKSVFRZ2doaEJCQ1NMMVFJRWtJSVlRUVFnZ2hwRjdrbXJzQWhCQkNTRXR3L2ZwMUpDY25peTMzOVBSay8vNzIyMjloWUdEd0lZdEZDQ0dFTkFzS0pBa2hoSkE2a0pXVlJWaFltTmh5MFdVN2R1ejRrRVVpaEJCQ21nMTFiU1dFRUVMcVlPalFvVkJWVlpXNnZsMjdkdERUMC91QUpTS0VFRUthRHdXU2hCQkNTQjNJeWNsaC9QanhVdGRyYTJ0RFhsNytBNWFJRUVJSWFUNHR2bXRyUmtaR25iYnIxYXNYN1VmNzBYNjBYNlB1cDZDZ2dPN2R1OWZwMk9UVE1HYk1HQnc5ZWxUaXVyRmp4MzdnMGhCQ0NDSE5wMFczU05hMWNrZ0lJVTJodkx5OHVZdEFQckJodzRhaFhidDJZc3ZidEdrRGZYMzlEMThnUWdnaHBKbndHSVpobXJzUURTVU1KS3UzSWhCQ1NGT2o2MC9yNWVEZ2dKTW5UM0tXalJ3NWtwTzlsUkJDQ1BuVXRlZ1d5VjY5ZWxFbGpoRFNMT2o2MDNwSm10NWp6Smd4elZBU1FnZ2hwUG0wNkVDU0VFSUkrZEEwTkRTZ3BLVEV2bFpVVktTNUl3a2hoTFE2RkVnU1FnZ2g5YUNrcE1RWkQ2bWhvWUcyYmRzMlg0RUlJWVNRWmtDQkpDR0VFRkpQb2kyUWxHU0hFRUpJYTlTaXAvK2daQmVFa09aQzE1L1c3WWNmZm9DQ2dnSUVBZ0hHalJ2WDNNVWhoQkJDUHJnV0hVZ1NRZ2doemFGZHUzYlEwOU5EWVdFaFZGVlZtN3M0aEJCQ3lBZEhYVnMvTXFLenNWUlVWRFRxc1V0TFM4V1czYnQzcjFIZm83cTB0RFMwNEJsbWFzVXdETEt6czV2dC9kKzhlU054ZVY1ZTNnY3VTZVA3MU04ZDB2S05HemVPdXJVU1FnaHB0U2lRckVGOTV3UXpORFNzMS9hWm1abWMxMi9mdnNXMGFkTlFVbEtDaXhjdllzV0tGUkFJQkp4dHlzdkwyZi9xRTJobVpXVmg4dVRKcUt5czVDeGZ1SEJodmNwY1gvUG56NisxbkF6RGdNL25vN2k0R0hsNWVjakt5c0tEQncrUWtwS0MzMy8vSFZGUlVUaCsvUGg3bCtYU3BVdWNvRy9FaUJHYzlYRnhjWGorL0htOWpsbFVWSVJKa3lhOWQ5bEVGUllXWXN1V0xTZ3VMcTUxdTVrelo2S2twRVJzM2VUSms1R1dsZ1ovZi84YWp4RWVIbzVYcjE3VnEzd1JFUkcxbHEweGZFem5EaUdpSGo1OGlLQ2dJTGk0dU1EVDB4Titmbjc0OTk5L203dFloQkJDeUFkRlhWdHJFQllXQmlzckt3Q0FxYWtwQ2dvSzhQejVjM3orK2VjQWdPenNiTVRFeEtCcjE2NWkrOXJhMnVMMjdkc1NqeHNmSDQ5bno1N0J4TVFFZm41K0dEeDRNQURnNU1tVEdENThPSnNSOFBUcDA4ak16T1NNd2ZyeHh4L1JzMmRQVkZSVVFGRlJFVWVQSG9XV2xoWjY5T2pCZVk4M2I5N2c4dVhMN092RXhFVG82ZW5CeDhjSGx5NWRZcGRYVkZSZyt2VHBuSDFqWW1McThTM1ZuMEFnZ0l4TTFUTU1MUzB0ZE9uU0JYSnljcENYbDRlQ2dnTGF0R21ETm0zYVFFbEpDZTNhdFlPS2lnbzZkT2pBMmErNi8vNzdEK3ZXcmNPK2ZmdlFvVU1IcWUrOWRPbFNiTnUyamYzT0FhQzR1QmpidDI5SFdsb2F0bTNieGk3WDB0S0Npb29LWi8rQ2dnS2twS1RnelpzM05iNFBVQlhvTFZteUJJNk9qaGc0Y0dDdDM0dVFxcW9xc3JLeWNPN2NPY3lZTVVQcWRuRnhjWGozN2gwbVQ1NE1BQmc0Y0NEOC9Qelk5UU1IRGtSUVVCQWlJaUx3ODg4L1N6eEdibTR1OXUvZkQxdGIyenFYejkzZEhmcjYrczJTcGJJcHpoMUM2dUxodzRlNGZQa3lZbU5qeFI0Q0JnVUZJU2dvQ04yN2Q4Zmt5Wk9ocjYrUFFZTUdOVk5KQ1NHRWtBK0RBa2tKUkNlV0hqTm1ER1JsWlpHUWtJREN3a0w4L1BQUGJLQmxaR1NFZHUzYVNUeUdtNXRiamUveHhSZGY0TmRmZjRXMXRUWEN3c0tnckt5TWd3Y1Bncy9uNCtyVnEreDJLMWFzQUZBMUh1ZklrU05vMDZZTm9xT2pjZno0Y2R5OWV4Y0EwTFp0VzdIZ2I5U29VWnpYY1hGeHNMYTJ4cEFoUTlqZ0dLaHFsV3Zxd1BIV3JWdlEwdElDQUlTRWhPREpreWV3dDdjSFVCVVluRHg1RXJLeXN1ejJBb0VBSzFhc2dMdTdlNTJPTHhBSXNIbnpabGhaV2RVWTNPbnI2Nk5EaHc1SVMwdmpCSkkzYnR5QWlvb0t3c0xDb0tDZ3dObm40c1dMbk5jYUdob0FxakkyaXY0N1NhS3Fxb3ExYTlkaTA2Wk5pSWlJa0JySWFHaG9RRTFOVFd6NTd0MjdzWHYzYnM2eXZMdzhwS1Nrb0tLaUFwR1JrWWlKaVVIMzd0MXg2ZElsbkRwMUNrRFY5eUVuSndkWldWbTR1cnFpdkx3YzJkblpNRE16NHh6cjFhdFg2TktsQ3dBZ01qS1MvVnNvUGo1ZVlua1podmxnUVZsVG56dUUxRVJhOE5peFkwZm82dXBpNHNTSmtKZVhSM3g4UEpLU2t2RGl4UXNLS2draGhMUWFGRWhLSUF3ZU5EUTBPSUZFUWtJQ1d5RW9MeTlIZm40KzJyVnJoNUNRRUJ3L2ZoeXZYcjFpVy9mcUVwek5uVHNYZi8zMUYrN2Z2NDg3ZCs0Z056Y1hmLzMxRjd0ZVEwTURLU2twRXZjOWQrNGNmdjMxVndCVkxXclZXeFZGUFhqd0FFK2ZQc1dRSVVNQVZBWEFRaFVWRmV4clpXVmxoSWFHMWxwdVNXSmpZem10ZVR3ZUQ0bUppUUNBYXJIMzJ3QUFJQUJKUkVGVUkwZU9RRXRMQzBlUEhzWEJnd2V4Wjg4ZXpyNkhEeC9Hb1VPSE9NdGV2WG9sMWxWWVdtRHp4eDkvZ01malFVOVBUMnI1Rmk5ZWpQejhmUFoxZUhnNDU3TURRSEp5TW9DcWxqeFhWOWVhUG02ZGFXdHJRMWxaR1JjdlhzVFlzV09sYm5mbXpCbkl5c29pT1RrWm5UdDN4b0FCQTFCWldZbW9xQ2lNSGowYVhidDJSWGw1T2RzZDkvRGh3OURXMXNhSkV5ZWdvNk9Edi8vK0cxMjZkR0d6UjVhVWxIQXlTU1lrSkNBK1BoNENnWUJ0NVI0eFlnVDduV3BwYVNFdUxnNlptWm5vMmJPbjFISUtCQUl3REFNNXVjYTdkRFRudVVOSWRiVUZqNGFHaHREVTFBU1B4MlBYRFJzMkRBekQ0TmF0VzRpTGk2T2draEJDU0t0QWdXUWRKU1ltd3N2TEM5dTJiWU8rdmo1NFBCNE1EUTNCNC9GZ1ptYUc4ZVBIWStyVXFmVnEzZVB4ZVBEdzhNQ2pSNDhRR1JsWjUvM3k4dkx3L1BsekRCMDZGRUR0TFpMNzkrL25WSHB5YzNNNTNWNGw3Vk5mVTZaTXdaUXBVd0FBang0OXdvWU5HOWgxYVdscGNIRnh3WlVyVnhBWUdJaStmZnR5OXAwN2R5NU1URXpZMTVXVmxmamhoeC9xWFBrL2UvWXNKa3lZVU9NMndjSEJBS29Db2ZEd2NLU2xwU0VyS3dzalJveUFob1lHOVBUMElDOHZMN1pmWTZUMUh6OStQQklTRXFRR2twR1JrYmgxNnhZQ0FnTEE0L0ZnWldXRjNOeGNLQ2twb2J5OEhCWVdGdWpidHkvbXpadUhVNmRPSVNNakEwZU9IRUZnWUNCS1Mwdmg1T1NFeDQ4ZjQ5aXhZN0MxdFVWcWFpck16TXpnNXVhRzc3Ly9udk5lYm01dXlNbkpnWWVIaDFnNVhyMTZoWlVyVjhMVzFoWTZPanBJUzB2RC9QbnpKWlpaMnZjaTdjRkhUWnJ6M0NFRWFGandXQjJQeDhOMzMzMkg3Nzc3am9KS1FnZ2hyUUlGa3RYNCt2cHlrbk1JdTdrdVg3NmNyV0NMampFVUVyYWdwS2FtUWwxZG5SMjNCZ0E1T1RubzNMa3orMXBWVlJWSGpod0JVRlg1T0hQbURDd3NMT0RzN014V3FJV0VydzBORGRsdXJxOWV2WUtzckN3cUtpckV1bUpXbDVxYWlpZFBubkNXRlJjWHc5all1TWI5M2tkY1hCd24wRmk0Y0NGOGZIeHcvUGh4ZE9yVVNXejdtaXBuZFhIbnpwMDZmWjRyVjY3QTM5OGZRNFlNZ2FPakkzNy8vWGNZR1JraE9qb2EzdDdlME5YVnhZd1pNOUMvZjM4QWdLV2xKVXhNVEJBUkVZRTVjK2FBeCtQaDRNR0Q5UzZmdXJxNjFQMEtDd3ZoNE9BQUZSVVZMRnEwQ05yYTJoQUlCTkRTMHNMdnYvK09DeGN1d016TURHcHFhdGl6WncvNGZENVdyVm9GUzB0THVMdTdvMCtmUHREUTBNQ2dRWVBZN3JIQ1ZzcVltQmhPSU9ubDVZVUhEeDZJdGVvSmRlM2FGZDdlM2xpMmJCbHNiR3d3ZHV4WXNjRHd4WXNYbURKbENzTER3K3MxN3JPdVB2UzVRMXF2eGdnZXBhR2dralNWWmN1V2NYb3VFVUxxUjExZHZjRzk3NGc0Q2lTcldiVnFGWlNVbExCbzBTS01IRG1TMDdYMXh4OS9SR0JnSVBzNkp5Y0hWNjVjQVZDVkVWUk5UUTNuejUvSDNyMTdFUnNieTQ3ZDB0WFZSWHg4UEJpR0VhdVVCQWNIUTBOREE4T0hENGVycXl0aVkyUFpkUm9hR3B6WFFsOS8vVFVHRHg2TUV5ZE93TmpZR08vZXZjT1VLVk9RblowdGx2Z25JeU1EMXRiV3NMR3hZWmUxYmR0V1lndm8rN1JJQ2hVVkZlSFVxVk1JQ3d0amwwMlpNZ1V4TVRHSWo0L250SEFKTTlMS3lNaEFTMHVMRXloMDZkS0Y3Wjc0NnRXckdsdTZSTWY2U1ZKWVdBaFRVMVB3ZUR4WVcxdERSMGNIQUdCdWJvNSsvZnJCeHNZR0sxZXVSR3hzTEt5dHJkR2xTeGNFQkFTd0xWMGVIaDVzc2hwcExYUTE2ZEtsQzE2L2ZpMXhuYXFxS2x4ZFhka0VUa0JWZDJNWkdSa29LeXZEMmRrWjN0N2VzTFcxUldCZ0lCNDhlSUFCQXdZQXFCcW51WDc5ZXR5L2Z4L2g0ZUVBcXJyblhydDJEVWVPSElHcHFTbFNVbEtnb2FHQnZMdzh2SGp4QXJ0Mzc0YVNraEtBcW5OZGFOMjZkUUNBUG4zNndNUERBeWRPbkpEWWducjM3bDNJeU1nZ0tTbXAwUVBKNWpoM1NPdlNsTUdqTkJSVWtzWkVRU1FoNzBlWVg0UTBqaFlkU0lwbU0yMU1CdzRjd0pJbFM4U1d5OHZMYzdxUUNnT3Z4TVJFOU8zYkYwK2VQSUdWbFJVeU1qSVFGUldGN094c1dGcGFBZ0Q0ZkQ3bXpKa0RGeGNYVGdWYzJIcFVYOU9tVFVOd2NEQ01qWTNScmwwN3hNYkdZdkhpeGJDenMwTy9mdjBRRmhhRzBOQlF6SjgvWDZ4UzFKUXRrdjcrL3REWDErZTB3TXJLeXNMUjBSR21wcWJvMDZjUGRIVjFBVlROYTltbVRSdDJPOUh1aUdGaFlXd2dKMHh3STQya0FGMlVxcW9xbkoyZE1XalFJRFpKVEg1K1BnNGRPc1JPZjZLa3BJVFpzMmRqMXF4WitQZmZmNUdhbWdwcmEyc3dEQU9HWWRoV3NqZHYzdURNbVRQMStVcHFWVDBKanZBemlYYlhuVHQzTGdCQVJVVUYwZEhSQUlBTEZ5N2c3dDI3OFBYMWhiS3lNdUxqNCtIdTdnNHZMeThvS3l2RHpzNE82OWF0ZzR1TEM3UzF0ZUhtNWdaRFEwT1VsSlNncEtRRWFtcHFuSlpTSHg4ZmpCMDdGbHUyYklHNnVyckVzcDQ1Y3dabVptWTRmdnc0NXMrZlgydUxlSDAweDduelBwcnEra01hVjNNRWo5SlFVRWthQ3owZ0k2VCttckpPMEZxMTZFQ3lLUlFYRjNPbWZCQUdFS0t0Sk5VOWYvNGNwcWFtYk92bDU1OS9qckN3TU96Y3VaUGRSazVPRHRPblQ4ZW1UWnZZN0tCcGFXbmc4WGo0K3V1dkFWUzFza2pyMm1wZ1lNREp0dHE1YzJmT25JZ0FNSHYyYkFRSEIyUE1tREVJQ3d2RGtpVkxKRmFPbXFwRjhzOC8vOFM1YytjUUZSVWx0cTVQbno3WXVuVXIxcTlmRHhjWEY0d2NPUko1ZVhrU3M1VUtCQUo0ZTN0enhyN1ZwRk9uVHNqTnpSV2JBa1dVdGJVMTUzVnhjVEdLaW9xZ3I2L1B0dEFKZGUzYUZTRWhJVWhJU0VCNmVqcnM3T3pZcnNqanhvMlRPSmF5SmprNU9SSzdaUW9sSkNSd1hvZUVoQ0FzTEF5REJ3K0dwNmVuV0liVTh2SnlPRG82SWkwdERYdjI3RUh2M3IwUkZoYUc2T2hvN042OW0zMVFvYW1waVEwYk5zREp5UW1IRGgyQ3Fxb3E0dVBqa1p1Ymkzbno1c0hlM2g3YTJ0b0FnUFQwZEt4ZHU3YkdGdGZVMUZUY3ZIa1RqbzZPeU16TWhMKy9QMWF2WGwydjcwS2E1anAzeUtmcFl3b2VwYUdna2hCQ1NFdEhnV1ExejU4L3grdlhyM0huemgwQTNFcCs5ZXlvd2tuWnE4L1JkL1RvVWZUcDA0Y05FSVhtenAyTHlNaElCQVFFWU5XcVZUaHo1Z3dNREF6WTlUSXlNblhxMnBxUWtJQnIxNjZoVzdkdW5PVVRKa3hBWkdRazl1elpnOERBUUh6NTVaY1NQMk5kV2lRbGRaT3RTVVpHQnV6czdMQnAweWEwYjk5ZTRqYWpSNC9HdW5YcnNHN2RPcXhZc1FMOSt2WERGMTk4SWJiZDY5ZXZhNTJqVWRTZ1FZTnc5KzVkTml1dEpOV1RyMWhZV0tCang0NTQ4T0FCL1AzOUpRWWxBSEQ2OUdrMlV5cFFsUTIxZXVCWm03dDM3M0ttRzZsSmVubzZRa05Ec1hmdlh1emF0UXQyZG5hd3Q3Zm50TDRwS0NqQXdNQUE2dXJxNk5HakIzSnljcUNucDhkMmM3NTE2eGFHRGgySzNOeGNwS2FtNHNTSkU1d3BNanAyN0FoM2QzZFlXMXRqdzRZTnFLaW9nTGUzTjdaczJTS1d6RWJvOWV2WHNMT3pZN3QrVzFsWlllN2N1ZWpldlR0bXo1N04yYllsblR2azA5RVNna2RwS0tna2hCRFNFbEVnV2MyZE8zY3didHc0Yk4yNkZlWGw1U2dvS0dBcnQxT25Uc1htelp2WmJiMjl2U1VlNC9IangxaTJiQmtBNE4yN2Q2aXNyQVJRMVRWMjVjcVZ1SExsQ2twTFN4RWZIdzh2TDY5NmwvSDU4K2RRVkZURXhvMGIyV1VsSlNVNGN1UUlWcTVjQ1h0N2U1dy9meDZtcHFhY0FFS290aGJKOHZKeW1KdWJZOGFNR1d6WHo5cWtwcWJDMU5RVSt2cjZLQzB0aGJ5OFBKNDhlUUo1ZVhuT1ZCSFRwazFEeDQ0ZG9haW9pS3RYcjdKZEtGZXVYTWx1RXg0ZWpyS3lNbGhZV0dEeDRzV2NzWHlTakJzM0RwR1JrV0lCdlNSbFpXWFl2bjA3ZUR3ZXRtN2Rpb2lJQ015ZlB4OXIxNjdGNk5Hak9aWE04K2ZQSXk0dURnY09IQUFBWkdWbFFVNU9Edkx5OG15M29tZlBua244amtVbEpDU0lCVnZWTVF5RHMyZlBZc2VPSFZpelpnMisrdW9yYk4rK0hTNHVMakEyTm9hNXVUbkdqeC9QZGlYOTdMUFA0Ty92ajU5Ly9obC8vUEVIVWxKUzRPTGlncHljSE5qWTJPRG8wYVA0N0xQUGtKS1NndDkvLzExc3ZPUGd3WU94YU5FaVdGbFpnY2Zqd2NYRlJXcVhqL1QwZEZoWldVRkhSNGQ5a05LMWExZDRlSGhnMWFwVlNFdExnNldsSlRwMDZORGl6aDNTc3JYazRGRWFDaW9KSVlTMEZEeUdZWmptTGtSRFpXUmtBR2pjc1VwQlFVSG8yN2N2dnZ2dU8remJ0dy9KeWNrb0tDaUFuSndjV3hrUkNBU29yS3hFWldVbFJvd1l3YzZCWjJob3lMWjhQWG55Qk1iR3hwQ1ZsY1dZTVdQZzdPek1lWi9zN0d4czM3NmRNM0c2aG9aR2paOGxLQ2dJMDZaTlExSlNFcnNzUFQwZGMrZk9oWnFhR2d3TURMQjgrWElVRlJYQnhzWUd4Y1hGMkxkdkgxUlZWVEZtekJnc1hMZ1FSNDhlUlZaV2xzUnVvTUxsTVRFeHlNbkpnWVdGQlhSMWRiRm16WnA2ZllkNzkrNUZRRUFBWkdSa1lHSml3bzRURlZWZVhvNFpNMlpneDQ0ZFVGZFh4NnRYcjNEdDJqVWNQMzRjc3JLeTJMbHpKMjdldklrOWUvYWdmZnYyc0xDd0VKdktRb2pQNThQWTJCZ2JOMjZVR0F5VmxaWGg5dTNidUhidEdrNmZQbzBmZi93UjY5YXRZMXY1YnR5NEFVOVBUN3g1OHdZalI0N0U0TUdEVVZoWWlBTUhEc0RMeXd0eGNYR0lpb3FDdkx3OEZpMWFoSG56NWtGZlh4L3k4dklvTGk3RzJMRmp4ZjU5aGY3NTV4ODRPVGtoS2lwS1lzQ1psNWVIeU1oSW5EMTdGckt5c2xpL2ZqMDBOVFU1MjF5OWVoV0JnWUY0K1BBaHRMUzA4TnR2djhIVzFoWno1c3pCMkxGalVWRlJnYWxUcDJMUG5qM28yN2N2M056Y29LYW1ocVZMbCtMbXpadll1blVyb3FLaThPelpNL3o3Nzc5SVNVbEJjbkl5dW5mdkRtTmpZeFFVRk9EUW9VT1FsNWVIbHBZV0JnNGNpQjQ5ZXFCLy8vNklpSWhBYUdnb1RFeE1zSHo1Y3JFSytYLy8vWWVOR3pjaUt5c0xreVpOd3BvMWExQlVWTlJpenAzMzBSVFhIMUs3VHpGNHJJdnFRYVhvMEFZS0tsc1A0VDJPeGtnU1VuLzArMmw4RkVoV1UxUlVCRmxaV2JIdWl3S0JnUDFQOUN1VGs1TmpBNFF6Wjg1ZzRzU0o3THJha3NCVUo1eUtvaWFpd1NvQVpHWm1ZdGV1WFZpOWVqVW44MmRsWlNYUzB0TFk3cDduejUrWE9vK2hOSzlmdjBaNmVqbzdqcTZ1S2lzclVWWldCa1ZGUmFtdGRZOGVQWUtYbHhkY1hGend5eSsvb0tTa0JGcGFXcGcwYVJKMGRIUTRRZnV4WThmWWNZT2ZmZmFaeE9PbHBxYkN5Y2tKKy9mdlI5dTJiVG5yaW91TFlXMXR6VTdMMHJ0M2I0bkh1SGZ2SGk1ZnZveTh2RHdzVzdZTXNyS3lVRlZWbGJqdHExZXZVRmxaQ1VWRlJhbmRZb3VMaTJGbVpvYmZmdnNOMzM3N3JjUnR5c3ZMNGV2ckN4MGRIZnp3d3c5aTR5RkZQWDM2RlAvODh3K21UcDJLTTJmT1lOS2tTZXozbEo2ZWpsNjlla0ZPVGc1RlJVVlFWRlJreDNMbTVlV2hvcUlDdi83NksvcjM3NDhmZnZnQmVucDZZbDJqVTFOVGNlM2FOZHk1Y3dmdDJyV0RwYVVsN096czhPdXZ2K0tISDM2UVdpNkJRSURUcDAranJLd01QLzMwRTRDV2RlNDBGQVdTSDA1ckRSNmxvYUN5OWFLS01DRU5SNytmeGtlQkpHazJBb0VBTWpJeUtDb3Fnckt5Y3AyMnJVbHhjVEVVRkJRNDNTR2JFNS9QUjNsNXVWaGdTOTVmWTU4N0RVSFhuNlpGd1dQZFVGRFp1bEJGbUpDR285OVA0Nk5Ba2hCQ0dvQ3VQNDJQZ3NmM1EwSGxwNDhxd29RMEhQMStHdC9IMFhUVENqRU1nMWV2WHRVcnUyVmpldlBtamNUc2x0S21WV2dNYjkrK1JidDI3WnFrZFloSVZuMit4YnFzdjNmdm5sakdZVUthU2tzSUhxVmRMejgybEtpSGtJYXI3WDVKQ0JGSE5mbzZ1SFRwRXVmSnJ1aDBFQUFRRnhlSDU4K2YxK3VZUlVWRm1EUnBVcU9VVDZpd3NCQmJ0bXhocHlXcGFidVpNMmVpcEtSRWJOM2t5Wk9SbHBZR2YzLy9HbzhSSGg2T1Y2OWUxYXQ4K3ZyNmVQbnlaYjMycVUxQlFRSEt5OHM1eTE2OGVJRzR1TGdhOTN2MDZCSHk4dkxFbG9lRWhEUm04Y1EwNUh1clNYWjJObnZ1Q2JQdXBxZW40L1hyMXlndUxvYSt2cjdZOXlPVWxaV0Z5Wk1uczFtRmhXckt0c3JuODltL3k4ckt4S1pWK1JBRUFvSEU1VmV2WHBYNldRRWdJaUlDYjkrK2JhcGlrWHA0K1BBaGdvS0NNR1BHRFB6ODg4L3c4L05EWm1ZbU9uYnNpT25UcDhQZjN4OW56NTdGNXMyYm9hV2w5Y0dEeVBqNGVPemF0WXROckNZNlRWTnBhU2xjWEZ3a1p1MU9UazVHV1ZtWjFPT0tUdWYwN05rejl1OUhqeDVKM1lkaEdPVG01dGIzSTdCQnBaMmRIVTZmUG8zZzRHRE1talVMWGJ0MlpZTktFeE1UVEpreUJYNStmdmozMzMvci9SNkVOSVVIRHg3ZzhlUEh0VzUzN2RvMXp1dnE5N0xxM3VkK0tacmtzQ2taR2hyV2Evdjc5Kzl6N3N1RWZHaXR2a1h5di8vK3c3cDE2N0J2Mzc0YW56Z3ZYYm9VMjdadDQ4d0hXRnhjak8zYnR5TXRMWTNOM0FvQVdscGFVRkZSNGV4ZlVGQ0FsSlNVT2ozWkxpd3N4SklsUytEbzZNaE9MbDhYcXFxcXlNckt3cmx6NXpCanhneXAyOFhGeGVIZHUzZVlQSGt5QUdEZ3dJSHc4L05qMXc4Y09CQkJRVUdJaUlpUU9xVkdibTR1OXUvZkQxdGIyenFYcnlrY1BIZ1F1Ym01MkxKbEM3c3NLU2tKNzk2OXEzRS9lM3Q3bUp1YlExZFhsN004SUNBQVptWm1uR1d2WHIxaXY2dTYrdXV2dnlRdWIrenZMVEV4RVFrSkNRZ0lDQUJRVmVsMGRuYkdpaFVyd09mejBiTm5UM2JLRUVuNzZ1bnB3Y2ZIQjVjdVhXS1hWMVJVY09aTEJZQ1ltQmlVbDVmamwxOSt3Zi8rOXovOCtPT1B5TS9QaDcyOWZZMDNQb0ZBQUc5dmI1dzhlUklNdzhESXlBaXJWcTFxY0dCUVZGUUVVMU5UckZtekJpTkhqdVNzTzN2MkxKNDlleVp4cXBWSGp4N0IxOWNYTVRFeEFJQWRPM1lnTFMwTlBqNCtuSGt2czdPejhlZWZmMUtyZVJOb2pwWkhMUzJ0V250OVpHZG5pLzFlOWZYMWtaU1VoQU1IRHNEVTFKUmRMaEFJc0hUcFVxaW9xR0Q5K3ZVQWdOdTNiNk5Iang3bzFLa1RIQjBkRVJZV0JrVkZSVnk2ZEFsNmVucWNwRkVPRGc2WU1tVUtnS3A3eXVMRmkvSFRUejloeFlvVmlJK1BSMnhzTEw3KyttdDRlSGpnN2R1M0tDd3NSRmxaR2RUVTFPRGw1WVV1WGJvMDZIdWdsc3FQVDFwYUdvcUtpdkQ5OTk5L05PUDZQeGJCd2NIUTA5TkRuejU5YXR6T3pzNE9vYUdodUhyMUtoSVRFeUVRQ0pDVmxjVjVZTWd3REJRVUZCQVhGL2RlOTh1Tkd6Zmk4dVhMTURJeWtqcnUvczJiTjdoNDhhTFU4dGExdmlsa2EydUwyN2R2UzF3bmZJaTdlL2R1dEd2WERzN096b2lMaStQVVJVV1ZsSlJJN003WjBQb21JVUt0K3VvbEVBaXdlZk5tV0ZsWjFmaWoxdGZYUjRjT0haQ1dsc1lKSkcvY3VBRVZGUldFaFlXSlhYeXFYMHlFL2JJTkRBeHc5ZXJWR3N1bHFxcUt0V3ZYWXRPbVRZaUlpSkJhcWRYUTBKRFlEWFgzN3QzWXZYczNaMWxlWGg1U1VsSlFVVkdCeU1oSXhNVEVvSHYzN3JoMDZSSk9uVG9Gb09yN0VHYWhkWFYxUlhsNU9iS3pzeVVHVnNJS1RXUmtwRmpsUm5pQjQvUDV5TS9QUitmT25jWEttSitmM3loWk5DMHNMTEI4K1hLY09YT0diU0Y0L2ZvMU9uWHFoQ05Iam5DMlhiSmtDV2JObW9YRXhFUjA3dHdadXJxNkVBZ0VtRE5uRHZzVXNub1FGUk1UZ3k1ZHVrZ01ERzFzYkpDYm00dDkrL2FKclh1Zjc2MCtqSXlNY09uU0pieDQ4UUpBVmVXa1Q1OCswTkRRZ0x1N3U5UnNzVURWQXdWcmEyc01HVElFVmxaVzdQSVJJMGF3QVpjb0JRVUZiTjI2RmF0WHI0YXJxeXU2ZE9rQ1JVWEZHc3NYR2hxS3BLUWtIRDU4R01YRnhUQTNOMGZQbmoxcmZOQlJFMlZsWmRqYjI4UFcxaGJGeGNWd2NuSkN4NDRkMmZVM2J0eEFXRmdZZ0tyNVZ2LysrMjhJQkFJRUJnYmkxS2xUZVBUb0VRSUNBdEN0V3pkODhjVVhHRDU4T0V4TVROaEFkOEtFQ1JSRU5xS1BvZHVxYUN1Z0pGcGFXcHpYb3IvL0d6ZHU0TVNKRTV6bGhZV0ZVRlZWeGFwVnF5QXJLNHZaczJjaktDZ0lQajQrYkFYejBxVkwyTDE3TjM3ODhVZm82dXBLdmViLzlkZGZiT1d0c0xBUUhoNGVDQWtKUVZwYUdnNGRPb1RPblR0THJkZzJWR3NPS2pVMU5Ublp6VVVKcnhjZnlyMTc5K0RzN0l5MmJkdGkzTGh4TURBd2dLYW1acTNYMUUvUnlaTW4yYW5RaEVucXJsMjdoaDA3ZGtqZDUvTGx5d0NxQXJ6Um8wZkQydG9hRnk5ZXhJSUZDNUNRa0FCOWZYMG9LQ2pBejgrUHpXRCtQdmRMVVNFaElSTHJqR1BHakpHNlQxM3JtNkxjM054cTNjYloyUm56NTg5SFlHQWdmdjMxVi9aQlZYWFZyM05DZGExdkVpSk5xdzRrLy9qakQvQjRQT2pwNlVuZFp2SGl4Y2pQejJkZmg0ZUhvNktpQWtaR1J1eXk1T1JrQUZVdGVhNnVybzFTTm0xdGJTZ3JLK1BpeFlzMVR0dHg1c3daeU1yS0lqazVHWjA3ZDhhQUFRTlFXVm1KcUtnb2pCNDlHbDI3ZGtWNWVUbmJIZmZ3NGNQUTF0YkdpUk1ub0tPamc3Ly8vaHRkdW5UQnVISGpBRlE5dFJMK0RRQUpDUW1JajQrSFFDQkFabVltZXZYcWhSRWpSckJCajVhV0Z1TGk0cENabVltZVBYdHl5cGFVbEFSZlgxOGNPM2FNcy96Smt5ZFl0R2dSVHA0OFdXdkd6ZHJJeXNyQzA5TVQ4dkx5bURoeElwNDhlUUozZDNmNCt2ckMyTmhZN01KWVVWR0I0T0JnN05peEF6RXhNVWhNVEVSVVZCUzdYbG9RVmQyVksxZHc4ZUpGaVVFa0FIVHQyclhCMzF0OUNLZmJXTEZpQllxTGk3RnAweWEyZkhGeGNWQlFVTUNVS1ZQdzd0MDdWRlJVWU8zYXRaZzVjeVllUEhpQXAwK2ZzdFBEaUo3UG91ZTNzckl5UWtORDJYV0RCdytHdjc4L2V2YnNpYnQzNzlaNlE0eUtpb0tGaFFVNzFjak1tVE54K3ZUcEJnZVNBUER0dDk4aUxDd015c3JLY0hKeXd2SGp4L0g0OFdQMDY5Y1BBSERyMWkwTUdUS0ViYkVNQ0FoQVNrb0tWcTllamN6TVRIVG8wQUcydHJad2QzZkhnUU1Ib0sydGpWdTNicUY5Ky9ZU0gzcVErdmtZZ2tkUjBpcFdvaDQvZmd3MU5UVzBiOThlejU0OXEzTWlCaTB0TGN5Wk13ZHhjWEc0ZXZVcUJBSUIzcng1QTJkblovajYrdFlhQkU2ZlBwMjkzb1NFaE1EUTBCQTllL2FFakl5TTFJQ25NYlcyb0ZKZVhsN3E5YjM2a0pVUHBiaTRHREV4TVlpSmlVR2JObTB3WnN3WWpCOC9IcHFhbW1MVGtIMnFwazJiaG1uVHBnRUFmdnZ0TjN6KytlZXdzTENvZFQ4RkJRVTRPenZqaXkrK3dOdTNiM0hqeGczODlOTlBPSDM2Tk1MRHcvSExMNy9neG8wYjdGQ2RodHd2RHg0OGlEZHYzdURkdTNjWU0yWU1PblRvZ01XTEYwdWRua3FhMnVxYklTRWhPSDc4T0Y2OWVzVSt0S3BMWFVSRlJRWHU3dTd2VlplcWEzMlRFRWxhZFNCNTl1eFpUSmd3b2NadGdvT0RBVlE5VFFvUEQwZGFXaHF5c3JJd1lzUUlhR2hvUUU5UGozM2FKVW8wR0d1bzhlUEhJeUVoUWVvUE96SXlFcmR1M1VKQVFBQjRQQjZzckt5UW01c0xKU1VsbEplWHc4TENBbjM3OXNXOGVmTnc2dFFwWkdSazRNaVJJd2dNREVScGFTbWNuSnp3K1BGakhEdDJETGEydGtoTlRZV1ptUm5jM056RUpuQjNjM05EVGs0T1BEdzh4TXJ4NnRVcnJGeTVFcmEydHREUjBXR1hueng1a3IwNWlPcmR1emVHREJtQzBOQlFMRisrL0QyL0pYQ20xd2dJQ01EaXhZc0JWSTE5cUo2VU9DRWhBUmtaR1ZpMWFoVXlNakxnNWVYRmFZSG8wcVVMKzdxb3FBaUZoWVZpclpFRkJRVndkbmJHaEFrVE1IVG8wQnJMMXBEdnJUNmlvNk9Sa1pFQloyZG5aR1ZsWWVMRWlUQXhNY0h4NDhmeDVzMGJuRGx6QnAwN2QwWmdZQ0NLaW9vd2MrWk1BTUQrL2ZzNUZmbmMzRnoyQ2E4bzRUaVN2THc4aWI4VmhtSEVublFLNTI5VVVWSEJ5NWN2MldBVnFBcEVSUVAzK2dvSkNVRmhZU0hNemMyaHFLaUlrSkFRTEYrK0hQMzc5NGVlbmg1eWNuS1FucDRPVDA5UDlyZHJaR1NFK1BoNGhJV0Z3ZGpZR0pHUmtUQTJOb2Fqb3lQdTM3K1BYYnQyd2NqSUNQTHk4ckN4c1dsdzJWcXpqeTE0RkZWYmk2U1JrUkhpNHVLZ29hR0I0Y09IcytNaFo4eVlJVFVRWkJnR1VWRlJNREF3Z0l5TURMeTl2YUdtcG9hS2lncDA3ZG9Wd2NIQmRYcEFOSHo0Y0dob2FDQTVPUm5tNXVaU3gvOStDSzBocUt5b3FJQ3hzYkhVZGMydHRMUVVjWEZ4aUl1TGc2S2lJa2FOR29WeDQ4WkJXMXNiN2RxMWErN2lOYm5VMUZSa1pXWEJ6TXhNWXV0ZWFXa3B5c3JLRUJrWmlYNzkrc0hZMkJqTGx5OUhSVVVGbEpTVVlHbHBDV1ZsWlhoN2V5TWlJZ0tiTjIvR29VT0gySWZKRGJsZkN1K1pvMGFOd3NXTEYyRmtaSVRnNEdEMklhcXJxeXMyYk5nQUFOaThlYlBVejFaYmZkUE16QXpqeDQvSDFLbFQ2eFJBaWhJK1JIMGZ0ZFUzQ1pHbVJRZVM3NXQyLzg2ZE8xSnZLcUt1WExrQ2YzOS9EQmt5Qkk2T2p2ajk5OTloWkdTRTZPaG9lSHQ3UTFkWEZ6Tm16RUQvL3YwQkFKYVdsakF4TVVGRVJBVG16SmtESG8rSGd3Y1AxcnQ4NnVycVV2Y3JMQ3lFZzRNRFZGUlVzR2pSSW1ocmEwTWdFRUJMU3d1Ly8vNDdMbHk0QURNek02aXBxV0hQbmozZzgvbFl0V29WTEMwdDRlN3V6bmJuR0RSb0VOczlWdGhLR1JNVHd3a2t2Ynk4OE9EQkErelpzMGRpV2JwMjdRcHZiMjhzVzdZTU5qWTJHRHQyTEY2K2ZJbXJWNi9pdDk5K2s3alBraVZMWUdGaGdaOS8vcm5CV1dLUEhqMEtYMTlmRkJVVnNTMEk1OCtmeDgyYk45bHRSRnNqRkJRVWNQVG9VZWpyNjJQNzl1MzQ3cnZ2b0sydGpjREFRSncrZlJvLy9mUVRsSldWNGVMaWdnMGJObURwMHFYNDhjY2ZPZThwRUFpd2NlTkdLQ29xNHV6WnMxaTdkaTBTRXhOaFlHQWdOaTYySWQ5YmZaU1hseU1nSUFBM2I5N0VsaTFiTUgvK2ZQVHYzeC9MbGkzRDBLRkRvYW1waWZUMGRIVHUzQm5wNmVuc1owbE5UY1dUSjA4NHh5b3VMcTd4dDZDbXBpWVdVRy9mdmgweU1qS3d0cmJtTE5mUjBZR0NnZ0pldjM3TjdpdlVvVU1IdkgzN3RzRnpPeTVZc0FBQkFRR3dzYkdCcjY4di9QejhZR2hvaUtGRGgyTE5talZRVkZTRWs1TVRCZ3dZZ0tTa0pBd2NPQkJkdTNhVkdNQ1ltNXZqenovL3hOMjdkMUZaV1ZuajJCWkphTnFQS3N1V0xlT2NHMnBxYXREVDAvc29zcTBxS1NuaC92MzdOWTc5Q1FrSndjcVZLOWtrVTl1M2J3ZFExVDFkV3BkVVlldlZ0bTNiNE9ucGlRc1hMZ0NvZXZnMFo4NGNkcnZhZ3RpZmZ2b0p4Y1hGeU1uSllmZUxpWW5CMjdkdjJXdVhjQXl2ZzRNRE8wU2lxVWtMS2hNVEV6bEJwYnE2T3RMUzBzRGo4ZGpmczR5TURPZHY0VG9lanllMm5lZ3lTWDlMV2llNnY3VDNhTisrUFFZTUdDRFdxaVV2TDQvSXlFaUpuN2w2aStTaFE0Znc1TWtUbEpTVTFLbGMwdFpKSy92OSsvZHIvRGNvS3l2RHVYUG5jTzdjT2NqTHkwTlhWeGZqeDQrdnp6OWppMUpjWEF3SEJ3ZjQrL3VqVTZkT25PdHhSVVVGamh3NWdtUEhqbUhCZ2dYczJNbWJOMitLUFlnVnZlZFhWbGJDMHRJU0JRVUZHREJnQUw3NzdydDYzeTlyazVDUXdBYVNXN2R1bGJwZFhlcWJpWW1KQUtydTBlcnE2cHpjRERrNU9ad2VNNnFxcXZqNjY2OXg0Y0lGbEpXVnNkZGdYVjFkaWEybHRUMmtxcW0rU1VoTlduUWcrYjVFeDZ4SlVsaFlDRk5UVS9CNFBGaGJXN01YSzNOemMvVHIxdzgyTmpaWXVYSWxZbU5qWVcxdGpTNWR1aUFnSUFBbUppWUFBQThQRHpaWnpmejU4K3Rkdmk1ZHVyQ1Y4ZXBVVlZYaDZ1cks2ZjVVVVZFQkdSa1pLQ3NydzluWkdkN2UzckMxdFVWZ1lDQWVQSGlBQVFNR0FLZ2FwN2wrL1hyY3YzK2lnbGNiQUFBZ0FFbEVRVlFmNGVIaEFLcTY1MTY3ZGcxSGpoeUJxYWtwVWxKU29LR2hnYnk4UEx4NDhRSzdkKzltdTltc1dyV0tmYzkxNjlZQkFQcjA2UU1QRHcrY09IRUNZOGVPUlVSRUJFYU9IQ2sxU0J3eVpBalUxZFVSR2hxS05XdlcxUHU3QWFvcVlULzk5Qk9uY2lWYW9kWFEwRUJzYkt6WVJmWEJnd2RJU1VsaHgxQm1abVppd0lBQjJMSmxDN1p0MjRiazVHU1VscFppNnRTcG5DNll3b0g1ZCsvZVJVaElDSXlNakZCU1VvSS8vdmdEdTNmdnhzcVZLekZ0MmpUd2VMd0dmMi8xSVM4dmowR0RCbUhGaWhWd2QzZkhwazJiTUhyMGFHaHFha0pGUlFWSGpoeEJZbUlpdExTMDhQZmZmN1B2bjVHUkFXdHJhMDdyVzl1MmJTVldzSVF0a3RVeERJUEV4RVRZMnRyaTBxVkxHREZpQkR1MnA3eThIQW9LQ213R1BkR0FVVmpCYWlnZWo0ZGx5NWF4bVluZDNkMXgvLzU5ckZxMUN2YjI5bEJXVm9hTmpRMmNuWjB4Y2VKRWRyK0tpZ3FZbUpnZ016TVRKaVltYk10UmJHd3NNakl5VUZ4Y3pMWkVMMXk0OEwyNjNyWTIxYk5FS3lnb29IUG56aDlGQzRxRmhRVTdubFphVjdTMmJkdGkvdno1bko0TkFMZjE2dTNidDJJUGlvU3NyS3hnWldXRjR1SmlqQmt6cHRiZ1VWUjBkRFI4ZlgxeDhPQkJyRnUzanIzSHFLaW9zTWVwN3pHYlF0dTJiU1dPMXl3dExRVlFkVDM0bURKSGZ2YlpaeEo3Q2tsS0pDYTZUdFR0MjdlUmtwTENHZHJTWEJpR1FXRmhJWEp5Y3BxN0tFMUNJQkRBd2NFQlQ1NDhRYWRPbmNUV3o1bzFDOU9tVFVONGVEaDdQODNPenNhTkd6Znc2TkVqOW1HTDhKNHZORzdjT01UR3htTFJva1dZTzNjdUFOVDdmc25uOC9IdzRVT1VsWlZod1lJRmVQbnlKVnN2QktxdURhTG5sTDI5UFlZTkd5YjJHV3FyYndKVk13U29xYW5oL1BuejJMdDNMNmYrb3F1cmkvajRlREFNdzdtSE9qZzRjSG9GU1V1cXMyelpzaHJmdTZiNkppRTFhZFdCWlBVZlpIV3FxcXB3ZG5iR29FR0QyTXB3Zm40K0RoMDZ4RDY5VmxKU3d1elpzekZyMWl6OCsrKy9TRTFOaGJXMU5SaUdBY013YkJkWFliZUp4bFE5bVl2d000bDJueEJlUEZWVVZCQWRIUTBBdUhEaEF1N2V2UXRmWDE4b0t5c2pQajRlN3U3dThQTHlnckt5TXV6czdMQnUzVHE0dUxoQVcxc2JibTV1TURRMFJFbEpDVXBLU3FDbXBzWjVjdVhqNDRPeFk4ZGl5NVl0VUZkWFIyRmhJWTRkTzRiQXdNQWF5MjlxYWdwYlcxdVltWmw5c0RuYTNyNTlpMDJiTm1IaXhJazRkKzRjT25Ub2dJU0VCSFRxMUFrN2QrNUVkblkyUHZ2c003UnQyNVlUVEFnRUFtemJ0ZzBKQ1FudzgvTmpXNk9VbEpUZzRlR0JTNWN1d2MzTkRURXhNZmp0dDkvUXQyL2Zlbjl2OWNYajhiQm56eDdzMnJVTG1abVp1SHIxS3R2NnVXL2ZQb3dlUFJwejU4N0ZsMTkraVI0OWVyQVBIU1pQbml4MjN0ZldJbGxkVWxJU3lzcktNSHo0Y0FRSEIyUGZ2bjN3OWZWRjI3WnRJUkFJMEtaTkc2aXFxZ0tvNmdvc0RDcUVXWXZmWjBBL3d6Q0lpNHZEcEVtVEVCa1ppY09IRDhQWjJabDlvT0RtNW9aMTY5YkJ3TUFBSmlZbVVGTlRnN3k4UE51MVZmai9qSXdNbEpXVjRlelpzeGcxYWxTOXV4T1JLcUdob2JoNTh5YmJEZkxseTVkc2kxVzNidDB3WmNvVWpCbzFDb01HRGZyZ3JaTno1ODdGM0xsem9hbXBpZXZYcjNQT093ME5EVnkvZmwxcWdQbmJiNyt4MTREcUQ2V0VDWGlBLzI4QnFheXNSR1ZsSmFkRjVNQ0JBeldXNyszYnQzanc0QUU2ZHV5SWdJQUE1T2JtWXVMRWljMmV4Wk5oR0xhNzh1blRwem5kbFR0MTZnUWRIUjJ4Rm1lR1lkaFdENEZBQUlGQXdONEhxNjhUdnBhMFhIUjdTZXNrYlZmOWIxbFpXYkVIQXdEZzdlMHRkUmlCTU5lQjBMeDU4MkJvYUlqeThuS3A3eS9wNytyZmdmRHY2cC85enAwN0VvY1RDQ2tvS0dEWXNHSDQ2cXV2b0sydHpaWmIwakNKbGs2WWZFNWVYaDRDZ1FDalI0L21yQzhxS3NMQmd3YzU5ODlseTViQjF0WVdVNlpNd2RpeFk5a0FjdVhLbGRpMWF4ZG4vK1hMbDBOVFV4TkdSa2IxdWwveStYd1lHUmxoNE1DQmtKT1RnNU9URTh6TnpYSDgrSEgyV2pCbXpKZzYzVHRxcTI4bUppYWliOSsrZVBMa0NheXNySkNSa1lHb3FDaGtaMmZEMHRJU1FGVlFPMmZPSExpNHVOUTd3MnB0VTdvUjBsQ3RPcERzMUtrVGNuTnowYU5IRDZuYlZPKzJWMXhjaktLaUl1anI2NHNOaE8vYXRTdENRa0tRa0pDQTlQUjAyTm5ac2ExZTQ4YU5rL2lFdENZNU9Ua1NuODRKSlNRa2NGNkhoSVFnTEN3TWd3Y1BocWVucDFobHZieThISTZPamtoTFM4T2VQWHZRdTNkdmhJV0ZJVG82R3J0MzcyWXZUSnFhbXRpd1lRT2NuSnh3Nk5BaHFLcXFJajQrSHJtNXVaZzNieDdzN2UyaHJhME5vR29jNHRxMWF6a3Ryc0hCd1JnMmJGaXRrOXJyNk9pZ2UvZnVDQThQYjVTeGtwS21vUkN0MUFtN2gvSDVmTnk3ZHc4bEpTVVlQWG8wSEIwZDJRcmZ2WHYzOE5WWFgzR09VVmhZaVBYcjErUFJvMGNJQ2dwaVczWkY2ZXZyUTBOREF6dDM3c1NDQlFzUUd4dUw5dTNiMSt0N2E0aVFrQkQ4OHNzdmlJNk9ScTlldmZEdnYvOWl5NVl0VUZWVmhZeU1ESFIxZGJGanh3NTRlbnF5KzBpNm1kV25SYks4dkJ4ZVhsNVlzR0FCNU9UazhPdXZ2MEpCUVFGQlFVR2NCeXh0MjdhRmlvb0swdExTMk45WVdsb2F2dm5tbS9mNnpBOGVQRUJRVUJCNjllcUYxTlJVNU9YbHdjWEZoYk5OVmxZV3lzdkw4ZnIxYTZpcHFhRzh2RnlzUlZKV1ZyYldwN1NrYm9UZElBRjhkRUVsbjgvbmRLbXNpK25UcDBOUlVaSHRzUUg4LzBNNW9kRFFVRVJIUjdNVldIOS9mN3g5KzdaZTQyeDM3dHlKbjMvK0dVNU9UdkR4OFlHZG5SMisvLzc3RC9aZ1RWUkRna2RSUEI2UHJWelhOeEZKVTNyNDhDRldyMTR0Y1oyMFZxTDQrUGc2Wi9Cc3FPam9hTEZBVWtGQkFacWFtaGc3ZGl3TURBemVPeGxkU3pGKy9IaTBhOWNPUjQ4ZWhZeU1qTmozb3FXbEpiWnM0OGFOdUhQbkRnSURBMUZRVU1DMkNvcjJrSGp6NWcxYkw0aVBqNi8zL1ZKT1RnNG5UNTRFVUhVdi9PS0xMMUJlWGc1WldWbE9id1hoMzU5Ly9qbm5YaXVxdHZybTgrZlBZV3BxeW5icC9menp6eEVXRm9hZE8zZXkyOGpKeVdINjlPbll0R21UeE5rQ2FwS2JtNHViTjI5eTVzUVZWVnQ5a3hCcFduUWdtWkdSQWFEaFk1VUdEUnFFdTNmdmNwS0JWRmQ5U2dZTEN3dDA3TmdSRHg0OGdMKy92OVN1bTZkUG4rYU11U2dwS2FsM0JyYTdkKzl5cGh1cFNYcDZPa0pEUTdGMzcxN3MyclVMZG5aMnNMZTNSNXMyYmRodEZCUVVZR0JnQUhWMWRmVG8wUU01T1RuUTA5T0RzYkV4M3IxN2gxdTNibUhvMEtISXpjMUZhbW9xVHB3NHdha1FkT3pZRWU3dTdyQzJ0c2FHRFJ0UVVWRUJiMjl2Yk5teUJYMzc5bVczR3pWcUZDWk4rai8yN2owcXFuci9ILzl6dURNd0tIVFZTaXN5UDRwZkRVZW1QSUVvS3A5UUZNMzBreFdWQ29SSFMwM2ptRjI4SllLZzVoV09xUWRCTVpIQ0xMT2lpM2hFRkIwOWVySTBLMFhCQkpVQkJFYUdtZG0vUDF3elA0YWJNd2h6WVo2UHRWeUwyYk12cjczZERQczFyL2RsbEZGeEwxbXlCTjI2ZFFNQWcvbjgycUx4LzFWTFRWdDFmeGlBMngrdXVzNzBPVGs1S0NrcGdZZUhoMEUveStUa1pEZzdPMlBIamgwR1UwMDBKcEZJc0hqeFlzVEV4S0JMbHk3NjVjWmVOOEQwYTFCZFhZMSsvZnBoNGNLRkdEZHVITFp0MjRhRkN4ZkN3Y0VCV3EwVzFkWFZBTkRpSk1zNnhsWWtCVUhBMHFWTDRlN3ViakRINkpRcFV5QUlBaTVkdWdRM056ZjlOUjh6Wmd5MmJ0MktwNTU2Q2xWVlZmajg4ODhOK3BHMDVmKzhzTEFRenp6ekRBSUNBaEFRRUlDUkkwZnFxKzA2SVNFaEJsOENPVGs1TmFsSUhqaHdBSjkrK2lrQW9LYW14dUJMQjJPYUV0N3Q1MDluWlMxSnBlNEJVdGZrOGs1Zk5MMzU1cHY2ejYzR0k3ZEtwVkxzM0xuVDRMT2s4U0JUUC83NG83NXkwRkJMQTNMcHBqblFWWnE2ZHUyS2pSczM0dnZ2djlmM3QrOW9kNXM4Mm9KZXZYcnAvemJzMmJNSFBqNCtHREprQ0RRYURXUXlXWnVtWFdwUGJtNXVrTWxrR0RGaUJFSkNRdXhtcE5hRzJqSk93dEtsUy9WZExKWXNXWUlsUzViZ3lTZWZ4SWdSSS9SZkVIVHQydFhnLy9kdS8xNWV2WHBWMzAveCt2WHJCdjA0S3lvcU1IWHExQmJqdmRQelp1TTV1N096cy9IWVk0ODErVUorOHVUSnlNckt3ai8vK1UrRDdqSmFyUmEvL3Zwcmk4Yy9mLzQ4dG03ZDJtSWlhY3J6SmxGRE5wMUkzcTJSSTBjaUt5dXJ5Uzl3YytycTZyQml4UXFJUkNJc1diSUVuMzc2S1NJakl6RjM3bHdNR3piTTRJL3M5OTkvajYrLy9scGY1YnB5NVFxY25Kemc3T3lzZnpncExpNis0N2UydWJtNXpVNnUzcEFnQ1BqMjIyK1JsSlNFMmJObjQ0a25uc0NLRlNzUUh4K1BTWk1tSVNZbUJxR2hvZnB2cnJ5OXZaR2Ftb29YWDN3UkJ3OGVoRnd1UjN4OFBLNWR1NFozM25rSDJkblo4UGIyaGx3dXgwOC8vZFNrMzE3ZnZuMHhkZXBVekprekJ5S1JDUEh4OFUwR2dHZzRVRTlOVFEzYzNOejA4elkxL2daTk4rcWZTcVZDVEV3TXhvMGJwNjlxM1lsQ29jRGl4WXZoNWVXRmpSczNZdUxFaVhlY3ZxRyt2aDRYTGx6QStmUG5jZTdjT1hoNWVlbWJwZWlhem5UdDJoV2hvYUY0L2ZYWDlVM01kSE5VR3FPNVlmdU51VzV0dVFiZHUzZkhraVZMc0diTkdxeGN1Ukp1Ym00NGQrNGMrdlhyaDZWTGw2S2lvZ0lyVjY3RSsrKy9qNnFxS29OcFBob3lwaUtwVkNxeFpNa1NuRDU5R2x1MmJJR2pveU1FUVlCQ29ZQ1hseGMwR2cyKytPSUxnL09mT1hNbWxpMWJob2lJQ0Vna0Vyenh4aHY2TDFqYWNyN0E3V0hVSjB5WVlQVDZwYVdsemQ0WHI3enlpcjQvYzNCd3NNWDdvWFZHbGt3cWRRK1EyN2R2UjBGQlFaTzVkVnY2b3FrMUdvMEdXcTBXQ29YQ1lMNi8vUHg4VkZkWE56dUZSRXROeXB5Y25MQjQ4ZUlteS9mdDI5ZHMwdHRlN0NGNWJFNTVlVG5XclZ2WFpFQ1V4bjBtSjAyYWhKZGZmcm5ENDNuMDBVZXhmUGx5L1h5SFpCb0hCd2RjdlhvVkgzLzhNZWJQbjQ4dFc3YmcwVWNmeGIzMzNvdkl5TWhtcHcrNTI3K1hwMDZkYXZNSXFhWThid0szcHlUU3RaaXBxYW5SanpuZzdPeU1tVE5uNHZEaHcxQ3IxZnBtMDFPbVRJRk1Kb09Ua3hPdVhyMnFuM0lMdUoxa0hqeDRzTlZFMFpqblRhTG0ySFVpT1dMRUNHemF0RWsvc0V4amRYVjFPSDM2Tkk0Y09ZSjkrL2JoYjMvN0cxYXRXZ1VIQndlODlOSkw2Tk9uRDFhdlhvMlBQLzRZUTRZTVFkKytmVkZWVllWdDI3Wmh6Wm8xeU16TXhPN2R1K0hzN0l5cFU2ZENyVlpqNk5DaGNIWjJSbTF0YmF0VGhKdzRjUUxsNWVVdERzQlNYbDZPckt3c2ZQdnR0M0IwZEVSaVlpSUdEUm9FNEhheXRtalJJaFFVRk9DVFR6NUJZbUlpQWdJQzhQNzc3MlA5K3ZXSWlvb0NjSHZ1cGs4KytRUi8vdmtuSG4vOGNRd2ZQaHk3ZHUxQ2RIUTA1czJiaHlWTGxtRFlzR0VvTGk3R3I3LytDcmxjanZ6OGZIVHIxZzN4OGZHb3JLekVoZzBic0duVEpnUUVCS0IzNzk3bzNyMDdubnJxS2YwZnh2ajRlSDNmMElDQWdCWXJlcnFta2RPblQwZGxaYVZSQS9BY1BYb1VYYnAwd2RkZmY0M05temRqMnJScHVIbnpKaHdkSGVIczdJd0hIM3dRWVdGaHFLK3ZoMGFqUWUvZXZmSG1tMjlpeFlvVjhQUHpnNStmSHdZT0hJaVNraEpzMnJRSkJRVUZXTDE2TlhyMjdJa0ZDeGJnMVZkZnhkS2xTOXYwaDBNM2Y2U3AxODJVYTFCZFhZMmtwQ1RJNVhKOUh6K0ZRb0g4L0h6OC9lOS9oN3U3dTc3ZlluSnlNdjd4ajMvQXdjSEJvTzluUmtZR3NyT3pEUWFiYVVpM2ZOT21UWWlPam9hbnB5ZTJiTmxpOEVjcUlpSkMzNXpJeDhmSDRPSFkxZFZWLzIxeFkyMzVQeTh2TDhlcFU2Y01KcXF1cUtobzhnZi81czJiK3A5Lyt1a24vZHhkNjlldng4MmJOenZWQTdLdE1IZFNlZW5TSldSbVpxS3dzTkNrTDRJQXREZ294dFdyVnpGMTZsUTRPanJxbTZYWDFOUWdLU2tKc2JHeHpUYWZ2WG56Smp3OFBQRGJiNzgxYVNHaWUzQnpjWEZCUkVRRWhnNGRpcUtpb2xZbk5tOExlMDBlZGFxcXFqQjM3bHdFQkFSZzllclZ1SEhqQmdJREF3RVlOMWRmUjJnOHhSWVpVcWxVcUt1cmcwYWphYlpiME5HalI3Rnc0VUxNbkRrVG9hR2hHREZpQkQ3ODhFUE1uRGtUR28wR1c3WnNRV1ZsSllLQ2d1RG82SWdoUTRaQUpCS1ovUGN5TURBUTlmWDFjSEZ4d1RmZmZLUC9jclZoazFZQStrU3ZKWGQ2M216czNYZmZ4Y1dMRnlHVHllRG82R2p3bWZEY2M4L3BCNU9UeStYbzJyVXJwa3laZ3FGRGg2SzZ1aHJQUC8rOHdXZVJWcXRGang0OWtKaVkyT3l4N3ZTOFNkUXF3WVpkdkhoUnVIang0bDN0NC9UcDA4S2tTWk9FbXBxYUp1L1YxTlFJMDZkUEY5YXZYeTljdUhDaHhYMzgrdXV2UW1wcXFoQWZIeStVbDVjTGxaV1ZMYTViV2xvcVhMbHlSYmh4NDBhTDY5VFUxQWdUSjA0VVRwMDYxZUk2ZFhWMVFuSnlzbEJRVUNCb05Kb1cxeE1FUVNncUtoSnljbklFdFZvdGZQWFZWNEpXcTlXLzkvdnZ2d3YxOWZXQ0lBakN6WnMzQlpWS3BYL3Z4bzBid3RXclY0V0lpQWhoM3J4NVFsWldsdkRYWDM4MTJmL3AwNmVGVFpzMkNXKzk5WmJ3N3J2dkd1eS9wcVpHdUhidG1sQmVYdDVxakRyWHJsMFRqaHc1WXRTNkdvMm0yWFBYYURSQ1hWMmRVRnRiSzlUVjFRbHF0YnJGZmVUbDVRbkRodzhYVnExYUpTZ1VDb045TEZteVJKZ3paMDZMMS9lWlo1NXA4Zi94YnE2YktkY2dMeTlQVUNxVlRaYkw1WEtEL3dkZFRIVjFkZnJYdWJtNVJoMmo0Zm9ON3crZHVybzZvYXFxU3Fpc3JHeHlUR09ZY3I3WHIxOFh0bTNiWnJBc0lTR2h5WHJ4OGZINm43Lzg4a3Y5Ny9mV3JWdUZGMTk4VWRpOWU3ZkIraXRYcmpRMTdIYjUvQ0ZCT0hueXBMQnMyVEloTEN4TUdEaHdvUDdmcUZHamhJMGJOd3BuenB4cDAzMTE2TkFoSVRzNzIrQ2ViMmpKa2lWMy9PelVpWTJOYlhIZHpNeE1ZZTdjdVMzR09HWEtGRUVxbFFxREJ3OFdObXpZME9weDB0TFNoUC8rOTc4R3l4WXNXR0JVakkxcHRWcmgzTGx6d3FaTm00U0lpQWlEYXhzYUdpb3NYcnhZS0N3c2JOTzF0U1UvLy95ek1HclVLQ0UrUGw3UWFEVEN4WXNYaGZmZmYxOElDd3NUWkRLWk1HellNR0g0OE9GQ1NFaUlNSFRvVUNFd01ORFNJYmRLOTMvWUdRMFpNa1QvODVVclY0U1FrQkJoMkxCaHpYNCtWMVpXTnZuOFBYdjJiSk8vOTJxMVdxaXJxeE0wR2syYi9sNU9uanhaQ0E0T0ZqWnUzQ2lzWGJ0V3FLaW9FQVJCRUlZTkcyYXd2a0toRU1hUEg5L3ErYlgydkttemYvOStnOWZHL0g1V1ZWWGRjWjJXR1BPODJabDA1dDhmU3hFSlFxTVoyMjFJZS9WUnFxMnRoWXVMaThWSHl0UFI5WjFwYnRRNWFsKzZrZlZhK3I4WDdqRFNHdGt2OXBGc2Z3MHJsYVdscGZybGxoNzl0VFZhclJiMTlmVUdUVjB0UmJEenltTnphbXRyY2VMRUNYMEZzakdoMGFpeURRY05za2E2YWxaelV6eFF4MnFQNXdFK2Ixb1dmMy9hSHhOSklxSTI0T2RQeDdMRnBOSVNtRHphRno0SUU3VWRmMy9hbjNWOEpVSkVSTlNBdFl6K2FvMllQQklSa1RWZ0ltbWxhbXRyOGQ1Nzd5RXhNZEdrRWQzcTZ1cVFsNWVIME5CUWcrVmFyUlk1T1RrWVBYcTB3WUFQaldtMVd0VFcxcUt5c2hLVmxaV29xS2hBZVhrNTdydnZQdjBjaUcyMVpjc1c5T3paMDZRTzNkWjhQdVpRWGw2T0xWdTJZTmFzV1ZaNUg2eGJ0dzUxZFhVR1UyMm9WQ3FNR3pjT0N4Y3V0SWxyVE5hUFNTV1RSeUlpc2o1TUpLM1VWMTk5aFNOSGp1QzExMTVyZFQxbloyZWtwNmZyWDlmVTFDQTFOUlYvL1BHSHdmRFhtWm1aeU1yS3dzaVJJL1VKaEVLaHdJd1pNNkJVS3FGVUtsRlRVNE5idDI1QklwSEF4OGNIWGJwMGdiZTNOKzY1NXg3NCsvdmYxZm1vVkNyazVPU2dhOWV1eU1qSWFIWGRwVXVYb2tlUEhsWjlQbzAxbkxPdW9xTENZR0xma0pBUXZQUE9PNmlvcUxqakpOUFYxZFg0NFljZjlCT1NTeVFTbkR0M0RyTm16VUpvYUNoV3Jselo3SFpLcGRLZ3FZWTVydHNmZi95QnpNeE1QUGpnZy9wamQrL2VIUTgvL0RDdVhidUdqei8rV0wvdWZmZmRoN1ZyMXhwOVBZbGFZazlKSlpOSElpS3ladXdqYVlWcWEyc3hZY0lFSkNVbG9WKy9maVp2WDFwYWluZmZmUmNyVjY2RXQ3YzNmdi85ZDhUR3h1S2YvL3huazZrc3pwOC9EM2QzZDNoNGVPQ0hIMzVBZW5vNlB2amdBLzFrMjJWbFpWQ3IxZWpldmZ0ZG5WTldWaFkrL2ZSVFNDU1NWdGZidEdsVGswRXJyTzE4ZE1Od1YxWldva3VYTGxpd1lJRyt5dnIxMTE5ajM3NTlUZWFzQTZCUEpGdHJteStWU2cwU1NlQjJWVEl4TVJGTGx5NXRzU29wbFVxYjdMY2pyMXRwYVNuZWVPTU5MRml3QUNkUG5rUkFRQUFHRGh3SXVWeU94WXNYSXkwdERSczJiRUJzYk93ZDUvYTBWWjMxODhkV2RaWStsVXdlcVRYczQwWFVkdno5YVg4Mm5VaDJWb3NYTDRaS3BjS2pqejZLSDMvOHNkVjFkKzdjcWY5NTgrYk5TRXRMTTNoZnFWVEMzZDI5eVhhSERoM1MvL3pubjM5aTFhcFY2TmF0RzJiT25Ja3VYYm9BdUYwVlhiZHVIYUtqby9IQ0N5KzArWHpLeTh2eDZxdXZZdHUyYlMzT0k5a2NhejBmblliSm02NGlXVjFkRFFBR1ZVZmR4T2h0U1NTYlN4RHZGSXM1cnR2Um8wZHgrZkpsdlBEQ0N5Z3FLa0pXVmhiZWVlY2RoSVNFNEt1dnZvSllMTWJCZ3dkUlhWMk5VYU5HM1RGK292WmthMGtsazBjeUZoK0VpZHFPdnovdGo0bWtsZEZxdFlpUGowZEJRUUc4dkx4YVhYZmJ0bTJ0OXBzVEJBR0RCZzNDanovK3FFOEtHa3RNVEVSMmRqYjgvZjN4d0FNUG9LcXFDamR2M3NUMTY5Znh5Q09QSUM0dTdxNHJMcWRQbjhhSkV5ZncwMDgvdGJyZWI3Lzlob0tDQXFzL0g1Mkd5VnZEbi8vNDR3OTl4YS9oY2wwaTJkSms1OER0eWw5TGllU2dRWVBnN2UydFgxZWhVT0Q0OGVOTjFtdXNvNjdib2tXTDhNc3Z2eGdzYTNqdURXVmxaYlY0emtRZHlWcVRTaWFQMUJaOEVDWnFPLzcrdEQvMmtiUXlEZzRPZVAvOTkxRmJXNHRYWG5rRm16ZHZobytQRDZxcnEvSEtLNjlnNDhhTjZONjlPMEpDUW5Dbjd3QjA3N2YyRUJJYUdncVpUQVp2YjI5b05CcGtaV1dodExRVTgrYk5nMFFpd2ZYcjErODY4ZXJmdno4OFBEendQLy96UDNqbW1XZHc4K1pOekowN0Y1czJiVUpkWFIzMjdObURzTEF3UkVSRTJNVDUzTW1MTDc2SVk4ZU90ZmkrcmtMWkhOMkhYSE84dkx5UW01dXJmNjFyWW5zbkhYWGRGaTFhMUdRL0FRRUJUQnJKcWxoVG4wb21qOVJlV3Z0YlFVUmtMa3drclpSWUxNYXdZY053NE1BQlBQLzg4MWk3ZGkwR0RCaWc3NlBtNk9nSWpVYWpYMStyMVdMSWtDSE43cXVscG9XSERoMkN2NzgveXNyS2tKNmVqdi84NXo5NDZhV1g4Tnh6ejhIQndRRy8vLzQ3NXMyYmg4aklTRXlZTU9HdXpxZHIxNjVZc1dJRjdyMzNYcHcrZlJwT1RrNVFxVlI0KysyMzhleXp6OExkM2QxZ0VtaHJQNS9XZE5RRFlGVlZGVWFPSEdud3VqRnpYYmVkTzNkaTkrN2R6UjcvK2VlZmIvWTRuMy8rK1IzUGthZ2pXU0twWlBKSTdjblB6dzluenB5eGRCaEVOcXU1VmxQVWRqYmR0TFd6RG5ieDNYZmY0Vi8vK3BmKzllKy8vNDRubm5qQ1lKM0t5a3BrWkdTMDJ1ZndpeSsrd0VjZmZZVFhYbnNOTTJmT2JIYWQrZlBuNDRjZmZvQllMRWIvL3YxeDY5WXRLSlZLMU5iVzR0YXRXNmlycThPdFc3ZndmLy8zZjNqenpUZmIvS0NqVUNodzRzUUpmUGZkZHlndExVV3ZYcjN3My8vK0Y3MTc5MFp3Y0RBR0R4Nk04ZVBINDV0dnZyR0o4d0dhYjlwYVcxdUwwYU5INjV2eHRtZlQxcENRRUlNK3N3MWZ0OWEwMVZMWHJhaW9xTlA5YmpiVVdUOS83RkY3TjM5bDhraEVSUGFBRlVrckZCb2FhakNsQndDRGF0MXp6ejJITDc3NEFncUZBbDVlWG5CMmRtNnlqN3E2T3FTbHBlRzk5OTdEMnJWckVSQVEwT3ljZnFOR2pVSklTQWk4dkx6ZzVlVUZEdzhQdlBEQ0M4akx5NE9MaXd1Y25KeHc3ZG8xeE1YRlFhRlF3TWZIeCtUenFhNnVSbHhjSEI1NzdERk1tREFCVHozMUZPTGo0NUdabVluVHAwL2oyMisveFkwYk4rRGc0TkRpUHF6cGZJRGIwNWtBdCtmR0xDc3IweTgvZi80OEhuMzAwVmEzYld2VDFyYm95T3ZXVXVWUnAyRWlHUlFVaERsejVyVHJ1UkcxbC9hb1ZESjVKQ0lpZThORTBrcHQzNzVkLzNOZ1lLREJhK0IyYzhUTGx5L2p5eSsvUk4rK2ZmRy8vL3UvK3ZmcTYrdngvdnZ2dzlmWEYrUEdqWU5FSXNHOGVmUHd3UWNmTkptZ2ZzaVFJY2pMeTBOcWFpcTJidDJxVCtiRVlqRTJidHlJMHRKU3ZQZmVld1lWMHRMU1Vqend3QU5HbjR1bnB5ZWlvcUt3ZS9kdStQbjU0ZHk1Yy9qcnI3L2c0T0NBcTFldjR0U3BVNWcyYlJxeXM3TlJYbDZPcjcvK0dxKzg4b3BWbms5TlRRMWlZbUp3NmRJbERCZ3dBTFcxdFFnSkNjR2xTNWVnMVdyeHIzLzlDNWN1WGNLdVhic3dZY0lFeUdReW82L1RuVFJ1MnRyd3k0WG1kUFIxMHpWVjNiRmpCL3o5L2RHM2IxK0RmUVlFQkxBNUs5a2NVNU5LUjBkSEhEeDRrTWtqRVJIWkhTYVNWbWp5NU1rR3IrdnE2cG9zZS9EQkI1R1hsd2VGUW9HQkF3ZnFsLy94eHg5WXNtUUp1blRwZ3FTa0pBREE4T0hEb1ZhcnNXalJJdXpmdng5UlVWSHc4L01EQUJ3OGVCQ0xGaTFDWW1KaWs0cGdaR1FrNXMyYmg5allXS3hhdFFwZHUzYUZTcVZDVEV3TXhvMGJoeWxUcGhoOVRrOC8vVFN1WExtQzA2ZFBZOTI2ZFZDcjFjak96a1pwYVNsU1UxUGg1ZVdGaHg5K0dLZFBuMFp1YnE0K2tiUzI4L0h3OE1DOGVmUFF0MjlmZy9rdWUvZnVqZm56NTZPNnVocWJObTNDbWpWcnNHdlhMc3lkTzlmb2EzUW5qUWZiYVUxSFg3ZUdYRjFkTVh2MmJHemZ2cjNWWnJ0RXRzYVlwTEloSm85RVJHUlAyRWZTQmdRR0Jock05d2NBQnc0Y3dOeTVjeUVTaWZEWlo1L0IyOXNiQ1FrSktDZ293TFJwMC9EU1N5ODFTUWlLaW9xUW5KeU13NGNQUXlhVFljU0lFVWhKU1VGeWNqTDY5T2tEalVhRDJ0cGFqQjA3Rm9jUEh3WUFxTlZxZlBqaGgvajExMStSa3BLQ0J4OThFTmV1WGNQMDZkTVJHQmlJMmJObjN6SCs4dkp5RkJZV0lqOC9ILy81ejM4d1k4WU1QUEhFRTlpM2J4OSsrT0VIL00vLy9BOG1UWnFFMzMvL0haOS8vam42OWV1SDJiTm5XKzM1TkhUcjFpMnNXN2NPKy9mdng1Z3hZekJqeGd6OWxDdy8vUEFERWhJUzhQTExMK1AxMTEvWDk1RnNPTWRrWTlYVjFTMzJrYXlwcVlHSGg0ZCtYYVZTQ1ZkWFYxeThlQkV2di93eUNnb0tVRlZWWmJicjF0Q3laY3NRRkJTRUFRTUdRQ0tSNFB6NTg1ZytmZm9kNTBHMVpmYnkrVU5ONlpMSy9QeDhxTlZxSm85RVJHU2ZCQnQyOGVKRjRlTEZpNVlPbzhNOSsreXpUWlpwdFZwaHlaSWx3bHR2dmFWZmxwT1RJMVJVVk54eGYyZlBuaFgrK3VzdllmMzY5Y0lmZi93aENJSWcvUHp6ejBKZ1lLQXdkT2hRNGVPUFB6WllYNlBSQ09ucDZVSk5UWTErMmJWcjE0UWpSNDRZRmI5Q29SQ1NrcEtFbjM3NlNWQ3BWQWJ2cWRWcTRZY2ZmdEMvdDNidFd1SDgrZk5XZlQ2TjdkbXpSeWd0TFczMlBZVkNJZHk0Y1VNUUJFRzRlZk9tRUIwZDNlcStvcU9qaFpzM2IrcGZOL2QvcnpOdDJqUkJKcE1KUVVGQlFrcEtpbjY1T2ErYmpsYXJGYlJhclRCa3lCQmg0TUNCUW1CZ29MQjkrL1k3eG1ETDdPWHpoMW8yY09CQVllREFnWllPZzRpSXlDSllrYlFCU3FVUzd1N3VsZzZEaUJxd2w4OGZhaGtudHlZaUludlc4akNaWkRXWVJCSVJFUkVSa1k5Y2Rac0FBQ0FBU1VSQlZEVmhJa2xFUkVSRVJFUW1ZU0pKUkVSRVJFUkVKckhwNlQvWU40bUlMSVdmUDBSRVJHVFBXSkVrSWlJaUlpSWlrekNSSkNJaUlpSWlJcE13a1NRaUlpSWlJaUtUMkhRZlNkMDhibmZTdUM4VHQrTjIzSTdiZGRSMlJFUkVSUGJBcGl1U0xpNHVsZzZCaU95WXM3T3pwVU1nSWlJaXNnaVJJQWlDcFlNZ0lpS3lOVktwRkFBZ2w4c3RIQWtSRVpINTJYUkZrb2lJaUlpSWlNelBwdnRJRWhFUm1VdGhZU0h5OC9PYkxGKzllclgrNS83OSsyUDQ4T0htREl1SWlNZ2ltRWdTRVJFWndkSFJFZHUzYjIreXZPR3lwS1FrYzRaRVJFUmtNV3phU2tSRVpJUUJBd2JBeTh1cnhmYzlQRHdRRkJSa3hvaUlpSWdzaDRra0VSR1JFWnljbkJBYUd0cmkrMDgvL1RSSDhpVWlJcnZCUkpLSWlNaElJU0VoTGI0M1lzUUlNMFpDUkVSa1dVd2tpWWlJak9Udjd3OFBENDhteTkzYzNEQjA2RkR6QjBSRVJHUWhUQ1NKaUlpTTVPTGkwdXlvckRLWkRLNnVyaGFJaUlpSXlES1lTQklSRVptZ3VVU3l0U2F2UkVSRW5SRVRTU0lpSWhOSXBWSzR1N3ZyWDd1NnVuTHVTQ0lpc2p0TUpJbUlpRXpnN3U1dTBCOVNLcFZDTEJaYkxpQWlJaUlMWUNKSlJFUmtvb1lWU0E2eVEwUkU5c2pKMGdFUUVSSFpHcGxNQmhjWEYyaTFXb3djT2RMUzRSQVJFWmtkRTBraUlpSVRlWGg0SUNnb0NGVlZWZkR5OHJKME9FUkVSR2JIUkpLSWlLZ05SbzRjaVJzM2JsZzZEQ0lpSW9zUUNZSWdXRG9JSWlLeVRyR3hzVGgyN0ppbHd5QWI0K2ZuaC9UMGRFdUhRVVJFSFlpRDdSQVJVWXVZUkZKYm5EbHp4dEloRUJGUkIyUFRWaUlpdWlPNVhHN3BFTWhHU0tWU1M0ZGdvS2lveUtqMWV2YnN5ZTJzZURzWEZ4ZDA2OWJOcUgwUWtYbXdJa2xFUkVSRVZrMmxVbGs2QkNKcWhIMGtpWWlvUmJycUVpdVNaQ3plTTlUZWRGWEp4dFZLSXJJc1ZpU0ppSWlJaUlqSUpFd2tpWWlJaUlpSXlDUk1KSW1JaUtoVEtpb3FNbnFRRnlJaU1nMFRTU0lpSWlJaUlqSUpFMGtpSWlJaUlpSXlDUk5KSWlJaUlpSWlNb21UcFFNZ0lpSWlJbW9KcC8wZ3NrNnNTQklSRVJFUkVaRkpXSkVrSXVwRXpwOC9qL3o4ZkJ3NWNnU1hMMTlHUlVVRjh2UHpMUjBXRVRXanJLd005OTkvdi83MTlldlg0ZVBqQXdjSEI5VFUxTUREdzhPQzBSRVJ0WTRWU1NLaVRxQ2twQVN6WnMzQ2l5KytpSFhyMXVIWXNXTzRldlVxYnQyNlplblFiSXBjTHNmMjdkdmJ2SDFaV1JuMjc5OS94L1ZTVTFPYkxGT3IxY2pNekVSOWZYMmJqMC9tSndnQ2R1N2NhZkx2Mm4vKzh4OU1uejdkWUQ5UlVWSDQ2YWVmY1BMa1NVeWRPaFZxdGJyVmZmQitJeUpMWWtXU2lNakduVHg1RXJObnowWjFkVFc2ZCsrT3NMQXdTS1ZTUFA3NDQvRHk4ckowZURaRHE5Vmk1Y3FWZVBQTk4xRmNYSXpvNk9obUswYWJOMi9HZ0FFRG10MkhJQWhJVGs1Ry8vNzk4ZEJERDdWNHJPM2J0eU0yTnRaZ21aT1RFODZmUDQrMHREUkVSMGUzejBsUmh4T0pSTGgwNlJJKytPQURyRml4QXRldVhVTkVSRVNMNnhjVUZBQUFkdTNhaGNqSVNQM3kvUHg4K1BqNFlQanc0UUNBZnYzNjRmVHAweGc0Y0dDTCsrckkrMDJqMFVBbWt4bmMvdzJWbFpXaHNMQVFqbzZPTFI2M3Zlam1BbVZmU1NMcndrU1NpTWlHbFpTVVlQYnMyYWl0cmNXMGFkTXdmZnAwaUVRaVM0ZGxrN1p2MzQ3Ky9mdGp3SUFCeU1uSndaZGZmb25CZ3dmckt6NW56NTVGWEZ3Yyt2VHBvOTlHS3BYQ3g4ZkhZRDhPRGc1NC9mWFhtK3kvb3FJQ3g0NGRNMWltVUNnd2FkSWtBSUJLcFFJQXVMaTRJQ3NyUzc5T2JtNXV1NXdmZFp5NWMrZGk2dFNwMkxkdkg4TER3L1hKWWt1S2k0dnh5eSsvWU1tU0pYai8vZmZ4emp2dllQUG16U2dxS2tKNGVMaCt2YU5IandJQUZpNWNpSUNBQUl2Y2J5MVZQS1ZTYWF2blNFU2RIeE5KSWlJYnRtTEZDbFJYVjJQYXRHbjQrOS8vYnVsd2JOYXBVNmVRbloyTlpjdVdJU0VoQVQ0K1BoQUVBWUlnb0xxNkdwNmVubGkxYWhWbXpab0ZGeGNYL1hZT0RnNU5IcnlsVWlua2NubVRZd1FFQkNBc0xBd0FjT3ZXTFlTRmhTRTVPUm01dWJtb3JLekV4SWtUa1pLU0FsOWZYMVJVVktCTGx5NzhVdUF1bWF1QzVlVGtoSTBiTnhyZHB6RWxKUVhUcGszRDBhTkhjZjM2ZFJRV0Z1Sy8vLzJ2d1gwemVQRGdKZ21wSmU0MzNUNklpQnBqSWtsRVpLUE9ueitQUTRjT29YdjM3Z1o5cmNoMGRYVjFHRHg0TU5hdFc0ZWFtaHA4OE1FSFVLbFVFQVFCQnc0Y1FGQlFFT1J5T1M1Y3VJQ0VoQVI4OXRsbjhQTHl3c0tGQ3pGeDRrUlVWMWNiN0sveHc3ZW5weWNXTGx5SThQQnduRDE3RmxGUlVRYVZubFdyVm1IOCtQSHc5ZldGSUFpWU8zY3VJaUlpTUhic1dMT2NQOTA5VDA5UEFFQmdZR0NyNi8zdGIzL0R2Ly85YjF5NGNBR2xwYVdJajQvSDRzV0xqZnJTd0p6M20wZ2tncWVuWjRzVnllRGdZSDdSUVdUbm1FZ1NFZGtvM1dpc1lXRmhmS0Jyb0txcUNrcWwwcVJ0WkRJWm5uamlDVXliTmcxcjE2NkZzN016eXN2TElSYUxzV2ZQSG9TSGgwTXVsNk9rcEFSUlVWSDZwQ0U4UEJ4SlNVbkl5OHZUNzBzcWxUWjUrQTRPRHRZM1dkUlZsRzdjdUlGNzdya0hlL2Z1aFZ3dVIzeDhQQW9MQzNIa3lCSFUxOWRqOU9qUmQzTVp5RXlXTFZ1Rzc3NzdEdFhWMVpETDVUaDA2QkFBSUMwdERTZE9uTURhdFd1YmJIUHo1azBjTzNZTVAvendBN3AzNzQ0eFk4WWdQVDNkb0ZtclNxWFN2MTY3ZGkwZWYveHhzOTF2V3EwV28wZVBobGdzYnJFaUtSYUxNWHIwYUtNRyt5R2l6b21KSkJHUmpUcHk1QWdBOWxWcWJPWEtsZmpxcTY5TTJxYWdvQUR6NXMyRFRDYURYQzdIeVpNbjRldnJpNTQ5ZThMZDNSMG5UNTZFdjc4L3NyS3lNR2JNR0RnNHRHM1FjNlZTaWNPSEQwT2owV0RxMUttSWpJeEVUazRPdkx5OHNHWExGbHk0Y0FGS3BSSVpHUm5JejgrSFdxMUdTRWhJbTQ1RjV2SGVlKzloL3Z6NWtNbGsrbVVxbFFxZmZ2b3BWcXhZQVVFUXNHL2ZQb1NGaGVrSHBuRjFkY1dtVFp1d1pzMGFQUERBQTVnK2ZUclMwOU1ON3R2Qmd3ZWJmQjgzMXRiN1RSQUVsSldWR1RTWlRVeE14SXdaTS9SZm91Z0c0eUVpKzhWRWtvaHNrbTRVdnp0cDNFZkttTzBjSEJ6d3lDT1A2RjlyTkJvVUZ4ZmZjVHV4V0l6NzdydlBxTGphdytYTGx3RUFqei8rdU5tT2FRc1dMMTZNeFlzWG03Uk5iVzB0eEdJeG5KeWNvRlFxMGFkUEgxeTRjQUdQUGZZWXhvMGJoNlNrSkN4ZnZoejc5dTB6R0poRXAyRWxxYm5YT2p0MjdFQlFVQkF1WDc2TTVPUmtIRDU4R0JrWkdSQ0pSTWpJeU1BdnYveUNqUnMzb3JhMkZvc1dMVUpTVXBKSjUwR0dMRFhhWjA1T0RucjE2b1grL2ZzREFBNGNPSUNpb2lMTW1ERURBUER4eHgvRHg4Y0grL2Z2UjFsWkdlTGk0a3phdnlYdXQ3MTc5ellaK1pXSTdCc1RTU0t5T2NZbWtXMGxDRUtycjQzZHJxTlZWRlFBQUtmNGFBZGlzUmpyMTY4SGNMdlpZV1ZsSmJLeXNpQ1R5U0NWU3ZISUk0OGdNaklTTVRFeFRVYk5CR0JRT1pKS3BVMHFTY0hCd2RCb05Nak96a1ptWmlZeU16UFJxMWN2OU9yVkM4WEZ4VmkrZkRsS1MwdXhkZXRXT0RnNElDWW1CdEhSMGF3MjI2Q3FxaXBzM2JwVjM2UzF2cjRlYjd6eEJxWk1tWUpubm5rR1Vxa1VhclVhOTkxM0g5UnF0Y0ZVTW5kcTJxcGo3dnV0dkx3Y2FyVWFFb25rN2k4UUVYVWFUQ1NKeUdhMXBjclFsbTJjbkp5c2N2NHkzUVRvcnE2dUZvN0U5djMyMjIvNDVwdHZjUHo0Y2RUVzFtTE1tREVvS0NqQS9QbnpvZEZvSUJLSm9GUXFjZVhLRldpMTJpWk5XeHYzSTJ1dVg1bWpveVBXckZsamtJaW1wS1RvKzhZbEpTWGg4dVhMbURWckZnWU5Hb1RKa3lkM3pNbFNoMXE3ZGkwVUNnWG16SmtEQUhCMmRvWkVJc0dUVHo2SnhZc1g0OU5QUDhXQ0JRdWEzZGJZcHEwZGZiK0pSQ0k4K2VTVCt0ZTdkdTJDbTVzYm5uLytlZjJnUE43ZTNtemFTbVRubUVnU0VaSGRVNmxVNk5hdEd4SVNFdEN0V3plOC9mYmJHRDkrUE9ycjZ6Rmp4Z3lvVkNwa1pXVWhMaTRPc2JHeCtQREREL0h3d3c4RHVEMlNac04rak0wTmZ2TGpqejhDQUhyMzdtMndmUHo0OFFnTURJU2ZueCt5c3JLd1ljTUdUSm8wQ2Z2MjdjUHUzYnN4Y2VMRURqNXp1bHRxdFJxcHFhbnc4ZkZCWm1ZbVhudnROYnoxMWx1UVNDUk5Cc0U2ZGVvVTNOemM4TWNmZitEWFgzL0ZMNy84Z3A5Ly9oa3Z2ZlNTMGNjengvM200T0NBblR0MzRzcVZLMGhMUzhPQkF3ZXdiZHMyZlpYemhSZGVnRXdtUTFSVWxFblhpb2c2RjVGZzdyWllSRVNkVkZWVkZVUWlrZG1hZittYW9UVTNoNXd0SGNQYTVPWGxZY09HRFVoTVRNUzBhZE13Yk5nd3hNWEZ3ZFhWRlRVMU5mam9vNDlRWGw2TzFOVFVaa2ZMYldsZXY0WUNBd1AxbzNzZVBYb1U2OWV2UjJWbEpSWXZYZ3gvZjM5Y3VuUUowNmRQeDRnUkl6Qjc5bXliR3BYWG11NFpjL1NSM0x4NU02cXJxeEViRzR0UFB2a0UzMzMzSGFxcXF1RGs1QVJuWjJjNE9UbkJ3Y0VCZFhWMVVDcVZHREJnQUVRaUVlNjk5MTcwN2RzWGZmdjJSYTlldlRCa3lCRGNmLy85elI1anlwUXBHRGR1WExQdnRmZjlGaE1UZzNYcjF1SDA2ZE1vS1NuQnFGR2pFQjBkYlZEWnJLMnRSVTVPRG5idTNBa1BEdzk4OHNrbmJHSlBaSWRZa1NRaWFpY0toUUlBMkkvSXhnVUhCME1xbGNMVDB4TnBhV25vMGFPSC9qMFBEdzhzWDc0Y0twV3F4ZVRPbEg2TjU4NmR3N0pseXpCMjdGaEVSa2JxbXluMzZORURtemR2eHVlZmYzNTNKME1kN3RWWFg0V0xpd3NBNE0wMzM4U2JiNzRKNFBZZ1hicC93TzBxbjBnazBpZVdqVDN6ekROWXZYcTF5Y2R2Ny90TkxCYWpYNzkrQ0FrSndWTlBQYVUvdDRiRVlqRmVmdmxsdlBqaWk1REw1VXdpaWV3VUs1SkVSTzNFM0NORXNpSkoxc2lhN2hsTGpkcEtSR1FQMmpZUkZoRVJFUkVSRWRrdEpwSkVaSE9LaW9vNmZBb1FJaUt5RHZ6TUo3Sk9UQ1NKaUlpSWlJaklKQnhzaDRpSWlEb2w5bzBrSXVvNHJFZ1NFUkVSRVJHUlNaaElFaEVSRVJFUmtVbVlTQklSRVJFUkVaRkoyRWVTaUtpZFNDU1NGaWVwSnlMek0zYWt6OFo5S2JtZGJXMUhSSmJCUkpLSXFKMzQrUGhZT2dRaWFzREZ4UVVxbGNyU1lWQTdjSFoydG5RSVJOU0lTQkFFd2RKQkVCR1pRdmN0dGIyUHlDaVZTZ0VBY3JtOHc0OUJaS3FPdkMrSmlNankyRWVTaUloYTVPZm5aK2tReUFiNSt2cGFPZ1FpSXVwZ3JFZ1NFYldUcXFvcWlFUWlTQ1FTc3h6UEhCVkphaG12UHhFUjJUUDJrU1FpYWljS2hRSUF6SlpJRWhFUkVWa0ttN1lTRVJFUkVSR1JTWmhJRWhFUkVSRVJrVW1ZU0JLUnpTa3FLdUw4WWtSRVJFUVd4RVNTaUlpSWlJaUlUTUpFa29pSWlJaUlpRXpDUkpLSWlJaUlpSWhNd2tTU2lJaUlpSWlJVE1KNUpJbUlpSXhRV0ZpSS9QejhKc3RYcjE2dC83bC8vLzRZUG55NE9jTWlJaUt5Q0NhU1JFVHRSQ0tSUUNRU1dUb002aUNPam83WXZuMTdrK1VObHlVbEpaa3pKQ0lpSW90aElrbEUxRTU4Zkh3c0hRSjFvQUVEQnNETHl3dFZWVlhOdnUvaDRZR2dvQ0F6UjBWRVJHUVo3Q05KUkVSa0JDY25KNFNHaHJiNC90TlBQdzFuWjJjelJrUkVSR1E1VENTSmlJaU1GQklTMHVKN0kwYU1NR01rUkVSRWxzV21yVVJrYzNyMjdHbnBFSnBWVlZVRmtVZ0VpVVJpNlZDb2cvajcrOFBEd3dNMU5UVUd5OTNjM0RCMDZGRExCRVZFUkdRQnJFZ1NrVjFidVhJbHFxdXIyMlZmQ29VQzVlWGw3Ykl2c2s0dUxpN05qc29xazhuZzZ1cHFnWWlJaUlnc2c0a2tFZGt0UVJDd2E5Y3VPRG14Y1FZWnI3bEVzclVtcjBSRVJKMFJFMGtpc2xzS2hRS2VucDV3YzNPemRDaGtRNlJTS2R6ZDNmV3ZYVjFkT1hja0VSSFpIU2FTUkdSemlvcUtVRlJVZE5mNytlMjMzNkJVS2xGWFY5Y09VWkc5Y0hkM04rZ1BLWlZLSVJhTExSY1FFUkdSQlRDUkpDSzdkZXJVS2FoVUtodzVjc1RTb1pDTmFWaUI1Q0E3UkVSa2o1aElFcEhkeXN2TFEwUkVCUGJ0MjJmcFVNakd5R1F5dUxpNHdNbkpDU05IanJSME9FUkVSR2JIUkpLSTdOS1pNMmR3NWNvVnpKa3pCNmRPblVKSlNZbWxReUliNHVIaGdhQ2dJUGo3KzhQTHk4dlM0UkFSRVprZEUwa2lza3VmZlBJSklpSWlJSkZJTUc3Y09LeGZ2OTdTSVpHTkdUbHlKSnUxRWhHUjNlS1k5MFJrZDNKemMzSHk1RWw4K09HSEFJQlhYbmtGNDhhTncvZmZmNDhSSTBaWU9EcnJFaHNiaTJQSGpsazZES3VXbEpSazZSQ3NqcCtmSDlMVDB5MGRCaEVSZFNCV0pJbklycHc3ZHc1TGxpekJ2SG56NE9QakF3Q1FTQ1Q0eHovK2dVV0xGdUhFaVJOdDNyZEVJdWwwelJ5WlJGSmJuRGx6eHRJaEVCRlJCMk5Ga29qc3hyRmp4ekJ2M2p4RVJFUmd6Smd4QnUrRmhvYmkxMTkveFl3Wk16QjM3bHhNbURBQklwSElwUDNyRXRQT1NDNlhXem9Fc2hGU3FkVFNJUkFSa1Jrd2tTUWl1N0I3OTI2c1dMRUNyNzMyR21iT25ObnNPck5tellLN3V6c1NFeE5SV1ZtSmFkT21tVGxLSWlJaUl0dkFSSktJN01MUW9VUHh5Q09QNEpsbm5tbDF2WmlZR0FRR0JxSlhyMTVtaW95SU9sSlJVWkZSNi9YczJaUGJXZkYyTGk0dTZOYXRtMUg3SUNMellDSkpSRGFuOFlPR01lNjc3ejdjZDk5OVJxM2J0Mjlmay9jUEFGVlZWUkNKUkpCSUpHM2Fub2lJbXFkU3FTd2RBaEUxd2tTU2lLaWRLQlFLQUdBaVNXUkYydkxGRTdlenJ1Mk1yV1lTa1hseDFGWWlJaUlpSWlJeUNSTkpJaUlpSWlJaU1nbWJ0aEtSemRFMWN6SzFxWlN4MHhJOCtlU1QyTGx6cDhseEVaRjFhZXRuQlJFUjNSa1RTU0t5RzRXRmhRYXYvL3JyTDBSRVJEUlpidXI4a1VSRVJFVDJob2trRWRrTlIwZEhnOWNPRGc3TkxpY2lJaUtpMXJHUEpCRVJFUkVSRVptRUZVa2lJaHQwNjlZdEFJQ1RFei9HaWFoell4OVhJdXZFaWlRUmtRMnFxS2dBQUhoNWVWazRrczVGTHBkaisvYnRiZDYrckt3TSsvZnZ2K042cWFtcFRaYXAxV3BrWm1haXZyNit6Y2NuSWlJeUZ5YVNSRVR0UkNLUm1DMnhPM2Z1SEFEZ3NjY2VNOHZ4YklrZ0NMaHg0NFpSLzFRcWxYNDdyVmFMbFN0WHd0ZlhGOFhGeFFnTEM0TlVLa1ZZV0pqK1gwQkFBRTZkT3RYcXNaT1RrMUZTVXRKcWpNMGxxMDVPVGpoLy9qelMwdExhZk81RVJFVG13alpSUkVUdHhNZkh4MnpIMGxXOS92YTN2NW50bUxaQ3FWUWlORFRVcUhWWHJseUpvVU9IQXJpZDNQWHYzeDhEQmd4QVRrNE92dnp5U3d3ZVBGaC9yYytlUFl1NHVEajA2ZE5IdjcxVUttM3kvKzdnNElEWFgzKzl5YkVxS2lwdzdOZ3hnMlVLaFFLVEprMENBSDFTNitMaWdxeXNMUDA2dWJtNVJwMExXVjVOVFEzYzNOemc2T2lJd1lNSG82Q2dBTFcxdFhCeWNvS0xpMHVUOWVWeU9YNzk5VmU4OHNvcmJUcGVXVmtaNUhJNXdzTENXbDB2TlRVVnNiR3hCc3ZVYWpXeXNySXdjZUpFT0RzN3QrbjRSR1RmbUVnU0VkbVlZOGVPSVRjM0Z4S0pCQk1tVExCME9GWkhMQlpETHBlYnRNMnBVNmVRbloyTlpjdVdJU0VoQVQ0K1BoQUVBWUlnb0xxNkdwNmVubGkxYWhWbXpacGxrQkE0T0RnMFNmU2tVbW16eHc4SUNOQS84Tis2ZFF0aFlXRklUazVHYm00dUtpc3JNWEhpUktTa3BNRFgxeGNWRlJYbzBxVUxwNkt4SWVmT25VTmNYQndpSXlQeHdnc3Y2SmYvKzkvL1JtcHFLdWJNbVlNaFE0Ym9sK3NxNEcrKytTYUtpNHNSSFIyTnNySXkzSC8vL2ZwMXJsKy9qczJiTjJQQWdBSE5IbE5YQWUvZnZ6OGVldWloRm1QYnZuMTdrMFN5WVFVOE9qcTZ5VFlhalFZeW1jd2dub2JLeXNwUVdGaG9sbEd2T1I4b2tYVmlJa2xFWkVOT25qeUpkOTU1QndEdzFsdHZRU0tSV0RpaXpxR3VyZzZEQncvR3VuWHJVRk5UZ3c4KytBQXFsUXFDSU9EQWdRTUlDZ3FDWEM3SGhRc1hrSkNRZ004Kyt3eGVYbDVZdUhBaEprNmNpT3JxYW9QOU5hNFFlWHA2WXVIQ2hRZ1BEOGZaczJjUkZSVmwwSmR5MWFwVkdEOStQSHg5ZlNFSUF1Yk9uWXVJaUFpTUhUdldMT2RQYmFmVmFwR2VubzR0VzdaZ3hvd1pCa2trQUlTR2hrS3IxV0wxNnRYWXMyY1A1cytmai92dnY5OW1LdUF0OWZtVlNxV3RYUllpc2dOTUpJbkk1clRsVytuV0hucWFlMi9UcGswbVB5aFZWVlZCSkJKMVNISjM3ZG8xYk51MkRWbFpXZEJxdFlpTmpjWHp6ei9mN3NleFZ6S1pERTg4OFFTbVRadUd0V3ZYd3RuWkdlWGw1UkNMeGRpelp3L0N3OE1obDh0UlVsS0NxS2dvZUhwNkFnREN3OE9SbEpTRXZMdzgvYjZrVW1tVGgrL2c0R0NFaDRjRCtQOGYxRy9jdUlGNzdya0hlL2Z1aFZ3dVIzeDhQQW9MQzNIa3lCSFUxOWRqOU9qUlpqcjd6c3NjRmF5VWxCUjg5OTEzU0UxTmhaK2ZuMzc1aEFrVHNHM2JOdVRrNU9DeHh4N0RqaDA3c0hMbFN0VFgxOXRVQmZ4T3pXYUp5SDR4a1NRaXUyQnFVOGUyVUNnVUFORG1SRkt0VnFPdXJnNTFkWFVvTHkvSGxTdFhjT0hDQmVUbDVla0hlUEgyOXNhc1diTXdac3lZZG91YmJsZG41czJiQjVsTUJybGNqcE1uVDhMWDF4YzllL2FFdTdzN1RwNDhDWDkvZjJSbFpXSE1tREZ3Y0dqYldIVktwUktIRHgrR1JxUEIxS2xURVJrWmlaeWNISGg1ZVdITGxpMjRjT0VDbEVvbE1qSXlrSitmRDdWYWpaQ1FrSFkrVzJwUGt5ZFB4cFFwVXlBV2kvSG5uMzhpUHo4ZlAvMzBFODZkTzRlaFE0ZGk4ZUxGK3FhcEgzendBUUNncEtURTZpdmdJcEVJbnA2ZUxWWWtnNE9EMmZTYXlNNHhrU1Fpc2dLalI0L0cxYXRYVzN5L2UvZnVHRGx5SktLaW9pQVdpODBZbVgxUXE5VVFpOFZ3Y25LQ1VxbEVuejU5Y09IQ0JUejIyR01ZTjI0Y2twS1NzSHo1Y3V6YnQ4K2dHYUNPcnRyWTBtdWRIVHQySUNnb0NKY3ZYMFp5Y2pJT0h6Nk1qSXdNaUVRaVpHUms0SmRmZnNIR2pSdFJXMXVMUllzV0lTa3BxVVBPbDlxSElBZzRkT2dRNUhJNWpoMDdobXZYcm1IUW9FRVlNMllNMXE1ZHE2OWNOMmJ0RlhDdFZvdlJvMGRETEJhM1dKRVVpOFVZUFhxMFVkUGRFRkhueEVTU2lNZ0tOSnlHb2prdUxpNjQ1NTU3Mmx3Sm85YUp4V0tzWDc4ZUFIRHo1azFVVmxZaUt5c0xNcGtNVXFrVWp6enlDQ0lqSXhFVEU5UHM2THhmZmZXVi9tZXBWR3J3R3JqOVlLL1JhSkNkblkzTXpFeGtabWFpVjY5ZTZOV3JGNHFMaTdGOCtYS1VscFppNjlhdGNIQndRRXhNREtLam85a1B6Y3FKUkNLY09YTUdEejMwRUhKemMvSEFBdy9nOHVYTDJMSmxDN1pzMldLdzd0V3JWM0g4K0hFQTFsOEJGd1JCUHlLc1RtSmlJbWJNbUtGUGFuV0Q4UkNSL1dJaVNVUTJwek9PNEplYm13dTFXZzJsVW9uYTJscVVsWlhoenovL3hQbno1eUdYeS9IYmI3OWgxYXBWMkw1OU94WXNXSUNnb0NCTGg5eXAvUGJiYi9qbW0yOXcvUGh4MU5iV1lzeVlNU2dvS01EOCtmT2gwV2dnRW9tZ1ZDcHg1Y29WYUxYYUpnLzJqYXMyelZWeEhCMGRzV2JOR29ORU5DVWxCZW5wNmZwSzArWExsekZyMWl3TUdqUUlreWRQN3BpVHRTUG0rS3g0OTkxM0FkeXVOamMzeFlkT3cyYWd0bGdCMzd0M2I1T1JYNG5JdmpHUkpDSzdaZXdjYk9iaTVPUUVpVVFDaVVTQ0J4NTRBUC92Ly8wLy9YdkZ4Y1g2UVQzbXpKbUR1TGc0L2VpTFpNalVLbDVHUmdhMFdpMjZkZXVHaElRRWRPdldEVysvL1RiR2p4K1ArdnA2ekpneEF5cVZDbGxaV1lpTGkwTnNiQ3crL1BCRFBQend3d0NBaFFzWEd2UmpiSzZwNFk4Ly9nZ0E2TjI3dDhIeThlUEhJekF3RUg1K2Zzakt5c0tHRFJzd2FkSWs3TnUzRDd0Mzc4YkVpUlBiY2duSVFqNy8vUE1XM3dzT0R0Yi9iR3NWOFBMeWNxalZhbzRTVFVRR21FZ1NrZDB5ZGc0MmEvRHd3dzlqMmJKbEdEVnFGT2JQbjQvRXhFUjRlWG5odWVlZXMzUm9WdWZBZ1FNbXJlL2g0UUVIQndmMDY5Y1BBSkNYbDRlU2toSzg5ZFpibURoeElvWU5HNGE0dURpNHVyb2lMUzBOSDMzMEVaWXVYWXJVMUZTSVJDS2pCc05wYVowSEgzd1FSVVZGZU8yMTExQlpXWW0xYTlmQzM5OGZFUkVSbUQ1OU9vcUxpekY3OW13T2FtSWpXaHRKdWJhMlZ2K3p0VmZBUlNJUm5uenlTZjNyWGJ0MndjM05EYzgvLzd4K1VCNXZiMjgyYlNXeWMwd2tpY2h1M08wY2JOYmcyV2VmUlh4OFBHYlBubzNrNUdRTUdUS0VnKzgwY3JkVmsrRGdZRWlsVW5oNmVpSXRMUTA5ZXZUUXYrZmg0WUhseTVkRHBWSzFtTnlaVWhFOWQrNGNsaTFiaHJGanh5SXlNaEt1cnE0QWdCNDllbUR6NXMydFZyakkraGhia1ZTcFZGWmRBWGR3Y01ET25UdHg1Y29WcEtXbDRjQ0JBOWkyYlp1K3l2bkNDeTlBSnBNaEtpcnE3aTRZRWRrMGtTQUlncVdESUNJeVJWdjdQUVVFQkRSSkRsdWJnODNVUk5LY2ZUZm56Sm1EZ3djUFl1N2N1WGpwcFpjNjdEaTZwTWdjMDZkUTUyQk45NHc1ZnllRGc0UFJ0V3ZYRnQrL2N1VktzNThwZVhsNTJMQmhBeElURXpGdDJqU0RDbmhOVFEwKyt1Z2psSmVYNnl2Z2piWDBHZFpRWUdBZ0RoMDZCQUE0ZXZRbzFxOWZqOHJLU2l4ZXZCaisvdjY0ZE9rU3BrK2ZqaEVqUmlBbUpnYnIxcTNENmRPblVWSlNnbEdqUmlFNk90cmdTN2phMmxyazVPUmc1ODZkOFBEd3dDZWZmQUl2THk5akx4VVJkUktzU0JLUjNUQjFEalpyRmg0ZWpvTUhEK0xmLy81M2h5YVNSR1FjRnhjWGZQSEZGeTIrMzFKZmJHdXJnSXZGWXZUcjF3OGhJU0Y0NnFtbm1oMUFTQ3dXNCtXWFg4YUxMNzRJdVZ6T0pKTElUckVpU1VRMjUyNnFETUhCd1UzbVlHdjhiWDdqZFl4VlhsNE9rVWdFYjI5dms3YzExVjkvL1lYdzhIRGNlKys5K1BiYmJ6dnNPTlpVWFNMYllFMzNUR2NjNFptSXlGcXdJa2xFMUU2YUcxMnhvK2lTMWNyS1NyTWRrNGlJaUVpSGlTUVIyUjFqNTJDelptNXViZ0NBK3ZwNkMwZENSTlN4V0ZrbXNrNU1KSW5JN2hnekJ4c1JFUkVSdFl5SkpCSFpuTHY5VnRxWU9kamFvcXFxQ2lLUmlKTjJFMWtKVnJDSWlEb09FMGtpc2l1bXpNRm1Lb1ZDQWVEdTV6RWtJaUlpc25ZT2xnNkFpTWljR2lhUmQ3TU9FUkVSa1QxaklrbEVkczJVT2RpSWlJaUk2RFkyYlNVaW05T2VJL2h0MnJUcHJ2ZGhENWh3a3kzU2ZWYmNTZVBQRW01blc5c1JrV1d3SWtsRVJDM3k4L096ZEFoa2czeDlmUzBkQWdEQXhjWEYwaUZRTzNGMmRyWjBDRVRVaUVnUUJNSFNRUkFSbWNKYTV4UXpkMXk2S3FGY0xqZkw4Y2dRcno4UkVka3pWaVNKeUs2a3BxWTJXYVpXcTVHWm1ZbjYrbm9MUkVSRVJFUmtlNWhJRXBGZDJiNTllNU5sVGs1T09ILytQTkxTMHN3ZkVCRVJFWkVONG1BN1JHU1hGQW9GSmsyYUJBQlFxVlFBYnZlbnlzckswcStUbTV0cmtkaUlpSWlJckIwVFNTS3lDMkZoWVFDQVc3ZHVJU3dzRE1uSnljak56VVZsWlNVbVRweUlsSlFVK1ByNm9xS2lBbDI2ZElGSUpETDVHQktKcEUzYkVSRVJFZGthTm0wbElydXdmLzkrckY2OUdtNXVidGkvZjc5K05OSlZxMVpoL1BqeDhQWDFoU0FJbUR0M0xyNzg4c3MySGNQSHh3ZmUzdDd0R1RZUkVSR1JWV0lpU1VSMlE5ZFU5Y2FOR3dDQXZYdjNRaTZYNDlsbm4wVmhZU0hXclZ1SCt2cDZqQjQ5MnBKaEVoRVJFVms5Tm0wbElydWdWQ3B4K1BCaGFEUWFUSjA2RlpHUmtjakp5WUdYbHhlMmJObUNDeGN1UUtsVUlpTWpBL241K1ZDcjFRZ0pDYkYwMkVSRVJFUldpUlZKSXJJNVBYdjJOSG11eGgwN2RpQW9LQWlPam81SVRrNUdUVTBOTWpJeXNHUEhEa2lsVWlpVlNtemN1QkcxdGJWWXRHZ1J1blRwWW5KY1ZWVlZVb1JQV1FBQUhPcEpSRUZVdUhuenBzbmJFUkVSRWRrYVZpU0pxTlBUYURUSXpzNUdabVltTWpNejBhdFhML1RxMVF2RnhjVll2bnc1U2t0THNYWHJWamc0T0NBbUpnYlIwZEg2eWVaTm9WQW9BTndlZEljNm44TENRdVRuNXpkWnZucjFhdjNQL2Z2M3gvRGh3ODBaRmhFUmtVVXdrU1NpVHMvUjBSRnIxcXlCajQrUGZsbEtTZ3JTMDlNUkhoNk9wS1FrWEw1OEdiTm16Y0tnUVlNd2VmSmtDMFpMMXNyUjBiSFplVWdiTGt0S1NqSm5TRVJFUkJiRHBxMUVaQmQ2OSs1dDhIcjgrUEhZdEdrVDNuMzNYZXpkdXhkUlVWRVlQWG8wamg4L2p0MjdkMXNvU3JKbUF3WU1nSmVYVjR2dmUzaDRJQ2dveUl3UkVSRVJXUTRya2tSa2M0cUtpZ0RBNUg2U0RUMzQ0SU1vS2lyQ2E2Kzloc3JLU3F4ZHV4YisvdjZJaUlqQTlPblRVVnhjak5telozTmVTTkp6Y25KQ2FHZ29zck96bTMzLzZhZWZock96czVtaklpSWlzZ3hXSkluSUxwMDdkdzdMbGkxRGNIQXdkdS9lRFg5L2Z3QkFqeDQ5c0huelpyaTR1Rmc0UXJKR3JZM2tPMkxFQ0ROR1FrUkVaRmtpUVJBRVN3ZEJSR1NLOXFoSWRnUnp4NlViRUVndWw1dmxlQVNvVkNxTUdERUNOVFUxQnN2ZDNOenc0NDgvd3RYVjFVS1JFUkVSbVJjcmtrUkVSRVp5Y1hGcGRsUldtVXpHSkpLSWlPd0tFMGtpSWlJVE5KZEl0dGJrbFlpSXFETmlJa2xFUkdRQ3FWUUtkM2QzL1d0WFYxZk9IVWxFUkhhSGlTUVJVVHVSU0NTdFRnOUJuWU83dXp1R0RoMnFmeTJWU2lFV2l5MFhFQkVSa1FVd2tTUWlhaWMrUGo3dzl2YTJkQmhrQmcwcmtBMlRTaUlpSW52QmVTU0ppSWhNSkpQSjRPTGlBcTFXaTVFalIxbzZIQ0lpSXJOaklrbEVSR1FpRHc4UEJBVUZvYXFxaXMyWmlZaklMakdSSkNLYlkyM3pSK3BVVlZWQkpCSkJJcEZZT2hReWc1RWpSK0xHalJ1V0RvT0lpTWdpbUVnU0ViVVRoVUlCQUowcWtZeU5qY1d4WThjc0hZWlZTMHBLc25RSVZzZlB6dy9wNmVtV0RvT0lpRG9RQjlzaElxSVdNWW1rdGpoejVveWxReUFpb2c3R2lpUVJFZDJSWEM2M2RBaGtJNlJTcWFWRE1GQlVWR1RVZW8yYnpITTc2OXJPeGNVRjNicDFNMm9mUkdRZXJFZ1NrYzBwS2lveStxR0VpSWhzbjBxbHNuUUlSTlFJSzVKRVJFVFVhYlYxY0M1dVp6M2I4WXRESXV2RWlpUVJFUkVSRVJHWmhJa2tFUkVSRVJFUm1ZU0pKQkVSRVhWSzdFOU5STlJ4bUVnU0VSRVJFUkdSU1RqWURoRlJPNUZJSkJDSlJKWU9nNGlJaUtqRE1aRWtJbW9uUGo0K2xnNkJpSWlJeUN5WVNCSVJFUkdSMVdycjFDRkUxTEhZUjVLSWlJaUlpSWhNd29va0Vka2NhLzEydXFxcUNpS1JDQktKeE5LaEVKR0ZxRlFxdUxpNDZGL1gxOWZEMmRuWmdoRVJFWFVNVmlTSmlOcUpRcUZBZVhtNXBjT2d1eUNYeTdGOSsvWTJiMTlXVm9iOSsvZmZjYjNVMU5RbXk5UnFOVEl6TTFGZlg5L200NU5sWGI5K0hXUEhqc1hGaXhmMXkxSlNVdkRwcDU4MldiZW9xQWcvLy94emsrV0NJR0RQbmoxR0hZLzNHeEZaRWhOSklpTHFkS3FycTNIanhnMmovdWxvdFZxc1hMa1N2cjYrS0M0dVJsaFlHS1JTS2NMQ3d2VC9BZ0lDY09yVXFSYVBLd2dDa3BPVFVWSlMwbXA4elNXclRrNU9PSC8rUE5MUzB0cDgzbVJaOTk1N0wyYk9uSW5kdTNjREFQNzY2eThjUEhnUVk4ZU9iYkp1ZVhrNUZpeFlBTFZhYmJCY3E5Vmk2ZEtsUmgydkkrODNqVWJUNVA1ditFOHFsVUtqMFJnVjU5M2lmS0JFMW9sTlc0bUlxTk5KU0Vnd3FsSUQzSzVDQXJjZnR2djM3NDhCQXdZZ0p5Y0hYMzc1SlFZUEhxemZ6OW16WnhFWEY0YytmZnJvdDVWS3BVMUc2M1Z3Y01EcnI3L2U1RGdWRlJVNGR1eVl3VEtGUW9GSmt5WUJ1TjBrRWdCY1hGeVFsWldsWHljM045ZW84eURMMFdxMUdERmloTUd5L2Z2M1E2VlNRYVBSSUR3OEhBRHcvZmZmdzhIaDluZjQvdjcrR0Rac0dFcExTL0hRUXc4WmRSeEwzRzh0L1I1SnBWS2pZaWFpem91SkpCSFpITjAzMDliYVY1SXM3Nk9QUHNKSEgzMWs5UHFuVHAxQ2RuWTJsaTFiaG9TRUJQajQrRUFRQkFpQ2dPcnFhbmg2ZW1MVnFsV1lOV3VXUWY4M0J3ZUhKZy9lVXFsVW41dzJGQkFRZ0xDd01BREFyVnUzRUJZV2h1VGtaT1RtNXFLeXNoSVRKMDVFU2tvS2ZIMTlVVkZSZ1M1ZHVuQmUwcnRrcnM4SVFSQlFXVm5aN1ArN2psUXFoU0FJQUtDL0R3RGd1KysrQXdCOC9QSEg2TjI3dDM3NTRNR0Q5VCsvK3Vxcm1ENTl1a1h1dDRheEVoRTF4RVNTaUlqc1hsMWRIUVlQSG94MTY5YWhwcVlHSDN6d0FWUXFGUVJCd0lFREJ4QVVGQVM1WEk0TEZ5NGdJU0VCbjMzMkdieTh2TEJ3NFVKTW5EZ1IxZFhWQnZ0ci9QRHQ2ZW1KaFFzWElqdzhIR2ZQbmtWVVZKUkJwV2ZWcWxVWVAzNDhmSDE5SVFnQzVzNmRpNGlJaUdhYlJKTHQyNzkvUDlScU5aeWNuRkJkWFkyYW1obzg4TUFEQnVzVUZCUTAyYzZjOTV0SUpJS25wMmVMRmNuZzRHQiswVUZrNTVoSUVoRlJwMVJSVVhISGRkemMzT0RtNWdhWlRJWW5ubmdDMDZaTnc5cTFhK0hzN0l6eThuS0l4V0xzMmJNSDRlSGhrTXZsS0NrcFFWUlVGRHc5UFFFQTRlSGhTRXBLUWw1ZW5uNmZVcW0weWNOM2NIQ3d2bm1qcnFKMDQ4WU4zSFBQUGRpN2R5L2tjam5pNCtOUldGaUlJMGVPb0w2K0hxTkhqMjZ2UzBGV1p1Zk9uYmgxNnhhbVRKbUNnb0lDZlBYVlYxaXpaczBkdHpQWC9hYlZhakY2OUdpSXhlSVdLNUppc1JpalI0ODJ1Z2s1RVhVK1RDU0ppS2hUR2o1OCtCM1hpWW1Kd1J0dnZBR1ZTb1Y1OCtaQkpwTkJMcGZqNU1tVDhQWDFSYytlUGVIdTdvNlRKMC9DMzk4ZldWbFpHRE5takw2Zm02bVVTaVVPSHo0TWpVYURxVk9uSWpJeUVqazVPZkR5OHNLV0xWdHc0Y0lGS0pWS1pHUmtJRDgvSDJxMUdpRWhJVzA2RnBtZnNmOVgvZnIxdzRZTkd6Qmx5aFNjT1hNR0FRRUJIUkpQVys4M1FSQlFWbFptMEdRMk1URVJNMmJNMEgrSm90Rm9JSlBKT2lSdUlySU5UQ1NKeUdZMUhzV3ZjWDhvWTBmNWE4dDJ6czdPNk42OXUvNzFyVnUzakRwV2UzSjFkVVZkWFIzcTZ1cmc2dXBxOXVOYnU5YjZxeldtVnFzaEZvdmg1T1FFcFZLSlBuMzY0TUtGQzNqc3NjY3didHc0SkNVbFlmbnk1ZGkzYjUvQndDUTZ1dXBQUzY5MWR1ellnYUNnSUZ5K2ZCbkp5Y2s0ZlBnd01qSXlJQktKa0pHUmdWOSsrUVViTjI1RWJXMHRGaTFhaEtTa0pOTk9tZ3lZcXorMVVxbkV4bzBiOGZUVFQrUEdqUnZvMHFVTGxpeFpnZ1VMRnNETnpRM0E3ZWFzdWk4Zyt2YnRpL1BuejBPdFZ1UFVxVk9ZUDM4K0JnOGVqSzVkdXdJQTdyLy9mbjBsc0tLaW9ra3pWMHZjYjN2MzdrVnNiR3piTGhBUmRVcE1KSW5JNWpnN08xdDg3clBHZllOMHI4MDU4YmkzdHpldVhyMktxcW9xM0hmZmZXWTdibWNrRm91eGZ2MTZBTURObXpkUldWbUpyS3dzeUdReVNLVlNQUExJSTRpTWpFUk1URXlUVVRNQjRLdXZ2dEwvTEpWS0RWNER0NXNhYWpRYVpHZG5Jek16RTVtWm1lalZxeGQ2OWVxRjR1SmlMRisrSEtXbHBkaTZkU3NjSEJ3UUV4T0Q2T2hvam94cEk1WXZYNjcvdndvTkRZVmNMc2VUVHo2SmhJUUVMRnEwQ0xXMXRVaEpTY0Vqanp5Q2Z2MzZ3ZEhSRVk4Ly9qaU9IeitPdi83NkMwOCsrU1NBNWtkSWJUam9qbzY1NzdmeThuS28xV3BJSkpJMlh5TWk2bnlZU0JLUnpXbFlDV3hOVzZzUWJkbk8xZFhWN0tQSWR1L2VIVmV2WGtWUlVSRVR5YnYwMjIrLzRadHZ2c0h4NDhkUlcxdUxNV1BHb0tDZ0FQUG56NGRHbzRGSUpJSlNxY1NWSzFlZzFXcWJORzF0M0krc3VYNWxqbzZPV0xObWpVRWltcEtTZ3ZUMGRIM2Z0OHVYTDJQV3JGa1lOR2dRSmsrZTNERW5TKzNxNXMyYnlNL1B4enZ2dkdPdy9LV1hYa0plWGg1dTNicUZmL3pqSDNqLy9mY3hkKzVjcEtlbjQ0RUhIa0JDUWdKT25Ub0ZYMTlmNU9mbjY2ZmpNRVpIMzI4aWtVaWYzQUxBcmwyNzRPYm1odWVmZjE0L0tJKzN0emVidGhMWk9TYVNSRVEyNnBsbm5zR0pFeWR3NHNRSkRCbzB5TkxoV0EyMVd0MWtWTXM3VWFsVTZOYXRHeElTRXRDdFd6ZTgvZmJiR0Q5K1BPcnI2ekZqeGd5b1ZDcGtaV1VoTGk0T3NiR3grUERERC9Id3d3OER1RDJTWnNPK2NjME5mdkxqano4Q2dNSDBEZ0F3ZnZ4NEJBWUd3cy9QRDFsWldkaXdZUU1tVFpxRWZmdjJZZmZ1M1pnNGNXSmJMZ0daVVU1T0RvWU1HYUp2bHVyaTRnS0ZRZ0Z2YjI4TUd6WU14NDhmaDVlWEYyUXlHU1pNbUlDalI0OUNMcGZqanovK3dQWHIxOUdqUnc4Y1BYclU2T09aNDM1emNIREF6cDA3Y2VYS0ZhU2xwZUhBZ1FQWXRtMmJ2c3I1d2dzdlFDYVRJU29xcWszWGpJZzZCNUdnbTlTSWlJaHN5aSsvL0lMSXlFajA3TmtUbjMzMldZY014YTlyNm1aS2YwTkxPM3IwS1A3Kzk3K2J0RTNEODh2THk4T0dEUnVRbUppSWFkT21ZZGl3WVlpTGk0T3JxeXRxYW1ydzBVY2ZvYnk4SEttcHFjMWU4NWJtOVdzb01EQVFodzRkMHNlN2Z2MTZWRlpXWXZIaXhmRDM5OGVsUzVjd2ZmcDBqQmd4QXJObno3YXBhUmFzNlo0eFJ4L0ppb29LMU5YVjZhZnZTRXBLd3RkZmY2M3ZHK25rNUlTRWhBVDQrZmtCdUQzblpGNWVIbnIxNm9XSEhucEl2NStHZlNRYjc3KzVxVUIwMnZ0K2k0bUp3YnAxNjNENjlHbVVsSlJnMUtoUmlJNk9OcWhzMXRiV0lpY25CenQzN29TSGh3YysrZVFUZUhsNUdYbkZpS2l6WUVXU2lNaEc5ZTNiRndFQkFUaDI3QmpTMDlQeDJtdXZXVG9rcS9EMDAwL2ZWUklUSEJ3TXFWUUtUMDlQcEtXbG9VZVBIdnIzUER3OHNIejVjcWhVcWhhVE8xUDZOWjQ3ZHc3TGxpM0QyTEZqRVJrWnFSODBxVWVQSHRpOGVUTSsvL3p6TnA4SG1VZmo1TytkZDk1cDBzeTFJWkZJaEtGRGh6YjduckY5SkJ0cTcvdE5MQmFqWDc5K0NBa0p3Vk5QUFFVWEY1Y20reEdMeFhqNTVaZng0b3N2UWk2WE00a2tzbE9zU0JMOWYrM2RmNnpXZGYzLzhjYzV3TUVRd2R3Y0M4SzBNMmZ0YUl3dXpPWjArSXRHcmg5d0xFbm0wS2owb05VS25UOUs0NGN5Y29DYUVDc2hCNXhtUlFacGpKME5JeEtkT1RwdVRLazFwMXVSUmczbENFZmt4em5uK3Y3Qngyc2luSysrblp6cm5NUHR0ckdkNjV6ci9iNmVoMTBidS9PNjNxODM5R0V2dmZSU3BrMmJsZ01IRHVUNzMvOSt2dmExcjMyZ3ExZTlhWFdKdnFFM3ZXZDZhdGZXRDhMcnI3K2U0Y09IditmdkExVGIrN3NSRmdDOXdzYy8vdkhNbno4L2RYVjFXYmh3WWE2ODhzcXNYcjA2MjdadHk2NWR1d3B0NEFGVVQzZXhLQ0tCM3NwSFd3SDZ1QXN2dkRBclY2N012SG56c25YcjF0eHp6ejJIL2J3M3JBd0J2Rjk5YVdVWmppZENFcUFmcUsrdnowTVBQWlN0VzdlbXBhVWx6ei8vZlA3M3YvOWx6NTQ5MVI0TkFPaUhoQ1JBUHpKbXpKaU1HVE9tMm1OQXIyQUZDK0RZY1kwa0FBQUFoUWhKQUFBQUNoR1NBQUFBRk9JYVNRQ2dYM3BydDg5Mzg4NXJLUjNYdDQ0RHFzT0tKQURRTDlYVjFWVjdCRDRnZ3dZTnF2WUl3RHZVbE12bGNyV0hBS0IzS3BWSzFSNkJQc3I5U3dINk55dVNBSFNyb2FHaDJpUFFCOVhYMTFkN0JBQ09NU3VTQUFBQUZHSkZFZ0FBZ0VLRUpBQUFBSVVJU1FBQUFBb1JrZ0FBQUJRaUpBRUFBQ2hFU0FJQUFGQ0lrQVFBQUtBUUlRa0FBRUFoUWhJQUFJQkNoQ1FBQUFDRkNFa0FBQUFLRVpJQUFBQVVJaVFCQUFBb1JFZ0NBQUJRaUpBRUFBQ2dFQ0VKQUFCQUlVSVNBQUNBUW9Ra0FBQUFoUWhKQUFBQUNoR1NBQUFBRkNJa0FRQUFLRVJJQWdBQVVNakFhZzhBUU8vVjFOU1VMVnUyVkhzTStwaUdob2FzV3JXcTJtTUFjQXhaa1FTZ1d5S1M5MlBidG0zVkhnR0FZOHlLSkFEdnFyVzF0ZG9qMEVlVVNxVnFqd0JBRDdBaUNRQUFRQ0ZDRWdBQWdFS0VKQUFBQUlVSVNRQUFBQW9Sa2dBQUFCUWlKQUVBQUNoRVNBSUFBRkNJa0FRQUFLQVFJUWtBQUVBaFFoSUFBSUJDaENRQUFBQ0ZDRWtBZUp0OSsvWmwxYXBWMmJ0M2IrRmovLzN2ZjJmZHVuWEhZQ29BNkYyRUpBQzh6YUJCZzdKOSsvYmNjc3N0NmVycUtuenNraVZMOHNJTEx4eWo2UUNnZDZncGw4dmxhZzhCUU85VUtwV1NKSzJ0clZXZXBHZDFkWFdscWFrcGwxNTZhYVpNbWRMdDgwcWxVb1lQSC82ZXp0blMwcEs2dXJvUGFzUmU2M2g5endBY2J3Wldld0FBNkcxcWEydHorZVdYNS83Nzc4L25QLy81REJzMnJOdm5idGl3SVFNR0RNaisvZnR6N2JYWDV1Njc3MDU5ZlgwUFRnc0FQVTlJQXNCUlBQMzAweGswYUZCKytjdGY1b1liYnZqL1BuZkNoQW5wNk9qSW5qMTcwdFRVZE1UUEJ3OGU3TnBKQVBvVklRa0E3N0I3OSs0OCtlU1RXYng0Y1c2NjZhWk1tell0UTRjTzdmYjVqenp5U0w3eWxhL2trVWNleWVtbm41N3QyN2RuOU9qUlBUZ3hBUFFzbSswQXdEdXNYcjA2cFZJcG4vNzBwM1ArK2VlbnVibTUyK2ZXMU5UazNudnZ6ZVdYWDU3VFR6ODlTVEpwMHFSMGRuYjIwTFFBMFBPc1NBTEEyN3oyMm10cGJtN09Bdzg4a0NTNS92cnJjL1hWVitkTFgvcFNSbzBhVlhuZW0yKyttZHJhMnRUVzFtYmR1blVaT25Sby92Q0hQMVIrUG1IQ2hNclhQL2pCRDNMWlpaZjEzQzhCQU1lWWtBU0EvMU11bDNQWFhYZmxnZ3N1eUpneFk1SWtwNTEyV2laUG5wdzVjK2JrWnovN1dXcHJEMzJZcDYydHJiSmo2enQzS0MyVlNwVk5lQUNnUHhLU0FQQi8zcm9INU1NUFAzelk5MmZNbUpHcFU2ZG00Y0tGdWVXV1c1SWtMNzMwVWthUEhwMnZmdldyYVd0ck8rSmNFeWRPUE96eGhnMGJqdDNnQU5ERGhDUUF4NzNPenM3Y2UrKzlXYjkrZlpZdlgzN0U3VDVPT09HRUxGaXdJTk9uVDA5N2UzdHV2ZlhXUFBIRUV6bm5uSE15YytiTUk4NVhLcFhTMHRKaVJSS0Fmc3RtT3dBYzl4NTQ0SUZzMnJRcHk1Y3Y3L1lla1BYMTlWbTZkR24rOHBlL1pNbVNKVm0vZnYxaDEwRUN3UEhFaWlRQXg3MXZmT01ibVQ1OWV1V2F4KzQwTkRSazllclYyYnQzYjE1NzdiV2NjODQ1UFRRaEFQUXVOZVZ5dVZ6dElRRG9uVXFsVXBJak41UGgwTVk4TlRVMTFSNmoxL0dlQVRnKytHZ3JBTHdQSWhLQTQ1bVFCQUFBb0JBaENRQUFRQ0ZDRWdBQWdFS0VKQUFBQUlVSVNRQUFBQW9Sa2dBQUFCUWlKQUVBQUNoRVNBSUFBRkRJd0dvUEFFRHZWeXFWcWowQ0FOQ0xXSkVFb0ZzTkRRM1ZIb0UrcUw2K3Z0b2pBSENNMVpUTDVYSzFod0FBQUtEdnNDSUpBQUJBSVVJU0FBQ0FRb1FrQUFBQWhRaEpBQUFBQ2hHU0FBQUFGQ0lrQVFBQUtFUklBZ0FBVUlpUUJBQUFvQkFoQ1FBQVFDRkNFZ0FBZ0VLRUpBQUFBSVVJU1FBQUFBb1JrZ0FBQUJRaUpBRUFBQ2hFU0FJQUFGQ0lrQVFBQUtBUUlRa0FBRUFoUWhJQUFJQkNoQ1FBQUFDRkNFa0FBQUFLRVpJQUFBQVVJaVFCQUFBb1pHQzFCd0NnOTJwcWFzcVdMVnVxUFFaOVRFTkRRMWF0V2xYdE1RQTRocXhJQXRBdEVjbjdzVzNidG1xUEFNQXhaa1VTZ0hmVjJ0cGE3UkhvSTBxbFVyVkhBS0FIV0pFRUFBQ2dFQ0VKQUFCQUlVSVNBQUNBUW9Ra0FBQUFoUWhKQUFBQUNoR1NBQUFBRkNJa0FRQUFLRVJJQWdBQVVJaVFCQUFBb0JBaENRQUFRQ0ZDRW9EanlyNTkrNm85QWdEMGVVSVNnSDdsdi8vOWIxNSsrZVVreWZqeDQ1TWtMNzc0WW5idTNKbTllL2Ztb29zdXlvRURCNDU2N0pOUFBsbm90ZDU4ODgwODk5eHpsY2QzM1hWWHRtN2RtaVJwYlczTk04ODg4NjduV0w1OGVSNS8vUEZDcndzQTFUYXcyZ01Bd0FkcDgrYk4yYkJoUTM3Kzg1OG5TY3JsY3ViTm01Y2JiN3d4SFIwZE9lMjAwMUpYVjNmVVkzLzR3eC9tejMvK2N4b2JHOVBWMVpYYTJpUC92N1d0clMwYk4yNU1ranorK09OWnQyNWQ1YlUyYmRxVXFWT25Ka2xPUFBIRTNIYmJiVG52dlBNeWMrYk1EQjQ4K0loejdkbXpKNnRXcmNxRER6NzRnZnp1QU5CVGhDUUEvVXBqWTJNMmJkcVUvL3puUDBtU3YvM3Riem5qakROU0twV3lhTkdpZk9wVG4zcFA1MW14WWtWT1B2bmtJNzUveVNXWFZMNyszZTkrbDJuVHBpVkpkdXpZa1FNSER1U01NODVJa256aUU1OUljM056bGkxYmxuSzVuQ1I1NXBsbmNzY2RkMVNPMzcxN2QrcnE2dktkNzN5bjJ6azJiTmp3bnVZRmdKNVVVMzdyWHpjQWVJZFNxWlRrME1jMCs0ckd4c2JLMTl1M2I4L28wYU9USkRmZmZIUHV2UFBPMU5YVlpjQ0FBWG5qalRkeThPREIzSFRUVFdsdWJrNWJXMXQyNzk2ZFljT0c1ZVNUVDA1TlRVMEdEQmh3eFBsMzd0eFpXWkVzbFVvNThjUVRVMU5UazY2dXJ1emJ0eTlEaGd3NTZseWpSbzNLd3c4L1hIbjhyMy85SzkvODVqZlQzTnljRVNOR0hEWnJYOVlYM3pNQUZHZEZFb0IrWmMyYU5mbm5QLytaZWZQbTVaVlhYc25FaVJOejlkVlhaKzNhdFdscmEwdExTMHRPUGZYVUxGdTJMTzN0N1prOGVYSW1UNTZjNU5BMWxSczNia3hqWTJOKzhZdGZWRllrNTgrZm45dHZ2ejFKOHFNZi9hanlXbStQcFRsejVtVGt5Skg1MXJlKzlhNHpkbloyWnZiczJibnR0dHN5WXNTSWRIWjJadEtrU2VJTGdEN0RaanNBOUJzSERoekk0c1dMTTNmdTNOeHh4eDBaUEhod3pqenp6RFExTldYSGpoMFpOMjVjWG56eHhTU0hOdUNwcjY5L1QrZDkrOGRMNTg2ZGU4VFBPenM3czNuejVzcHEzTHY1eVU5K2t1ZWVleTd6NTgvUGhBa1RNbkhpeENUSmhBa1REdnNEQUwyVkZVa0ErbzFCZ3dibGs1LzhaRzY4OGNZc1dyUW9kOTU1Wnk2KytPS01HemN1SjUxMFVuN3ptOTlrOCtiTk9mZmNjL1BYdi82MWNtMWlSMGRIWG5qaGhlemZ2ei9YWEhOTmR1ellrV25UcHFXbXBpYkpvVTF4dnZ6bEwxZGVaL2JzMlJrN2Rtemw4Vk5QUFpXMnRyWjgrOXZmemltbm5ITFlUSysrK21wdXZ2bm1YSEhGRlVtUzMvNzJ0M24yMldmVDFkVlZDZFRPenM1ODVqT2ZPZUl4QVBSV1FoS0FmcU9tcGlaTGx5N05raVZMc24zNzlqejk5Tk5adW5ScGt1U2hoeDdLeFJkZm5LdXV1aXFqUjQvT3lKRWpNMnJVcUhSMGRLU3hzVEZublhWV0JnNGNtTHZ2dmp2WFhYZGQxcTVkVzdsRzhwSkxMc21qano3YTdldis2bGUveWpYWFhKT05HemZtMTcvK2RXV0gxbDI3ZHFXeHNUSG5uMzkra21UTGxpMTU4TUVIczNMbHluenhpMTg4eG44YkFIRHNDRWtBK3BVVksxWms2dFNwV2JObVRUNzJzWS9sNzMvL2UyYk5tcFZodzRhbHRyWTJGMXh3UVJZc1dKRDc3cnN2U1RKdzRNQTg5dGhqU1E1ZEkvblJqMzQwQnc0Y3lJQUJBM0xsbFZjbU9iUWkrZGJYbzBhTnFoeWJKTTgrKzJ5ZWYvNzUvUGpIUDg3UW9VUHowNS8rTkRObnpxemNkdVNLSzY3SVJ6N3lrU1RKMkxGanMzVHAwb3djT2JJbi8wb0E0QU1uSkFIb1Y5cmIyM1AyMldkbjFxeFptVFJwVWxhdVhKbFpzMmFsdHJZMlhWMWRhVzl2VDNMb2VzcWoyYkZqUjA0OTlkUWtoKy9RbWh5NmgrVDA2ZE1yanc4ZVBKaDc3cmtuMTExM1hZWVBINTVwMDZhbHFha3B5NVl0eTg2ZE8vUEdHMjlreG93WmxlY1BIRGd3WjU1NVpyZXpsOHZsMU5UVTVOVlhYejNxUFN3Qm9MZndyeFFBL2NySWtTTXpkKzdjTkRRMFpOR2lSV2x2Yjg4Ly92R1BkSFIwWk02Y09XbHJhOHVpUllzeWUvYnNyRm16NW9qanQyN2QrcDQzNGJudnZ2c3laTWlRWEhYVlZVbVNBUU1HWk1hTUdWbTJiRmtlZSt5eGZQZTczejNxTFVTNjg4Yy8vakhublhkZXZ2Q0ZMeHgydjBvQTZHMnNTQUxRYjdTM3QyZkJnZ1ZwYlczTitQSGo4K2lqajJiWHJsMTU2cW1uY3NNTk4rUkRIL3BRRmk5ZW5DRkRobVRod29XNTlkWmJLeDkzUFhqd1lPcnE2dExTMHBMeDQ4Y25PZndqcmNtaFRYRGVzbmJ0MnZ6cFQzL0tpaFVyc252Mzdqenh4Qk5adjM1OWR1ellrYmx6NTJiZnZuMzUzdmUrbDdQT09pdWYrOXpuY3U2NTUyYkVpQkdWNCsrLy8vNGo1ci9zc3NzcUFXbEZFb0RlVEVnQzBHOE1IVG8wbDE1NmFXNi8vZmFjY01JSlNaSlRUamtsOWZYMU9mdnNzek4yN05qS1RxeWYvZXhuczNyMTZuejR3eC9PdGRkZW0xZGVlU1ZUcGt4SlIwZEhKZVpPT3Vta3JGNjl1bkwrdDMrMGRkeTRjUms3ZG14ZWYvMzFmUDNyWDArcFZNcVVLVk55MFVVWFZWWWhKMDZjbU4vLy92ZFpzV0pGWG43NTVWeC8vZldWYzExNDRZVkgvUjBFSkFCOVFVMjVYQzVYZXdnQWVxZTM3b3ZZMnRwYTVVbDZ6bHZYS1JheGYvLyt5azZ0eDd2ajhUMERjRHp5MzU0QThEWkZJektKaUFUZ3VDTWtBUUFBS0VSSUFnQUFVSWlRQkFBQW9CQWhDUUFBUUNGQ0VnQUFnRUtFSkFBQUFJVUlTUUFBQUFvUmtnQUFBQlF5c05vREFORDdsVXFsYW84QUFQUWlWaVFCNkZaRFEwTzFSNkFQcXErdnIvWUlBQnhqTmVWeXVWenRJUUFBQU9nN3JFZ0NBQUJRaUpBRUFBQ2dFQ0VKQUFCQUlVSVNBQUNBUW9Ra0FBQUFoUWhKQUFBQUNoR1NBQUFBRkNJa0FRQUFLRVJJQWdBQVVJaVFCQUFBb0JBaENRQUFRQ0ZDRWdBQWdFS0VKQUFBQUlVSVNRQUFBQW9Sa2dBQUFCUWlKQUVBQUNoRVNBSUFBRkNJa0FRQUFLQVFJUWtBQUVBaFFoSUFBSUJDaENRQUFBQ0ZDRWtBQUFBS0VaSUFBQUFVSWlRQkFBQW9SRWdDQUFCUWlKQUVBQUNnRUNFSkFBQkFJVUlTQUFDQVFvUWtBQUFBaFFoSkFBQUFDdmwvKytad1dCbVgzemdBQUFBQVNVVk9SSzVDWUlJPSIsCgkiVGhlbWUiIDogIiIsCgkiVHlwZSIgOiAiZmxvdy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小熔工作室</Company>
  <Pages>26</Pages>
  <Words>9626</Words>
  <Characters>10399</Characters>
  <Lines>82</Lines>
  <Paragraphs>23</Paragraphs>
  <TotalTime>1</TotalTime>
  <ScaleCrop>false</ScaleCrop>
  <LinksUpToDate>false</LinksUpToDate>
  <CharactersWithSpaces>10577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2023-10-17T02:40:00Z</dcterms:created>
  <dc:creator>Think</dc:creator>
  <cp:lastModifiedBy>Ts-never</cp:lastModifiedBy>
  <cp:lastPrinted>2024-02-19T08:55:00Z</cp:lastPrinted>
  <dcterms:modified xsi:type="dcterms:W3CDTF">2024-12-08T03:22:18Z</dcterms:modified>
  <dc:title>水污染源在线监测运行与考核技术规范编制说明</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3D8F31887DB446528CAC6BFDEB58FEC2_13</vt:lpwstr>
  </property>
</Properties>
</file>