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auto" w:sz="0" w:space="0"/>
          <w:left w:val="none" w:color="auto" w:sz="0" w:space="0"/>
          <w:bottom w:val="none" w:color="auto" w:sz="0" w:space="0"/>
          <w:right w:val="none" w:color="auto" w:sz="0" w:space="0"/>
        </w:pBdr>
        <w:jc w:val="center"/>
        <w:rPr>
          <w:rFonts w:hint="eastAsia" w:ascii="仿宋" w:hAnsi="仿宋" w:eastAsia="仿宋" w:cs="仿宋"/>
          <w:sz w:val="44"/>
          <w:szCs w:val="44"/>
          <w:lang w:eastAsia="zh-CN"/>
        </w:rPr>
      </w:pPr>
    </w:p>
    <w:p>
      <w:pPr>
        <w:pBdr>
          <w:top w:val="none" w:color="auto" w:sz="0" w:space="0"/>
          <w:left w:val="none" w:color="auto" w:sz="0" w:space="0"/>
          <w:bottom w:val="none" w:color="auto" w:sz="0" w:space="0"/>
          <w:right w:val="none" w:color="auto" w:sz="0" w:space="0"/>
        </w:pBdr>
        <w:jc w:val="center"/>
        <w:rPr>
          <w:rFonts w:hint="eastAsia" w:ascii="仿宋" w:hAnsi="仿宋" w:eastAsia="仿宋" w:cs="仿宋"/>
          <w:sz w:val="44"/>
          <w:szCs w:val="44"/>
          <w:lang w:eastAsia="zh-CN"/>
        </w:rPr>
      </w:pPr>
    </w:p>
    <w:p>
      <w:pPr>
        <w:pStyle w:val="55"/>
        <w:rPr>
          <w:rFonts w:hint="default" w:ascii="黑体" w:hAnsi="黑体" w:eastAsia="黑体" w:cs="黑体"/>
          <w:color w:val="000000"/>
          <w:sz w:val="52"/>
          <w:szCs w:val="52"/>
          <w:highlight w:val="none"/>
          <w:lang w:val="en-US" w:eastAsia="zh-CN"/>
        </w:rPr>
      </w:pPr>
      <w:bookmarkStart w:id="0" w:name="FY"/>
      <w:r>
        <w:rPr>
          <w:rFonts w:hint="eastAsia" w:hAnsi="黑体" w:cs="黑体"/>
          <w:sz w:val="52"/>
          <w:szCs w:val="52"/>
          <w:highlight w:val="none"/>
          <w:lang w:val="en-US" w:eastAsia="zh-CN"/>
        </w:rPr>
        <w:t>市场监管行风建设指南</w:t>
      </w:r>
    </w:p>
    <w:p>
      <w:pPr>
        <w:pStyle w:val="54"/>
        <w:rPr>
          <w:color w:val="000000"/>
        </w:rPr>
      </w:pPr>
      <w:r>
        <w:rPr>
          <w:rFonts w:hint="eastAsia" w:cs="Times New Roman"/>
          <w:color w:val="000000"/>
          <w:kern w:val="0"/>
          <w:sz w:val="28"/>
          <w:szCs w:val="28"/>
          <w:lang w:val="en-US" w:eastAsia="zh-CN" w:bidi="ar-SA"/>
        </w:rPr>
        <w:t>Guidelines for the Construction of Market Supervision Conduct</w:t>
      </w:r>
    </w:p>
    <w:p>
      <w:pPr>
        <w:pStyle w:val="66"/>
        <w:rPr>
          <w:color w:val="000000"/>
        </w:rPr>
      </w:pPr>
    </w:p>
    <w:tbl>
      <w:tblPr>
        <w:tblStyle w:val="37"/>
        <w:tblW w:w="1971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65"/>
              <w:rPr>
                <w:rFonts w:hint="default" w:eastAsia="宋体"/>
                <w:color w:val="000000"/>
                <w:lang w:val="en-US" w:eastAsia="zh-CN"/>
              </w:rPr>
            </w:pPr>
            <w:r>
              <w:rPr>
                <w:rFonts w:hint="default"/>
                <w:color w:val="000000"/>
                <w:lang w:val="en-US"/>
              </w:rPr>
              <mc:AlternateContent>
                <mc:Choice Requires="wps">
                  <w:drawing>
                    <wp:anchor distT="0" distB="0" distL="114300" distR="114300" simplePos="0" relativeHeight="251668480" behindDoc="1" locked="1" layoutInCell="1" allowOverlap="1">
                      <wp:simplePos x="0" y="0"/>
                      <wp:positionH relativeFrom="column">
                        <wp:posOffset>2200910</wp:posOffset>
                      </wp:positionH>
                      <wp:positionV relativeFrom="paragraph">
                        <wp:posOffset>4281805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1"/>
                          </wps:wsp>
                        </a:graphicData>
                      </a:graphic>
                    </wp:anchor>
                  </w:drawing>
                </mc:Choice>
                <mc:Fallback>
                  <w:pict>
                    <v:rect id="RQ" o:spid="_x0000_s1026" o:spt="1" style="position:absolute;left:0pt;margin-left:173.3pt;margin-top:337.15pt;height:20pt;width:150pt;z-index:-251648000;mso-width-relative:page;mso-height-relative:page;" fillcolor="#FFFFFF" filled="t" stroked="f" coordsize="21600,21600" o:gfxdata="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f1/fg1wAAAAsB&#10;AAAPAAAAAAAAAAEAIAAAACIAAABkcnMvZG93bnJldi54bWxQSwECFAAUAAAACACHTuJAjWJ5laoB&#10;AABnAwAADgAAAAAAAAABACAAAAAmAQAAZHJzL2Uyb0RvYy54bWxQSwUGAAAAAAYABgBZAQAAQgUA&#10;AAAA&#10;">
                      <v:fill on="t" focussize="0,0"/>
                      <v:stroke on="f"/>
                      <v:imagedata o:title=""/>
                      <o:lock v:ext="edit" aspectratio="f"/>
                      <w10:anchorlock/>
                    </v:rect>
                  </w:pict>
                </mc:Fallback>
              </mc:AlternateContent>
            </w:r>
            <w:r>
              <w:rPr>
                <w:rFonts w:hint="eastAsia"/>
                <w:color w:val="000000"/>
                <w:lang w:val="en-US" w:eastAsia="zh-CN"/>
              </w:rPr>
              <w:t>（征求意见稿）</w:t>
            </w:r>
          </w:p>
        </w:tc>
        <w:tc>
          <w:tcPr>
            <w:tcW w:w="9855" w:type="dxa"/>
            <w:tcBorders>
              <w:top w:val="nil"/>
              <w:left w:val="nil"/>
              <w:bottom w:val="nil"/>
              <w:right w:val="nil"/>
            </w:tcBorders>
            <w:noWrap w:val="0"/>
            <w:vAlign w:val="top"/>
          </w:tcPr>
          <w:p>
            <w:pPr>
              <w:pStyle w:val="65"/>
              <w:rPr>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0"/>
            <w:vAlign w:val="top"/>
          </w:tcPr>
          <w:p>
            <w:pPr>
              <w:pStyle w:val="64"/>
              <w:rPr>
                <w:color w:val="000000"/>
              </w:rPr>
            </w:pPr>
          </w:p>
        </w:tc>
        <w:tc>
          <w:tcPr>
            <w:tcW w:w="9855" w:type="dxa"/>
            <w:tcBorders>
              <w:top w:val="nil"/>
              <w:left w:val="nil"/>
              <w:bottom w:val="nil"/>
              <w:right w:val="nil"/>
            </w:tcBorders>
            <w:noWrap w:val="0"/>
            <w:vAlign w:val="top"/>
          </w:tcPr>
          <w:p>
            <w:pPr>
              <w:pStyle w:val="64"/>
              <w:rPr>
                <w:color w:val="000000"/>
              </w:rPr>
            </w:pPr>
          </w:p>
        </w:tc>
      </w:tr>
    </w:tbl>
    <w:p>
      <w:pPr>
        <w:pStyle w:val="80"/>
        <w:rPr>
          <w:color w:val="000000"/>
        </w:rPr>
      </w:pPr>
      <w:r>
        <w:rPr>
          <w:rFonts w:hint="eastAsia" w:ascii="黑体" w:hAnsi="Times New Roman" w:eastAsia="黑体" w:cs="Times New Roman"/>
          <w:color w:val="000000"/>
          <w:sz w:val="28"/>
          <w:lang w:val="en-US" w:eastAsia="zh-CN" w:bidi="ar-SA"/>
        </w:rPr>
        <w:fldChar w:fldCharType="begin">
          <w:ffData>
            <w:name w:val="FY"/>
            <w:enabled/>
            <w:calcOnExit w:val="0"/>
            <w:textInput>
              <w:default w:val="2024"/>
              <w:maxLength w:val="4"/>
            </w:textInput>
          </w:ffData>
        </w:fldChar>
      </w:r>
      <w:r>
        <w:rPr>
          <w:rFonts w:hint="eastAsia" w:ascii="黑体" w:hAnsi="Times New Roman" w:eastAsia="黑体" w:cs="Times New Roman"/>
          <w:color w:val="000000"/>
          <w:sz w:val="28"/>
          <w:lang w:val="en-US" w:eastAsia="zh-CN" w:bidi="ar-SA"/>
        </w:rPr>
        <w:instrText xml:space="preserve">FORMTEXT</w:instrText>
      </w:r>
      <w:r>
        <w:rPr>
          <w:rFonts w:hint="eastAsia" w:ascii="黑体" w:hAnsi="Times New Roman" w:eastAsia="黑体" w:cs="Times New Roman"/>
          <w:color w:val="000000"/>
          <w:sz w:val="28"/>
          <w:lang w:val="en-US" w:eastAsia="zh-CN" w:bidi="ar-SA"/>
        </w:rPr>
        <w:fldChar w:fldCharType="separate"/>
      </w:r>
      <w:r>
        <w:rPr>
          <w:rFonts w:hint="eastAsia" w:ascii="黑体" w:hAnsi="Times New Roman" w:eastAsia="黑体" w:cs="Times New Roman"/>
          <w:color w:val="000000"/>
          <w:sz w:val="28"/>
          <w:lang w:val="en-US" w:eastAsia="zh-CN" w:bidi="ar-SA"/>
        </w:rPr>
        <w:t>2024</w:t>
      </w:r>
      <w:r>
        <w:rPr>
          <w:rFonts w:hint="eastAsia" w:ascii="黑体" w:hAnsi="Times New Roman" w:eastAsia="黑体" w:cs="Times New Roman"/>
          <w:color w:val="000000"/>
          <w:sz w:val="28"/>
          <w:lang w:val="en-US" w:eastAsia="zh-CN" w:bidi="ar-SA"/>
        </w:rPr>
        <w:fldChar w:fldCharType="end"/>
      </w:r>
      <w:bookmarkEnd w:id="0"/>
      <w:r>
        <w:rPr>
          <w:color w:val="000000"/>
        </w:rPr>
        <w:t xml:space="preserve"> </w:t>
      </w:r>
      <w:r>
        <w:rPr>
          <w:rFonts w:ascii="黑体"/>
          <w:color w:val="000000"/>
        </w:rPr>
        <w:t>-</w:t>
      </w:r>
      <w:r>
        <w:rPr>
          <w:color w:val="000000"/>
        </w:rPr>
        <w:t xml:space="preserve"> </w:t>
      </w:r>
      <w:r>
        <w:rPr>
          <w:rFonts w:hint="eastAsia" w:ascii="黑体"/>
          <w:color w:val="000000"/>
          <w:lang w:val="en-US" w:eastAsia="zh-CN"/>
        </w:rPr>
        <w:t>XX</w:t>
      </w:r>
      <w:r>
        <w:rPr>
          <w:color w:val="000000"/>
        </w:rPr>
        <w:t xml:space="preserve"> </w:t>
      </w:r>
      <w:r>
        <w:rPr>
          <w:rFonts w:ascii="黑体"/>
          <w:color w:val="000000"/>
        </w:rPr>
        <w:t>-</w:t>
      </w:r>
      <w:r>
        <w:rPr>
          <w:color w:val="000000"/>
        </w:rPr>
        <w:t xml:space="preserve"> </w:t>
      </w:r>
      <w:bookmarkStart w:id="1" w:name="FD"/>
      <w:r>
        <w:rPr>
          <w:rFonts w:ascii="黑体"/>
          <w:color w:val="000000"/>
        </w:rPr>
        <w:fldChar w:fldCharType="begin">
          <w:ffData>
            <w:name w:val="FD"/>
            <w:enabled/>
            <w:calcOnExit w:val="0"/>
            <w:textInput>
              <w:default w:val="XX"/>
              <w:maxLength w:val="2"/>
            </w:textInput>
          </w:ffData>
        </w:fldChar>
      </w:r>
      <w:r>
        <w:rPr>
          <w:rFonts w:ascii="黑体"/>
          <w:color w:val="000000"/>
        </w:rPr>
        <w:instrText xml:space="preserve"> FORMTEXT </w:instrText>
      </w:r>
      <w:r>
        <w:rPr>
          <w:rFonts w:ascii="黑体"/>
          <w:color w:val="000000"/>
        </w:rPr>
        <w:fldChar w:fldCharType="separate"/>
      </w:r>
      <w:r>
        <w:rPr>
          <w:rFonts w:ascii="黑体"/>
          <w:color w:val="000000"/>
        </w:rPr>
        <w:t>XX</w:t>
      </w:r>
      <w:r>
        <w:rPr>
          <w:rFonts w:ascii="黑体"/>
          <w:color w:val="000000"/>
        </w:rPr>
        <w:fldChar w:fldCharType="end"/>
      </w:r>
      <w:bookmarkEnd w:id="1"/>
      <w:r>
        <w:rPr>
          <w:rFonts w:hint="eastAsia"/>
          <w:color w:val="000000"/>
        </w:rPr>
        <w:t>发布</w:t>
      </w:r>
      <w:r>
        <w:rPr>
          <w:color w:val="000000"/>
        </w:rPr>
        <mc:AlternateContent>
          <mc:Choice Requires="wps">
            <w:drawing>
              <wp:anchor distT="0" distB="0" distL="114300" distR="114300" simplePos="0" relativeHeight="251660288" behindDoc="0" locked="1" layoutInCell="1" allowOverlap="1">
                <wp:simplePos x="0" y="0"/>
                <wp:positionH relativeFrom="column">
                  <wp:posOffset>-635</wp:posOffset>
                </wp:positionH>
                <wp:positionV relativeFrom="page">
                  <wp:posOffset>9251950</wp:posOffset>
                </wp:positionV>
                <wp:extent cx="6120130" cy="0"/>
                <wp:effectExtent l="0" t="0" r="0" b="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0.05pt;margin-top:728.5pt;height:0pt;width:481.9pt;mso-position-vertical-relative:page;z-index:251660288;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WHazzWAAAA&#10;CwEAAA8AAAAAAAAAAQAgAAAAIgAAAGRycy9kb3ducmV2LnhtbFBLAQIUABQAAAAIAIdO4kA3tMMG&#10;5gEAANwDAAAOAAAAAAAAAAEAIAAAACUBAABkcnMvZTJvRG9jLnhtbFBLBQYAAAAABgAGAFkBAAB9&#10;BQAAAAA=&#10;">
                <v:fill on="f" focussize="0,0"/>
                <v:stroke color="#000000" joinstyle="round"/>
                <v:imagedata o:title=""/>
                <o:lock v:ext="edit" aspectratio="f"/>
                <w10:anchorlock/>
              </v:line>
            </w:pict>
          </mc:Fallback>
        </mc:AlternateContent>
      </w:r>
    </w:p>
    <w:p>
      <w:pPr>
        <w:pStyle w:val="62"/>
        <w:rPr>
          <w:color w:val="000000"/>
        </w:rPr>
      </w:pPr>
      <w:bookmarkStart w:id="2" w:name="SY"/>
      <w:r>
        <w:rPr>
          <w:rFonts w:hint="eastAsia" w:ascii="黑体" w:hAnsi="Times New Roman" w:eastAsia="黑体" w:cs="Times New Roman"/>
          <w:color w:val="000000"/>
          <w:sz w:val="28"/>
          <w:lang w:val="en-US" w:eastAsia="zh-CN" w:bidi="ar-SA"/>
        </w:rPr>
        <w:fldChar w:fldCharType="begin">
          <w:ffData>
            <w:name w:val="SY"/>
            <w:enabled/>
            <w:calcOnExit w:val="0"/>
            <w:textInput>
              <w:default w:val="2024"/>
              <w:maxLength w:val="4"/>
            </w:textInput>
          </w:ffData>
        </w:fldChar>
      </w:r>
      <w:r>
        <w:rPr>
          <w:rFonts w:hint="eastAsia" w:ascii="黑体" w:hAnsi="Times New Roman" w:eastAsia="黑体" w:cs="Times New Roman"/>
          <w:color w:val="000000"/>
          <w:sz w:val="28"/>
          <w:lang w:val="en-US" w:eastAsia="zh-CN" w:bidi="ar-SA"/>
        </w:rPr>
        <w:instrText xml:space="preserve">FORMTEXT</w:instrText>
      </w:r>
      <w:r>
        <w:rPr>
          <w:rFonts w:hint="eastAsia" w:ascii="黑体" w:hAnsi="Times New Roman" w:eastAsia="黑体" w:cs="Times New Roman"/>
          <w:color w:val="000000"/>
          <w:sz w:val="28"/>
          <w:lang w:val="en-US" w:eastAsia="zh-CN" w:bidi="ar-SA"/>
        </w:rPr>
        <w:fldChar w:fldCharType="separate"/>
      </w:r>
      <w:r>
        <w:rPr>
          <w:rFonts w:hint="eastAsia" w:ascii="黑体" w:hAnsi="Times New Roman" w:eastAsia="黑体" w:cs="Times New Roman"/>
          <w:color w:val="000000"/>
          <w:sz w:val="28"/>
          <w:lang w:val="en-US" w:eastAsia="zh-CN" w:bidi="ar-SA"/>
        </w:rPr>
        <w:t>2024</w:t>
      </w:r>
      <w:r>
        <w:rPr>
          <w:rFonts w:hint="eastAsia" w:ascii="黑体" w:hAnsi="Times New Roman" w:eastAsia="黑体" w:cs="Times New Roman"/>
          <w:color w:val="000000"/>
          <w:sz w:val="28"/>
          <w:lang w:val="en-US" w:eastAsia="zh-CN" w:bidi="ar-SA"/>
        </w:rPr>
        <w:fldChar w:fldCharType="end"/>
      </w:r>
      <w:bookmarkEnd w:id="2"/>
      <w:r>
        <w:rPr>
          <w:color w:val="000000"/>
        </w:rPr>
        <w:t xml:space="preserve"> </w:t>
      </w:r>
      <w:r>
        <w:rPr>
          <w:rFonts w:ascii="黑体"/>
          <w:color w:val="000000"/>
        </w:rPr>
        <w:t>-</w:t>
      </w:r>
      <w:r>
        <w:rPr>
          <w:color w:val="000000"/>
        </w:rPr>
        <w:t xml:space="preserve"> </w:t>
      </w:r>
      <w:r>
        <w:rPr>
          <w:rFonts w:hint="eastAsia" w:ascii="黑体"/>
          <w:color w:val="000000"/>
          <w:lang w:val="en-US" w:eastAsia="zh-CN"/>
        </w:rPr>
        <w:t>XX</w:t>
      </w:r>
      <w:r>
        <w:rPr>
          <w:color w:val="000000"/>
        </w:rPr>
        <w:t xml:space="preserve"> </w:t>
      </w:r>
      <w:r>
        <w:rPr>
          <w:rFonts w:ascii="黑体"/>
          <w:color w:val="000000"/>
        </w:rPr>
        <w:t>-</w:t>
      </w:r>
      <w:r>
        <w:rPr>
          <w:color w:val="000000"/>
        </w:rPr>
        <w:t xml:space="preserve"> </w:t>
      </w:r>
      <w:bookmarkStart w:id="3" w:name="SD"/>
      <w:r>
        <w:rPr>
          <w:rFonts w:ascii="黑体"/>
          <w:color w:val="000000"/>
        </w:rPr>
        <w:fldChar w:fldCharType="begin">
          <w:ffData>
            <w:name w:val="SD"/>
            <w:enabled/>
            <w:calcOnExit w:val="0"/>
            <w:textInput>
              <w:default w:val="XX"/>
              <w:maxLength w:val="2"/>
            </w:textInput>
          </w:ffData>
        </w:fldChar>
      </w:r>
      <w:r>
        <w:rPr>
          <w:rFonts w:ascii="黑体"/>
          <w:color w:val="000000"/>
        </w:rPr>
        <w:instrText xml:space="preserve"> FORMTEXT </w:instrText>
      </w:r>
      <w:r>
        <w:rPr>
          <w:rFonts w:ascii="黑体"/>
          <w:color w:val="000000"/>
        </w:rPr>
        <w:fldChar w:fldCharType="separate"/>
      </w:r>
      <w:r>
        <w:rPr>
          <w:rFonts w:ascii="黑体"/>
          <w:color w:val="000000"/>
        </w:rPr>
        <w:t>XX</w:t>
      </w:r>
      <w:r>
        <w:rPr>
          <w:rFonts w:ascii="黑体"/>
          <w:color w:val="000000"/>
        </w:rPr>
        <w:fldChar w:fldCharType="end"/>
      </w:r>
      <w:bookmarkEnd w:id="3"/>
      <w:r>
        <w:rPr>
          <w:rFonts w:hint="eastAsia"/>
          <w:color w:val="000000"/>
        </w:rPr>
        <w:t>实施</w:t>
      </w:r>
    </w:p>
    <w:p>
      <w:pPr>
        <w:pBdr>
          <w:top w:val="none" w:color="auto" w:sz="0" w:space="0"/>
          <w:left w:val="none" w:color="auto" w:sz="0" w:space="0"/>
          <w:bottom w:val="none" w:color="auto" w:sz="0" w:space="0"/>
          <w:right w:val="none" w:color="auto" w:sz="0" w:space="0"/>
        </w:pBdr>
        <w:rPr>
          <w:rFonts w:hint="eastAsia" w:ascii="宋体" w:hAnsi="宋体" w:eastAsia="宋体" w:cs="宋体"/>
          <w:sz w:val="30"/>
          <w:szCs w:val="30"/>
          <w:lang w:val="en-US" w:eastAsia="zh-CN"/>
        </w:rPr>
      </w:pPr>
      <w:bookmarkStart w:id="4" w:name="fm"/>
    </w:p>
    <w:p>
      <w:pPr>
        <w:pStyle w:val="61"/>
        <w:rPr>
          <w:color w:val="000000"/>
        </w:rPr>
      </w:pPr>
      <w:r>
        <w:rPr>
          <w:rFonts w:ascii="Times New Roman"/>
          <w:color w:val="000000"/>
        </w:rPr>
        <w:t>ICS</w:t>
      </w:r>
      <w:r>
        <w:rPr>
          <w:rFonts w:hint="eastAsia" w:ascii="MS Mincho" w:hAnsi="MS Mincho" w:eastAsia="MS Mincho" w:cs="MS Mincho"/>
          <w:color w:val="000000"/>
        </w:rPr>
        <w:t> </w:t>
      </w:r>
      <w:r>
        <w:rPr>
          <w:color w:val="000000"/>
        </w:rPr>
        <w:fldChar w:fldCharType="begin">
          <w:ffData>
            <w:name w:val="ICS"/>
            <w:enabled/>
            <w:calcOnExit w:val="0"/>
            <w:helpText w:type="text" w:val="请输入正确的ICS号："/>
            <w:textInput>
              <w:default w:val="点击此处添加ICS号"/>
            </w:textInput>
          </w:ffData>
        </w:fldChar>
      </w:r>
      <w:r>
        <w:rPr>
          <w:color w:val="000000"/>
        </w:rPr>
        <w:instrText xml:space="preserve"> FORMTEXT </w:instrText>
      </w:r>
      <w:r>
        <w:rPr>
          <w:color w:val="000000"/>
        </w:rPr>
        <w:fldChar w:fldCharType="separate"/>
      </w:r>
      <w:r>
        <w:rPr>
          <w:rFonts w:hint="eastAsia"/>
          <w:color w:val="000000"/>
        </w:rPr>
        <w:t>点击此处添加ICS号</w:t>
      </w:r>
      <w:r>
        <w:rPr>
          <w:color w:val="000000"/>
        </w:rPr>
        <w:fldChar w:fldCharType="end"/>
      </w:r>
    </w:p>
    <w:p>
      <w:pPr>
        <w:pStyle w:val="61"/>
        <w:rPr>
          <w:color w:val="000000"/>
        </w:rPr>
      </w:pPr>
      <w:r>
        <w:rPr>
          <w:color w:val="000000"/>
        </w:rPr>
        <w:fldChar w:fldCharType="begin">
          <w:ffData>
            <w:name w:val="WXFLH"/>
            <w:enabled/>
            <w:calcOnExit w:val="0"/>
            <w:helpText w:type="text" w:val="请输入中国标准文献分类号："/>
            <w:textInput>
              <w:default w:val="点击此处添加中国标准文献分类号"/>
            </w:textInput>
          </w:ffData>
        </w:fldChar>
      </w:r>
      <w:r>
        <w:rPr>
          <w:color w:val="000000"/>
        </w:rPr>
        <w:instrText xml:space="preserve"> FORMTEXT </w:instrText>
      </w:r>
      <w:r>
        <w:rPr>
          <w:color w:val="000000"/>
        </w:rPr>
        <w:fldChar w:fldCharType="separate"/>
      </w:r>
      <w:r>
        <w:rPr>
          <w:rFonts w:hint="eastAsia"/>
          <w:color w:val="000000"/>
        </w:rPr>
        <w:t>点击此处添加中国标准文献分类号</w:t>
      </w:r>
      <w:r>
        <w:rPr>
          <w:color w:val="000000"/>
        </w:rPr>
        <w:fldChar w:fldCharType="end"/>
      </w:r>
    </w:p>
    <w:tbl>
      <w:tblPr>
        <w:tblStyle w:val="3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pPr>
              <w:pStyle w:val="61"/>
              <w:rPr>
                <w:color w:val="000000"/>
              </w:rPr>
            </w:pPr>
            <w:r>
              <w:rPr>
                <w:color w:val="000000"/>
              </w:rPr>
              <mc:AlternateContent>
                <mc:Choice Requires="wps">
                  <w:drawing>
                    <wp:anchor distT="0" distB="0" distL="114300" distR="114300" simplePos="0" relativeHeight="251664384"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7"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1"/>
                          </wps:wsp>
                        </a:graphicData>
                      </a:graphic>
                    </wp:anchor>
                  </w:drawing>
                </mc:Choice>
                <mc:Fallback>
                  <w:pict>
                    <v:rect id="BAH" o:spid="_x0000_s1026" o:spt="1" style="position:absolute;left:0pt;margin-left:-5.25pt;margin-top:0pt;height:15.6pt;width:68.25pt;z-index:-251652096;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Iri/s1QAA&#10;AAcBAAAPAAAAAAAAAAEAIAAAACIAAABkcnMvZG93bnJldi54bWxQSwECFAAUAAAACACHTuJAUFy1&#10;+K8BAABnAwAADgAAAAAAAAABACAAAAAkAQAAZHJzL2Uyb0RvYy54bWxQSwUGAAAAAAYABgBZAQAA&#10;RQUAAAAA&#10;">
                      <v:fill on="t" focussize="0,0"/>
                      <v:stroke on="f"/>
                      <v:imagedata o:title=""/>
                      <o:lock v:ext="edit" aspectratio="f"/>
                    </v:rect>
                  </w:pict>
                </mc:Fallback>
              </mc:AlternateContent>
            </w:r>
            <w:r>
              <w:rPr>
                <w:color w:val="000000"/>
              </w:rPr>
              <w:fldChar w:fldCharType="begin">
                <w:ffData>
                  <w:name w:val="BAH"/>
                  <w:enabled/>
                  <w:calcOnExit w:val="0"/>
                  <w:textInput/>
                </w:ffData>
              </w:fldChar>
            </w:r>
            <w:r>
              <w:rPr>
                <w:color w:val="000000"/>
              </w:rPr>
              <w:instrText xml:space="preserve"> FORMTEXT </w:instrText>
            </w:r>
            <w:r>
              <w:rPr>
                <w:color w:val="000000"/>
              </w:rPr>
              <w:fldChar w:fldCharType="separate"/>
            </w:r>
            <w:r>
              <w:rPr>
                <w:color w:val="000000"/>
              </w:rPr>
              <w:t>     </w:t>
            </w:r>
            <w:r>
              <w:rPr>
                <w:color w:val="000000"/>
              </w:rPr>
              <w:fldChar w:fldCharType="end"/>
            </w:r>
          </w:p>
        </w:tc>
      </w:tr>
      <w:bookmarkEnd w:id="4"/>
    </w:tbl>
    <w:p>
      <w:pPr>
        <w:pStyle w:val="118"/>
        <w:pBdr>
          <w:top w:val="none" w:color="auto" w:sz="0" w:space="0"/>
          <w:left w:val="none" w:color="auto" w:sz="0" w:space="0"/>
          <w:bottom w:val="none" w:color="auto" w:sz="0" w:space="0"/>
          <w:right w:val="none" w:color="auto" w:sz="0" w:space="0"/>
        </w:pBdr>
        <w:rPr>
          <w:color w:val="000000"/>
        </w:rPr>
      </w:pPr>
      <w:r>
        <w:rPr>
          <w:color w:val="000000"/>
        </w:rPr>
        <w:t>DB</w:t>
      </w:r>
      <w:r>
        <w:rPr>
          <w:rFonts w:ascii="Times New Roman" w:hAnsi="Times New Roman" w:eastAsia="宋体" w:cs="Times New Roman"/>
          <w:b/>
          <w:color w:val="000000"/>
          <w:w w:val="130"/>
          <w:sz w:val="96"/>
          <w:szCs w:val="96"/>
          <w:lang w:val="en-US" w:eastAsia="zh-CN" w:bidi="ar-SA"/>
        </w:rPr>
        <w:fldChar w:fldCharType="begin">
          <w:ffData>
            <w:name w:val="c3"/>
            <w:enabled/>
            <w:calcOnExit w:val="0"/>
            <w:textInput>
              <w:default w:val="61"/>
              <w:maxLength w:val="2"/>
            </w:textInput>
          </w:ffData>
        </w:fldChar>
      </w:r>
      <w:r>
        <w:rPr>
          <w:rFonts w:ascii="Times New Roman" w:hAnsi="Times New Roman" w:eastAsia="宋体" w:cs="Times New Roman"/>
          <w:b/>
          <w:color w:val="000000"/>
          <w:w w:val="130"/>
          <w:sz w:val="96"/>
          <w:szCs w:val="96"/>
          <w:lang w:val="en-US" w:eastAsia="zh-CN" w:bidi="ar-SA"/>
        </w:rPr>
        <w:instrText xml:space="preserve">FORMTEXT</w:instrText>
      </w:r>
      <w:r>
        <w:rPr>
          <w:rFonts w:ascii="Times New Roman" w:hAnsi="Times New Roman" w:eastAsia="宋体" w:cs="Times New Roman"/>
          <w:b/>
          <w:color w:val="000000"/>
          <w:w w:val="130"/>
          <w:sz w:val="96"/>
          <w:szCs w:val="96"/>
          <w:lang w:val="en-US" w:eastAsia="zh-CN" w:bidi="ar-SA"/>
        </w:rPr>
        <w:fldChar w:fldCharType="separate"/>
      </w:r>
      <w:r>
        <w:rPr>
          <w:rFonts w:ascii="Times New Roman" w:hAnsi="Times New Roman" w:eastAsia="宋体" w:cs="Times New Roman"/>
          <w:b/>
          <w:color w:val="000000"/>
          <w:w w:val="130"/>
          <w:sz w:val="96"/>
          <w:szCs w:val="96"/>
          <w:lang w:val="en-US" w:eastAsia="zh-CN" w:bidi="ar-SA"/>
        </w:rPr>
        <w:t>61</w:t>
      </w:r>
      <w:r>
        <w:rPr>
          <w:rFonts w:ascii="Times New Roman" w:hAnsi="Times New Roman" w:eastAsia="宋体" w:cs="Times New Roman"/>
          <w:b/>
          <w:color w:val="000000"/>
          <w:w w:val="130"/>
          <w:sz w:val="96"/>
          <w:szCs w:val="96"/>
          <w:lang w:val="en-US" w:eastAsia="zh-CN" w:bidi="ar-SA"/>
        </w:rPr>
        <w:fldChar w:fldCharType="end"/>
      </w:r>
    </w:p>
    <w:p>
      <w:pPr>
        <w:pStyle w:val="77"/>
        <w:pBdr>
          <w:top w:val="none" w:color="auto" w:sz="0" w:space="0"/>
          <w:left w:val="none" w:color="auto" w:sz="0" w:space="0"/>
          <w:bottom w:val="none" w:color="auto" w:sz="0" w:space="0"/>
          <w:right w:val="none" w:color="auto" w:sz="0" w:space="0"/>
        </w:pBdr>
        <w:rPr>
          <w:color w:val="000000"/>
        </w:rPr>
      </w:pPr>
      <w:r>
        <w:rPr>
          <w:color w:val="000000"/>
        </w:rPr>
        <w:fldChar w:fldCharType="begin">
          <w:ffData>
            <w:name w:val="c4"/>
            <w:enabled/>
            <w:calcOnExit w:val="0"/>
            <w:textInput/>
          </w:ffData>
        </w:fldChar>
      </w:r>
      <w:r>
        <w:rPr>
          <w:color w:val="000000"/>
        </w:rPr>
        <w:instrText xml:space="preserve"> FORMTEXT </w:instrText>
      </w:r>
      <w:r>
        <w:rPr>
          <w:color w:val="000000"/>
        </w:rPr>
        <w:fldChar w:fldCharType="separate"/>
      </w:r>
      <w:r>
        <w:rPr>
          <w:rFonts w:hint="eastAsia"/>
          <w:color w:val="000000"/>
        </w:rPr>
        <w:t>陕西省</w:t>
      </w:r>
      <w:r>
        <w:rPr>
          <w:color w:val="000000"/>
        </w:rPr>
        <w:fldChar w:fldCharType="end"/>
      </w:r>
      <w:r>
        <w:rPr>
          <w:rFonts w:hint="eastAsia"/>
          <w:color w:val="000000"/>
        </w:rPr>
        <w:t>地方标准</w:t>
      </w:r>
    </w:p>
    <w:p>
      <w:pPr>
        <w:pStyle w:val="133"/>
        <w:rPr>
          <w:rFonts w:hAnsi="黑体"/>
          <w:color w:val="000000"/>
        </w:rPr>
      </w:pPr>
      <w:r>
        <w:rPr>
          <w:rStyle w:val="156"/>
          <w:rFonts w:hint="eastAsia"/>
          <w:color w:val="000000"/>
        </w:rPr>
        <w:t>发布</w:t>
      </w:r>
      <w:r>
        <w:rPr>
          <w:rFonts w:ascii="Times New Roman"/>
          <w:color w:val="000000"/>
        </w:rPr>
        <w:t xml:space="preserve">DB </w:t>
      </w:r>
      <w:r>
        <w:rPr>
          <w:rFonts w:hint="eastAsia" w:hAnsi="黑体"/>
          <w:color w:val="000000"/>
          <w:lang w:val="en-US" w:eastAsia="zh-CN"/>
        </w:rPr>
        <w:t>61</w:t>
      </w:r>
      <w:r>
        <w:rPr>
          <w:rFonts w:hAnsi="黑体"/>
          <w:color w:val="000000"/>
        </w:rPr>
        <w:t>/</w:t>
      </w:r>
      <w:r>
        <w:rPr>
          <w:rFonts w:hint="eastAsia" w:hAnsi="黑体"/>
          <w:color w:val="000000"/>
          <w:lang w:val="en-US" w:eastAsia="zh-CN"/>
        </w:rPr>
        <w:t>T</w:t>
      </w:r>
      <w:r>
        <w:rPr>
          <w:rFonts w:hAnsi="黑体"/>
          <w:color w:val="000000"/>
        </w:rPr>
        <w:t xml:space="preserve"> </w:t>
      </w:r>
      <w:r>
        <w:rPr>
          <w:rFonts w:hAnsi="黑体"/>
          <w:color w:val="000000"/>
        </w:rPr>
        <w:fldChar w:fldCharType="begin">
          <w:ffData>
            <w:name w:val="StdNo1"/>
            <w:enabled/>
            <w:calcOnExit w:val="0"/>
            <w:textInput>
              <w:default w:val="XXXXX"/>
            </w:textInput>
          </w:ffData>
        </w:fldChar>
      </w:r>
      <w:r>
        <w:rPr>
          <w:rFonts w:hAnsi="黑体"/>
          <w:color w:val="000000"/>
        </w:rPr>
        <w:instrText xml:space="preserve"> FORMTEXT </w:instrText>
      </w:r>
      <w:r>
        <w:rPr>
          <w:rFonts w:hAnsi="黑体"/>
          <w:color w:val="000000"/>
        </w:rPr>
        <w:fldChar w:fldCharType="separate"/>
      </w:r>
      <w:r>
        <w:rPr>
          <w:rFonts w:hAnsi="黑体"/>
          <w:color w:val="000000"/>
        </w:rPr>
        <w:t>XXXXX</w:t>
      </w:r>
      <w:r>
        <w:rPr>
          <w:rFonts w:hAnsi="黑体"/>
          <w:color w:val="000000"/>
        </w:rPr>
        <w:fldChar w:fldCharType="end"/>
      </w:r>
      <w:r>
        <w:rPr>
          <w:rFonts w:hAnsi="黑体"/>
          <w:color w:val="000000"/>
        </w:rPr>
        <w:t>—</w:t>
      </w:r>
      <w:r>
        <w:rPr>
          <w:rFonts w:hAnsi="黑体"/>
          <w:color w:val="000000"/>
        </w:rPr>
        <w:fldChar w:fldCharType="begin">
          <w:ffData>
            <w:name w:val="StdNo2"/>
            <w:enabled/>
            <w:calcOnExit w:val="0"/>
            <w:textInput>
              <w:default w:val="XXXX"/>
              <w:maxLength w:val="4"/>
            </w:textInput>
          </w:ffData>
        </w:fldChar>
      </w:r>
      <w:r>
        <w:rPr>
          <w:rFonts w:hAnsi="黑体"/>
          <w:color w:val="000000"/>
        </w:rPr>
        <w:instrText xml:space="preserve"> FORMTEXT </w:instrText>
      </w:r>
      <w:r>
        <w:rPr>
          <w:rFonts w:hAnsi="黑体"/>
          <w:color w:val="000000"/>
        </w:rPr>
        <w:fldChar w:fldCharType="separate"/>
      </w:r>
      <w:r>
        <w:rPr>
          <w:rFonts w:hAnsi="黑体"/>
          <w:color w:val="000000"/>
        </w:rPr>
        <w:t>XXXX</w:t>
      </w:r>
      <w:r>
        <w:rPr>
          <w:rFonts w:hAnsi="黑体"/>
          <w:color w:val="000000"/>
        </w:rPr>
        <w:fldChar w:fldCharType="end"/>
      </w:r>
    </w:p>
    <w:tbl>
      <w:tblPr>
        <w:tblStyle w:val="3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pPr>
              <w:pStyle w:val="136"/>
              <w:rPr>
                <w:color w:val="000000"/>
              </w:rPr>
            </w:pPr>
            <w:r>
              <w:rPr>
                <w:color w:val="000000"/>
              </w:rPr>
              <w:fldChar w:fldCharType="begin">
                <w:ffData>
                  <w:name w:val="DT"/>
                  <w:enabled/>
                  <w:calcOnExit w:val="0"/>
                  <w:textInput/>
                </w:ffData>
              </w:fldChar>
            </w:r>
            <w:r>
              <w:rPr>
                <w:color w:val="000000"/>
              </w:rPr>
              <w:instrText xml:space="preserve"> FORMTEXT </w:instrText>
            </w:r>
            <w:r>
              <w:rPr>
                <w:color w:val="000000"/>
              </w:rPr>
              <w:fldChar w:fldCharType="separate"/>
            </w:r>
            <w:r>
              <w:rPr>
                <w:color w:val="000000"/>
              </w:rPr>
              <w:t>     </w:t>
            </w:r>
            <w:r>
              <w:rPr>
                <w:color w:val="000000"/>
              </w:rPr>
              <w:fldChar w:fldCharType="end"/>
            </w:r>
          </w:p>
        </w:tc>
      </w:tr>
    </w:tbl>
    <w:p>
      <w:pPr>
        <w:pStyle w:val="133"/>
        <w:rPr>
          <w:rFonts w:hAnsi="黑体"/>
          <w:color w:val="000000"/>
        </w:rPr>
      </w:pPr>
    </w:p>
    <w:p>
      <w:pPr>
        <w:pStyle w:val="133"/>
        <w:rPr>
          <w:rFonts w:hAnsi="黑体"/>
          <w:color w:val="000000"/>
        </w:rPr>
      </w:pPr>
    </w:p>
    <w:p>
      <w:pPr>
        <w:pStyle w:val="83"/>
        <w:rPr>
          <w:color w:val="000000"/>
        </w:rPr>
        <w:sectPr>
          <w:headerReference r:id="rId4" w:type="first"/>
          <w:footerReference r:id="rId6" w:type="first"/>
          <w:headerReference r:id="rId3" w:type="even"/>
          <w:footerReference r:id="rId5" w:type="even"/>
          <w:pgSz w:w="11906" w:h="16838"/>
          <w:pgMar w:top="567" w:right="850" w:bottom="1134" w:left="1418" w:header="0" w:footer="0" w:gutter="0"/>
          <w:pgNumType w:fmt="decimal" w:start="1"/>
          <w:cols w:space="720" w:num="1"/>
          <w:docGrid w:type="lines" w:linePitch="312" w:charSpace="0"/>
        </w:sectPr>
      </w:pPr>
      <w:bookmarkStart w:id="5" w:name="_Toc121427123"/>
      <w:bookmarkStart w:id="6" w:name="_Toc124357966"/>
      <w:bookmarkStart w:id="7" w:name="_Toc121426049"/>
      <w:bookmarkStart w:id="8" w:name="_Toc124358017"/>
      <w:bookmarkStart w:id="9" w:name="_Toc121425019"/>
      <w:bookmarkStart w:id="10" w:name="_Toc121418271"/>
      <w:bookmarkStart w:id="11" w:name="_Toc121424947"/>
      <w:r>
        <w:rPr>
          <w:color w:val="000000"/>
          <w:w w:val="100"/>
        </w:rPr>
        <mc:AlternateContent>
          <mc:Choice Requires="wps">
            <w:drawing>
              <wp:anchor distT="0" distB="0" distL="114300" distR="114300" simplePos="0" relativeHeight="251666432" behindDoc="1" locked="0" layoutInCell="1" allowOverlap="1">
                <wp:simplePos x="0" y="0"/>
                <wp:positionH relativeFrom="column">
                  <wp:posOffset>1810385</wp:posOffset>
                </wp:positionH>
                <wp:positionV relativeFrom="paragraph">
                  <wp:posOffset>-3942715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142.55pt;margin-top:-310.45pt;height:24pt;width:100pt;z-index:-251650048;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bXu1tkAAAAN&#10;AQAADwAAAAAAAAABACAAAAAiAAAAZHJzL2Rvd25yZXYueG1sUEsBAhQAFAAAAAgAh07iQBXfBLqp&#10;AQAAZwMAAA4AAAAAAAAAAQAgAAAAKAEAAGRycy9lMm9Eb2MueG1sUEsFBgAAAAAGAAYAWQEAAEMF&#10;AAAAAA==&#10;">
                <v:fill on="t" focussize="0,0"/>
                <v:stroke on="f"/>
                <v:imagedata o:title=""/>
                <o:lock v:ext="edit" aspectratio="f"/>
              </v:rect>
            </w:pict>
          </mc:Fallback>
        </mc:AlternateContent>
      </w:r>
      <w:r>
        <w:rPr>
          <w:color w:val="000000"/>
          <w:w w:val="100"/>
        </w:rPr>
        <mc:AlternateContent>
          <mc:Choice Requires="wps">
            <w:drawing>
              <wp:anchor distT="0" distB="0" distL="114300" distR="114300" simplePos="0" relativeHeight="251665408"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1"/>
                    </wps:wsp>
                  </a:graphicData>
                </a:graphic>
              </wp:anchor>
            </w:drawing>
          </mc:Choice>
          <mc:Fallback>
            <w:pict>
              <v:rect id="DT" o:spid="_x0000_s1026" o:spt="1" style="position:absolute;left:0pt;margin-left:347.55pt;margin-top:-585.45pt;height:18pt;width:90pt;z-index:-251651072;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fyYoR2gAA&#10;AA8BAAAPAAAAAAAAAAEAIAAAACIAAABkcnMvZG93bnJldi54bWxQSwECFAAUAAAACACHTuJA9p9R&#10;CqoBAABnAwAADgAAAAAAAAABACAAAAApAQAAZHJzL2Uyb0RvYy54bWxQSwUGAAAAAAYABgBZAQAA&#10;RQUAAAAA&#10;">
                <v:fill on="t" focussize="0,0"/>
                <v:stroke on="f"/>
                <v:imagedata o:title=""/>
                <o:lock v:ext="edit" aspectratio="f"/>
              </v:rect>
            </w:pict>
          </mc:Fallback>
        </mc:AlternateContent>
      </w:r>
      <w:r>
        <w:rPr>
          <w:color w:val="000000"/>
          <w:w w:val="100"/>
        </w:rPr>
        <mc:AlternateContent>
          <mc:Choice Requires="wps">
            <w:drawing>
              <wp:anchor distT="0" distB="0" distL="114300" distR="114300" simplePos="0" relativeHeight="251667456" behindDoc="0" locked="0" layoutInCell="1" allowOverlap="1">
                <wp:simplePos x="0" y="0"/>
                <wp:positionH relativeFrom="column">
                  <wp:posOffset>-464820</wp:posOffset>
                </wp:positionH>
                <wp:positionV relativeFrom="paragraph">
                  <wp:posOffset>-7021195</wp:posOffset>
                </wp:positionV>
                <wp:extent cx="6120130" cy="0"/>
                <wp:effectExtent l="0" t="4445" r="0" b="508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36.6pt;margin-top:-552.85pt;height:0pt;width:481.9pt;z-index:251667456;mso-width-relative:page;mso-height-relative:page;" filled="f" stroked="t" coordsize="21600,21600"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DslkaDY&#10;AAAADwEAAA8AAAAAAAAAAQAgAAAAIgAAAGRycy9kb3ducmV2LnhtbFBLAQIUABQAAAAIAIdO4kAB&#10;DqeS5wEAANwDAAAOAAAAAAAAAAEAIAAAACcBAABkcnMvZTJvRG9jLnhtbFBLBQYAAAAABgAGAFkB&#10;AACABQAAAAA=&#10;">
                <v:fill on="f" focussize="0,0"/>
                <v:stroke color="#000000" joinstyle="round"/>
                <v:imagedata o:title=""/>
                <o:lock v:ext="edit" aspectratio="f"/>
              </v:line>
            </w:pict>
          </mc:Fallback>
        </mc:AlternateContent>
      </w:r>
      <w:r>
        <w:rPr>
          <w:color w:val="000000"/>
        </w:rPr>
        <w:fldChar w:fldCharType="begin">
          <w:ffData>
            <w:name w:val="fm"/>
            <w:enabled/>
            <w:calcOnExit w:val="0"/>
            <w:textInput/>
          </w:ffData>
        </w:fldChar>
      </w:r>
      <w:r>
        <w:rPr>
          <w:color w:val="000000"/>
        </w:rPr>
        <w:instrText xml:space="preserve"> FORMTEXT </w:instrText>
      </w:r>
      <w:r>
        <w:rPr>
          <w:color w:val="000000"/>
        </w:rPr>
        <w:fldChar w:fldCharType="separate"/>
      </w:r>
      <w:r>
        <w:rPr>
          <w:rFonts w:hint="eastAsia"/>
          <w:color w:val="000000"/>
        </w:rPr>
        <w:t>陕西省市场监督管理局</w:t>
      </w:r>
      <w:r>
        <w:rPr>
          <w:color w:val="000000"/>
        </w:rPr>
        <w:fldChar w:fldCharType="end"/>
      </w:r>
      <w:r>
        <w:rPr>
          <w:rFonts w:hAnsi="黑体"/>
          <w:color w:val="000000"/>
        </w:rPr>
        <w:t>   </w:t>
      </w:r>
      <w:r>
        <w:rPr>
          <w:rStyle w:val="156"/>
          <w:rFonts w:hint="eastAsia"/>
          <w:color w:val="000000"/>
        </w:rPr>
        <w:t>发布</w:t>
      </w:r>
    </w:p>
    <w:p>
      <w:pPr>
        <w:pStyle w:val="101"/>
        <w:rPr>
          <w:rFonts w:hint="eastAsia"/>
          <w:color w:val="000000"/>
        </w:rPr>
      </w:pPr>
      <w:r>
        <w:rPr>
          <w:rFonts w:hint="eastAsia"/>
          <w:color w:val="000000"/>
        </w:rPr>
        <w:t>前</w:t>
      </w:r>
      <w:bookmarkStart w:id="12" w:name="BKQY"/>
      <w:r>
        <w:rPr>
          <w:rFonts w:hAnsi="黑体"/>
          <w:color w:val="000000"/>
        </w:rPr>
        <w:t>  </w:t>
      </w:r>
      <w:r>
        <w:rPr>
          <w:rFonts w:hint="eastAsia"/>
          <w:color w:val="000000"/>
        </w:rPr>
        <w:t>言</w:t>
      </w:r>
      <w:bookmarkEnd w:id="5"/>
      <w:bookmarkEnd w:id="6"/>
      <w:bookmarkEnd w:id="7"/>
      <w:bookmarkEnd w:id="8"/>
      <w:bookmarkEnd w:id="9"/>
      <w:bookmarkEnd w:id="10"/>
      <w:bookmarkEnd w:id="11"/>
      <w:bookmarkEnd w:id="12"/>
    </w:p>
    <w:p>
      <w:pPr>
        <w:pStyle w:val="26"/>
        <w:rPr>
          <w:rFonts w:hint="eastAsia"/>
          <w:color w:val="auto"/>
          <w:highlight w:val="none"/>
        </w:rPr>
      </w:pPr>
      <w:r>
        <w:rPr>
          <w:rFonts w:hint="eastAsia"/>
          <w:color w:val="auto"/>
          <w:highlight w:val="none"/>
        </w:rPr>
        <w:t>本文件按照GB/T 1.1</w:t>
      </w:r>
      <w:r>
        <w:rPr>
          <w:rFonts w:hint="eastAsia"/>
          <w:color w:val="auto"/>
          <w:highlight w:val="none"/>
          <w:lang w:eastAsia="zh-CN"/>
        </w:rPr>
        <w:t>—</w:t>
      </w:r>
      <w:r>
        <w:rPr>
          <w:rFonts w:hint="eastAsia"/>
          <w:color w:val="auto"/>
          <w:highlight w:val="none"/>
        </w:rPr>
        <w:t>2020《标准化工作导则 第1部分：标准化文件的结构和起草规则》的规定起草。</w:t>
      </w:r>
    </w:p>
    <w:p>
      <w:pPr>
        <w:pStyle w:val="26"/>
        <w:rPr>
          <w:rFonts w:hint="eastAsia"/>
          <w:color w:val="auto"/>
          <w:highlight w:val="none"/>
        </w:rPr>
      </w:pPr>
      <w:r>
        <w:rPr>
          <w:rFonts w:hint="eastAsia"/>
          <w:color w:val="auto"/>
          <w:highlight w:val="none"/>
        </w:rPr>
        <w:t>本文件由</w:t>
      </w:r>
      <w:r>
        <w:rPr>
          <w:rFonts w:hint="eastAsia"/>
          <w:color w:val="auto"/>
          <w:highlight w:val="none"/>
          <w:lang w:eastAsia="zh-CN"/>
        </w:rPr>
        <w:t>陕西省市场监管局</w:t>
      </w:r>
      <w:r>
        <w:rPr>
          <w:rFonts w:hint="eastAsia"/>
          <w:color w:val="auto"/>
          <w:highlight w:val="none"/>
        </w:rPr>
        <w:t>提出</w:t>
      </w:r>
      <w:r>
        <w:rPr>
          <w:rFonts w:hint="eastAsia"/>
          <w:color w:val="auto"/>
          <w:highlight w:val="none"/>
          <w:lang w:eastAsia="zh-CN"/>
        </w:rPr>
        <w:t>并归口</w:t>
      </w:r>
      <w:r>
        <w:rPr>
          <w:rFonts w:hint="eastAsia"/>
          <w:color w:val="auto"/>
          <w:highlight w:val="none"/>
        </w:rPr>
        <w:t>。</w:t>
      </w:r>
    </w:p>
    <w:p>
      <w:pPr>
        <w:pStyle w:val="26"/>
        <w:rPr>
          <w:rFonts w:hint="eastAsia"/>
          <w:color w:val="auto"/>
          <w:highlight w:val="none"/>
        </w:rPr>
      </w:pPr>
      <w:r>
        <w:rPr>
          <w:rFonts w:hint="eastAsia"/>
          <w:color w:val="auto"/>
          <w:highlight w:val="none"/>
        </w:rPr>
        <w:t>本文件起草单位：</w:t>
      </w:r>
      <w:r>
        <w:rPr>
          <w:rFonts w:hint="eastAsia"/>
          <w:color w:val="auto"/>
          <w:highlight w:val="none"/>
          <w:lang w:val="en-US" w:eastAsia="zh-CN"/>
        </w:rPr>
        <w:t xml:space="preserve"> </w:t>
      </w:r>
    </w:p>
    <w:p>
      <w:pPr>
        <w:pStyle w:val="26"/>
        <w:rPr>
          <w:rFonts w:hint="eastAsia"/>
          <w:color w:val="auto"/>
          <w:highlight w:val="none"/>
        </w:rPr>
      </w:pPr>
      <w:r>
        <w:rPr>
          <w:rFonts w:hint="eastAsia"/>
          <w:color w:val="auto"/>
          <w:highlight w:val="none"/>
        </w:rPr>
        <w:t>本文件主要起草人：</w:t>
      </w:r>
      <w:r>
        <w:rPr>
          <w:rFonts w:hint="eastAsia"/>
          <w:color w:val="auto"/>
          <w:highlight w:val="none"/>
          <w:lang w:val="en-US" w:eastAsia="zh-CN"/>
        </w:rPr>
        <w:t xml:space="preserve"> </w:t>
      </w:r>
    </w:p>
    <w:p>
      <w:pPr>
        <w:pStyle w:val="26"/>
        <w:rPr>
          <w:rFonts w:hint="eastAsia"/>
          <w:color w:val="auto"/>
          <w:highlight w:val="none"/>
        </w:rPr>
      </w:pPr>
      <w:r>
        <w:rPr>
          <w:rFonts w:hint="eastAsia"/>
          <w:color w:val="auto"/>
          <w:highlight w:val="none"/>
        </w:rPr>
        <w:t>本文件</w:t>
      </w:r>
      <w:r>
        <w:rPr>
          <w:rFonts w:hint="eastAsia"/>
          <w:color w:val="auto"/>
          <w:highlight w:val="none"/>
          <w:lang w:eastAsia="zh-CN"/>
        </w:rPr>
        <w:t>由</w:t>
      </w:r>
      <w:r>
        <w:rPr>
          <w:rFonts w:hint="eastAsia"/>
          <w:color w:val="auto"/>
          <w:highlight w:val="none"/>
          <w:lang w:val="en-US" w:eastAsia="zh-CN"/>
        </w:rPr>
        <w:t xml:space="preserve"> </w:t>
      </w:r>
      <w:r>
        <w:rPr>
          <w:rFonts w:hint="eastAsia"/>
          <w:color w:val="auto"/>
          <w:highlight w:val="none"/>
        </w:rPr>
        <w:t>负责解释。</w:t>
      </w:r>
    </w:p>
    <w:p>
      <w:pPr>
        <w:pStyle w:val="26"/>
        <w:rPr>
          <w:rFonts w:hint="eastAsia"/>
          <w:color w:val="auto"/>
          <w:highlight w:val="none"/>
        </w:rPr>
      </w:pPr>
      <w:r>
        <w:rPr>
          <w:rFonts w:hint="eastAsia"/>
          <w:color w:val="auto"/>
          <w:highlight w:val="none"/>
        </w:rPr>
        <w:t>本文件首次发布。</w:t>
      </w:r>
    </w:p>
    <w:p>
      <w:pPr>
        <w:pStyle w:val="26"/>
        <w:rPr>
          <w:rFonts w:hint="eastAsia"/>
          <w:color w:val="auto"/>
          <w:highlight w:val="none"/>
        </w:rPr>
      </w:pPr>
      <w:r>
        <w:rPr>
          <w:rFonts w:hint="eastAsia"/>
          <w:color w:val="auto"/>
          <w:highlight w:val="none"/>
        </w:rPr>
        <w:t>联系信息如下：</w:t>
      </w:r>
    </w:p>
    <w:p>
      <w:pPr>
        <w:pStyle w:val="26"/>
        <w:rPr>
          <w:rFonts w:hint="eastAsia"/>
          <w:color w:val="auto"/>
          <w:highlight w:val="none"/>
        </w:rPr>
      </w:pPr>
      <w:r>
        <w:rPr>
          <w:rFonts w:hint="eastAsia"/>
          <w:color w:val="auto"/>
          <w:highlight w:val="none"/>
        </w:rPr>
        <w:t>单位：</w:t>
      </w:r>
    </w:p>
    <w:p>
      <w:pPr>
        <w:pStyle w:val="26"/>
        <w:rPr>
          <w:rFonts w:hint="default" w:eastAsia="宋体"/>
          <w:color w:val="auto"/>
          <w:highlight w:val="none"/>
          <w:lang w:val="en-US" w:eastAsia="zh-CN"/>
        </w:rPr>
      </w:pPr>
      <w:r>
        <w:rPr>
          <w:rFonts w:hint="eastAsia"/>
          <w:color w:val="auto"/>
          <w:highlight w:val="none"/>
        </w:rPr>
        <w:t>电话：</w:t>
      </w:r>
    </w:p>
    <w:p>
      <w:pPr>
        <w:pStyle w:val="26"/>
        <w:rPr>
          <w:rFonts w:hint="default" w:eastAsia="宋体"/>
          <w:color w:val="auto"/>
          <w:highlight w:val="none"/>
          <w:lang w:val="en-US" w:eastAsia="zh-CN"/>
        </w:rPr>
      </w:pPr>
      <w:r>
        <w:rPr>
          <w:rFonts w:hint="eastAsia"/>
          <w:color w:val="auto"/>
          <w:highlight w:val="none"/>
        </w:rPr>
        <w:t>地址：</w:t>
      </w:r>
    </w:p>
    <w:p>
      <w:pPr>
        <w:pStyle w:val="26"/>
        <w:rPr>
          <w:rFonts w:hint="default" w:eastAsia="宋体"/>
          <w:color w:val="auto"/>
          <w:highlight w:val="none"/>
          <w:lang w:val="en-US" w:eastAsia="zh-CN"/>
        </w:rPr>
        <w:sectPr>
          <w:headerReference r:id="rId7" w:type="default"/>
          <w:footerReference r:id="rId8" w:type="default"/>
          <w:pgSz w:w="11906" w:h="16838"/>
          <w:pgMar w:top="567" w:right="1134" w:bottom="1134" w:left="1418" w:header="1418" w:footer="1134" w:gutter="0"/>
          <w:pgNumType w:fmt="upperRoman" w:start="1"/>
          <w:cols w:space="720" w:num="1"/>
          <w:formProt w:val="0"/>
          <w:docGrid w:type="lines" w:linePitch="312" w:charSpace="0"/>
        </w:sectPr>
      </w:pPr>
      <w:r>
        <w:rPr>
          <w:rFonts w:hint="eastAsia"/>
          <w:color w:val="auto"/>
          <w:highlight w:val="none"/>
        </w:rPr>
        <w:t>邮编：</w:t>
      </w:r>
    </w:p>
    <w:p>
      <w:pPr>
        <w:pStyle w:val="100"/>
        <w:spacing w:line="276" w:lineRule="auto"/>
        <w:rPr>
          <w:rFonts w:hint="eastAsia"/>
          <w:color w:val="auto"/>
          <w:highlight w:val="none"/>
        </w:rPr>
      </w:pPr>
      <w:r>
        <w:rPr>
          <w:rFonts w:hint="eastAsia" w:cs="Times New Roman"/>
          <w:color w:val="auto"/>
          <w:kern w:val="0"/>
          <w:sz w:val="32"/>
          <w:szCs w:val="20"/>
          <w:highlight w:val="none"/>
          <w:lang w:val="en-US" w:eastAsia="zh-CN" w:bidi="ar-SA"/>
        </w:rPr>
        <w:t>市场监管行风建设指南</w:t>
      </w:r>
    </w:p>
    <w:p>
      <w:pPr>
        <w:pStyle w:val="49"/>
        <w:rPr>
          <w:rFonts w:hint="eastAsia"/>
          <w:color w:val="auto"/>
          <w:highlight w:val="none"/>
        </w:rPr>
      </w:pPr>
      <w:bookmarkStart w:id="13" w:name="_Toc121427124"/>
      <w:bookmarkStart w:id="14" w:name="_Toc121424948"/>
      <w:bookmarkStart w:id="15" w:name="_Toc121426050"/>
      <w:bookmarkStart w:id="16" w:name="_Toc124358018"/>
      <w:bookmarkStart w:id="17" w:name="_Toc124357967"/>
      <w:bookmarkStart w:id="18" w:name="_Toc121418272"/>
      <w:bookmarkStart w:id="19" w:name="_Toc121425020"/>
      <w:r>
        <w:rPr>
          <w:rFonts w:hint="eastAsia"/>
          <w:color w:val="auto"/>
          <w:highlight w:val="none"/>
        </w:rPr>
        <w:t>范围</w:t>
      </w:r>
      <w:bookmarkEnd w:id="13"/>
      <w:bookmarkEnd w:id="14"/>
      <w:bookmarkEnd w:id="15"/>
      <w:bookmarkEnd w:id="16"/>
      <w:bookmarkEnd w:id="17"/>
      <w:bookmarkEnd w:id="18"/>
      <w:bookmarkEnd w:id="19"/>
    </w:p>
    <w:p>
      <w:pPr>
        <w:pStyle w:val="26"/>
        <w:rPr>
          <w:rFonts w:hint="eastAsia"/>
          <w:color w:val="auto"/>
          <w:highlight w:val="none"/>
          <w:lang w:val="en-US" w:eastAsia="zh-CN"/>
        </w:rPr>
      </w:pPr>
      <w:r>
        <w:rPr>
          <w:rFonts w:hint="eastAsia"/>
          <w:color w:val="auto"/>
          <w:highlight w:val="none"/>
        </w:rPr>
        <w:t>本文件规定了</w:t>
      </w:r>
      <w:r>
        <w:rPr>
          <w:rFonts w:hint="eastAsia"/>
          <w:color w:val="auto"/>
          <w:highlight w:val="none"/>
          <w:lang w:val="en-US" w:eastAsia="zh-CN"/>
        </w:rPr>
        <w:t>行风建设的排查、整改、监察、宣传的流程以及工作的要求。</w:t>
      </w:r>
    </w:p>
    <w:p>
      <w:pPr>
        <w:pStyle w:val="26"/>
        <w:rPr>
          <w:rFonts w:hint="default" w:eastAsia="宋体"/>
          <w:color w:val="auto"/>
          <w:highlight w:val="none"/>
          <w:lang w:val="en-US" w:eastAsia="zh-CN"/>
        </w:rPr>
      </w:pPr>
      <w:r>
        <w:rPr>
          <w:rFonts w:hint="eastAsia"/>
          <w:color w:val="auto"/>
          <w:highlight w:val="none"/>
        </w:rPr>
        <w:t>本文件适用于</w:t>
      </w:r>
      <w:r>
        <w:rPr>
          <w:rFonts w:hint="eastAsia"/>
          <w:color w:val="auto"/>
          <w:highlight w:val="none"/>
          <w:lang w:val="en-US" w:eastAsia="zh-CN"/>
        </w:rPr>
        <w:t>市场监管行风建设工作。</w:t>
      </w:r>
    </w:p>
    <w:p>
      <w:pPr>
        <w:pStyle w:val="49"/>
        <w:rPr>
          <w:rFonts w:hint="eastAsia"/>
          <w:color w:val="auto"/>
          <w:highlight w:val="none"/>
        </w:rPr>
      </w:pPr>
      <w:bookmarkStart w:id="20" w:name="_Toc121425021"/>
      <w:bookmarkStart w:id="21" w:name="_Toc121427125"/>
      <w:bookmarkStart w:id="22" w:name="_Toc121418273"/>
      <w:bookmarkStart w:id="23" w:name="_Toc121426051"/>
      <w:bookmarkStart w:id="24" w:name="_Toc124358019"/>
      <w:bookmarkStart w:id="25" w:name="_Toc124357968"/>
      <w:bookmarkStart w:id="26" w:name="_Toc121424949"/>
      <w:r>
        <w:rPr>
          <w:rFonts w:hint="eastAsia"/>
          <w:color w:val="auto"/>
          <w:highlight w:val="none"/>
        </w:rPr>
        <w:t>规范性引用文件</w:t>
      </w:r>
      <w:bookmarkEnd w:id="20"/>
      <w:bookmarkEnd w:id="21"/>
      <w:bookmarkEnd w:id="22"/>
      <w:bookmarkEnd w:id="23"/>
      <w:bookmarkEnd w:id="24"/>
      <w:bookmarkEnd w:id="25"/>
      <w:bookmarkEnd w:id="26"/>
    </w:p>
    <w:p>
      <w:pPr>
        <w:ind w:firstLine="420" w:firstLineChars="200"/>
        <w:rPr>
          <w:rFonts w:hint="default" w:ascii="Times New Roman" w:hAnsi="Times New Roman" w:eastAsia="宋体" w:cs="Times New Roman"/>
          <w:color w:val="auto"/>
          <w:kern w:val="0"/>
          <w:sz w:val="21"/>
          <w:szCs w:val="20"/>
          <w:highlight w:val="none"/>
          <w:lang w:val="en-US" w:eastAsia="zh-CN" w:bidi="ar-SA"/>
        </w:rPr>
      </w:pPr>
      <w:r>
        <w:rPr>
          <w:rFonts w:hint="eastAsia" w:cs="Times New Roman"/>
          <w:color w:val="auto"/>
          <w:kern w:val="0"/>
          <w:sz w:val="21"/>
          <w:szCs w:val="20"/>
          <w:highlight w:val="none"/>
          <w:lang w:val="en-US" w:eastAsia="zh-CN" w:bidi="ar-SA"/>
        </w:rPr>
        <w:t>本文件没有规范性引用文件。</w:t>
      </w:r>
    </w:p>
    <w:p>
      <w:pPr>
        <w:pStyle w:val="49"/>
        <w:outlineLvl w:val="0"/>
        <w:rPr>
          <w:rFonts w:hint="eastAsia"/>
          <w:color w:val="auto"/>
          <w:highlight w:val="none"/>
        </w:rPr>
      </w:pPr>
      <w:bookmarkStart w:id="27" w:name="_Toc124357969"/>
      <w:bookmarkStart w:id="28" w:name="_Toc124358020"/>
      <w:bookmarkStart w:id="29" w:name="_Toc331153521"/>
      <w:bookmarkStart w:id="30" w:name="_Toc60647710"/>
      <w:bookmarkStart w:id="31" w:name="_Toc26465"/>
      <w:bookmarkStart w:id="32" w:name="_Toc2691"/>
      <w:bookmarkStart w:id="33" w:name="_Toc121425022"/>
      <w:bookmarkStart w:id="34" w:name="_Toc104755299"/>
      <w:bookmarkStart w:id="35" w:name="_Toc104743145"/>
      <w:bookmarkStart w:id="36" w:name="_Toc121426052"/>
      <w:bookmarkStart w:id="37" w:name="_Toc121427126"/>
      <w:bookmarkStart w:id="38" w:name="_Toc39128866"/>
      <w:bookmarkStart w:id="39" w:name="_Toc104743377"/>
      <w:bookmarkStart w:id="40" w:name="_Toc60647667"/>
      <w:bookmarkStart w:id="41" w:name="_Toc39135249"/>
      <w:bookmarkStart w:id="42" w:name="_Toc104743332"/>
      <w:bookmarkStart w:id="43" w:name="_Toc121424950"/>
      <w:bookmarkStart w:id="44" w:name="_Toc331153485"/>
      <w:bookmarkStart w:id="45" w:name="_Toc102675545"/>
      <w:bookmarkStart w:id="46" w:name="_Toc102763524"/>
      <w:bookmarkStart w:id="47" w:name="_Toc121415442"/>
      <w:r>
        <w:rPr>
          <w:rFonts w:hint="eastAsia"/>
          <w:color w:val="auto"/>
          <w:highlight w:val="none"/>
        </w:rPr>
        <w:t>术语和定义</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Start w:id="48" w:name="_Toc102675546"/>
      <w:bookmarkStart w:id="49" w:name="_Toc104743333"/>
      <w:bookmarkStart w:id="50" w:name="_Toc104743146"/>
      <w:bookmarkStart w:id="51" w:name="_Toc104743378"/>
      <w:bookmarkStart w:id="52" w:name="_Toc102763525"/>
    </w:p>
    <w:bookmarkEnd w:id="48"/>
    <w:bookmarkEnd w:id="49"/>
    <w:bookmarkEnd w:id="50"/>
    <w:bookmarkEnd w:id="51"/>
    <w:bookmarkEnd w:id="52"/>
    <w:p>
      <w:pPr>
        <w:pStyle w:val="26"/>
        <w:rPr>
          <w:rFonts w:ascii="Times New Roman"/>
          <w:color w:val="auto"/>
          <w:highlight w:val="none"/>
        </w:rPr>
      </w:pPr>
      <w:r>
        <w:rPr>
          <w:rFonts w:ascii="Times New Roman"/>
          <w:color w:val="auto"/>
          <w:highlight w:val="none"/>
        </w:rPr>
        <w:t>本文件没有需要界定的术语和定义。</w:t>
      </w:r>
    </w:p>
    <w:p>
      <w:pPr>
        <w:pStyle w:val="49"/>
        <w:bidi w:val="0"/>
        <w:rPr>
          <w:rFonts w:hint="eastAsia"/>
          <w:color w:val="auto"/>
          <w:highlight w:val="none"/>
        </w:rPr>
      </w:pPr>
      <w:r>
        <w:rPr>
          <w:rFonts w:hint="eastAsia"/>
          <w:color w:val="auto"/>
          <w:highlight w:val="none"/>
          <w:lang w:eastAsia="zh-CN"/>
        </w:rPr>
        <w:t>基本原则</w:t>
      </w:r>
    </w:p>
    <w:p>
      <w:pPr>
        <w:pStyle w:val="74"/>
        <w:bidi w:val="0"/>
        <w:rPr>
          <w:rFonts w:hint="eastAsia"/>
          <w:color w:val="auto"/>
          <w:highlight w:val="none"/>
        </w:rPr>
      </w:pPr>
      <w:r>
        <w:rPr>
          <w:rFonts w:hint="eastAsia"/>
          <w:color w:val="auto"/>
          <w:highlight w:val="none"/>
        </w:rPr>
        <w:t>坚持</w:t>
      </w:r>
      <w:r>
        <w:rPr>
          <w:rFonts w:hint="eastAsia"/>
          <w:color w:val="auto"/>
          <w:highlight w:val="none"/>
          <w:lang w:eastAsia="zh-CN"/>
        </w:rPr>
        <w:t>政治引领</w:t>
      </w:r>
    </w:p>
    <w:p>
      <w:pPr>
        <w:pStyle w:val="26"/>
        <w:bidi w:val="0"/>
        <w:rPr>
          <w:rFonts w:hint="eastAsia"/>
          <w:color w:val="auto"/>
          <w:highlight w:val="none"/>
        </w:rPr>
      </w:pPr>
      <w:r>
        <w:rPr>
          <w:rFonts w:hint="eastAsia"/>
          <w:color w:val="auto"/>
          <w:highlight w:val="none"/>
          <w:lang w:eastAsia="zh-CN"/>
        </w:rPr>
        <w:t>从坚决拥护“两个确立”、忠实践行“两个维护”的政治高度，深刻认识加强市场监管系统行风建设的重要性和紧迫性，持续转作风、优行风，全面落实党中央、国务院决策部署，确保行风建设沿着正确的政治方向推进。</w:t>
      </w:r>
    </w:p>
    <w:p>
      <w:pPr>
        <w:pStyle w:val="74"/>
        <w:bidi w:val="0"/>
        <w:rPr>
          <w:rFonts w:hint="eastAsia"/>
          <w:color w:val="auto"/>
          <w:highlight w:val="none"/>
        </w:rPr>
      </w:pPr>
      <w:r>
        <w:rPr>
          <w:rFonts w:hint="eastAsia"/>
          <w:color w:val="auto"/>
          <w:highlight w:val="none"/>
          <w:lang w:eastAsia="zh-CN"/>
        </w:rPr>
        <w:t>坚持人民至上</w:t>
      </w:r>
    </w:p>
    <w:p>
      <w:pPr>
        <w:pStyle w:val="26"/>
        <w:bidi w:val="0"/>
        <w:rPr>
          <w:rFonts w:hint="eastAsia"/>
          <w:color w:val="auto"/>
          <w:highlight w:val="none"/>
        </w:rPr>
      </w:pPr>
      <w:r>
        <w:rPr>
          <w:rFonts w:hint="eastAsia"/>
          <w:color w:val="auto"/>
          <w:highlight w:val="none"/>
          <w:lang w:eastAsia="zh-CN"/>
        </w:rPr>
        <w:t>践行党的根本宗旨，始终把人民群众的呼声、市场主体的需求作为第一信号，以市场主体和人民群众关切为向、以人民群众满意度为标尺，规范监管行为、改进执法方式、提升服务质量，切实维护最广大人民群众的根本利益。</w:t>
      </w:r>
    </w:p>
    <w:p>
      <w:pPr>
        <w:pStyle w:val="74"/>
        <w:bidi w:val="0"/>
        <w:rPr>
          <w:rFonts w:hint="eastAsia"/>
          <w:color w:val="auto"/>
          <w:highlight w:val="none"/>
        </w:rPr>
      </w:pPr>
      <w:r>
        <w:rPr>
          <w:rFonts w:hint="eastAsia"/>
          <w:color w:val="auto"/>
          <w:highlight w:val="none"/>
        </w:rPr>
        <w:t xml:space="preserve"> 坚持问题导向</w:t>
      </w:r>
    </w:p>
    <w:p>
      <w:pPr>
        <w:pStyle w:val="26"/>
        <w:bidi w:val="0"/>
        <w:rPr>
          <w:rFonts w:hint="eastAsia"/>
          <w:color w:val="auto"/>
          <w:highlight w:val="none"/>
        </w:rPr>
      </w:pPr>
      <w:r>
        <w:rPr>
          <w:rFonts w:hint="eastAsia"/>
          <w:color w:val="auto"/>
          <w:highlight w:val="none"/>
        </w:rPr>
        <w:t>针对党和政府高度关心、人民群众反映强烈制约行风建设的突出问题，勇于自我革命、坚持刀刃向内，</w:t>
      </w:r>
      <w:r>
        <w:rPr>
          <w:rFonts w:hint="eastAsia"/>
          <w:color w:val="auto"/>
          <w:highlight w:val="none"/>
          <w:lang w:eastAsia="zh-CN"/>
        </w:rPr>
        <w:t>深入</w:t>
      </w:r>
      <w:r>
        <w:rPr>
          <w:rFonts w:hint="eastAsia"/>
          <w:color w:val="auto"/>
          <w:highlight w:val="none"/>
        </w:rPr>
        <w:t>排查梳理，分析问题成因，抓好整改落实，以问题解决的成效</w:t>
      </w:r>
      <w:r>
        <w:rPr>
          <w:rFonts w:hint="eastAsia"/>
          <w:color w:val="auto"/>
          <w:highlight w:val="none"/>
          <w:lang w:eastAsia="zh-CN"/>
        </w:rPr>
        <w:t>检验</w:t>
      </w:r>
      <w:r>
        <w:rPr>
          <w:rFonts w:hint="eastAsia"/>
          <w:color w:val="auto"/>
          <w:highlight w:val="none"/>
        </w:rPr>
        <w:t>行风建设的成果。</w:t>
      </w:r>
    </w:p>
    <w:p>
      <w:pPr>
        <w:pStyle w:val="74"/>
        <w:bidi w:val="0"/>
        <w:rPr>
          <w:rFonts w:hint="eastAsia"/>
          <w:color w:val="auto"/>
          <w:highlight w:val="none"/>
        </w:rPr>
      </w:pPr>
      <w:r>
        <w:rPr>
          <w:rFonts w:hint="eastAsia"/>
          <w:color w:val="auto"/>
          <w:highlight w:val="none"/>
        </w:rPr>
        <w:t>坚持纠建并举</w:t>
      </w:r>
    </w:p>
    <w:p>
      <w:pPr>
        <w:pStyle w:val="26"/>
        <w:bidi w:val="0"/>
        <w:rPr>
          <w:rFonts w:hint="eastAsia"/>
          <w:color w:val="auto"/>
          <w:highlight w:val="none"/>
        </w:rPr>
      </w:pPr>
      <w:r>
        <w:rPr>
          <w:rFonts w:hint="eastAsia"/>
          <w:color w:val="auto"/>
          <w:highlight w:val="none"/>
        </w:rPr>
        <w:t>进一步树牢行风</w:t>
      </w:r>
      <w:r>
        <w:rPr>
          <w:rFonts w:hint="eastAsia"/>
          <w:color w:val="auto"/>
          <w:highlight w:val="none"/>
          <w:lang w:eastAsia="zh-CN"/>
        </w:rPr>
        <w:t>建设</w:t>
      </w:r>
      <w:r>
        <w:rPr>
          <w:rFonts w:hint="eastAsia"/>
          <w:color w:val="auto"/>
          <w:highlight w:val="none"/>
        </w:rPr>
        <w:t>永远在路上的意识，着重纠正行风突出问题的同时，注重标本兼治，以行政审批</w:t>
      </w:r>
      <w:r>
        <w:rPr>
          <w:rFonts w:hint="eastAsia"/>
          <w:color w:val="auto"/>
          <w:highlight w:val="none"/>
          <w:lang w:eastAsia="zh-CN"/>
        </w:rPr>
        <w:t>标准</w:t>
      </w:r>
      <w:r>
        <w:rPr>
          <w:rFonts w:hint="eastAsia"/>
          <w:color w:val="auto"/>
          <w:highlight w:val="none"/>
        </w:rPr>
        <w:t>化、监管执法规范化、政务服务便民化为重点，完善行风建设</w:t>
      </w:r>
      <w:r>
        <w:rPr>
          <w:rFonts w:hint="eastAsia"/>
          <w:color w:val="auto"/>
          <w:highlight w:val="none"/>
          <w:lang w:eastAsia="zh-CN"/>
        </w:rPr>
        <w:t>，</w:t>
      </w:r>
      <w:r>
        <w:rPr>
          <w:rFonts w:hint="eastAsia"/>
          <w:color w:val="auto"/>
          <w:highlight w:val="none"/>
          <w:lang w:val="en-US" w:eastAsia="zh-CN"/>
        </w:rPr>
        <w:t>建立</w:t>
      </w:r>
      <w:r>
        <w:rPr>
          <w:rFonts w:hint="eastAsia"/>
          <w:color w:val="auto"/>
          <w:highlight w:val="none"/>
        </w:rPr>
        <w:t>长效化机制，更好地实现用制度管</w:t>
      </w:r>
      <w:r>
        <w:rPr>
          <w:rFonts w:hint="eastAsia"/>
          <w:color w:val="auto"/>
          <w:highlight w:val="none"/>
          <w:lang w:eastAsia="zh-CN"/>
        </w:rPr>
        <w:t>权</w:t>
      </w:r>
      <w:r>
        <w:rPr>
          <w:rFonts w:hint="eastAsia"/>
          <w:color w:val="auto"/>
          <w:highlight w:val="none"/>
        </w:rPr>
        <w:t>、管</w:t>
      </w:r>
      <w:r>
        <w:rPr>
          <w:rFonts w:hint="eastAsia"/>
          <w:color w:val="auto"/>
          <w:highlight w:val="none"/>
          <w:lang w:eastAsia="zh-CN"/>
        </w:rPr>
        <w:t>事、</w:t>
      </w:r>
      <w:r>
        <w:rPr>
          <w:rFonts w:hint="eastAsia"/>
          <w:color w:val="auto"/>
          <w:highlight w:val="none"/>
        </w:rPr>
        <w:t>管</w:t>
      </w:r>
      <w:r>
        <w:rPr>
          <w:rFonts w:hint="eastAsia"/>
          <w:color w:val="auto"/>
          <w:highlight w:val="none"/>
          <w:lang w:eastAsia="zh-CN"/>
        </w:rPr>
        <w:t>人。</w:t>
      </w:r>
    </w:p>
    <w:p>
      <w:pPr>
        <w:pStyle w:val="49"/>
        <w:outlineLvl w:val="0"/>
        <w:rPr>
          <w:rFonts w:hint="eastAsia"/>
          <w:color w:val="auto"/>
          <w:highlight w:val="none"/>
        </w:rPr>
      </w:pPr>
      <w:r>
        <w:rPr>
          <w:rFonts w:hint="eastAsia"/>
          <w:color w:val="auto"/>
          <w:highlight w:val="none"/>
          <w:lang w:eastAsia="zh-CN"/>
        </w:rPr>
        <w:t>排查</w:t>
      </w:r>
    </w:p>
    <w:p>
      <w:pPr>
        <w:pStyle w:val="74"/>
        <w:bidi w:val="0"/>
        <w:rPr>
          <w:rFonts w:hint="eastAsia"/>
          <w:color w:val="auto"/>
          <w:highlight w:val="none"/>
        </w:rPr>
      </w:pPr>
      <w:r>
        <w:rPr>
          <w:rFonts w:hint="eastAsia"/>
          <w:color w:val="auto"/>
          <w:highlight w:val="none"/>
          <w:lang w:eastAsia="zh-CN"/>
        </w:rPr>
        <w:t>排查原则</w:t>
      </w:r>
    </w:p>
    <w:p>
      <w:pPr>
        <w:pStyle w:val="72"/>
        <w:bidi w:val="0"/>
        <w:rPr>
          <w:rFonts w:hint="eastAsia"/>
          <w:color w:val="auto"/>
          <w:highlight w:val="none"/>
        </w:rPr>
      </w:pPr>
      <w:r>
        <w:rPr>
          <w:rFonts w:hint="eastAsia"/>
          <w:color w:val="auto"/>
          <w:highlight w:val="none"/>
          <w:lang w:eastAsia="zh-CN"/>
        </w:rPr>
        <w:t>全面性：</w:t>
      </w:r>
      <w:r>
        <w:rPr>
          <w:rFonts w:hint="eastAsia"/>
          <w:color w:val="auto"/>
          <w:highlight w:val="none"/>
        </w:rPr>
        <w:t>排查覆盖所有部门及岗位</w:t>
      </w:r>
      <w:r>
        <w:rPr>
          <w:rFonts w:hint="eastAsia"/>
          <w:color w:val="auto"/>
          <w:highlight w:val="none"/>
          <w:lang w:val="en-US" w:eastAsia="zh-CN"/>
        </w:rPr>
        <w:t>是必要的</w:t>
      </w:r>
      <w:r>
        <w:rPr>
          <w:rFonts w:hint="eastAsia"/>
          <w:color w:val="auto"/>
          <w:highlight w:val="none"/>
        </w:rPr>
        <w:t>。不仅要关注一线服务窗口，还要深入到管理层决策层面，全面审视组织内部的风气问题。</w:t>
      </w:r>
    </w:p>
    <w:p>
      <w:pPr>
        <w:pStyle w:val="72"/>
        <w:bidi w:val="0"/>
        <w:rPr>
          <w:rFonts w:hint="eastAsia"/>
          <w:color w:val="auto"/>
          <w:highlight w:val="none"/>
        </w:rPr>
      </w:pPr>
      <w:r>
        <w:rPr>
          <w:rFonts w:hint="eastAsia"/>
          <w:color w:val="auto"/>
          <w:highlight w:val="none"/>
          <w:lang w:eastAsia="zh-CN"/>
        </w:rPr>
        <w:t>针对性：</w:t>
      </w:r>
      <w:r>
        <w:rPr>
          <w:rFonts w:hint="eastAsia"/>
          <w:color w:val="auto"/>
          <w:highlight w:val="none"/>
        </w:rPr>
        <w:t>明确排查的重点领域和问题类型，如“四风”问题（形式主义、官僚主义、享乐主义、奢靡之风）、吃拿卡要、违规收礼、工作效率低下、服务质量不高等，针对这些突出问题设计排查方案。</w:t>
      </w:r>
    </w:p>
    <w:p>
      <w:pPr>
        <w:pStyle w:val="72"/>
        <w:bidi w:val="0"/>
        <w:rPr>
          <w:rFonts w:hint="eastAsia"/>
          <w:color w:val="auto"/>
          <w:highlight w:val="none"/>
        </w:rPr>
      </w:pPr>
      <w:r>
        <w:rPr>
          <w:rFonts w:hint="eastAsia"/>
          <w:color w:val="auto"/>
          <w:highlight w:val="none"/>
          <w:lang w:eastAsia="zh-CN"/>
        </w:rPr>
        <w:t>细致性：</w:t>
      </w:r>
      <w:r>
        <w:rPr>
          <w:rFonts w:hint="eastAsia"/>
          <w:color w:val="auto"/>
          <w:highlight w:val="none"/>
        </w:rPr>
        <w:t>排查过程中注重细节，通过问卷调查、个别访谈、暗访、投诉记录分析等多种方式，深入了解实际情况，收集具体事例和数据支持。</w:t>
      </w:r>
    </w:p>
    <w:p>
      <w:pPr>
        <w:pStyle w:val="74"/>
        <w:bidi w:val="0"/>
        <w:rPr>
          <w:rFonts w:hint="eastAsia"/>
          <w:color w:val="auto"/>
          <w:highlight w:val="none"/>
        </w:rPr>
      </w:pPr>
      <w:r>
        <w:rPr>
          <w:rFonts w:hint="eastAsia"/>
          <w:color w:val="auto"/>
          <w:highlight w:val="none"/>
          <w:lang w:eastAsia="zh-CN"/>
        </w:rPr>
        <w:t>推进措施</w:t>
      </w:r>
    </w:p>
    <w:p>
      <w:pPr>
        <w:pStyle w:val="73"/>
        <w:bidi w:val="0"/>
        <w:rPr>
          <w:rFonts w:hint="eastAsia"/>
          <w:color w:val="auto"/>
          <w:highlight w:val="none"/>
        </w:rPr>
      </w:pPr>
      <w:r>
        <w:rPr>
          <w:rFonts w:hint="eastAsia"/>
          <w:color w:val="auto"/>
          <w:highlight w:val="none"/>
        </w:rPr>
        <w:t>开展行风突出问题公开征集活动</w:t>
      </w:r>
    </w:p>
    <w:p>
      <w:pPr>
        <w:pStyle w:val="26"/>
        <w:rPr>
          <w:rFonts w:hint="eastAsia"/>
          <w:color w:val="auto"/>
          <w:highlight w:val="none"/>
        </w:rPr>
      </w:pPr>
      <w:r>
        <w:rPr>
          <w:rFonts w:hint="eastAsia"/>
          <w:color w:val="auto"/>
          <w:highlight w:val="none"/>
        </w:rPr>
        <w:t>通过报刊、网络、手机应用程序以及电话调查、问卷调查、发放意见卡等多种渠道和形式，向广大市场主体和人民群众公开征集市场监管系统行风突出问题。</w:t>
      </w:r>
    </w:p>
    <w:p>
      <w:pPr>
        <w:pStyle w:val="73"/>
        <w:bidi w:val="0"/>
        <w:rPr>
          <w:rFonts w:hint="eastAsia"/>
          <w:color w:val="auto"/>
          <w:highlight w:val="none"/>
        </w:rPr>
      </w:pPr>
      <w:r>
        <w:rPr>
          <w:rFonts w:hint="eastAsia"/>
          <w:color w:val="auto"/>
          <w:highlight w:val="none"/>
        </w:rPr>
        <w:t xml:space="preserve"> 开展</w:t>
      </w:r>
      <w:r>
        <w:rPr>
          <w:rFonts w:hint="eastAsia"/>
          <w:color w:val="auto"/>
          <w:highlight w:val="none"/>
          <w:lang w:eastAsia="zh-CN"/>
        </w:rPr>
        <w:t>领导</w:t>
      </w:r>
      <w:r>
        <w:rPr>
          <w:rFonts w:hint="eastAsia"/>
          <w:color w:val="auto"/>
          <w:highlight w:val="none"/>
        </w:rPr>
        <w:t>走流程活动</w:t>
      </w:r>
    </w:p>
    <w:p>
      <w:pPr>
        <w:pStyle w:val="26"/>
        <w:rPr>
          <w:rFonts w:hint="eastAsia"/>
          <w:color w:val="auto"/>
          <w:highlight w:val="none"/>
        </w:rPr>
      </w:pPr>
      <w:r>
        <w:rPr>
          <w:rFonts w:hint="eastAsia"/>
          <w:color w:val="auto"/>
          <w:highlight w:val="none"/>
        </w:rPr>
        <w:t>省级市场监管部门</w:t>
      </w:r>
      <w:r>
        <w:rPr>
          <w:rFonts w:hint="eastAsia"/>
          <w:color w:val="auto"/>
          <w:highlight w:val="none"/>
          <w:lang w:eastAsia="zh-CN"/>
        </w:rPr>
        <w:t>中层</w:t>
      </w:r>
      <w:r>
        <w:rPr>
          <w:rFonts w:hint="eastAsia"/>
          <w:color w:val="auto"/>
          <w:highlight w:val="none"/>
        </w:rPr>
        <w:t>通过到基层单位</w:t>
      </w:r>
      <w:r>
        <w:rPr>
          <w:rFonts w:hint="eastAsia"/>
          <w:color w:val="auto"/>
          <w:highlight w:val="none"/>
          <w:lang w:eastAsia="zh-CN"/>
        </w:rPr>
        <w:t>，</w:t>
      </w:r>
      <w:r>
        <w:rPr>
          <w:rFonts w:hint="eastAsia"/>
          <w:color w:val="auto"/>
          <w:highlight w:val="none"/>
        </w:rPr>
        <w:t>对本岗位及关联业务走流程</w:t>
      </w:r>
      <w:r>
        <w:rPr>
          <w:rFonts w:hint="eastAsia"/>
          <w:color w:val="auto"/>
          <w:highlight w:val="none"/>
          <w:lang w:eastAsia="zh-CN"/>
        </w:rPr>
        <w:t>、坐窗口以及参与执法行动等方式，</w:t>
      </w:r>
      <w:r>
        <w:rPr>
          <w:rFonts w:hint="eastAsia"/>
          <w:color w:val="auto"/>
          <w:highlight w:val="none"/>
        </w:rPr>
        <w:t xml:space="preserve">着力查找并解决薄弱环节和行风问题。 </w:t>
      </w:r>
    </w:p>
    <w:p>
      <w:pPr>
        <w:pStyle w:val="73"/>
        <w:bidi w:val="0"/>
        <w:rPr>
          <w:rFonts w:hint="eastAsia"/>
          <w:color w:val="auto"/>
          <w:highlight w:val="none"/>
        </w:rPr>
      </w:pPr>
      <w:r>
        <w:rPr>
          <w:rFonts w:hint="eastAsia"/>
          <w:color w:val="auto"/>
          <w:highlight w:val="none"/>
        </w:rPr>
        <w:t>开展执法案卷评查活动</w:t>
      </w:r>
    </w:p>
    <w:p>
      <w:pPr>
        <w:pStyle w:val="26"/>
        <w:rPr>
          <w:rFonts w:hint="eastAsia"/>
          <w:color w:val="auto"/>
          <w:highlight w:val="none"/>
        </w:rPr>
      </w:pPr>
      <w:r>
        <w:rPr>
          <w:rFonts w:hint="eastAsia"/>
          <w:color w:val="auto"/>
          <w:highlight w:val="none"/>
        </w:rPr>
        <w:t xml:space="preserve">对市场监管执法案件事实、证据、程序等方面进行评查，及时发现和纠正行政执法活动中存在的问题。 </w:t>
      </w:r>
    </w:p>
    <w:p>
      <w:pPr>
        <w:pStyle w:val="73"/>
        <w:bidi w:val="0"/>
        <w:rPr>
          <w:rFonts w:hint="eastAsia"/>
          <w:color w:val="auto"/>
          <w:highlight w:val="none"/>
        </w:rPr>
      </w:pPr>
      <w:r>
        <w:rPr>
          <w:rFonts w:hint="eastAsia"/>
          <w:color w:val="auto"/>
          <w:highlight w:val="none"/>
        </w:rPr>
        <w:t xml:space="preserve">开展市场监管体验日活动 </w:t>
      </w:r>
    </w:p>
    <w:p>
      <w:pPr>
        <w:pStyle w:val="26"/>
        <w:rPr>
          <w:rFonts w:hint="eastAsia"/>
          <w:color w:val="auto"/>
          <w:highlight w:val="none"/>
        </w:rPr>
      </w:pPr>
      <w:r>
        <w:rPr>
          <w:rFonts w:hint="eastAsia"/>
          <w:color w:val="auto"/>
          <w:highlight w:val="none"/>
        </w:rPr>
        <w:t xml:space="preserve">通过邀请媒体、公众现场参与、观摩和体验市场监管政务服务、监督检查、行政执法等活动，适当开展网络直播，让人民群众为市场监管系统行风“ 找茬”“ 挑刺”。 </w:t>
      </w:r>
    </w:p>
    <w:p>
      <w:pPr>
        <w:pStyle w:val="73"/>
        <w:bidi w:val="0"/>
        <w:rPr>
          <w:rFonts w:hint="eastAsia"/>
          <w:color w:val="auto"/>
          <w:highlight w:val="none"/>
        </w:rPr>
      </w:pPr>
      <w:r>
        <w:rPr>
          <w:rFonts w:hint="eastAsia"/>
          <w:color w:val="auto"/>
          <w:highlight w:val="none"/>
        </w:rPr>
        <w:t>开展局领导公开接访日和热线日活动</w:t>
      </w:r>
    </w:p>
    <w:p>
      <w:pPr>
        <w:pStyle w:val="26"/>
        <w:rPr>
          <w:rFonts w:hint="eastAsia"/>
          <w:color w:val="auto"/>
          <w:highlight w:val="none"/>
        </w:rPr>
      </w:pPr>
      <w:r>
        <w:rPr>
          <w:rFonts w:hint="eastAsia"/>
          <w:color w:val="auto"/>
          <w:highlight w:val="none"/>
        </w:rPr>
        <w:t xml:space="preserve"> 地方市场监管部门领导年内至少安排 1 次公开接访日和热线日，通过现场接访、接听热线电话的形式倾听群众呼声，查找并解决行风问题。 </w:t>
      </w:r>
    </w:p>
    <w:p>
      <w:pPr>
        <w:pStyle w:val="73"/>
        <w:bidi w:val="0"/>
        <w:rPr>
          <w:rFonts w:hint="eastAsia"/>
          <w:color w:val="auto"/>
          <w:highlight w:val="none"/>
        </w:rPr>
      </w:pPr>
      <w:r>
        <w:rPr>
          <w:rFonts w:hint="eastAsia"/>
          <w:color w:val="auto"/>
          <w:highlight w:val="none"/>
          <w:lang w:eastAsia="zh-CN"/>
        </w:rPr>
        <w:t>设立行风监督员</w:t>
      </w:r>
    </w:p>
    <w:p>
      <w:pPr>
        <w:pStyle w:val="26"/>
        <w:rPr>
          <w:rFonts w:hint="eastAsia"/>
          <w:color w:val="auto"/>
          <w:highlight w:val="none"/>
        </w:rPr>
      </w:pPr>
      <w:r>
        <w:rPr>
          <w:rFonts w:hint="eastAsia"/>
          <w:color w:val="auto"/>
          <w:highlight w:val="none"/>
          <w:lang w:eastAsia="zh-CN"/>
        </w:rPr>
        <w:t>邀请“两代表、一委员”作为行风监督员。</w:t>
      </w:r>
    </w:p>
    <w:p>
      <w:pPr>
        <w:pStyle w:val="74"/>
        <w:bidi w:val="0"/>
        <w:rPr>
          <w:rFonts w:hint="eastAsia"/>
          <w:color w:val="auto"/>
          <w:highlight w:val="none"/>
        </w:rPr>
      </w:pPr>
      <w:r>
        <w:rPr>
          <w:rFonts w:hint="eastAsia"/>
          <w:color w:val="auto"/>
          <w:highlight w:val="none"/>
          <w:lang w:eastAsia="zh-CN"/>
        </w:rPr>
        <w:t>突出问题排查</w:t>
      </w:r>
    </w:p>
    <w:p>
      <w:pPr>
        <w:pStyle w:val="73"/>
        <w:bidi w:val="0"/>
        <w:rPr>
          <w:rFonts w:hint="eastAsia"/>
          <w:color w:val="auto"/>
          <w:highlight w:val="none"/>
        </w:rPr>
      </w:pPr>
      <w:r>
        <w:rPr>
          <w:rFonts w:hint="eastAsia"/>
          <w:color w:val="auto"/>
          <w:highlight w:val="none"/>
          <w:lang w:eastAsia="zh-CN"/>
        </w:rPr>
        <w:t>优化审批服务</w:t>
      </w:r>
    </w:p>
    <w:p>
      <w:pPr>
        <w:pStyle w:val="99"/>
        <w:bidi w:val="0"/>
        <w:rPr>
          <w:rFonts w:hint="eastAsia"/>
          <w:color w:val="auto"/>
          <w:highlight w:val="none"/>
          <w:lang w:val="en-US" w:eastAsia="zh-CN"/>
        </w:rPr>
      </w:pPr>
      <w:r>
        <w:rPr>
          <w:rFonts w:hint="eastAsia"/>
          <w:color w:val="auto"/>
          <w:highlight w:val="none"/>
          <w:lang w:val="en-US" w:eastAsia="zh-CN"/>
        </w:rPr>
        <w:t>违规设置行政许可事项</w:t>
      </w:r>
    </w:p>
    <w:p>
      <w:pPr>
        <w:pStyle w:val="26"/>
        <w:bidi w:val="0"/>
        <w:rPr>
          <w:rFonts w:hint="eastAsia"/>
          <w:color w:val="auto"/>
          <w:highlight w:val="none"/>
          <w:lang w:eastAsia="zh-CN"/>
        </w:rPr>
      </w:pPr>
      <w:r>
        <w:rPr>
          <w:rFonts w:hint="eastAsia" w:ascii="宋体" w:hAnsi="Times New Roman" w:eastAsia="宋体" w:cs="Times New Roman"/>
          <w:color w:val="auto"/>
          <w:sz w:val="21"/>
          <w:highlight w:val="none"/>
          <w:lang w:val="en-US" w:eastAsia="zh-CN" w:bidi="ar-SA"/>
        </w:rPr>
        <w:t>排查治理在许可事项清单之外违规设置行政许可事项，以备案、登记、证明、目录、计划、指定、认证、年检、行政确认、征求意见等名义变相设置行政许可事项，行政许可事项设置不公开、不透明，违规增加或变相增加办理条件、环节和申请材料，市场准入准营放权又收权、妨碍市场主体进入等问题。</w:t>
      </w:r>
      <w:r>
        <w:rPr>
          <w:rFonts w:hint="eastAsia"/>
          <w:color w:val="auto"/>
          <w:highlight w:val="none"/>
          <w:lang w:eastAsia="zh-CN"/>
        </w:rPr>
        <w:t xml:space="preserve"> </w:t>
      </w:r>
    </w:p>
    <w:p>
      <w:pPr>
        <w:pStyle w:val="99"/>
        <w:bidi w:val="0"/>
        <w:rPr>
          <w:rFonts w:hint="eastAsia"/>
          <w:color w:val="auto"/>
          <w:highlight w:val="none"/>
          <w:lang w:eastAsia="zh-CN"/>
        </w:rPr>
      </w:pPr>
      <w:r>
        <w:rPr>
          <w:rFonts w:hint="eastAsia"/>
          <w:color w:val="auto"/>
          <w:highlight w:val="none"/>
          <w:lang w:eastAsia="zh-CN"/>
        </w:rPr>
        <w:t>政务服务窗口不正之风</w:t>
      </w:r>
    </w:p>
    <w:p>
      <w:pPr>
        <w:pStyle w:val="26"/>
        <w:rPr>
          <w:rFonts w:hint="eastAsia"/>
          <w:color w:val="auto"/>
          <w:highlight w:val="none"/>
          <w:lang w:eastAsia="zh-CN"/>
        </w:rPr>
      </w:pPr>
      <w:r>
        <w:rPr>
          <w:rFonts w:hint="eastAsia"/>
          <w:color w:val="auto"/>
          <w:highlight w:val="none"/>
          <w:lang w:eastAsia="zh-CN"/>
        </w:rPr>
        <w:t xml:space="preserve">梳理纠正各级市场监管政务服务窗口设置不合理、政务服务事项进入窗口“ 应进未进”、进驻地方政务服务大厅“ 明进暗不进”等情况，排查治理政务服务窗口办事流程复杂、申请材料繁多、许可条款模糊、办理数量限额、办理时限冗长等问题，着力解决窗口办事人员配备不符合规定、业务不熟、纪律松散、办事拖拉、让群众反复跑路等问题，坚决打击与中介机构勾连，通过倒号卖号、加急办证等方式谋取不正当利益的行为。 </w:t>
      </w:r>
    </w:p>
    <w:p>
      <w:pPr>
        <w:pStyle w:val="99"/>
        <w:bidi w:val="0"/>
        <w:rPr>
          <w:rFonts w:hint="eastAsia"/>
          <w:color w:val="auto"/>
          <w:highlight w:val="none"/>
          <w:lang w:eastAsia="zh-CN"/>
        </w:rPr>
      </w:pPr>
      <w:r>
        <w:rPr>
          <w:rFonts w:hint="eastAsia"/>
          <w:color w:val="auto"/>
          <w:highlight w:val="none"/>
          <w:lang w:eastAsia="zh-CN"/>
        </w:rPr>
        <w:t>影响政务服务效能问题</w:t>
      </w:r>
    </w:p>
    <w:p>
      <w:pPr>
        <w:pStyle w:val="26"/>
        <w:rPr>
          <w:rFonts w:hint="eastAsia"/>
          <w:color w:val="auto"/>
          <w:highlight w:val="none"/>
          <w:lang w:eastAsia="zh-CN"/>
        </w:rPr>
      </w:pPr>
      <w:r>
        <w:rPr>
          <w:rFonts w:hint="eastAsia"/>
          <w:color w:val="auto"/>
          <w:highlight w:val="none"/>
          <w:lang w:eastAsia="zh-CN"/>
        </w:rPr>
        <w:t xml:space="preserve">深入查找并着力解决市场监管政务服务事项网上办理系统不够优化，线上线下服务标准不统一、线上服务入口不通畅、线下服务窗口进驻不规范，“跨省通办”合作机制不顺、事项名称表述不统一等问题，切实提高政务服务效能。 </w:t>
      </w:r>
    </w:p>
    <w:p>
      <w:pPr>
        <w:pStyle w:val="73"/>
        <w:bidi w:val="0"/>
        <w:rPr>
          <w:rFonts w:hint="eastAsia"/>
          <w:color w:val="auto"/>
          <w:highlight w:val="none"/>
        </w:rPr>
      </w:pPr>
      <w:r>
        <w:rPr>
          <w:rFonts w:hint="eastAsia"/>
          <w:color w:val="auto"/>
          <w:highlight w:val="none"/>
          <w:lang w:eastAsia="zh-CN"/>
        </w:rPr>
        <w:t>规范日常监管</w:t>
      </w:r>
    </w:p>
    <w:p>
      <w:pPr>
        <w:pStyle w:val="99"/>
        <w:bidi w:val="0"/>
        <w:rPr>
          <w:rFonts w:hint="eastAsia"/>
          <w:color w:val="auto"/>
          <w:highlight w:val="none"/>
        </w:rPr>
      </w:pPr>
      <w:r>
        <w:rPr>
          <w:rFonts w:hint="eastAsia"/>
          <w:color w:val="auto"/>
          <w:highlight w:val="none"/>
          <w:lang w:eastAsia="zh-CN"/>
        </w:rPr>
        <w:t>简化流程相关问题</w:t>
      </w:r>
    </w:p>
    <w:p>
      <w:pPr>
        <w:pStyle w:val="26"/>
        <w:rPr>
          <w:rFonts w:hint="eastAsia"/>
          <w:color w:val="auto"/>
          <w:highlight w:val="none"/>
          <w:lang w:eastAsia="zh-CN"/>
        </w:rPr>
      </w:pPr>
      <w:r>
        <w:rPr>
          <w:rFonts w:hint="eastAsia"/>
          <w:color w:val="auto"/>
          <w:highlight w:val="none"/>
        </w:rPr>
        <w:t xml:space="preserve">系统梳理各业务领域监管制度、流程规范建设等方面的情况，全面排查日常监管相关信息不公开、不透明的问题，纠正“ 双随机、一公开”监管不规范、擅自扩大重点监管领域和范围等问题 </w:t>
      </w:r>
      <w:r>
        <w:rPr>
          <w:rFonts w:hint="eastAsia"/>
          <w:color w:val="auto"/>
          <w:highlight w:val="none"/>
          <w:lang w:eastAsia="zh-CN"/>
        </w:rPr>
        <w:t>。解决多头、重复检查问题。</w:t>
      </w:r>
    </w:p>
    <w:p>
      <w:pPr>
        <w:pStyle w:val="99"/>
        <w:bidi w:val="0"/>
        <w:rPr>
          <w:rFonts w:hint="eastAsia"/>
          <w:color w:val="auto"/>
          <w:highlight w:val="none"/>
          <w:lang w:eastAsia="zh-CN"/>
        </w:rPr>
      </w:pPr>
      <w:r>
        <w:rPr>
          <w:rFonts w:hint="eastAsia"/>
          <w:color w:val="auto"/>
          <w:highlight w:val="none"/>
          <w:lang w:eastAsia="zh-CN"/>
        </w:rPr>
        <w:t>增加经营主体负担问题</w:t>
      </w:r>
    </w:p>
    <w:p>
      <w:pPr>
        <w:pStyle w:val="26"/>
        <w:rPr>
          <w:rFonts w:hint="eastAsia"/>
          <w:color w:val="auto"/>
          <w:highlight w:val="none"/>
          <w:lang w:eastAsia="zh-CN"/>
        </w:rPr>
      </w:pPr>
      <w:r>
        <w:rPr>
          <w:rFonts w:hint="eastAsia"/>
          <w:color w:val="auto"/>
          <w:highlight w:val="none"/>
          <w:lang w:eastAsia="zh-CN"/>
        </w:rPr>
        <w:t xml:space="preserve">排查治理与行业协会、中介服务机构等搞利益勾兑，强制企业接受各类有偿咨询和服务的行为。 重点整治所属事业单位、技术机构和社团组织违规开展针对市场主体的有偿服务活动、收取不正当费用等行为。 </w:t>
      </w:r>
    </w:p>
    <w:p>
      <w:pPr>
        <w:pStyle w:val="99"/>
        <w:bidi w:val="0"/>
        <w:rPr>
          <w:rFonts w:hint="eastAsia"/>
          <w:color w:val="auto"/>
          <w:highlight w:val="none"/>
          <w:lang w:eastAsia="zh-CN"/>
        </w:rPr>
      </w:pPr>
      <w:r>
        <w:rPr>
          <w:rFonts w:hint="eastAsia"/>
          <w:color w:val="auto"/>
          <w:highlight w:val="none"/>
          <w:lang w:eastAsia="zh-CN"/>
        </w:rPr>
        <w:t>弄虚作假问题</w:t>
      </w:r>
    </w:p>
    <w:p>
      <w:pPr>
        <w:pStyle w:val="26"/>
        <w:rPr>
          <w:rFonts w:hint="eastAsia"/>
          <w:color w:val="auto"/>
          <w:highlight w:val="none"/>
          <w:lang w:eastAsia="zh-CN"/>
        </w:rPr>
      </w:pPr>
      <w:r>
        <w:rPr>
          <w:rFonts w:hint="eastAsia"/>
          <w:color w:val="auto"/>
          <w:highlight w:val="none"/>
          <w:lang w:eastAsia="zh-CN"/>
        </w:rPr>
        <w:t xml:space="preserve">整治企业年报数据、执法办案数据等系统内“源头造假”和统计造假行为，最大程度减少因录入错误等工作失误造成的数据失真失实情况，着力纠治为市场主体伪造篡改证照信息和检查、检验、检定、检测、认证等结果的行为。 </w:t>
      </w:r>
    </w:p>
    <w:p>
      <w:pPr>
        <w:pStyle w:val="26"/>
        <w:rPr>
          <w:rFonts w:hint="eastAsia"/>
          <w:color w:val="auto"/>
          <w:highlight w:val="none"/>
          <w:lang w:eastAsia="zh-CN"/>
        </w:rPr>
      </w:pPr>
      <w:r>
        <w:rPr>
          <w:rFonts w:hint="eastAsia"/>
          <w:color w:val="auto"/>
          <w:highlight w:val="none"/>
          <w:lang w:eastAsia="zh-CN"/>
        </w:rPr>
        <w:t>着力整治经营主体数据造假问题。</w:t>
      </w:r>
    </w:p>
    <w:p>
      <w:pPr>
        <w:pStyle w:val="73"/>
        <w:bidi w:val="0"/>
        <w:rPr>
          <w:rFonts w:hint="eastAsia"/>
          <w:color w:val="auto"/>
          <w:highlight w:val="none"/>
        </w:rPr>
      </w:pPr>
      <w:r>
        <w:rPr>
          <w:rFonts w:hint="eastAsia"/>
          <w:color w:val="auto"/>
          <w:highlight w:val="none"/>
          <w:lang w:eastAsia="zh-CN"/>
        </w:rPr>
        <w:t>行政执法方面</w:t>
      </w:r>
    </w:p>
    <w:p>
      <w:pPr>
        <w:pStyle w:val="99"/>
        <w:bidi w:val="0"/>
        <w:rPr>
          <w:rFonts w:hint="default"/>
          <w:color w:val="auto"/>
          <w:highlight w:val="none"/>
          <w:lang w:val="en-US" w:eastAsia="zh-CN"/>
        </w:rPr>
      </w:pPr>
      <w:r>
        <w:rPr>
          <w:rFonts w:hint="eastAsia"/>
          <w:color w:val="auto"/>
          <w:highlight w:val="none"/>
          <w:lang w:val="en-US" w:eastAsia="zh-CN"/>
        </w:rPr>
        <w:t>过度执法问题</w:t>
      </w:r>
    </w:p>
    <w:p>
      <w:pPr>
        <w:pStyle w:val="26"/>
        <w:rPr>
          <w:rFonts w:hint="default"/>
          <w:color w:val="auto"/>
          <w:highlight w:val="none"/>
          <w:lang w:val="en-US" w:eastAsia="zh-CN"/>
        </w:rPr>
      </w:pPr>
      <w:r>
        <w:rPr>
          <w:rFonts w:hint="default"/>
          <w:color w:val="auto"/>
          <w:highlight w:val="none"/>
          <w:lang w:val="en-US" w:eastAsia="zh-CN"/>
        </w:rPr>
        <w:t xml:space="preserve">排查治理执法方式简单粗暴、任性执法、不文明执法，滥用羁押性、财产性强制措施，超权限、超范围、超额度、超时限查封、扣押、冻结涉案企业财产，以罚代管代改、罚而不管不改等问题。 </w:t>
      </w:r>
    </w:p>
    <w:p>
      <w:pPr>
        <w:pStyle w:val="99"/>
        <w:bidi w:val="0"/>
        <w:rPr>
          <w:rFonts w:hint="default"/>
          <w:color w:val="auto"/>
          <w:highlight w:val="none"/>
          <w:lang w:val="en-US" w:eastAsia="zh-CN"/>
        </w:rPr>
      </w:pPr>
      <w:r>
        <w:rPr>
          <w:rFonts w:hint="eastAsia"/>
          <w:color w:val="auto"/>
          <w:highlight w:val="none"/>
          <w:lang w:val="en-US" w:eastAsia="zh-CN"/>
        </w:rPr>
        <w:t>选择性执法问题</w:t>
      </w:r>
    </w:p>
    <w:p>
      <w:pPr>
        <w:pStyle w:val="26"/>
        <w:rPr>
          <w:rFonts w:hint="default"/>
          <w:color w:val="auto"/>
          <w:highlight w:val="none"/>
          <w:lang w:val="en-US" w:eastAsia="zh-CN"/>
        </w:rPr>
      </w:pPr>
      <w:r>
        <w:rPr>
          <w:rFonts w:hint="default"/>
          <w:color w:val="auto"/>
          <w:highlight w:val="none"/>
          <w:lang w:val="en-US" w:eastAsia="zh-CN"/>
        </w:rPr>
        <w:t>排查整治滥用自由裁量权，类案异罚、畸轻畸重，</w:t>
      </w:r>
      <w:r>
        <w:rPr>
          <w:rFonts w:hint="eastAsia"/>
          <w:color w:val="auto"/>
          <w:highlight w:val="none"/>
          <w:lang w:val="en-US" w:eastAsia="zh-CN"/>
        </w:rPr>
        <w:t>办理</w:t>
      </w:r>
      <w:r>
        <w:rPr>
          <w:rFonts w:hint="default"/>
          <w:color w:val="auto"/>
          <w:highlight w:val="none"/>
          <w:lang w:val="en-US" w:eastAsia="zh-CN"/>
        </w:rPr>
        <w:t xml:space="preserve">关系案、人情案、金钱案，向企业和管理服务对象吃拿卡要、索贿受贿等问题。 全面清理整顿本系统乱收费、乱罚款、乱摊派，坚决纠正下达或者变相下达罚没指标，以及将罚没收入同作出行政处罚的行政机关及其工作人员的考核、考评直接或者变相挂钩等问题。 </w:t>
      </w:r>
    </w:p>
    <w:p>
      <w:pPr>
        <w:pStyle w:val="99"/>
        <w:bidi w:val="0"/>
        <w:rPr>
          <w:rFonts w:hint="default"/>
          <w:color w:val="auto"/>
          <w:highlight w:val="none"/>
          <w:lang w:val="en-US" w:eastAsia="zh-CN"/>
        </w:rPr>
      </w:pPr>
      <w:r>
        <w:rPr>
          <w:rFonts w:hint="eastAsia"/>
          <w:color w:val="auto"/>
          <w:highlight w:val="none"/>
          <w:lang w:val="en-US" w:eastAsia="zh-CN"/>
        </w:rPr>
        <w:t>执法素养欠缺问题</w:t>
      </w:r>
    </w:p>
    <w:p>
      <w:pPr>
        <w:pStyle w:val="26"/>
        <w:rPr>
          <w:rFonts w:hint="default"/>
          <w:color w:val="auto"/>
          <w:highlight w:val="none"/>
          <w:lang w:val="en-US" w:eastAsia="zh-CN"/>
        </w:rPr>
      </w:pPr>
      <w:r>
        <w:rPr>
          <w:rFonts w:hint="default"/>
          <w:color w:val="auto"/>
          <w:highlight w:val="none"/>
          <w:lang w:val="en-US" w:eastAsia="zh-CN"/>
        </w:rPr>
        <w:t>排查并解决执法人员执法纪律遵守不严、执法为民理念树立不牢，有案不立、压案不查、执法犯法等不作为、慢作为、乱作为</w:t>
      </w:r>
      <w:r>
        <w:rPr>
          <w:rFonts w:hint="eastAsia"/>
          <w:color w:val="auto"/>
          <w:highlight w:val="none"/>
          <w:lang w:val="en-US" w:eastAsia="zh-CN"/>
        </w:rPr>
        <w:t>的</w:t>
      </w:r>
      <w:r>
        <w:rPr>
          <w:rFonts w:hint="default"/>
          <w:color w:val="auto"/>
          <w:highlight w:val="none"/>
          <w:lang w:val="en-US" w:eastAsia="zh-CN"/>
        </w:rPr>
        <w:t xml:space="preserve">问题。 </w:t>
      </w:r>
    </w:p>
    <w:p>
      <w:pPr>
        <w:pStyle w:val="99"/>
        <w:bidi w:val="0"/>
        <w:rPr>
          <w:rFonts w:hint="default"/>
          <w:color w:val="auto"/>
          <w:highlight w:val="none"/>
          <w:lang w:val="en-US" w:eastAsia="zh-CN"/>
        </w:rPr>
      </w:pPr>
      <w:r>
        <w:rPr>
          <w:rFonts w:hint="eastAsia"/>
          <w:color w:val="auto"/>
          <w:highlight w:val="none"/>
          <w:lang w:val="en-US" w:eastAsia="zh-CN"/>
        </w:rPr>
        <w:t>执法原则</w:t>
      </w:r>
    </w:p>
    <w:p>
      <w:pPr>
        <w:pStyle w:val="26"/>
        <w:rPr>
          <w:rFonts w:hint="eastAsia"/>
          <w:color w:val="auto"/>
          <w:highlight w:val="none"/>
          <w:lang w:val="en-US" w:eastAsia="zh-CN"/>
        </w:rPr>
      </w:pPr>
      <w:r>
        <w:rPr>
          <w:rFonts w:hint="eastAsia"/>
          <w:color w:val="auto"/>
          <w:highlight w:val="none"/>
          <w:lang w:val="en-US" w:eastAsia="zh-CN"/>
        </w:rPr>
        <w:t>在参与执法行动时，遵循以下原则：</w:t>
      </w:r>
    </w:p>
    <w:p>
      <w:pPr>
        <w:pStyle w:val="104"/>
        <w:bidi w:val="0"/>
        <w:rPr>
          <w:rFonts w:hint="eastAsia"/>
          <w:color w:val="auto"/>
          <w:highlight w:val="none"/>
          <w:lang w:val="en-US" w:eastAsia="zh-CN"/>
        </w:rPr>
      </w:pPr>
      <w:r>
        <w:rPr>
          <w:rFonts w:hint="eastAsia"/>
          <w:color w:val="auto"/>
          <w:highlight w:val="none"/>
          <w:lang w:val="en-US" w:eastAsia="zh-CN"/>
        </w:rPr>
        <w:t>公正执法；</w:t>
      </w:r>
    </w:p>
    <w:p>
      <w:pPr>
        <w:pStyle w:val="104"/>
        <w:bidi w:val="0"/>
        <w:rPr>
          <w:rFonts w:hint="eastAsia"/>
          <w:color w:val="auto"/>
          <w:highlight w:val="none"/>
          <w:lang w:val="en-US" w:eastAsia="zh-CN"/>
        </w:rPr>
      </w:pPr>
      <w:r>
        <w:rPr>
          <w:rFonts w:hint="eastAsia"/>
          <w:color w:val="auto"/>
          <w:highlight w:val="none"/>
          <w:lang w:val="en-US" w:eastAsia="zh-CN"/>
        </w:rPr>
        <w:t>文明执法；</w:t>
      </w:r>
    </w:p>
    <w:p>
      <w:pPr>
        <w:pStyle w:val="104"/>
        <w:bidi w:val="0"/>
        <w:rPr>
          <w:rFonts w:hint="default"/>
          <w:color w:val="auto"/>
          <w:highlight w:val="none"/>
          <w:lang w:val="en-US" w:eastAsia="zh-CN"/>
        </w:rPr>
      </w:pPr>
      <w:r>
        <w:rPr>
          <w:rFonts w:hint="eastAsia"/>
          <w:color w:val="auto"/>
          <w:highlight w:val="none"/>
          <w:lang w:val="en-US" w:eastAsia="zh-CN"/>
        </w:rPr>
        <w:t>服务型执法。</w:t>
      </w:r>
    </w:p>
    <w:p>
      <w:pPr>
        <w:pStyle w:val="74"/>
        <w:bidi w:val="0"/>
        <w:rPr>
          <w:rFonts w:hint="default"/>
          <w:color w:val="auto"/>
          <w:highlight w:val="none"/>
          <w:lang w:val="en-US" w:eastAsia="zh-CN"/>
        </w:rPr>
      </w:pPr>
      <w:r>
        <w:rPr>
          <w:rFonts w:hint="eastAsia"/>
          <w:color w:val="auto"/>
          <w:highlight w:val="none"/>
          <w:lang w:val="en-US" w:eastAsia="zh-CN"/>
        </w:rPr>
        <w:t>廉洁用权</w:t>
      </w:r>
    </w:p>
    <w:p>
      <w:pPr>
        <w:pStyle w:val="26"/>
        <w:rPr>
          <w:rFonts w:hint="eastAsia"/>
          <w:color w:val="auto"/>
          <w:highlight w:val="none"/>
          <w:lang w:val="en-US" w:eastAsia="zh-CN"/>
        </w:rPr>
      </w:pPr>
      <w:r>
        <w:rPr>
          <w:rFonts w:hint="eastAsia"/>
          <w:color w:val="auto"/>
          <w:highlight w:val="none"/>
          <w:lang w:val="en-US" w:eastAsia="zh-CN"/>
        </w:rPr>
        <w:t>调查</w:t>
      </w:r>
      <w:r>
        <w:rPr>
          <w:rFonts w:hint="default"/>
          <w:color w:val="auto"/>
          <w:highlight w:val="none"/>
          <w:lang w:val="en-US" w:eastAsia="zh-CN"/>
        </w:rPr>
        <w:t>干部职</w:t>
      </w:r>
      <w:r>
        <w:rPr>
          <w:rFonts w:hint="eastAsia"/>
          <w:color w:val="auto"/>
          <w:highlight w:val="none"/>
          <w:lang w:val="en-US" w:eastAsia="zh-CN"/>
        </w:rPr>
        <w:t>工</w:t>
      </w:r>
      <w:r>
        <w:rPr>
          <w:rFonts w:hint="default"/>
          <w:color w:val="auto"/>
          <w:highlight w:val="none"/>
          <w:lang w:val="en-US" w:eastAsia="zh-CN"/>
        </w:rPr>
        <w:t>廉洁用权方面存在的突出问题，制定并组织实施推动廉洁用工作措施；组织开展总局机关和直属单位纪律教育和警示</w:t>
      </w:r>
      <w:r>
        <w:rPr>
          <w:rFonts w:hint="eastAsia"/>
          <w:color w:val="auto"/>
          <w:highlight w:val="none"/>
          <w:lang w:val="en-US" w:eastAsia="zh-CN"/>
        </w:rPr>
        <w:t>教育，</w:t>
      </w:r>
      <w:r>
        <w:rPr>
          <w:rFonts w:hint="default"/>
          <w:color w:val="auto"/>
          <w:highlight w:val="none"/>
          <w:lang w:val="en-US" w:eastAsia="zh-CN"/>
        </w:rPr>
        <w:t>开展监督检查和明察暗访，查处群众身边的不正之风和腐败</w:t>
      </w:r>
      <w:r>
        <w:rPr>
          <w:rFonts w:hint="eastAsia"/>
          <w:color w:val="auto"/>
          <w:highlight w:val="none"/>
          <w:lang w:val="en-US" w:eastAsia="zh-CN"/>
        </w:rPr>
        <w:t>案件。</w:t>
      </w:r>
    </w:p>
    <w:p>
      <w:pPr>
        <w:pStyle w:val="74"/>
        <w:bidi w:val="0"/>
        <w:rPr>
          <w:rFonts w:hint="default"/>
          <w:color w:val="auto"/>
          <w:highlight w:val="none"/>
          <w:lang w:val="en-US" w:eastAsia="zh-CN"/>
        </w:rPr>
      </w:pPr>
      <w:r>
        <w:rPr>
          <w:rFonts w:hint="eastAsia"/>
          <w:color w:val="auto"/>
          <w:highlight w:val="none"/>
          <w:lang w:val="en-US" w:eastAsia="zh-CN"/>
        </w:rPr>
        <w:t>队伍建设</w:t>
      </w:r>
    </w:p>
    <w:p>
      <w:pPr>
        <w:pStyle w:val="26"/>
        <w:rPr>
          <w:rFonts w:hint="default"/>
          <w:color w:val="auto"/>
          <w:highlight w:val="none"/>
          <w:lang w:val="en-US" w:eastAsia="zh-CN"/>
        </w:rPr>
      </w:pPr>
      <w:r>
        <w:rPr>
          <w:rFonts w:hint="default"/>
          <w:color w:val="auto"/>
          <w:highlight w:val="none"/>
          <w:lang w:val="en-US" w:eastAsia="zh-CN"/>
        </w:rPr>
        <w:t>指导和推动全系统干部队伍提高能力</w:t>
      </w:r>
      <w:r>
        <w:rPr>
          <w:rFonts w:hint="eastAsia"/>
          <w:color w:val="auto"/>
          <w:highlight w:val="none"/>
          <w:lang w:val="en-US" w:eastAsia="zh-CN"/>
        </w:rPr>
        <w:t>素</w:t>
      </w:r>
      <w:r>
        <w:rPr>
          <w:rFonts w:hint="default"/>
          <w:color w:val="auto"/>
          <w:highlight w:val="none"/>
          <w:lang w:val="en-US" w:eastAsia="zh-CN"/>
        </w:rPr>
        <w:t>养，调查研究队伍建设存在的薄弱环节，结合市场监管所标准化规范化建设、人才队伍建设、干部教育培训等，提出改进意见建议。</w:t>
      </w:r>
    </w:p>
    <w:p>
      <w:pPr>
        <w:pStyle w:val="74"/>
        <w:bidi w:val="0"/>
        <w:rPr>
          <w:rFonts w:hint="default"/>
          <w:color w:val="auto"/>
          <w:highlight w:val="none"/>
          <w:lang w:val="en-US" w:eastAsia="zh-CN"/>
        </w:rPr>
      </w:pPr>
      <w:r>
        <w:rPr>
          <w:rFonts w:hint="eastAsia"/>
          <w:color w:val="auto"/>
          <w:highlight w:val="none"/>
          <w:lang w:val="en-US" w:eastAsia="zh-CN"/>
        </w:rPr>
        <w:t>排查清单</w:t>
      </w:r>
    </w:p>
    <w:p>
      <w:pPr>
        <w:pStyle w:val="26"/>
        <w:rPr>
          <w:rFonts w:hint="default"/>
          <w:color w:val="auto"/>
          <w:highlight w:val="none"/>
          <w:lang w:val="en-US" w:eastAsia="zh-CN"/>
        </w:rPr>
      </w:pPr>
      <w:r>
        <w:rPr>
          <w:rFonts w:hint="eastAsia"/>
          <w:color w:val="auto"/>
          <w:highlight w:val="none"/>
          <w:lang w:val="en-US" w:eastAsia="zh-CN"/>
        </w:rPr>
        <w:t>排查治理行风问题时，对照《行风问题排查整治指引清单》（见附录A）。</w:t>
      </w:r>
    </w:p>
    <w:p>
      <w:pPr>
        <w:pStyle w:val="49"/>
        <w:outlineLvl w:val="0"/>
        <w:rPr>
          <w:rFonts w:hint="default"/>
          <w:color w:val="auto"/>
          <w:highlight w:val="none"/>
          <w:lang w:val="en-US" w:eastAsia="zh-CN"/>
        </w:rPr>
      </w:pPr>
      <w:r>
        <w:rPr>
          <w:rFonts w:hint="eastAsia"/>
          <w:color w:val="auto"/>
          <w:highlight w:val="none"/>
          <w:lang w:val="en-US" w:eastAsia="zh-CN"/>
        </w:rPr>
        <w:t>整改</w:t>
      </w:r>
    </w:p>
    <w:p>
      <w:pPr>
        <w:pStyle w:val="119"/>
        <w:bidi w:val="0"/>
        <w:rPr>
          <w:rFonts w:hint="eastAsia"/>
          <w:color w:val="auto"/>
          <w:highlight w:val="none"/>
        </w:rPr>
      </w:pPr>
      <w:r>
        <w:rPr>
          <w:rFonts w:hint="eastAsia"/>
          <w:color w:val="auto"/>
          <w:highlight w:val="none"/>
        </w:rPr>
        <w:t>整改方案：针对排查出的问题，制定具体、可行的整改方案，明确责任人、整改期限和预期目标</w:t>
      </w:r>
      <w:r>
        <w:rPr>
          <w:rFonts w:hint="eastAsia"/>
          <w:color w:val="auto"/>
          <w:highlight w:val="none"/>
          <w:lang w:eastAsia="zh-CN"/>
        </w:rPr>
        <w:t>（附录）</w:t>
      </w:r>
      <w:r>
        <w:rPr>
          <w:rFonts w:hint="eastAsia"/>
          <w:color w:val="auto"/>
          <w:highlight w:val="none"/>
        </w:rPr>
        <w:t>。</w:t>
      </w:r>
    </w:p>
    <w:p>
      <w:pPr>
        <w:pStyle w:val="119"/>
        <w:bidi w:val="0"/>
        <w:rPr>
          <w:rFonts w:hint="eastAsia"/>
          <w:color w:val="auto"/>
          <w:highlight w:val="none"/>
        </w:rPr>
      </w:pPr>
      <w:r>
        <w:rPr>
          <w:rFonts w:hint="eastAsia"/>
          <w:color w:val="auto"/>
          <w:highlight w:val="none"/>
        </w:rPr>
        <w:t>即知即改：对于能够立即解决的问题，立即采取行动；对于复杂问题，制定阶段性整改计划。</w:t>
      </w:r>
    </w:p>
    <w:p>
      <w:pPr>
        <w:pStyle w:val="119"/>
        <w:bidi w:val="0"/>
        <w:rPr>
          <w:rFonts w:hint="default"/>
          <w:color w:val="auto"/>
          <w:highlight w:val="none"/>
          <w:lang w:val="en-US" w:eastAsia="zh-CN"/>
        </w:rPr>
      </w:pPr>
      <w:r>
        <w:rPr>
          <w:rFonts w:hint="default"/>
          <w:color w:val="auto"/>
          <w:highlight w:val="none"/>
          <w:lang w:val="en-US" w:eastAsia="zh-CN"/>
        </w:rPr>
        <w:t xml:space="preserve"> 建立上下联动机制。 各级市场监管部门要明确行风建设工作专责</w:t>
      </w:r>
      <w:r>
        <w:rPr>
          <w:rFonts w:hint="eastAsia"/>
          <w:color w:val="auto"/>
          <w:highlight w:val="none"/>
          <w:lang w:val="en-US" w:eastAsia="zh-CN"/>
        </w:rPr>
        <w:t>办公</w:t>
      </w:r>
      <w:r>
        <w:rPr>
          <w:rFonts w:hint="default"/>
          <w:color w:val="auto"/>
          <w:highlight w:val="none"/>
          <w:lang w:val="en-US" w:eastAsia="zh-CN"/>
        </w:rPr>
        <w:t>室，建立联络员制度，主动加强与总局的经常性沟通联络。 总局通过开展专题培训、工作调研、督导检查以及编印资料手册等方式，加强对地方市场监管部门行风建设工作的督促和指导。</w:t>
      </w:r>
    </w:p>
    <w:p>
      <w:pPr>
        <w:pStyle w:val="119"/>
        <w:bidi w:val="0"/>
        <w:rPr>
          <w:rFonts w:hint="default"/>
          <w:color w:val="auto"/>
          <w:highlight w:val="none"/>
          <w:lang w:val="en-US" w:eastAsia="zh-CN"/>
        </w:rPr>
      </w:pPr>
      <w:r>
        <w:rPr>
          <w:rFonts w:hint="default"/>
          <w:color w:val="auto"/>
          <w:highlight w:val="none"/>
          <w:lang w:val="en-US" w:eastAsia="zh-CN"/>
        </w:rPr>
        <w:t>强化跟踪落实措施。 各省级市场监管部门对排查的行风问题要认真梳理，形成问题清单、任务清单、责任清单，及时向总局报送“ 三个清单”及整改落实情况。 总局建立行风问题线索收集反馈的信息化平台，及时汇总各方面渠道反馈的行风问题线索并向地方市场监管部门进行交办。 各级市场监管部门要层层建立跟踪落实机制，确保行风问题纠治到位</w:t>
      </w:r>
      <w:r>
        <w:rPr>
          <w:rFonts w:hint="eastAsia"/>
          <w:color w:val="auto"/>
          <w:highlight w:val="none"/>
          <w:lang w:val="en-US" w:eastAsia="zh-CN"/>
        </w:rPr>
        <w:t>。</w:t>
      </w:r>
    </w:p>
    <w:p>
      <w:pPr>
        <w:pStyle w:val="49"/>
        <w:outlineLvl w:val="0"/>
        <w:rPr>
          <w:rFonts w:hint="default"/>
          <w:color w:val="auto"/>
          <w:highlight w:val="none"/>
          <w:lang w:val="en-US" w:eastAsia="zh-CN"/>
        </w:rPr>
      </w:pPr>
      <w:r>
        <w:rPr>
          <w:rFonts w:hint="eastAsia"/>
          <w:color w:val="auto"/>
          <w:highlight w:val="none"/>
          <w:lang w:val="en-US" w:eastAsia="zh-CN"/>
        </w:rPr>
        <w:t>监察（监测评价）</w:t>
      </w:r>
    </w:p>
    <w:p>
      <w:pPr>
        <w:pStyle w:val="74"/>
        <w:bidi w:val="0"/>
        <w:rPr>
          <w:rFonts w:hint="eastAsia"/>
          <w:color w:val="auto"/>
          <w:highlight w:val="none"/>
        </w:rPr>
      </w:pPr>
      <w:r>
        <w:rPr>
          <w:rFonts w:hint="eastAsia"/>
          <w:color w:val="auto"/>
          <w:highlight w:val="none"/>
          <w:lang w:eastAsia="zh-CN"/>
        </w:rPr>
        <w:t>行风状况监测评价指标</w:t>
      </w:r>
    </w:p>
    <w:p>
      <w:pPr>
        <w:pStyle w:val="73"/>
        <w:bidi w:val="0"/>
        <w:rPr>
          <w:rFonts w:hint="eastAsia"/>
          <w:color w:val="auto"/>
          <w:highlight w:val="none"/>
        </w:rPr>
      </w:pPr>
      <w:r>
        <w:rPr>
          <w:rFonts w:hint="eastAsia"/>
          <w:color w:val="auto"/>
          <w:highlight w:val="none"/>
          <w:lang w:eastAsia="zh-CN"/>
        </w:rPr>
        <w:t>评价指标</w:t>
      </w:r>
    </w:p>
    <w:p>
      <w:pPr>
        <w:pStyle w:val="26"/>
        <w:rPr>
          <w:rFonts w:hint="eastAsia"/>
          <w:color w:val="auto"/>
          <w:highlight w:val="none"/>
          <w:lang w:eastAsia="zh-CN"/>
        </w:rPr>
      </w:pPr>
      <w:r>
        <w:rPr>
          <w:rFonts w:hint="eastAsia"/>
          <w:color w:val="auto"/>
          <w:highlight w:val="none"/>
          <w:lang w:eastAsia="zh-CN"/>
        </w:rPr>
        <w:t>行风状况监测评价指标分为两级设置（见附录</w:t>
      </w:r>
      <w:r>
        <w:rPr>
          <w:rFonts w:hint="eastAsia"/>
          <w:color w:val="auto"/>
          <w:highlight w:val="none"/>
          <w:lang w:val="en-US" w:eastAsia="zh-CN"/>
        </w:rPr>
        <w:t>B</w:t>
      </w:r>
      <w:r>
        <w:rPr>
          <w:rFonts w:hint="eastAsia"/>
          <w:color w:val="auto"/>
          <w:highlight w:val="none"/>
          <w:lang w:eastAsia="zh-CN"/>
        </w:rPr>
        <w:t>）：</w:t>
      </w:r>
    </w:p>
    <w:p>
      <w:pPr>
        <w:pStyle w:val="97"/>
        <w:bidi w:val="0"/>
        <w:ind w:left="839" w:leftChars="0" w:hanging="419" w:firstLineChars="0"/>
        <w:rPr>
          <w:rFonts w:hint="eastAsia"/>
          <w:color w:val="auto"/>
          <w:highlight w:val="none"/>
          <w:lang w:eastAsia="zh-CN"/>
        </w:rPr>
      </w:pPr>
      <w:r>
        <w:rPr>
          <w:rFonts w:hint="eastAsia"/>
          <w:color w:val="auto"/>
          <w:highlight w:val="none"/>
          <w:lang w:eastAsia="zh-CN"/>
        </w:rPr>
        <w:t>一级指标为问题防治、创新优化、负面影响三个方面；</w:t>
      </w:r>
    </w:p>
    <w:p>
      <w:pPr>
        <w:pStyle w:val="97"/>
        <w:bidi w:val="0"/>
        <w:ind w:left="839" w:leftChars="0" w:hanging="419" w:firstLineChars="0"/>
        <w:rPr>
          <w:rFonts w:hint="eastAsia"/>
          <w:color w:val="auto"/>
          <w:highlight w:val="none"/>
          <w:lang w:eastAsia="zh-CN"/>
        </w:rPr>
      </w:pPr>
      <w:r>
        <w:rPr>
          <w:rFonts w:hint="eastAsia"/>
          <w:color w:val="auto"/>
          <w:highlight w:val="none"/>
          <w:lang w:eastAsia="zh-CN"/>
        </w:rPr>
        <w:t>二级指标是一级指标的分解细化。</w:t>
      </w:r>
    </w:p>
    <w:p>
      <w:pPr>
        <w:pStyle w:val="73"/>
        <w:bidi w:val="0"/>
        <w:rPr>
          <w:rFonts w:hint="eastAsia"/>
          <w:color w:val="auto"/>
          <w:highlight w:val="none"/>
          <w:lang w:eastAsia="zh-CN"/>
        </w:rPr>
      </w:pPr>
      <w:r>
        <w:rPr>
          <w:rFonts w:hint="eastAsia"/>
          <w:color w:val="auto"/>
          <w:highlight w:val="none"/>
          <w:lang w:eastAsia="zh-CN"/>
        </w:rPr>
        <w:t>问题防治</w:t>
      </w:r>
    </w:p>
    <w:p>
      <w:pPr>
        <w:pStyle w:val="26"/>
        <w:rPr>
          <w:rFonts w:hint="eastAsia"/>
          <w:color w:val="auto"/>
          <w:highlight w:val="none"/>
          <w:lang w:val="en-US" w:eastAsia="zh-CN"/>
        </w:rPr>
      </w:pPr>
      <w:r>
        <w:rPr>
          <w:rFonts w:hint="eastAsia"/>
          <w:color w:val="auto"/>
          <w:highlight w:val="none"/>
          <w:lang w:val="en-US" w:eastAsia="zh-CN"/>
        </w:rPr>
        <w:t>主要评价各地市场监管部门防范和治理行风问题的情况。</w:t>
      </w:r>
    </w:p>
    <w:p>
      <w:pPr>
        <w:pStyle w:val="73"/>
        <w:bidi w:val="0"/>
        <w:rPr>
          <w:rFonts w:hint="default"/>
          <w:color w:val="auto"/>
          <w:highlight w:val="none"/>
          <w:lang w:val="en-US" w:eastAsia="zh-CN"/>
        </w:rPr>
      </w:pPr>
      <w:r>
        <w:rPr>
          <w:rFonts w:hint="eastAsia"/>
          <w:color w:val="auto"/>
          <w:highlight w:val="none"/>
          <w:lang w:val="en-US" w:eastAsia="zh-CN"/>
        </w:rPr>
        <w:t>创新创优</w:t>
      </w:r>
    </w:p>
    <w:p>
      <w:pPr>
        <w:pStyle w:val="26"/>
        <w:rPr>
          <w:rFonts w:hint="eastAsia"/>
          <w:color w:val="auto"/>
          <w:highlight w:val="none"/>
          <w:lang w:val="en-US" w:eastAsia="zh-CN"/>
        </w:rPr>
      </w:pPr>
      <w:r>
        <w:rPr>
          <w:rFonts w:hint="eastAsia"/>
          <w:color w:val="auto"/>
          <w:highlight w:val="none"/>
          <w:lang w:val="en-US" w:eastAsia="zh-CN"/>
        </w:rPr>
        <w:t>主要评价各地市场监管部门为优化行风采取的创新性工作举措、取得的成效和正面评价等方面情况。</w:t>
      </w:r>
    </w:p>
    <w:p>
      <w:pPr>
        <w:pStyle w:val="73"/>
        <w:bidi w:val="0"/>
        <w:rPr>
          <w:rFonts w:hint="default"/>
          <w:color w:val="auto"/>
          <w:highlight w:val="none"/>
          <w:lang w:val="en-US" w:eastAsia="zh-CN"/>
        </w:rPr>
      </w:pPr>
      <w:r>
        <w:rPr>
          <w:rFonts w:hint="eastAsia"/>
          <w:color w:val="auto"/>
          <w:highlight w:val="none"/>
          <w:lang w:val="en-US" w:eastAsia="zh-CN"/>
        </w:rPr>
        <w:t>负面影响</w:t>
      </w:r>
    </w:p>
    <w:p>
      <w:pPr>
        <w:pStyle w:val="26"/>
        <w:rPr>
          <w:rFonts w:hint="eastAsia"/>
          <w:color w:val="auto"/>
          <w:highlight w:val="none"/>
          <w:lang w:val="en-US" w:eastAsia="zh-CN"/>
        </w:rPr>
      </w:pPr>
      <w:r>
        <w:rPr>
          <w:rFonts w:hint="eastAsia"/>
          <w:color w:val="auto"/>
          <w:highlight w:val="none"/>
          <w:lang w:val="en-US" w:eastAsia="zh-CN"/>
        </w:rPr>
        <w:t>主要评价各地市场监管部门发生行风问题，且被通报曝光，或引起社会负面舆情影响的情况。其中，对发生重大舆情、造成严重不良影响的情况宜作为否决项，评价结果按照最低等次给出。</w:t>
      </w:r>
    </w:p>
    <w:p>
      <w:pPr>
        <w:pStyle w:val="73"/>
        <w:bidi w:val="0"/>
        <w:rPr>
          <w:rFonts w:hint="default"/>
          <w:color w:val="auto"/>
          <w:highlight w:val="none"/>
          <w:lang w:val="en-US" w:eastAsia="zh-CN"/>
        </w:rPr>
      </w:pPr>
      <w:r>
        <w:rPr>
          <w:rFonts w:hint="eastAsia"/>
          <w:color w:val="auto"/>
          <w:highlight w:val="none"/>
          <w:lang w:val="en-US" w:eastAsia="zh-CN"/>
        </w:rPr>
        <w:t>评价计分</w:t>
      </w:r>
    </w:p>
    <w:p>
      <w:pPr>
        <w:pStyle w:val="26"/>
        <w:rPr>
          <w:rFonts w:hint="eastAsia"/>
          <w:color w:val="auto"/>
          <w:highlight w:val="none"/>
          <w:lang w:val="en-US" w:eastAsia="zh-CN"/>
        </w:rPr>
      </w:pPr>
      <w:r>
        <w:rPr>
          <w:rFonts w:hint="eastAsia"/>
          <w:color w:val="auto"/>
          <w:highlight w:val="none"/>
          <w:lang w:val="en-US" w:eastAsia="zh-CN"/>
        </w:rPr>
        <w:t>根据检测评价综合得分以及否决项，确定评价等次。分为ABC三个等次：</w:t>
      </w:r>
    </w:p>
    <w:p>
      <w:pPr>
        <w:pStyle w:val="104"/>
        <w:bidi w:val="0"/>
        <w:rPr>
          <w:rFonts w:hint="eastAsia"/>
          <w:color w:val="auto"/>
          <w:highlight w:val="none"/>
          <w:lang w:val="en-US" w:eastAsia="zh-CN"/>
        </w:rPr>
      </w:pPr>
      <w:r>
        <w:rPr>
          <w:rFonts w:hint="eastAsia"/>
          <w:color w:val="auto"/>
          <w:highlight w:val="none"/>
          <w:lang w:val="en-US" w:eastAsia="zh-CN"/>
        </w:rPr>
        <w:t>综合得分前3名的应给出A等次；</w:t>
      </w:r>
    </w:p>
    <w:p>
      <w:pPr>
        <w:pStyle w:val="104"/>
        <w:bidi w:val="0"/>
        <w:rPr>
          <w:rFonts w:hint="eastAsia"/>
          <w:color w:val="auto"/>
          <w:highlight w:val="none"/>
          <w:lang w:val="en-US" w:eastAsia="zh-CN"/>
        </w:rPr>
      </w:pPr>
      <w:r>
        <w:rPr>
          <w:rFonts w:hint="eastAsia"/>
          <w:color w:val="auto"/>
          <w:highlight w:val="none"/>
          <w:lang w:val="en-US" w:eastAsia="zh-CN"/>
        </w:rPr>
        <w:t>综合得分为后2名或存在否决项的为C等次；</w:t>
      </w:r>
    </w:p>
    <w:p>
      <w:pPr>
        <w:pStyle w:val="104"/>
        <w:bidi w:val="0"/>
        <w:rPr>
          <w:rFonts w:hint="default"/>
          <w:color w:val="auto"/>
          <w:highlight w:val="none"/>
          <w:lang w:val="en-US" w:eastAsia="zh-CN"/>
        </w:rPr>
      </w:pPr>
      <w:r>
        <w:rPr>
          <w:rFonts w:hint="eastAsia"/>
          <w:color w:val="auto"/>
          <w:highlight w:val="none"/>
          <w:lang w:val="en-US" w:eastAsia="zh-CN"/>
        </w:rPr>
        <w:t>A等次与C等次之外的均应给出B等次。</w:t>
      </w:r>
    </w:p>
    <w:p>
      <w:pPr>
        <w:pStyle w:val="74"/>
        <w:bidi w:val="0"/>
        <w:rPr>
          <w:rFonts w:hint="default"/>
          <w:color w:val="auto"/>
          <w:highlight w:val="none"/>
          <w:lang w:val="en-US" w:eastAsia="zh-CN"/>
        </w:rPr>
      </w:pPr>
      <w:r>
        <w:rPr>
          <w:rFonts w:hint="eastAsia"/>
          <w:color w:val="auto"/>
          <w:highlight w:val="none"/>
          <w:lang w:val="en-US" w:eastAsia="zh-CN"/>
        </w:rPr>
        <w:t>督促指导工作机制</w:t>
      </w:r>
    </w:p>
    <w:p>
      <w:pPr>
        <w:pStyle w:val="73"/>
        <w:bidi w:val="0"/>
        <w:rPr>
          <w:rFonts w:hint="default"/>
          <w:color w:val="auto"/>
          <w:highlight w:val="none"/>
          <w:lang w:val="en-US" w:eastAsia="zh-CN"/>
        </w:rPr>
      </w:pPr>
      <w:r>
        <w:rPr>
          <w:rFonts w:hint="default"/>
          <w:color w:val="auto"/>
          <w:highlight w:val="none"/>
          <w:lang w:val="en-US" w:eastAsia="zh-CN"/>
        </w:rPr>
        <w:t>建立和落实责任机制</w:t>
      </w:r>
    </w:p>
    <w:p>
      <w:pPr>
        <w:pStyle w:val="99"/>
        <w:bidi w:val="0"/>
        <w:spacing w:beforeLines="0" w:afterLines="0" w:line="240" w:lineRule="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各级市场监管部门要实行抓行风一把手负总责和班子成员各负其责相结合，把行风建设纳入党风廉政建设目标责任，纳入本单位绩效考核指标，纳入干部职工奖惩评价体系。</w:t>
      </w:r>
    </w:p>
    <w:p>
      <w:pPr>
        <w:pStyle w:val="99"/>
        <w:bidi w:val="0"/>
        <w:spacing w:beforeLines="0" w:afterLines="0" w:line="240" w:lineRule="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对发生严重行风问题的单位及有关人员，在当年各类考核评比中酌情加大扣分权重，在评优评先中不予考虑其评选资格。 </w:t>
      </w:r>
    </w:p>
    <w:p>
      <w:pPr>
        <w:pStyle w:val="73"/>
        <w:bidi w:val="0"/>
        <w:rPr>
          <w:rFonts w:hint="default"/>
          <w:color w:val="auto"/>
          <w:highlight w:val="none"/>
          <w:lang w:val="en-US" w:eastAsia="zh-CN"/>
        </w:rPr>
      </w:pPr>
      <w:r>
        <w:rPr>
          <w:rFonts w:hint="default"/>
          <w:color w:val="auto"/>
          <w:highlight w:val="none"/>
          <w:lang w:val="en-US" w:eastAsia="zh-CN"/>
        </w:rPr>
        <w:t>完善监督评价机制</w:t>
      </w:r>
    </w:p>
    <w:p>
      <w:pPr>
        <w:pStyle w:val="98"/>
        <w:bidi w:val="0"/>
        <w:rPr>
          <w:rFonts w:hint="eastAsia"/>
          <w:color w:val="auto"/>
          <w:highlight w:val="none"/>
        </w:rPr>
      </w:pPr>
      <w:r>
        <w:rPr>
          <w:rFonts w:hint="eastAsia"/>
          <w:color w:val="auto"/>
          <w:highlight w:val="none"/>
        </w:rPr>
        <w:t>畅通行风问题反映渠道，设立专门的行风问题投诉举报热线并向社会公示，在门</w:t>
      </w:r>
      <w:r>
        <w:rPr>
          <w:rFonts w:hint="eastAsia"/>
          <w:color w:val="auto"/>
          <w:highlight w:val="none"/>
        </w:rPr>
        <w:br w:type="textWrapping"/>
      </w:r>
      <w:r>
        <w:rPr>
          <w:rFonts w:hint="eastAsia"/>
          <w:color w:val="auto"/>
          <w:highlight w:val="none"/>
        </w:rPr>
        <w:t>户网站开辟行风问题举报专区。</w:t>
      </w:r>
    </w:p>
    <w:p>
      <w:pPr>
        <w:pStyle w:val="98"/>
        <w:bidi w:val="0"/>
        <w:rPr>
          <w:color w:val="auto"/>
          <w:highlight w:val="none"/>
        </w:rPr>
      </w:pPr>
      <w:r>
        <w:rPr>
          <w:color w:val="auto"/>
          <w:highlight w:val="none"/>
        </w:rPr>
        <w:t xml:space="preserve">注重结合人大代表、政协委员建议提案办理和信访办理等，查找行风薄弱环节。 鼓励与党代表、人大代表、政协委员建立联系渠道，发挥其监督评价作用，探索推行特约行风监督员制度，科学监测行风水平。 </w:t>
      </w:r>
    </w:p>
    <w:p>
      <w:pPr>
        <w:pStyle w:val="98"/>
        <w:bidi w:val="0"/>
        <w:rPr>
          <w:color w:val="auto"/>
          <w:highlight w:val="none"/>
        </w:rPr>
      </w:pPr>
      <w:r>
        <w:rPr>
          <w:color w:val="auto"/>
          <w:highlight w:val="none"/>
        </w:rPr>
        <w:t xml:space="preserve">发挥记者、网络评论员队伍监督行风和发现问题的作用。 </w:t>
      </w:r>
    </w:p>
    <w:p>
      <w:pPr>
        <w:pStyle w:val="98"/>
        <w:bidi w:val="0"/>
        <w:rPr>
          <w:color w:val="auto"/>
          <w:highlight w:val="none"/>
        </w:rPr>
      </w:pPr>
      <w:r>
        <w:rPr>
          <w:color w:val="auto"/>
          <w:highlight w:val="none"/>
        </w:rPr>
        <w:t>组织</w:t>
      </w:r>
      <w:r>
        <w:rPr>
          <w:rFonts w:hint="eastAsia"/>
          <w:color w:val="auto"/>
          <w:highlight w:val="none"/>
          <w:lang w:eastAsia="zh-CN"/>
        </w:rPr>
        <w:t>经营主体</w:t>
      </w:r>
      <w:r>
        <w:rPr>
          <w:color w:val="auto"/>
          <w:highlight w:val="none"/>
        </w:rPr>
        <w:t xml:space="preserve">和消费者评行风活动，开展行风满意度第三方评估，强化评价结果通报和运用。 </w:t>
      </w:r>
    </w:p>
    <w:p>
      <w:pPr>
        <w:pStyle w:val="73"/>
        <w:bidi w:val="0"/>
        <w:rPr>
          <w:rFonts w:hint="default"/>
          <w:color w:val="auto"/>
          <w:highlight w:val="none"/>
          <w:lang w:val="en-US" w:eastAsia="zh-CN"/>
        </w:rPr>
      </w:pPr>
      <w:r>
        <w:rPr>
          <w:rFonts w:hint="eastAsia"/>
          <w:color w:val="auto"/>
          <w:highlight w:val="none"/>
          <w:lang w:val="en-US" w:eastAsia="zh-CN"/>
        </w:rPr>
        <w:t>工作进展调度分析机制</w:t>
      </w:r>
    </w:p>
    <w:p>
      <w:pPr>
        <w:pStyle w:val="26"/>
        <w:rPr>
          <w:rFonts w:hint="default"/>
          <w:color w:val="auto"/>
          <w:highlight w:val="none"/>
          <w:lang w:val="en-US" w:eastAsia="zh-CN"/>
        </w:rPr>
      </w:pPr>
      <w:r>
        <w:rPr>
          <w:rFonts w:hint="default"/>
          <w:color w:val="auto"/>
          <w:highlight w:val="none"/>
          <w:lang w:val="en-US" w:eastAsia="zh-CN"/>
        </w:rPr>
        <w:t>督促各级市场监管部门定期报送行风问题排查整治情</w:t>
      </w:r>
      <w:r>
        <w:rPr>
          <w:rFonts w:hint="eastAsia"/>
          <w:color w:val="auto"/>
          <w:highlight w:val="none"/>
          <w:lang w:val="en-US" w:eastAsia="zh-CN"/>
        </w:rPr>
        <w:t>况，</w:t>
      </w:r>
      <w:r>
        <w:rPr>
          <w:rFonts w:hint="default"/>
          <w:color w:val="auto"/>
          <w:highlight w:val="none"/>
          <w:lang w:val="en-US" w:eastAsia="zh-CN"/>
        </w:rPr>
        <w:t>即《行风问题排查整治情况汇总表》《行风问题排查整治情况计表》，并印发月度《通报》。针对“两张表”质量不高、</w:t>
      </w:r>
      <w:r>
        <w:rPr>
          <w:rFonts w:hint="eastAsia"/>
          <w:color w:val="auto"/>
          <w:highlight w:val="none"/>
          <w:lang w:val="en-US" w:eastAsia="zh-CN"/>
        </w:rPr>
        <w:t>平台征集</w:t>
      </w:r>
      <w:r>
        <w:rPr>
          <w:rFonts w:hint="default"/>
          <w:color w:val="auto"/>
          <w:highlight w:val="none"/>
          <w:lang w:val="en-US" w:eastAsia="zh-CN"/>
        </w:rPr>
        <w:t>问题处理质量不高的地方，不定期召开问题排查整治调度</w:t>
      </w:r>
      <w:r>
        <w:rPr>
          <w:rFonts w:hint="eastAsia"/>
          <w:color w:val="auto"/>
          <w:highlight w:val="none"/>
          <w:lang w:val="en-US" w:eastAsia="zh-CN"/>
        </w:rPr>
        <w:t>分析会</w:t>
      </w:r>
      <w:r>
        <w:rPr>
          <w:rFonts w:hint="default"/>
          <w:color w:val="auto"/>
          <w:highlight w:val="none"/>
          <w:lang w:val="en-US" w:eastAsia="zh-CN"/>
        </w:rPr>
        <w:t>，分析研判问题，督促工作开展。</w:t>
      </w:r>
    </w:p>
    <w:p>
      <w:pPr>
        <w:pStyle w:val="73"/>
        <w:bidi w:val="0"/>
        <w:rPr>
          <w:rFonts w:hint="default"/>
          <w:color w:val="auto"/>
          <w:highlight w:val="none"/>
          <w:lang w:val="en-US" w:eastAsia="zh-CN"/>
        </w:rPr>
      </w:pPr>
      <w:r>
        <w:rPr>
          <w:rFonts w:hint="eastAsia"/>
          <w:color w:val="auto"/>
          <w:highlight w:val="none"/>
          <w:lang w:val="en-US" w:eastAsia="zh-CN"/>
        </w:rPr>
        <w:t>抽查督办机制</w:t>
      </w:r>
    </w:p>
    <w:p>
      <w:pPr>
        <w:pStyle w:val="26"/>
        <w:rPr>
          <w:rFonts w:hint="default"/>
          <w:color w:val="auto"/>
          <w:highlight w:val="none"/>
          <w:lang w:val="en-US" w:eastAsia="zh-CN"/>
        </w:rPr>
      </w:pPr>
      <w:r>
        <w:rPr>
          <w:rFonts w:hint="default"/>
          <w:color w:val="auto"/>
          <w:highlight w:val="none"/>
          <w:lang w:val="en-US" w:eastAsia="zh-CN"/>
        </w:rPr>
        <w:t>抽取收集到的一些典型行风问题，书面函请相关市场监管部门进行核查处理，并跟踪督办落实，同时以适当方式予以公开。</w:t>
      </w:r>
    </w:p>
    <w:p>
      <w:pPr>
        <w:pStyle w:val="73"/>
        <w:bidi w:val="0"/>
        <w:rPr>
          <w:rFonts w:hint="default"/>
          <w:color w:val="auto"/>
          <w:highlight w:val="none"/>
          <w:lang w:val="en-US" w:eastAsia="zh-CN"/>
        </w:rPr>
      </w:pPr>
      <w:r>
        <w:rPr>
          <w:rFonts w:hint="eastAsia"/>
          <w:color w:val="auto"/>
          <w:highlight w:val="none"/>
          <w:lang w:val="en-US" w:eastAsia="zh-CN"/>
        </w:rPr>
        <w:t>“三书一函”督促机制</w:t>
      </w:r>
    </w:p>
    <w:p>
      <w:pPr>
        <w:pStyle w:val="98"/>
        <w:bidi w:val="0"/>
        <w:rPr>
          <w:rFonts w:hint="eastAsia"/>
          <w:color w:val="auto"/>
          <w:highlight w:val="none"/>
          <w:lang w:val="en-US" w:eastAsia="zh-CN"/>
        </w:rPr>
      </w:pPr>
      <w:r>
        <w:rPr>
          <w:rFonts w:hint="eastAsia"/>
          <w:color w:val="auto"/>
          <w:highlight w:val="none"/>
          <w:lang w:val="en-US" w:eastAsia="zh-CN"/>
        </w:rPr>
        <w:t>“ 三书一函”是指提醒敦促函、整改通知书、约谈通知书、挂牌督办通知书，属于指导性文书 。</w:t>
      </w:r>
    </w:p>
    <w:p>
      <w:pPr>
        <w:pStyle w:val="98"/>
        <w:bidi w:val="0"/>
        <w:rPr>
          <w:rFonts w:hint="eastAsia"/>
          <w:color w:val="auto"/>
          <w:highlight w:val="none"/>
          <w:lang w:val="en-US" w:eastAsia="zh-CN"/>
        </w:rPr>
      </w:pPr>
      <w:r>
        <w:rPr>
          <w:rFonts w:hint="eastAsia"/>
          <w:color w:val="auto"/>
          <w:highlight w:val="none"/>
          <w:lang w:val="en-US" w:eastAsia="zh-CN"/>
        </w:rPr>
        <w:t xml:space="preserve">提醒敦促函、整改通知书、约谈通知书适用对象为地方市场监管部门、经营者及其他监管对象，挂牌督办通知书适用对象为地方市场监管部门。 </w:t>
      </w:r>
    </w:p>
    <w:p>
      <w:pPr>
        <w:pStyle w:val="98"/>
        <w:bidi w:val="0"/>
        <w:rPr>
          <w:rFonts w:hint="eastAsia"/>
          <w:color w:val="auto"/>
          <w:highlight w:val="none"/>
          <w:lang w:val="en-US" w:eastAsia="zh-CN"/>
        </w:rPr>
      </w:pPr>
      <w:r>
        <w:rPr>
          <w:rFonts w:hint="eastAsia"/>
          <w:color w:val="auto"/>
          <w:highlight w:val="none"/>
          <w:lang w:val="en-US" w:eastAsia="zh-CN"/>
        </w:rPr>
        <w:t xml:space="preserve">提醒敦促函适用于下列情形： </w:t>
      </w:r>
    </w:p>
    <w:p>
      <w:pPr>
        <w:pStyle w:val="97"/>
        <w:numPr>
          <w:ilvl w:val="0"/>
          <w:numId w:val="18"/>
        </w:numPr>
        <w:bidi w:val="0"/>
        <w:ind w:left="839" w:leftChars="0" w:hanging="419" w:firstLineChars="0"/>
        <w:rPr>
          <w:rFonts w:hint="eastAsia"/>
          <w:color w:val="auto"/>
          <w:highlight w:val="none"/>
          <w:lang w:val="en-US" w:eastAsia="zh-CN"/>
        </w:rPr>
      </w:pPr>
      <w:r>
        <w:rPr>
          <w:rFonts w:hint="eastAsia"/>
          <w:color w:val="auto"/>
          <w:highlight w:val="none"/>
          <w:lang w:val="en-US" w:eastAsia="zh-CN"/>
        </w:rPr>
        <w:t>怠于履行市场监管职责，工作推进缓慢、工作措施不得力或者监管存在短板漏洞的；</w:t>
      </w:r>
    </w:p>
    <w:p>
      <w:pPr>
        <w:pStyle w:val="97"/>
        <w:numPr>
          <w:ilvl w:val="0"/>
          <w:numId w:val="18"/>
        </w:numPr>
        <w:bidi w:val="0"/>
        <w:ind w:left="839" w:leftChars="0" w:hanging="419" w:firstLineChars="0"/>
        <w:rPr>
          <w:rFonts w:hint="eastAsia"/>
          <w:color w:val="auto"/>
          <w:highlight w:val="none"/>
          <w:lang w:val="en-US" w:eastAsia="zh-CN"/>
        </w:rPr>
      </w:pPr>
      <w:r>
        <w:rPr>
          <w:rFonts w:hint="eastAsia"/>
          <w:color w:val="auto"/>
          <w:highlight w:val="none"/>
          <w:lang w:val="en-US" w:eastAsia="zh-CN"/>
        </w:rPr>
        <w:t>主体责任落实不到位，存在违法风险或者安全隐患的；</w:t>
      </w:r>
    </w:p>
    <w:p>
      <w:pPr>
        <w:pStyle w:val="97"/>
        <w:numPr>
          <w:ilvl w:val="0"/>
          <w:numId w:val="18"/>
        </w:numPr>
        <w:bidi w:val="0"/>
        <w:ind w:left="839" w:leftChars="0" w:hanging="419" w:firstLineChars="0"/>
        <w:rPr>
          <w:rFonts w:hint="eastAsia"/>
          <w:color w:val="auto"/>
          <w:highlight w:val="none"/>
          <w:lang w:val="en-US" w:eastAsia="zh-CN"/>
        </w:rPr>
      </w:pPr>
      <w:r>
        <w:rPr>
          <w:rFonts w:hint="eastAsia"/>
          <w:color w:val="auto"/>
          <w:highlight w:val="none"/>
          <w:lang w:val="en-US" w:eastAsia="zh-CN"/>
        </w:rPr>
        <w:t>重大舆情事件处置工作进展缓慢的；</w:t>
      </w:r>
    </w:p>
    <w:p>
      <w:pPr>
        <w:pStyle w:val="97"/>
        <w:numPr>
          <w:ilvl w:val="0"/>
          <w:numId w:val="18"/>
        </w:numPr>
        <w:bidi w:val="0"/>
        <w:ind w:left="839" w:leftChars="0" w:hanging="419" w:firstLineChars="0"/>
        <w:rPr>
          <w:rFonts w:hint="eastAsia"/>
          <w:color w:val="auto"/>
          <w:highlight w:val="none"/>
          <w:lang w:val="en-US" w:eastAsia="zh-CN"/>
        </w:rPr>
      </w:pPr>
      <w:r>
        <w:rPr>
          <w:rFonts w:hint="eastAsia"/>
          <w:color w:val="auto"/>
          <w:highlight w:val="none"/>
          <w:lang w:val="en-US" w:eastAsia="zh-CN"/>
        </w:rPr>
        <w:t xml:space="preserve">其他需要提醒敦促的情形。 </w:t>
      </w:r>
    </w:p>
    <w:p>
      <w:pPr>
        <w:pStyle w:val="98"/>
        <w:bidi w:val="0"/>
        <w:rPr>
          <w:rFonts w:hint="eastAsia"/>
          <w:color w:val="auto"/>
          <w:highlight w:val="none"/>
          <w:lang w:val="en-US" w:eastAsia="zh-CN"/>
        </w:rPr>
      </w:pPr>
      <w:r>
        <w:rPr>
          <w:rFonts w:hint="eastAsia"/>
          <w:color w:val="auto"/>
          <w:highlight w:val="none"/>
          <w:lang w:val="en-US" w:eastAsia="zh-CN"/>
        </w:rPr>
        <w:t xml:space="preserve">整改通知书适用于下列情形： </w:t>
      </w:r>
    </w:p>
    <w:p>
      <w:pPr>
        <w:pStyle w:val="97"/>
        <w:numPr>
          <w:ilvl w:val="0"/>
          <w:numId w:val="19"/>
        </w:numPr>
        <w:bidi w:val="0"/>
        <w:rPr>
          <w:rFonts w:hint="eastAsia"/>
          <w:color w:val="auto"/>
          <w:highlight w:val="none"/>
          <w:lang w:val="en-US" w:eastAsia="zh-CN"/>
        </w:rPr>
      </w:pPr>
      <w:r>
        <w:rPr>
          <w:rFonts w:hint="eastAsia"/>
          <w:color w:val="auto"/>
          <w:highlight w:val="none"/>
          <w:lang w:val="en-US" w:eastAsia="zh-CN"/>
        </w:rPr>
        <w:t>督查、巡查、检查、考核、风险监测、舆情监测、监督抽查、检验检测、专项整治等过程中发现市场监管领域存在较大安全问题、突出风险隐患或者明显工作漏洞的；</w:t>
      </w:r>
    </w:p>
    <w:p>
      <w:pPr>
        <w:pStyle w:val="97"/>
        <w:numPr>
          <w:ilvl w:val="0"/>
          <w:numId w:val="19"/>
        </w:numPr>
        <w:bidi w:val="0"/>
        <w:rPr>
          <w:rFonts w:hint="eastAsia"/>
          <w:color w:val="auto"/>
          <w:highlight w:val="none"/>
          <w:lang w:val="en-US" w:eastAsia="zh-CN"/>
        </w:rPr>
      </w:pPr>
      <w:r>
        <w:rPr>
          <w:rFonts w:hint="eastAsia"/>
          <w:color w:val="auto"/>
          <w:highlight w:val="none"/>
          <w:lang w:val="en-US" w:eastAsia="zh-CN"/>
        </w:rPr>
        <w:t>对提醒敦促事项逾期不采取落实措施或者工作落实不到位的；</w:t>
      </w:r>
    </w:p>
    <w:p>
      <w:pPr>
        <w:pStyle w:val="97"/>
        <w:numPr>
          <w:ilvl w:val="0"/>
          <w:numId w:val="19"/>
        </w:numPr>
        <w:bidi w:val="0"/>
        <w:rPr>
          <w:rFonts w:hint="eastAsia"/>
          <w:color w:val="auto"/>
          <w:highlight w:val="none"/>
          <w:lang w:val="en-US" w:eastAsia="zh-CN"/>
        </w:rPr>
      </w:pPr>
      <w:r>
        <w:rPr>
          <w:rFonts w:hint="eastAsia"/>
          <w:color w:val="auto"/>
          <w:highlight w:val="none"/>
          <w:lang w:val="en-US" w:eastAsia="zh-CN"/>
        </w:rPr>
        <w:t>其他需要整改的情形。</w:t>
      </w:r>
    </w:p>
    <w:p>
      <w:pPr>
        <w:pStyle w:val="98"/>
        <w:bidi w:val="0"/>
        <w:rPr>
          <w:rFonts w:hint="eastAsia"/>
          <w:color w:val="auto"/>
          <w:highlight w:val="none"/>
        </w:rPr>
      </w:pPr>
      <w:r>
        <w:rPr>
          <w:rFonts w:hint="eastAsia"/>
          <w:color w:val="auto"/>
          <w:highlight w:val="none"/>
        </w:rPr>
        <w:t xml:space="preserve">约谈通知书适用于下列情形： </w:t>
      </w:r>
    </w:p>
    <w:p>
      <w:pPr>
        <w:pStyle w:val="97"/>
        <w:numPr>
          <w:ilvl w:val="0"/>
          <w:numId w:val="20"/>
        </w:numPr>
        <w:bidi w:val="0"/>
        <w:ind w:left="839" w:leftChars="0" w:hanging="419" w:firstLineChars="0"/>
        <w:rPr>
          <w:color w:val="auto"/>
          <w:highlight w:val="none"/>
        </w:rPr>
      </w:pPr>
      <w:r>
        <w:rPr>
          <w:color w:val="auto"/>
          <w:highlight w:val="none"/>
        </w:rPr>
        <w:t>贯彻落实党中央、国务院决策部署不力的；</w:t>
      </w:r>
    </w:p>
    <w:p>
      <w:pPr>
        <w:pStyle w:val="97"/>
        <w:numPr>
          <w:ilvl w:val="0"/>
          <w:numId w:val="20"/>
        </w:numPr>
        <w:bidi w:val="0"/>
        <w:ind w:left="839" w:leftChars="0" w:hanging="419" w:firstLineChars="0"/>
        <w:rPr>
          <w:color w:val="auto"/>
          <w:highlight w:val="none"/>
        </w:rPr>
      </w:pPr>
      <w:r>
        <w:rPr>
          <w:color w:val="auto"/>
          <w:highlight w:val="none"/>
        </w:rPr>
        <w:t>发生重大或者特别重大事故的；</w:t>
      </w:r>
    </w:p>
    <w:p>
      <w:pPr>
        <w:pStyle w:val="97"/>
        <w:numPr>
          <w:ilvl w:val="0"/>
          <w:numId w:val="20"/>
        </w:numPr>
        <w:bidi w:val="0"/>
        <w:ind w:left="839" w:leftChars="0" w:hanging="419" w:firstLineChars="0"/>
        <w:rPr>
          <w:color w:val="auto"/>
          <w:highlight w:val="none"/>
        </w:rPr>
      </w:pPr>
      <w:r>
        <w:rPr>
          <w:color w:val="auto"/>
          <w:highlight w:val="none"/>
        </w:rPr>
        <w:t>重大舆情事件处置不当或者整改不力，造成严重不良影响的；</w:t>
      </w:r>
    </w:p>
    <w:p>
      <w:pPr>
        <w:pStyle w:val="97"/>
        <w:numPr>
          <w:ilvl w:val="0"/>
          <w:numId w:val="20"/>
        </w:numPr>
        <w:bidi w:val="0"/>
        <w:ind w:left="839" w:leftChars="0" w:hanging="419" w:firstLineChars="0"/>
        <w:rPr>
          <w:color w:val="auto"/>
          <w:highlight w:val="none"/>
        </w:rPr>
      </w:pPr>
      <w:r>
        <w:rPr>
          <w:color w:val="auto"/>
          <w:highlight w:val="none"/>
        </w:rPr>
        <w:t>重大事件处置工作中瞒报谎报漏报缓报相关信息的；</w:t>
      </w:r>
    </w:p>
    <w:p>
      <w:pPr>
        <w:pStyle w:val="97"/>
        <w:numPr>
          <w:ilvl w:val="0"/>
          <w:numId w:val="20"/>
        </w:numPr>
        <w:bidi w:val="0"/>
        <w:ind w:left="839" w:leftChars="0" w:hanging="419" w:firstLineChars="0"/>
        <w:rPr>
          <w:color w:val="auto"/>
          <w:highlight w:val="none"/>
        </w:rPr>
      </w:pPr>
      <w:r>
        <w:rPr>
          <w:color w:val="auto"/>
          <w:highlight w:val="none"/>
        </w:rPr>
        <w:t>对提醒敦促事项逾期不采取落实措施或者工作落实不到位的；</w:t>
      </w:r>
    </w:p>
    <w:p>
      <w:pPr>
        <w:pStyle w:val="97"/>
        <w:numPr>
          <w:ilvl w:val="0"/>
          <w:numId w:val="20"/>
        </w:numPr>
        <w:bidi w:val="0"/>
        <w:ind w:left="839" w:leftChars="0" w:hanging="419" w:firstLineChars="0"/>
        <w:rPr>
          <w:color w:val="auto"/>
          <w:highlight w:val="none"/>
        </w:rPr>
      </w:pPr>
      <w:r>
        <w:rPr>
          <w:color w:val="auto"/>
          <w:highlight w:val="none"/>
        </w:rPr>
        <w:t>对整改事项逾期不整改或者整改不到位的；</w:t>
      </w:r>
    </w:p>
    <w:p>
      <w:pPr>
        <w:pStyle w:val="97"/>
        <w:numPr>
          <w:ilvl w:val="0"/>
          <w:numId w:val="20"/>
        </w:numPr>
        <w:bidi w:val="0"/>
        <w:ind w:left="839" w:leftChars="0" w:hanging="419" w:firstLineChars="0"/>
        <w:rPr>
          <w:color w:val="auto"/>
          <w:highlight w:val="none"/>
        </w:rPr>
      </w:pPr>
      <w:r>
        <w:rPr>
          <w:color w:val="auto"/>
          <w:highlight w:val="none"/>
        </w:rPr>
        <w:t xml:space="preserve">其他需要约谈的情形。 </w:t>
      </w:r>
    </w:p>
    <w:p>
      <w:pPr>
        <w:pStyle w:val="98"/>
        <w:bidi w:val="0"/>
        <w:rPr>
          <w:rFonts w:hint="eastAsia"/>
          <w:color w:val="auto"/>
          <w:highlight w:val="none"/>
        </w:rPr>
      </w:pPr>
      <w:r>
        <w:rPr>
          <w:rFonts w:hint="eastAsia"/>
          <w:color w:val="auto"/>
          <w:highlight w:val="none"/>
        </w:rPr>
        <w:t xml:space="preserve">挂牌督办通知书适用于以下情形： </w:t>
      </w:r>
    </w:p>
    <w:p>
      <w:pPr>
        <w:pStyle w:val="97"/>
        <w:numPr>
          <w:ilvl w:val="0"/>
          <w:numId w:val="21"/>
        </w:numPr>
        <w:bidi w:val="0"/>
        <w:rPr>
          <w:rFonts w:hint="eastAsia"/>
          <w:color w:val="auto"/>
          <w:highlight w:val="none"/>
          <w:lang w:val="en-US" w:eastAsia="zh-CN"/>
        </w:rPr>
      </w:pPr>
      <w:r>
        <w:rPr>
          <w:rFonts w:hint="eastAsia"/>
          <w:color w:val="auto"/>
          <w:highlight w:val="none"/>
          <w:lang w:val="en-US" w:eastAsia="zh-CN"/>
        </w:rPr>
        <w:t>落实党中央、国务院领导同志指示批示要求，需要提前介入、全过程指导和督办的；</w:t>
      </w:r>
    </w:p>
    <w:p>
      <w:pPr>
        <w:pStyle w:val="97"/>
        <w:numPr>
          <w:ilvl w:val="0"/>
          <w:numId w:val="21"/>
        </w:numPr>
        <w:bidi w:val="0"/>
        <w:rPr>
          <w:rFonts w:hint="eastAsia"/>
          <w:color w:val="auto"/>
          <w:highlight w:val="none"/>
          <w:lang w:val="en-US" w:eastAsia="zh-CN"/>
        </w:rPr>
      </w:pPr>
      <w:r>
        <w:rPr>
          <w:rFonts w:hint="eastAsia"/>
          <w:color w:val="auto"/>
          <w:highlight w:val="none"/>
          <w:lang w:val="en-US" w:eastAsia="zh-CN"/>
        </w:rPr>
        <w:t>发生重大或者特别重大事故的；</w:t>
      </w:r>
    </w:p>
    <w:p>
      <w:pPr>
        <w:pStyle w:val="97"/>
        <w:numPr>
          <w:ilvl w:val="0"/>
          <w:numId w:val="21"/>
        </w:numPr>
        <w:bidi w:val="0"/>
        <w:rPr>
          <w:rFonts w:hint="eastAsia"/>
          <w:color w:val="auto"/>
          <w:highlight w:val="none"/>
          <w:lang w:val="en-US" w:eastAsia="zh-CN"/>
        </w:rPr>
      </w:pPr>
      <w:r>
        <w:rPr>
          <w:rFonts w:hint="eastAsia"/>
          <w:color w:val="auto"/>
          <w:highlight w:val="none"/>
          <w:lang w:val="en-US" w:eastAsia="zh-CN"/>
        </w:rPr>
        <w:t>发生社会影响恶劣的 重大舆情事件或者其他重大事件的；</w:t>
      </w:r>
    </w:p>
    <w:p>
      <w:pPr>
        <w:pStyle w:val="97"/>
        <w:numPr>
          <w:ilvl w:val="0"/>
          <w:numId w:val="21"/>
        </w:numPr>
        <w:bidi w:val="0"/>
        <w:rPr>
          <w:rFonts w:hint="eastAsia"/>
          <w:color w:val="auto"/>
          <w:highlight w:val="none"/>
          <w:lang w:val="en-US" w:eastAsia="zh-CN"/>
        </w:rPr>
      </w:pPr>
      <w:r>
        <w:rPr>
          <w:rFonts w:hint="eastAsia"/>
          <w:color w:val="auto"/>
          <w:highlight w:val="none"/>
          <w:lang w:val="en-US" w:eastAsia="zh-CN"/>
        </w:rPr>
        <w:t xml:space="preserve">其他需要挂牌督办的情形。 </w:t>
      </w:r>
    </w:p>
    <w:p>
      <w:pPr>
        <w:pStyle w:val="73"/>
        <w:bidi w:val="0"/>
        <w:rPr>
          <w:rFonts w:hint="default"/>
          <w:color w:val="auto"/>
          <w:highlight w:val="none"/>
          <w:lang w:val="en-US" w:eastAsia="zh-CN"/>
        </w:rPr>
      </w:pPr>
      <w:r>
        <w:rPr>
          <w:rFonts w:hint="eastAsia"/>
          <w:color w:val="auto"/>
          <w:highlight w:val="none"/>
          <w:lang w:val="en-US" w:eastAsia="zh-CN"/>
        </w:rPr>
        <w:t>典型案例通报机制</w:t>
      </w:r>
    </w:p>
    <w:p>
      <w:pPr>
        <w:pStyle w:val="26"/>
        <w:rPr>
          <w:rFonts w:hint="default"/>
          <w:color w:val="auto"/>
          <w:highlight w:val="none"/>
          <w:lang w:val="en-US" w:eastAsia="zh-CN"/>
        </w:rPr>
      </w:pPr>
      <w:r>
        <w:rPr>
          <w:rFonts w:hint="default"/>
          <w:color w:val="auto"/>
          <w:highlight w:val="none"/>
          <w:lang w:val="en-US" w:eastAsia="zh-CN"/>
        </w:rPr>
        <w:t>对已有明确处理结果、具有典型警示教育作用的行风问题案例，不定期在</w:t>
      </w:r>
      <w:r>
        <w:rPr>
          <w:rFonts w:hint="eastAsia"/>
          <w:color w:val="auto"/>
          <w:highlight w:val="none"/>
          <w:lang w:val="en-US" w:eastAsia="zh-CN"/>
        </w:rPr>
        <w:t>全省</w:t>
      </w:r>
      <w:r>
        <w:rPr>
          <w:rFonts w:hint="default"/>
          <w:color w:val="auto"/>
          <w:highlight w:val="none"/>
          <w:lang w:val="en-US" w:eastAsia="zh-CN"/>
        </w:rPr>
        <w:t>范围内进行书面通报，督促各级市场监管部门以点带面、举一反三，防范问题再次发生。</w:t>
      </w:r>
    </w:p>
    <w:p>
      <w:pPr>
        <w:pStyle w:val="73"/>
        <w:bidi w:val="0"/>
        <w:rPr>
          <w:rFonts w:hint="default"/>
          <w:color w:val="auto"/>
          <w:highlight w:val="none"/>
          <w:lang w:val="en-US" w:eastAsia="zh-CN"/>
        </w:rPr>
      </w:pPr>
      <w:r>
        <w:rPr>
          <w:rFonts w:hint="eastAsia"/>
          <w:color w:val="auto"/>
          <w:highlight w:val="none"/>
          <w:lang w:val="en-US" w:eastAsia="zh-CN"/>
        </w:rPr>
        <w:t>长效机制建立</w:t>
      </w:r>
    </w:p>
    <w:p>
      <w:pPr>
        <w:pStyle w:val="26"/>
        <w:rPr>
          <w:rFonts w:hint="default"/>
          <w:color w:val="auto"/>
          <w:highlight w:val="none"/>
          <w:lang w:val="en-US" w:eastAsia="zh-CN"/>
        </w:rPr>
      </w:pPr>
      <w:r>
        <w:rPr>
          <w:rFonts w:hint="eastAsia"/>
          <w:color w:val="auto"/>
          <w:highlight w:val="none"/>
        </w:rPr>
        <w:t>建立健全规章制度，完善内部</w:t>
      </w:r>
      <w:r>
        <w:rPr>
          <w:rFonts w:hint="eastAsia"/>
          <w:color w:val="auto"/>
          <w:highlight w:val="none"/>
          <w:lang w:eastAsia="zh-CN"/>
        </w:rPr>
        <w:t>监督</w:t>
      </w:r>
      <w:r>
        <w:rPr>
          <w:rFonts w:hint="eastAsia"/>
          <w:color w:val="auto"/>
          <w:highlight w:val="none"/>
        </w:rPr>
        <w:t>体系，强化教育培训，确保问题不反弹。</w:t>
      </w:r>
    </w:p>
    <w:p>
      <w:pPr>
        <w:pStyle w:val="49"/>
        <w:outlineLvl w:val="0"/>
        <w:rPr>
          <w:rFonts w:hint="default"/>
          <w:color w:val="auto"/>
          <w:highlight w:val="none"/>
          <w:lang w:val="en-US" w:eastAsia="zh-CN"/>
        </w:rPr>
      </w:pPr>
      <w:r>
        <w:rPr>
          <w:rFonts w:hint="eastAsia"/>
          <w:color w:val="auto"/>
          <w:highlight w:val="none"/>
          <w:lang w:val="en-US" w:eastAsia="zh-CN"/>
        </w:rPr>
        <w:t>宣传</w:t>
      </w:r>
    </w:p>
    <w:p>
      <w:pPr>
        <w:pStyle w:val="119"/>
        <w:bidi w:val="0"/>
        <w:rPr>
          <w:rFonts w:hint="eastAsia"/>
          <w:color w:val="auto"/>
          <w:highlight w:val="none"/>
          <w:lang w:eastAsia="zh-CN"/>
        </w:rPr>
      </w:pPr>
      <w:r>
        <w:rPr>
          <w:rFonts w:hint="eastAsia"/>
          <w:color w:val="auto"/>
          <w:highlight w:val="none"/>
          <w:lang w:eastAsia="zh-CN"/>
        </w:rPr>
        <w:t>充分发挥各类媒体作用，加强政策应用解读，合理引导社会预期和舆情。</w:t>
      </w:r>
    </w:p>
    <w:p>
      <w:pPr>
        <w:pStyle w:val="119"/>
        <w:bidi w:val="0"/>
        <w:rPr>
          <w:rFonts w:hint="eastAsia"/>
          <w:color w:val="auto"/>
          <w:highlight w:val="none"/>
          <w:lang w:eastAsia="zh-CN"/>
        </w:rPr>
      </w:pPr>
      <w:r>
        <w:rPr>
          <w:rFonts w:hint="eastAsia"/>
          <w:color w:val="auto"/>
          <w:highlight w:val="none"/>
          <w:lang w:eastAsia="zh-CN"/>
        </w:rPr>
        <w:t>积极回应社会关切，及时妥善处理涉及市场监管系统的行风问题。</w:t>
      </w:r>
    </w:p>
    <w:p>
      <w:pPr>
        <w:pStyle w:val="119"/>
        <w:bidi w:val="0"/>
        <w:rPr>
          <w:rFonts w:hint="default"/>
          <w:color w:val="auto"/>
          <w:highlight w:val="none"/>
          <w:lang w:val="en-US" w:eastAsia="zh-CN"/>
        </w:rPr>
      </w:pPr>
      <w:r>
        <w:rPr>
          <w:rFonts w:hint="eastAsia"/>
          <w:color w:val="auto"/>
          <w:highlight w:val="none"/>
          <w:lang w:eastAsia="zh-CN"/>
        </w:rPr>
        <w:t>广泛开展宣传，及时总结和推广地方市场监管部门加强行风建设的好做法好经验，选树先进典型，发挥示范引领作用，积极营造行风建设良好舆论氛围。</w:t>
      </w:r>
    </w:p>
    <w:p>
      <w:pPr>
        <w:pStyle w:val="119"/>
        <w:bidi w:val="0"/>
        <w:rPr>
          <w:rFonts w:hint="default"/>
          <w:color w:val="auto"/>
          <w:highlight w:val="none"/>
          <w:lang w:val="en-US" w:eastAsia="zh-CN"/>
        </w:rPr>
      </w:pPr>
      <w:r>
        <w:rPr>
          <w:rFonts w:hint="eastAsia"/>
          <w:color w:val="auto"/>
          <w:highlight w:val="none"/>
          <w:lang w:eastAsia="zh-CN"/>
        </w:rPr>
        <w:t>积极宣传市场监管系统“十要十不要”行为规范。</w:t>
      </w:r>
    </w:p>
    <w:p>
      <w:pPr>
        <w:pStyle w:val="119"/>
        <w:bidi w:val="0"/>
        <w:rPr>
          <w:rFonts w:hint="default"/>
          <w:color w:val="auto"/>
          <w:highlight w:val="none"/>
          <w:lang w:val="en-US" w:eastAsia="zh-CN"/>
        </w:rPr>
      </w:pPr>
      <w:r>
        <w:rPr>
          <w:rFonts w:hint="eastAsia"/>
          <w:color w:val="auto"/>
          <w:highlight w:val="none"/>
          <w:lang w:val="en-US" w:eastAsia="zh-CN"/>
        </w:rPr>
        <w:t>定期组织星级市场监管所的评定，对行风良好的四星级、三星级市场监管所进行宣传。</w:t>
      </w:r>
    </w:p>
    <w:p>
      <w:pPr>
        <w:pStyle w:val="119"/>
        <w:bidi w:val="0"/>
        <w:rPr>
          <w:rFonts w:hint="default"/>
          <w:color w:val="auto"/>
          <w:highlight w:val="none"/>
          <w:lang w:val="en-US" w:eastAsia="zh-CN"/>
        </w:rPr>
      </w:pPr>
      <w:r>
        <w:rPr>
          <w:rFonts w:hint="eastAsia"/>
          <w:color w:val="auto"/>
          <w:highlight w:val="none"/>
        </w:rPr>
        <w:br w:type="page"/>
      </w:r>
    </w:p>
    <w:p>
      <w:pPr>
        <w:pStyle w:val="95"/>
        <w:keepNext/>
        <w:keepLines w:val="0"/>
        <w:pageBreakBefore w:val="0"/>
        <w:widowControl/>
        <w:kinsoku/>
        <w:wordWrap/>
        <w:overflowPunct/>
        <w:topLinePunct w:val="0"/>
        <w:autoSpaceDE/>
        <w:autoSpaceDN/>
        <w:bidi w:val="0"/>
        <w:adjustRightInd/>
        <w:snapToGrid/>
        <w:spacing w:before="280" w:after="0" w:line="300" w:lineRule="exact"/>
        <w:ind w:left="4200" w:leftChars="0" w:firstLineChars="0"/>
        <w:jc w:val="both"/>
        <w:textAlignment w:val="auto"/>
        <w:rPr>
          <w:rFonts w:hint="eastAsia"/>
          <w:color w:val="auto"/>
          <w:highlight w:val="none"/>
          <w:lang w:val="en-US" w:eastAsia="zh-CN"/>
        </w:rPr>
      </w:pPr>
    </w:p>
    <w:p>
      <w:pPr>
        <w:pStyle w:val="108"/>
        <w:bidi w:val="0"/>
        <w:rPr>
          <w:rFonts w:hint="eastAsia"/>
          <w:color w:val="auto"/>
          <w:highlight w:val="none"/>
          <w:lang w:val="en-US" w:eastAsia="zh-CN"/>
        </w:rPr>
      </w:pPr>
      <w:r>
        <w:rPr>
          <w:rFonts w:hint="eastAsia"/>
          <w:color w:val="auto"/>
          <w:highlight w:val="none"/>
          <w:lang w:val="en-US" w:eastAsia="zh-CN"/>
        </w:rPr>
        <w:t>（资料性）</w:t>
      </w:r>
    </w:p>
    <w:p>
      <w:pPr>
        <w:pStyle w:val="108"/>
        <w:bidi w:val="0"/>
        <w:rPr>
          <w:rFonts w:hint="default"/>
          <w:color w:val="auto"/>
          <w:highlight w:val="none"/>
          <w:lang w:val="en-US" w:eastAsia="zh-CN"/>
        </w:rPr>
      </w:pPr>
      <w:r>
        <w:rPr>
          <w:rFonts w:hint="eastAsia"/>
          <w:color w:val="auto"/>
          <w:highlight w:val="none"/>
          <w:lang w:val="en-US" w:eastAsia="zh-CN"/>
        </w:rPr>
        <w:t>行风问题排查整治指引清单</w:t>
      </w:r>
    </w:p>
    <w:p>
      <w:pPr>
        <w:pStyle w:val="26"/>
        <w:bidi w:val="0"/>
        <w:rPr>
          <w:rFonts w:hint="eastAsia"/>
          <w:color w:val="auto"/>
          <w:highlight w:val="none"/>
          <w:lang w:val="en-US" w:eastAsia="zh-CN"/>
        </w:rPr>
      </w:pPr>
    </w:p>
    <w:p>
      <w:pPr>
        <w:pStyle w:val="26"/>
        <w:bidi w:val="0"/>
        <w:rPr>
          <w:rFonts w:hint="eastAsia"/>
          <w:color w:val="auto"/>
          <w:highlight w:val="none"/>
          <w:lang w:val="en-US" w:eastAsia="zh-CN"/>
        </w:rPr>
      </w:pPr>
    </w:p>
    <w:p>
      <w:pPr>
        <w:pStyle w:val="26"/>
        <w:bidi w:val="0"/>
        <w:rPr>
          <w:rFonts w:hint="eastAsia"/>
          <w:color w:val="auto"/>
          <w:highlight w:val="none"/>
          <w:lang w:val="en-US" w:eastAsia="zh-CN"/>
        </w:rPr>
      </w:pPr>
      <w:r>
        <w:rPr>
          <w:rFonts w:hint="eastAsia"/>
          <w:color w:val="auto"/>
          <w:highlight w:val="none"/>
          <w:lang w:val="en-US" w:eastAsia="zh-CN"/>
        </w:rPr>
        <w:t>行风问题排查整治指引清单见表A.1</w:t>
      </w:r>
    </w:p>
    <w:p>
      <w:pPr>
        <w:pStyle w:val="78"/>
        <w:bidi w:val="0"/>
        <w:rPr>
          <w:rFonts w:hint="default"/>
          <w:color w:val="auto"/>
          <w:highlight w:val="none"/>
          <w:lang w:val="en-US" w:eastAsia="zh-CN"/>
        </w:rPr>
      </w:pPr>
      <w:r>
        <w:rPr>
          <w:rFonts w:hint="eastAsia"/>
          <w:color w:val="auto"/>
          <w:highlight w:val="none"/>
          <w:lang w:val="en-US" w:eastAsia="zh-CN"/>
        </w:rPr>
        <w:t>行风问题排查整治指引清单</w:t>
      </w:r>
    </w:p>
    <w:tbl>
      <w:tblPr>
        <w:tblStyle w:val="37"/>
        <w:tblW w:w="8820"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Layout w:type="fixed"/>
        <w:tblCellMar>
          <w:top w:w="0" w:type="dxa"/>
          <w:left w:w="108" w:type="dxa"/>
          <w:bottom w:w="0" w:type="dxa"/>
          <w:right w:w="108" w:type="dxa"/>
        </w:tblCellMar>
      </w:tblPr>
      <w:tblGrid>
        <w:gridCol w:w="1005"/>
        <w:gridCol w:w="1815"/>
        <w:gridCol w:w="600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Style w:val="159"/>
                <w:rFonts w:hint="eastAsia" w:ascii="宋体" w:hAnsi="宋体" w:eastAsia="宋体" w:cs="宋体"/>
                <w:color w:val="auto"/>
                <w:sz w:val="18"/>
                <w:szCs w:val="18"/>
                <w:highlight w:val="none"/>
                <w:lang w:val="en-US" w:eastAsia="zh-CN" w:bidi="ar"/>
              </w:rPr>
              <w:t>1</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Style w:val="160"/>
                <w:rFonts w:hint="eastAsia" w:ascii="宋体" w:hAnsi="宋体" w:eastAsia="宋体" w:cs="宋体"/>
                <w:color w:val="auto"/>
                <w:sz w:val="18"/>
                <w:szCs w:val="18"/>
                <w:highlight w:val="none"/>
                <w:lang w:val="en-US" w:eastAsia="zh-CN" w:bidi="ar"/>
              </w:rPr>
              <w:t>企业设立</w:t>
            </w:r>
            <w:r>
              <w:rPr>
                <w:rStyle w:val="162"/>
                <w:rFonts w:hint="eastAsia" w:ascii="宋体" w:hAnsi="宋体" w:eastAsia="宋体" w:cs="宋体"/>
                <w:color w:val="auto"/>
                <w:sz w:val="18"/>
                <w:szCs w:val="18"/>
                <w:highlight w:val="none"/>
                <w:lang w:val="en-US" w:eastAsia="zh-CN" w:bidi="ar"/>
              </w:rPr>
              <w:t>、</w:t>
            </w:r>
            <w:r>
              <w:rPr>
                <w:rStyle w:val="160"/>
                <w:rFonts w:hint="eastAsia" w:ascii="宋体" w:hAnsi="宋体" w:eastAsia="宋体" w:cs="宋体"/>
                <w:color w:val="auto"/>
                <w:sz w:val="18"/>
                <w:szCs w:val="18"/>
                <w:highlight w:val="none"/>
                <w:lang w:val="en-US" w:eastAsia="zh-CN" w:bidi="ar"/>
              </w:rPr>
              <w:t>变更</w:t>
            </w:r>
            <w:r>
              <w:rPr>
                <w:rStyle w:val="162"/>
                <w:rFonts w:hint="eastAsia" w:ascii="宋体" w:hAnsi="宋体" w:eastAsia="宋体" w:cs="宋体"/>
                <w:color w:val="auto"/>
                <w:sz w:val="18"/>
                <w:szCs w:val="18"/>
                <w:highlight w:val="none"/>
                <w:lang w:val="en-US" w:eastAsia="zh-CN" w:bidi="ar"/>
              </w:rPr>
              <w:t>、</w:t>
            </w:r>
            <w:r>
              <w:rPr>
                <w:rStyle w:val="160"/>
                <w:rFonts w:hint="eastAsia" w:ascii="宋体" w:hAnsi="宋体" w:eastAsia="宋体" w:cs="宋体"/>
                <w:color w:val="auto"/>
                <w:sz w:val="18"/>
                <w:szCs w:val="18"/>
                <w:highlight w:val="none"/>
                <w:lang w:val="en-US" w:eastAsia="zh-CN" w:bidi="ar"/>
              </w:rPr>
              <w:t>注销登记</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Style w:val="162"/>
                <w:rFonts w:hint="eastAsia" w:ascii="宋体" w:hAnsi="宋体" w:eastAsia="宋体" w:cs="宋体"/>
                <w:color w:val="auto"/>
                <w:sz w:val="18"/>
                <w:szCs w:val="18"/>
                <w:highlight w:val="none"/>
                <w:lang w:val="en-US" w:eastAsia="zh-CN" w:bidi="ar"/>
              </w:rPr>
              <w:t xml:space="preserve">（ </w:t>
            </w:r>
            <w:r>
              <w:rPr>
                <w:rStyle w:val="159"/>
                <w:rFonts w:hint="eastAsia" w:ascii="宋体" w:hAnsi="宋体" w:eastAsia="宋体" w:cs="宋体"/>
                <w:color w:val="auto"/>
                <w:sz w:val="18"/>
                <w:szCs w:val="18"/>
                <w:highlight w:val="none"/>
                <w:lang w:val="en-US" w:eastAsia="zh-CN" w:bidi="ar"/>
              </w:rPr>
              <w:t>1</w:t>
            </w:r>
            <w:r>
              <w:rPr>
                <w:rStyle w:val="162"/>
                <w:rFonts w:hint="eastAsia" w:ascii="宋体" w:hAnsi="宋体" w:eastAsia="宋体" w:cs="宋体"/>
                <w:color w:val="auto"/>
                <w:sz w:val="18"/>
                <w:szCs w:val="18"/>
                <w:highlight w:val="none"/>
                <w:lang w:val="en-US" w:eastAsia="zh-CN" w:bidi="ar"/>
              </w:rPr>
              <w:t xml:space="preserve">） </w:t>
            </w:r>
            <w:r>
              <w:rPr>
                <w:rStyle w:val="160"/>
                <w:rFonts w:hint="eastAsia" w:ascii="宋体" w:hAnsi="宋体" w:eastAsia="宋体" w:cs="宋体"/>
                <w:color w:val="auto"/>
                <w:sz w:val="18"/>
                <w:szCs w:val="18"/>
                <w:highlight w:val="none"/>
                <w:lang w:val="en-US" w:eastAsia="zh-CN" w:bidi="ar"/>
              </w:rPr>
              <w:t>有没有明示和遵守办理时限</w:t>
            </w:r>
            <w:r>
              <w:rPr>
                <w:rStyle w:val="162"/>
                <w:rFonts w:hint="eastAsia" w:ascii="宋体" w:hAnsi="宋体" w:eastAsia="宋体" w:cs="宋体"/>
                <w:color w:val="auto"/>
                <w:sz w:val="18"/>
                <w:szCs w:val="18"/>
                <w:highlight w:val="none"/>
                <w:lang w:val="en-US" w:eastAsia="zh-CN" w:bidi="ar"/>
              </w:rPr>
              <w:t>；</w:t>
            </w:r>
            <w:r>
              <w:rPr>
                <w:rStyle w:val="162"/>
                <w:rFonts w:hint="eastAsia" w:ascii="宋体" w:hAnsi="宋体" w:eastAsia="宋体" w:cs="宋体"/>
                <w:color w:val="auto"/>
                <w:sz w:val="18"/>
                <w:szCs w:val="18"/>
                <w:highlight w:val="none"/>
                <w:lang w:val="en-US" w:eastAsia="zh-CN" w:bidi="ar"/>
              </w:rPr>
              <w:br w:type="textWrapping"/>
            </w:r>
            <w:r>
              <w:rPr>
                <w:rStyle w:val="162"/>
                <w:rFonts w:hint="eastAsia" w:ascii="宋体" w:hAnsi="宋体" w:eastAsia="宋体" w:cs="宋体"/>
                <w:color w:val="auto"/>
                <w:sz w:val="18"/>
                <w:szCs w:val="18"/>
                <w:highlight w:val="none"/>
                <w:lang w:val="en-US" w:eastAsia="zh-CN" w:bidi="ar"/>
              </w:rPr>
              <w:t xml:space="preserve">（ </w:t>
            </w:r>
            <w:r>
              <w:rPr>
                <w:rStyle w:val="159"/>
                <w:rFonts w:hint="eastAsia" w:ascii="宋体" w:hAnsi="宋体" w:eastAsia="宋体" w:cs="宋体"/>
                <w:color w:val="auto"/>
                <w:sz w:val="18"/>
                <w:szCs w:val="18"/>
                <w:highlight w:val="none"/>
                <w:lang w:val="en-US" w:eastAsia="zh-CN" w:bidi="ar"/>
              </w:rPr>
              <w:t>2</w:t>
            </w:r>
            <w:r>
              <w:rPr>
                <w:rStyle w:val="162"/>
                <w:rFonts w:hint="eastAsia" w:ascii="宋体" w:hAnsi="宋体" w:eastAsia="宋体" w:cs="宋体"/>
                <w:color w:val="auto"/>
                <w:sz w:val="18"/>
                <w:szCs w:val="18"/>
                <w:highlight w:val="none"/>
                <w:lang w:val="en-US" w:eastAsia="zh-CN" w:bidi="ar"/>
              </w:rPr>
              <w:t xml:space="preserve">） </w:t>
            </w:r>
            <w:r>
              <w:rPr>
                <w:rStyle w:val="160"/>
                <w:rFonts w:hint="eastAsia" w:ascii="宋体" w:hAnsi="宋体" w:eastAsia="宋体" w:cs="宋体"/>
                <w:color w:val="auto"/>
                <w:sz w:val="18"/>
                <w:szCs w:val="18"/>
                <w:highlight w:val="none"/>
                <w:lang w:val="en-US" w:eastAsia="zh-CN" w:bidi="ar"/>
              </w:rPr>
              <w:t>有没有一次性告知材料补齐补正</w:t>
            </w:r>
            <w:r>
              <w:rPr>
                <w:rStyle w:val="162"/>
                <w:rFonts w:hint="eastAsia" w:ascii="宋体" w:hAnsi="宋体" w:eastAsia="宋体" w:cs="宋体"/>
                <w:color w:val="auto"/>
                <w:sz w:val="18"/>
                <w:szCs w:val="18"/>
                <w:highlight w:val="none"/>
                <w:lang w:val="en-US" w:eastAsia="zh-CN" w:bidi="ar"/>
              </w:rPr>
              <w:t>；</w:t>
            </w:r>
            <w:r>
              <w:rPr>
                <w:rStyle w:val="162"/>
                <w:rFonts w:hint="eastAsia" w:ascii="宋体" w:hAnsi="宋体" w:eastAsia="宋体" w:cs="宋体"/>
                <w:color w:val="auto"/>
                <w:sz w:val="18"/>
                <w:szCs w:val="18"/>
                <w:highlight w:val="none"/>
                <w:lang w:val="en-US" w:eastAsia="zh-CN" w:bidi="ar"/>
              </w:rPr>
              <w:br w:type="textWrapping"/>
            </w:r>
            <w:r>
              <w:rPr>
                <w:rStyle w:val="162"/>
                <w:rFonts w:hint="eastAsia" w:ascii="宋体" w:hAnsi="宋体" w:eastAsia="宋体" w:cs="宋体"/>
                <w:color w:val="auto"/>
                <w:sz w:val="18"/>
                <w:szCs w:val="18"/>
                <w:highlight w:val="none"/>
                <w:lang w:val="en-US" w:eastAsia="zh-CN" w:bidi="ar"/>
              </w:rPr>
              <w:t xml:space="preserve">（ </w:t>
            </w:r>
            <w:r>
              <w:rPr>
                <w:rStyle w:val="159"/>
                <w:rFonts w:hint="eastAsia" w:ascii="宋体" w:hAnsi="宋体" w:eastAsia="宋体" w:cs="宋体"/>
                <w:color w:val="auto"/>
                <w:sz w:val="18"/>
                <w:szCs w:val="18"/>
                <w:highlight w:val="none"/>
                <w:lang w:val="en-US" w:eastAsia="zh-CN" w:bidi="ar"/>
              </w:rPr>
              <w:t>3</w:t>
            </w:r>
            <w:r>
              <w:rPr>
                <w:rStyle w:val="162"/>
                <w:rFonts w:hint="eastAsia" w:ascii="宋体" w:hAnsi="宋体" w:eastAsia="宋体" w:cs="宋体"/>
                <w:color w:val="auto"/>
                <w:sz w:val="18"/>
                <w:szCs w:val="18"/>
                <w:highlight w:val="none"/>
                <w:lang w:val="en-US" w:eastAsia="zh-CN" w:bidi="ar"/>
              </w:rPr>
              <w:t xml:space="preserve">） </w:t>
            </w:r>
            <w:r>
              <w:rPr>
                <w:rStyle w:val="160"/>
                <w:rFonts w:hint="eastAsia" w:ascii="宋体" w:hAnsi="宋体" w:eastAsia="宋体" w:cs="宋体"/>
                <w:color w:val="auto"/>
                <w:sz w:val="18"/>
                <w:szCs w:val="18"/>
                <w:highlight w:val="none"/>
                <w:lang w:val="en-US" w:eastAsia="zh-CN" w:bidi="ar"/>
              </w:rPr>
              <w:t>有没有强制要求企业通过收费中介机构代办</w:t>
            </w:r>
            <w:r>
              <w:rPr>
                <w:rStyle w:val="162"/>
                <w:rFonts w:hint="eastAsia" w:ascii="宋体" w:hAnsi="宋体" w:eastAsia="宋体" w:cs="宋体"/>
                <w:color w:val="auto"/>
                <w:sz w:val="18"/>
                <w:szCs w:val="18"/>
                <w:highlight w:val="none"/>
                <w:lang w:val="en-US" w:eastAsia="zh-CN" w:bidi="ar"/>
              </w:rPr>
              <w:t>，</w:t>
            </w:r>
            <w:r>
              <w:rPr>
                <w:rStyle w:val="160"/>
                <w:rFonts w:hint="eastAsia" w:ascii="宋体" w:hAnsi="宋体" w:eastAsia="宋体" w:cs="宋体"/>
                <w:color w:val="auto"/>
                <w:sz w:val="18"/>
                <w:szCs w:val="18"/>
                <w:highlight w:val="none"/>
                <w:lang w:val="en-US" w:eastAsia="zh-CN" w:bidi="ar"/>
              </w:rPr>
              <w:t>或降低条件违规为中介机构办理其代办的事项</w:t>
            </w:r>
            <w:r>
              <w:rPr>
                <w:rStyle w:val="162"/>
                <w:rFonts w:hint="eastAsia" w:ascii="宋体" w:hAnsi="宋体" w:eastAsia="宋体" w:cs="宋体"/>
                <w:color w:val="auto"/>
                <w:sz w:val="18"/>
                <w:szCs w:val="18"/>
                <w:highlight w:val="none"/>
                <w:lang w:val="en-US" w:eastAsia="zh-CN" w:bidi="ar"/>
              </w:rPr>
              <w:t>；</w:t>
            </w:r>
            <w:r>
              <w:rPr>
                <w:rStyle w:val="162"/>
                <w:rFonts w:hint="eastAsia" w:ascii="宋体" w:hAnsi="宋体" w:eastAsia="宋体" w:cs="宋体"/>
                <w:color w:val="auto"/>
                <w:sz w:val="18"/>
                <w:szCs w:val="18"/>
                <w:highlight w:val="none"/>
                <w:lang w:val="en-US" w:eastAsia="zh-CN" w:bidi="ar"/>
              </w:rPr>
              <w:br w:type="textWrapping"/>
            </w:r>
            <w:r>
              <w:rPr>
                <w:rStyle w:val="162"/>
                <w:rFonts w:hint="eastAsia" w:ascii="宋体" w:hAnsi="宋体" w:eastAsia="宋体" w:cs="宋体"/>
                <w:color w:val="auto"/>
                <w:sz w:val="18"/>
                <w:szCs w:val="18"/>
                <w:highlight w:val="none"/>
                <w:lang w:val="en-US" w:eastAsia="zh-CN" w:bidi="ar"/>
              </w:rPr>
              <w:t xml:space="preserve">（ </w:t>
            </w:r>
            <w:r>
              <w:rPr>
                <w:rStyle w:val="159"/>
                <w:rFonts w:hint="eastAsia" w:ascii="宋体" w:hAnsi="宋体" w:eastAsia="宋体" w:cs="宋体"/>
                <w:color w:val="auto"/>
                <w:sz w:val="18"/>
                <w:szCs w:val="18"/>
                <w:highlight w:val="none"/>
                <w:lang w:val="en-US" w:eastAsia="zh-CN" w:bidi="ar"/>
              </w:rPr>
              <w:t>4</w:t>
            </w:r>
            <w:r>
              <w:rPr>
                <w:rStyle w:val="162"/>
                <w:rFonts w:hint="eastAsia" w:ascii="宋体" w:hAnsi="宋体" w:eastAsia="宋体" w:cs="宋体"/>
                <w:color w:val="auto"/>
                <w:sz w:val="18"/>
                <w:szCs w:val="18"/>
                <w:highlight w:val="none"/>
                <w:lang w:val="en-US" w:eastAsia="zh-CN" w:bidi="ar"/>
              </w:rPr>
              <w:t xml:space="preserve">） </w:t>
            </w:r>
            <w:r>
              <w:rPr>
                <w:rStyle w:val="160"/>
                <w:rFonts w:hint="eastAsia" w:ascii="宋体" w:hAnsi="宋体" w:eastAsia="宋体" w:cs="宋体"/>
                <w:color w:val="auto"/>
                <w:sz w:val="18"/>
                <w:szCs w:val="18"/>
                <w:highlight w:val="none"/>
                <w:lang w:val="en-US" w:eastAsia="zh-CN" w:bidi="ar"/>
              </w:rPr>
              <w:t>有没有违规增设审批条件</w:t>
            </w:r>
            <w:r>
              <w:rPr>
                <w:rStyle w:val="162"/>
                <w:rFonts w:hint="eastAsia" w:ascii="宋体" w:hAnsi="宋体" w:eastAsia="宋体" w:cs="宋体"/>
                <w:color w:val="auto"/>
                <w:sz w:val="18"/>
                <w:szCs w:val="18"/>
                <w:highlight w:val="none"/>
                <w:lang w:val="en-US" w:eastAsia="zh-CN" w:bidi="ar"/>
              </w:rPr>
              <w:t>、</w:t>
            </w:r>
            <w:r>
              <w:rPr>
                <w:rStyle w:val="160"/>
                <w:rFonts w:hint="eastAsia" w:ascii="宋体" w:hAnsi="宋体" w:eastAsia="宋体" w:cs="宋体"/>
                <w:color w:val="auto"/>
                <w:sz w:val="18"/>
                <w:szCs w:val="18"/>
                <w:highlight w:val="none"/>
                <w:lang w:val="en-US" w:eastAsia="zh-CN" w:bidi="ar"/>
              </w:rPr>
              <w:t>程序或环节</w:t>
            </w:r>
            <w:r>
              <w:rPr>
                <w:rStyle w:val="162"/>
                <w:rFonts w:hint="eastAsia" w:ascii="宋体" w:hAnsi="宋体" w:eastAsia="宋体" w:cs="宋体"/>
                <w:color w:val="auto"/>
                <w:sz w:val="18"/>
                <w:szCs w:val="18"/>
                <w:highlight w:val="none"/>
                <w:lang w:val="en-US" w:eastAsia="zh-CN" w:bidi="ar"/>
              </w:rPr>
              <w:t>；</w:t>
            </w:r>
            <w:r>
              <w:rPr>
                <w:rStyle w:val="162"/>
                <w:rFonts w:hint="eastAsia" w:ascii="宋体" w:hAnsi="宋体" w:eastAsia="宋体" w:cs="宋体"/>
                <w:color w:val="auto"/>
                <w:sz w:val="18"/>
                <w:szCs w:val="18"/>
                <w:highlight w:val="none"/>
                <w:lang w:val="en-US" w:eastAsia="zh-CN" w:bidi="ar"/>
              </w:rPr>
              <w:br w:type="textWrapping"/>
            </w:r>
            <w:r>
              <w:rPr>
                <w:rStyle w:val="162"/>
                <w:rFonts w:hint="eastAsia" w:ascii="宋体" w:hAnsi="宋体" w:eastAsia="宋体" w:cs="宋体"/>
                <w:color w:val="auto"/>
                <w:sz w:val="18"/>
                <w:szCs w:val="18"/>
                <w:highlight w:val="none"/>
                <w:lang w:val="en-US" w:eastAsia="zh-CN" w:bidi="ar"/>
              </w:rPr>
              <w:t xml:space="preserve">（ </w:t>
            </w:r>
            <w:r>
              <w:rPr>
                <w:rStyle w:val="159"/>
                <w:rFonts w:hint="eastAsia" w:ascii="宋体" w:hAnsi="宋体" w:eastAsia="宋体" w:cs="宋体"/>
                <w:color w:val="auto"/>
                <w:sz w:val="18"/>
                <w:szCs w:val="18"/>
                <w:highlight w:val="none"/>
                <w:lang w:val="en-US" w:eastAsia="zh-CN" w:bidi="ar"/>
              </w:rPr>
              <w:t>5</w:t>
            </w:r>
            <w:r>
              <w:rPr>
                <w:rStyle w:val="162"/>
                <w:rFonts w:hint="eastAsia" w:ascii="宋体" w:hAnsi="宋体" w:eastAsia="宋体" w:cs="宋体"/>
                <w:color w:val="auto"/>
                <w:sz w:val="18"/>
                <w:szCs w:val="18"/>
                <w:highlight w:val="none"/>
                <w:lang w:val="en-US" w:eastAsia="zh-CN" w:bidi="ar"/>
              </w:rPr>
              <w:t xml:space="preserve">） </w:t>
            </w:r>
            <w:r>
              <w:rPr>
                <w:rStyle w:val="160"/>
                <w:rFonts w:hint="eastAsia" w:ascii="宋体" w:hAnsi="宋体" w:eastAsia="宋体" w:cs="宋体"/>
                <w:color w:val="auto"/>
                <w:sz w:val="18"/>
                <w:szCs w:val="18"/>
                <w:highlight w:val="none"/>
                <w:lang w:val="en-US" w:eastAsia="zh-CN" w:bidi="ar"/>
              </w:rPr>
              <w:t>有没有为追求企业登记数量违规放宽登记条件或减少法定程序</w:t>
            </w:r>
            <w:r>
              <w:rPr>
                <w:rStyle w:val="162"/>
                <w:rFonts w:hint="eastAsia" w:ascii="宋体" w:hAnsi="宋体" w:eastAsia="宋体" w:cs="宋体"/>
                <w:color w:val="auto"/>
                <w:sz w:val="18"/>
                <w:szCs w:val="18"/>
                <w:highlight w:val="none"/>
                <w:lang w:val="en-US" w:eastAsia="zh-CN" w:bidi="ar"/>
              </w:rPr>
              <w:t>；</w:t>
            </w:r>
            <w:r>
              <w:rPr>
                <w:rStyle w:val="162"/>
                <w:rFonts w:hint="eastAsia" w:ascii="宋体" w:hAnsi="宋体" w:eastAsia="宋体" w:cs="宋体"/>
                <w:color w:val="auto"/>
                <w:sz w:val="18"/>
                <w:szCs w:val="18"/>
                <w:highlight w:val="none"/>
                <w:lang w:val="en-US" w:eastAsia="zh-CN" w:bidi="ar"/>
              </w:rPr>
              <w:br w:type="textWrapping"/>
            </w:r>
            <w:r>
              <w:rPr>
                <w:rStyle w:val="162"/>
                <w:rFonts w:hint="eastAsia" w:ascii="宋体" w:hAnsi="宋体" w:eastAsia="宋体" w:cs="宋体"/>
                <w:color w:val="auto"/>
                <w:sz w:val="18"/>
                <w:szCs w:val="18"/>
                <w:highlight w:val="none"/>
                <w:lang w:val="en-US" w:eastAsia="zh-CN" w:bidi="ar"/>
              </w:rPr>
              <w:t xml:space="preserve">（ </w:t>
            </w:r>
            <w:r>
              <w:rPr>
                <w:rStyle w:val="159"/>
                <w:rFonts w:hint="eastAsia" w:ascii="宋体" w:hAnsi="宋体" w:eastAsia="宋体" w:cs="宋体"/>
                <w:color w:val="auto"/>
                <w:sz w:val="18"/>
                <w:szCs w:val="18"/>
                <w:highlight w:val="none"/>
                <w:lang w:val="en-US" w:eastAsia="zh-CN" w:bidi="ar"/>
              </w:rPr>
              <w:t>6</w:t>
            </w:r>
            <w:r>
              <w:rPr>
                <w:rStyle w:val="162"/>
                <w:rFonts w:hint="eastAsia" w:ascii="宋体" w:hAnsi="宋体" w:eastAsia="宋体" w:cs="宋体"/>
                <w:color w:val="auto"/>
                <w:sz w:val="18"/>
                <w:szCs w:val="18"/>
                <w:highlight w:val="none"/>
                <w:lang w:val="en-US" w:eastAsia="zh-CN" w:bidi="ar"/>
              </w:rPr>
              <w:t xml:space="preserve">） </w:t>
            </w:r>
            <w:r>
              <w:rPr>
                <w:rStyle w:val="160"/>
                <w:rFonts w:hint="eastAsia" w:ascii="宋体" w:hAnsi="宋体" w:eastAsia="宋体" w:cs="宋体"/>
                <w:color w:val="auto"/>
                <w:sz w:val="18"/>
                <w:szCs w:val="18"/>
                <w:highlight w:val="none"/>
                <w:lang w:val="en-US" w:eastAsia="zh-CN" w:bidi="ar"/>
              </w:rPr>
              <w:t>有没有对符合法定条件的变更和注销申请无故推诿</w:t>
            </w:r>
            <w:r>
              <w:rPr>
                <w:rStyle w:val="162"/>
                <w:rFonts w:hint="eastAsia" w:ascii="宋体" w:hAnsi="宋体" w:eastAsia="宋体" w:cs="宋体"/>
                <w:color w:val="auto"/>
                <w:sz w:val="18"/>
                <w:szCs w:val="18"/>
                <w:highlight w:val="none"/>
                <w:lang w:val="en-US" w:eastAsia="zh-CN" w:bidi="ar"/>
              </w:rPr>
              <w:t>、</w:t>
            </w:r>
            <w:r>
              <w:rPr>
                <w:rStyle w:val="160"/>
                <w:rFonts w:hint="eastAsia" w:ascii="宋体" w:hAnsi="宋体" w:eastAsia="宋体" w:cs="宋体"/>
                <w:color w:val="auto"/>
                <w:sz w:val="18"/>
                <w:szCs w:val="18"/>
                <w:highlight w:val="none"/>
                <w:lang w:val="en-US" w:eastAsia="zh-CN" w:bidi="ar"/>
              </w:rPr>
              <w:t>拖延或拒绝办理</w:t>
            </w:r>
            <w:r>
              <w:rPr>
                <w:rStyle w:val="162"/>
                <w:rFonts w:hint="eastAsia" w:ascii="宋体" w:hAnsi="宋体" w:eastAsia="宋体" w:cs="宋体"/>
                <w:color w:val="auto"/>
                <w:sz w:val="18"/>
                <w:szCs w:val="18"/>
                <w:highlight w:val="none"/>
                <w:lang w:val="en-US" w:eastAsia="zh-CN" w:bidi="ar"/>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Style w:val="159"/>
                <w:rFonts w:hint="eastAsia" w:ascii="宋体" w:hAnsi="宋体" w:eastAsia="宋体" w:cs="宋体"/>
                <w:color w:val="auto"/>
                <w:sz w:val="18"/>
                <w:szCs w:val="18"/>
                <w:highlight w:val="none"/>
                <w:lang w:val="en-US" w:eastAsia="zh-CN" w:bidi="ar"/>
              </w:rPr>
              <w:t>2</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Style w:val="160"/>
                <w:rFonts w:hint="eastAsia" w:ascii="宋体" w:hAnsi="宋体" w:eastAsia="宋体" w:cs="宋体"/>
                <w:color w:val="auto"/>
                <w:sz w:val="18"/>
                <w:szCs w:val="18"/>
                <w:highlight w:val="none"/>
                <w:lang w:val="en-US" w:eastAsia="zh-CN" w:bidi="ar"/>
              </w:rPr>
              <w:t>个 体 工 商 户 及</w:t>
            </w:r>
            <w:r>
              <w:rPr>
                <w:rStyle w:val="160"/>
                <w:rFonts w:hint="eastAsia" w:ascii="宋体" w:hAnsi="宋体" w:eastAsia="宋体" w:cs="宋体"/>
                <w:color w:val="auto"/>
                <w:sz w:val="18"/>
                <w:szCs w:val="18"/>
                <w:highlight w:val="none"/>
                <w:lang w:val="en-US" w:eastAsia="zh-CN" w:bidi="ar"/>
              </w:rPr>
              <w:br w:type="textWrapping"/>
            </w:r>
            <w:r>
              <w:rPr>
                <w:rStyle w:val="160"/>
                <w:rFonts w:hint="eastAsia" w:ascii="宋体" w:hAnsi="宋体" w:eastAsia="宋体" w:cs="宋体"/>
                <w:color w:val="auto"/>
                <w:sz w:val="18"/>
                <w:szCs w:val="18"/>
                <w:highlight w:val="none"/>
                <w:lang w:val="en-US" w:eastAsia="zh-CN" w:bidi="ar"/>
              </w:rPr>
              <w:t>其他主体设立</w:t>
            </w:r>
            <w:r>
              <w:rPr>
                <w:rStyle w:val="162"/>
                <w:rFonts w:hint="eastAsia" w:ascii="宋体" w:hAnsi="宋体" w:eastAsia="宋体" w:cs="宋体"/>
                <w:color w:val="auto"/>
                <w:sz w:val="18"/>
                <w:szCs w:val="18"/>
                <w:highlight w:val="none"/>
                <w:lang w:val="en-US" w:eastAsia="zh-CN" w:bidi="ar"/>
              </w:rPr>
              <w:t>、</w:t>
            </w:r>
            <w:r>
              <w:rPr>
                <w:rStyle w:val="162"/>
                <w:rFonts w:hint="eastAsia" w:ascii="宋体" w:hAnsi="宋体" w:eastAsia="宋体" w:cs="宋体"/>
                <w:color w:val="auto"/>
                <w:sz w:val="18"/>
                <w:szCs w:val="18"/>
                <w:highlight w:val="none"/>
                <w:lang w:val="en-US" w:eastAsia="zh-CN" w:bidi="ar"/>
              </w:rPr>
              <w:br w:type="textWrapping"/>
            </w:r>
            <w:r>
              <w:rPr>
                <w:rStyle w:val="160"/>
                <w:rFonts w:hint="eastAsia" w:ascii="宋体" w:hAnsi="宋体" w:eastAsia="宋体" w:cs="宋体"/>
                <w:color w:val="auto"/>
                <w:sz w:val="18"/>
                <w:szCs w:val="18"/>
                <w:highlight w:val="none"/>
                <w:lang w:val="en-US" w:eastAsia="zh-CN" w:bidi="ar"/>
              </w:rPr>
              <w:t>变更</w:t>
            </w:r>
            <w:r>
              <w:rPr>
                <w:rStyle w:val="162"/>
                <w:rFonts w:hint="eastAsia" w:ascii="宋体" w:hAnsi="宋体" w:eastAsia="宋体" w:cs="宋体"/>
                <w:color w:val="auto"/>
                <w:sz w:val="18"/>
                <w:szCs w:val="18"/>
                <w:highlight w:val="none"/>
                <w:lang w:val="en-US" w:eastAsia="zh-CN" w:bidi="ar"/>
              </w:rPr>
              <w:t>、</w:t>
            </w:r>
            <w:r>
              <w:rPr>
                <w:rStyle w:val="160"/>
                <w:rFonts w:hint="eastAsia" w:ascii="宋体" w:hAnsi="宋体" w:eastAsia="宋体" w:cs="宋体"/>
                <w:color w:val="auto"/>
                <w:sz w:val="18"/>
                <w:szCs w:val="18"/>
                <w:highlight w:val="none"/>
                <w:lang w:val="en-US" w:eastAsia="zh-CN" w:bidi="ar"/>
              </w:rPr>
              <w:t>注销登记</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Style w:val="162"/>
                <w:rFonts w:hint="eastAsia" w:ascii="宋体" w:hAnsi="宋体" w:eastAsia="宋体" w:cs="宋体"/>
                <w:color w:val="auto"/>
                <w:sz w:val="18"/>
                <w:szCs w:val="18"/>
                <w:highlight w:val="none"/>
                <w:lang w:val="en-US" w:eastAsia="zh-CN" w:bidi="ar"/>
              </w:rPr>
              <w:t xml:space="preserve">（ </w:t>
            </w:r>
            <w:r>
              <w:rPr>
                <w:rStyle w:val="159"/>
                <w:rFonts w:hint="eastAsia" w:ascii="宋体" w:hAnsi="宋体" w:eastAsia="宋体" w:cs="宋体"/>
                <w:color w:val="auto"/>
                <w:sz w:val="18"/>
                <w:szCs w:val="18"/>
                <w:highlight w:val="none"/>
                <w:lang w:val="en-US" w:eastAsia="zh-CN" w:bidi="ar"/>
              </w:rPr>
              <w:t>1</w:t>
            </w:r>
            <w:r>
              <w:rPr>
                <w:rStyle w:val="162"/>
                <w:rFonts w:hint="eastAsia" w:ascii="宋体" w:hAnsi="宋体" w:eastAsia="宋体" w:cs="宋体"/>
                <w:color w:val="auto"/>
                <w:sz w:val="18"/>
                <w:szCs w:val="18"/>
                <w:highlight w:val="none"/>
                <w:lang w:val="en-US" w:eastAsia="zh-CN" w:bidi="ar"/>
              </w:rPr>
              <w:t xml:space="preserve">） </w:t>
            </w:r>
            <w:r>
              <w:rPr>
                <w:rStyle w:val="160"/>
                <w:rFonts w:hint="eastAsia" w:ascii="宋体" w:hAnsi="宋体" w:eastAsia="宋体" w:cs="宋体"/>
                <w:color w:val="auto"/>
                <w:sz w:val="18"/>
                <w:szCs w:val="18"/>
                <w:highlight w:val="none"/>
                <w:lang w:val="en-US" w:eastAsia="zh-CN" w:bidi="ar"/>
              </w:rPr>
              <w:t>有没有明示和遵守办理时限</w:t>
            </w:r>
            <w:r>
              <w:rPr>
                <w:rStyle w:val="162"/>
                <w:rFonts w:hint="eastAsia" w:ascii="宋体" w:hAnsi="宋体" w:eastAsia="宋体" w:cs="宋体"/>
                <w:color w:val="auto"/>
                <w:sz w:val="18"/>
                <w:szCs w:val="18"/>
                <w:highlight w:val="none"/>
                <w:lang w:val="en-US" w:eastAsia="zh-CN" w:bidi="ar"/>
              </w:rPr>
              <w:t>；</w:t>
            </w:r>
            <w:r>
              <w:rPr>
                <w:rStyle w:val="162"/>
                <w:rFonts w:hint="eastAsia" w:ascii="宋体" w:hAnsi="宋体" w:eastAsia="宋体" w:cs="宋体"/>
                <w:color w:val="auto"/>
                <w:sz w:val="18"/>
                <w:szCs w:val="18"/>
                <w:highlight w:val="none"/>
                <w:lang w:val="en-US" w:eastAsia="zh-CN" w:bidi="ar"/>
              </w:rPr>
              <w:br w:type="textWrapping"/>
            </w:r>
            <w:r>
              <w:rPr>
                <w:rStyle w:val="162"/>
                <w:rFonts w:hint="eastAsia" w:ascii="宋体" w:hAnsi="宋体" w:eastAsia="宋体" w:cs="宋体"/>
                <w:color w:val="auto"/>
                <w:sz w:val="18"/>
                <w:szCs w:val="18"/>
                <w:highlight w:val="none"/>
                <w:lang w:val="en-US" w:eastAsia="zh-CN" w:bidi="ar"/>
              </w:rPr>
              <w:t xml:space="preserve">（ </w:t>
            </w:r>
            <w:r>
              <w:rPr>
                <w:rStyle w:val="159"/>
                <w:rFonts w:hint="eastAsia" w:ascii="宋体" w:hAnsi="宋体" w:eastAsia="宋体" w:cs="宋体"/>
                <w:color w:val="auto"/>
                <w:sz w:val="18"/>
                <w:szCs w:val="18"/>
                <w:highlight w:val="none"/>
                <w:lang w:val="en-US" w:eastAsia="zh-CN" w:bidi="ar"/>
              </w:rPr>
              <w:t>2</w:t>
            </w:r>
            <w:r>
              <w:rPr>
                <w:rStyle w:val="162"/>
                <w:rFonts w:hint="eastAsia" w:ascii="宋体" w:hAnsi="宋体" w:eastAsia="宋体" w:cs="宋体"/>
                <w:color w:val="auto"/>
                <w:sz w:val="18"/>
                <w:szCs w:val="18"/>
                <w:highlight w:val="none"/>
                <w:lang w:val="en-US" w:eastAsia="zh-CN" w:bidi="ar"/>
              </w:rPr>
              <w:t xml:space="preserve">） </w:t>
            </w:r>
            <w:r>
              <w:rPr>
                <w:rStyle w:val="160"/>
                <w:rFonts w:hint="eastAsia" w:ascii="宋体" w:hAnsi="宋体" w:eastAsia="宋体" w:cs="宋体"/>
                <w:color w:val="auto"/>
                <w:sz w:val="18"/>
                <w:szCs w:val="18"/>
                <w:highlight w:val="none"/>
                <w:lang w:val="en-US" w:eastAsia="zh-CN" w:bidi="ar"/>
              </w:rPr>
              <w:t>有没有一次性告知材料补齐补正</w:t>
            </w:r>
            <w:r>
              <w:rPr>
                <w:rStyle w:val="162"/>
                <w:rFonts w:hint="eastAsia" w:ascii="宋体" w:hAnsi="宋体" w:eastAsia="宋体" w:cs="宋体"/>
                <w:color w:val="auto"/>
                <w:sz w:val="18"/>
                <w:szCs w:val="18"/>
                <w:highlight w:val="none"/>
                <w:lang w:val="en-US" w:eastAsia="zh-CN" w:bidi="ar"/>
              </w:rPr>
              <w:t>；</w:t>
            </w:r>
            <w:r>
              <w:rPr>
                <w:rStyle w:val="162"/>
                <w:rFonts w:hint="eastAsia" w:ascii="宋体" w:hAnsi="宋体" w:eastAsia="宋体" w:cs="宋体"/>
                <w:color w:val="auto"/>
                <w:sz w:val="18"/>
                <w:szCs w:val="18"/>
                <w:highlight w:val="none"/>
                <w:lang w:val="en-US" w:eastAsia="zh-CN" w:bidi="ar"/>
              </w:rPr>
              <w:br w:type="textWrapping"/>
            </w:r>
            <w:r>
              <w:rPr>
                <w:rStyle w:val="162"/>
                <w:rFonts w:hint="eastAsia" w:ascii="宋体" w:hAnsi="宋体" w:eastAsia="宋体" w:cs="宋体"/>
                <w:color w:val="auto"/>
                <w:sz w:val="18"/>
                <w:szCs w:val="18"/>
                <w:highlight w:val="none"/>
                <w:lang w:val="en-US" w:eastAsia="zh-CN" w:bidi="ar"/>
              </w:rPr>
              <w:t xml:space="preserve">（ </w:t>
            </w:r>
            <w:r>
              <w:rPr>
                <w:rStyle w:val="159"/>
                <w:rFonts w:hint="eastAsia" w:ascii="宋体" w:hAnsi="宋体" w:eastAsia="宋体" w:cs="宋体"/>
                <w:color w:val="auto"/>
                <w:sz w:val="18"/>
                <w:szCs w:val="18"/>
                <w:highlight w:val="none"/>
                <w:lang w:val="en-US" w:eastAsia="zh-CN" w:bidi="ar"/>
              </w:rPr>
              <w:t>3</w:t>
            </w:r>
            <w:r>
              <w:rPr>
                <w:rStyle w:val="162"/>
                <w:rFonts w:hint="eastAsia" w:ascii="宋体" w:hAnsi="宋体" w:eastAsia="宋体" w:cs="宋体"/>
                <w:color w:val="auto"/>
                <w:sz w:val="18"/>
                <w:szCs w:val="18"/>
                <w:highlight w:val="none"/>
                <w:lang w:val="en-US" w:eastAsia="zh-CN" w:bidi="ar"/>
              </w:rPr>
              <w:t xml:space="preserve">） </w:t>
            </w:r>
            <w:r>
              <w:rPr>
                <w:rStyle w:val="160"/>
                <w:rFonts w:hint="eastAsia" w:ascii="宋体" w:hAnsi="宋体" w:eastAsia="宋体" w:cs="宋体"/>
                <w:color w:val="auto"/>
                <w:sz w:val="18"/>
                <w:szCs w:val="18"/>
                <w:highlight w:val="none"/>
                <w:lang w:val="en-US" w:eastAsia="zh-CN" w:bidi="ar"/>
              </w:rPr>
              <w:t>有没有强制要求经营主体通过收费中介机构代办</w:t>
            </w:r>
            <w:r>
              <w:rPr>
                <w:rStyle w:val="162"/>
                <w:rFonts w:hint="eastAsia" w:ascii="宋体" w:hAnsi="宋体" w:eastAsia="宋体" w:cs="宋体"/>
                <w:color w:val="auto"/>
                <w:sz w:val="18"/>
                <w:szCs w:val="18"/>
                <w:highlight w:val="none"/>
                <w:lang w:val="en-US" w:eastAsia="zh-CN" w:bidi="ar"/>
              </w:rPr>
              <w:t>，</w:t>
            </w:r>
            <w:r>
              <w:rPr>
                <w:rStyle w:val="160"/>
                <w:rFonts w:hint="eastAsia" w:ascii="宋体" w:hAnsi="宋体" w:eastAsia="宋体" w:cs="宋体"/>
                <w:color w:val="auto"/>
                <w:sz w:val="18"/>
                <w:szCs w:val="18"/>
                <w:highlight w:val="none"/>
                <w:lang w:val="en-US" w:eastAsia="zh-CN" w:bidi="ar"/>
              </w:rPr>
              <w:t>或降低条件违规为中介机构办理其代办的事项</w:t>
            </w:r>
            <w:r>
              <w:rPr>
                <w:rStyle w:val="162"/>
                <w:rFonts w:hint="eastAsia" w:ascii="宋体" w:hAnsi="宋体" w:eastAsia="宋体" w:cs="宋体"/>
                <w:color w:val="auto"/>
                <w:sz w:val="18"/>
                <w:szCs w:val="18"/>
                <w:highlight w:val="none"/>
                <w:lang w:val="en-US" w:eastAsia="zh-CN" w:bidi="ar"/>
              </w:rPr>
              <w:t>；</w:t>
            </w:r>
            <w:r>
              <w:rPr>
                <w:rStyle w:val="162"/>
                <w:rFonts w:hint="eastAsia" w:ascii="宋体" w:hAnsi="宋体" w:eastAsia="宋体" w:cs="宋体"/>
                <w:color w:val="auto"/>
                <w:sz w:val="18"/>
                <w:szCs w:val="18"/>
                <w:highlight w:val="none"/>
                <w:lang w:val="en-US" w:eastAsia="zh-CN" w:bidi="ar"/>
              </w:rPr>
              <w:br w:type="textWrapping"/>
            </w:r>
            <w:r>
              <w:rPr>
                <w:rStyle w:val="162"/>
                <w:rFonts w:hint="eastAsia" w:ascii="宋体" w:hAnsi="宋体" w:eastAsia="宋体" w:cs="宋体"/>
                <w:color w:val="auto"/>
                <w:sz w:val="18"/>
                <w:szCs w:val="18"/>
                <w:highlight w:val="none"/>
                <w:lang w:val="en-US" w:eastAsia="zh-CN" w:bidi="ar"/>
              </w:rPr>
              <w:t xml:space="preserve">（ </w:t>
            </w:r>
            <w:r>
              <w:rPr>
                <w:rStyle w:val="159"/>
                <w:rFonts w:hint="eastAsia" w:ascii="宋体" w:hAnsi="宋体" w:eastAsia="宋体" w:cs="宋体"/>
                <w:color w:val="auto"/>
                <w:sz w:val="18"/>
                <w:szCs w:val="18"/>
                <w:highlight w:val="none"/>
                <w:lang w:val="en-US" w:eastAsia="zh-CN" w:bidi="ar"/>
              </w:rPr>
              <w:t>4</w:t>
            </w:r>
            <w:r>
              <w:rPr>
                <w:rStyle w:val="162"/>
                <w:rFonts w:hint="eastAsia" w:ascii="宋体" w:hAnsi="宋体" w:eastAsia="宋体" w:cs="宋体"/>
                <w:color w:val="auto"/>
                <w:sz w:val="18"/>
                <w:szCs w:val="18"/>
                <w:highlight w:val="none"/>
                <w:lang w:val="en-US" w:eastAsia="zh-CN" w:bidi="ar"/>
              </w:rPr>
              <w:t xml:space="preserve">） </w:t>
            </w:r>
            <w:r>
              <w:rPr>
                <w:rStyle w:val="160"/>
                <w:rFonts w:hint="eastAsia" w:ascii="宋体" w:hAnsi="宋体" w:eastAsia="宋体" w:cs="宋体"/>
                <w:color w:val="auto"/>
                <w:sz w:val="18"/>
                <w:szCs w:val="18"/>
                <w:highlight w:val="none"/>
                <w:lang w:val="en-US" w:eastAsia="zh-CN" w:bidi="ar"/>
              </w:rPr>
              <w:t>有没有违规增设审批条件</w:t>
            </w:r>
            <w:r>
              <w:rPr>
                <w:rStyle w:val="162"/>
                <w:rFonts w:hint="eastAsia" w:ascii="宋体" w:hAnsi="宋体" w:eastAsia="宋体" w:cs="宋体"/>
                <w:color w:val="auto"/>
                <w:sz w:val="18"/>
                <w:szCs w:val="18"/>
                <w:highlight w:val="none"/>
                <w:lang w:val="en-US" w:eastAsia="zh-CN" w:bidi="ar"/>
              </w:rPr>
              <w:t>、</w:t>
            </w:r>
            <w:r>
              <w:rPr>
                <w:rStyle w:val="160"/>
                <w:rFonts w:hint="eastAsia" w:ascii="宋体" w:hAnsi="宋体" w:eastAsia="宋体" w:cs="宋体"/>
                <w:color w:val="auto"/>
                <w:sz w:val="18"/>
                <w:szCs w:val="18"/>
                <w:highlight w:val="none"/>
                <w:lang w:val="en-US" w:eastAsia="zh-CN" w:bidi="ar"/>
              </w:rPr>
              <w:t>程序或环节</w:t>
            </w:r>
            <w:r>
              <w:rPr>
                <w:rStyle w:val="162"/>
                <w:rFonts w:hint="eastAsia" w:ascii="宋体" w:hAnsi="宋体" w:eastAsia="宋体" w:cs="宋体"/>
                <w:color w:val="auto"/>
                <w:sz w:val="18"/>
                <w:szCs w:val="18"/>
                <w:highlight w:val="none"/>
                <w:lang w:val="en-US" w:eastAsia="zh-CN" w:bidi="ar"/>
              </w:rPr>
              <w:t>；</w:t>
            </w:r>
            <w:r>
              <w:rPr>
                <w:rStyle w:val="162"/>
                <w:rFonts w:hint="eastAsia" w:ascii="宋体" w:hAnsi="宋体" w:eastAsia="宋体" w:cs="宋体"/>
                <w:color w:val="auto"/>
                <w:sz w:val="18"/>
                <w:szCs w:val="18"/>
                <w:highlight w:val="none"/>
                <w:lang w:val="en-US" w:eastAsia="zh-CN" w:bidi="ar"/>
              </w:rPr>
              <w:br w:type="textWrapping"/>
            </w:r>
            <w:r>
              <w:rPr>
                <w:rStyle w:val="162"/>
                <w:rFonts w:hint="eastAsia" w:ascii="宋体" w:hAnsi="宋体" w:eastAsia="宋体" w:cs="宋体"/>
                <w:color w:val="auto"/>
                <w:sz w:val="18"/>
                <w:szCs w:val="18"/>
                <w:highlight w:val="none"/>
                <w:lang w:val="en-US" w:eastAsia="zh-CN" w:bidi="ar"/>
              </w:rPr>
              <w:t xml:space="preserve">（ </w:t>
            </w:r>
            <w:r>
              <w:rPr>
                <w:rStyle w:val="159"/>
                <w:rFonts w:hint="eastAsia" w:ascii="宋体" w:hAnsi="宋体" w:eastAsia="宋体" w:cs="宋体"/>
                <w:color w:val="auto"/>
                <w:sz w:val="18"/>
                <w:szCs w:val="18"/>
                <w:highlight w:val="none"/>
                <w:lang w:val="en-US" w:eastAsia="zh-CN" w:bidi="ar"/>
              </w:rPr>
              <w:t>5</w:t>
            </w:r>
            <w:r>
              <w:rPr>
                <w:rStyle w:val="162"/>
                <w:rFonts w:hint="eastAsia" w:ascii="宋体" w:hAnsi="宋体" w:eastAsia="宋体" w:cs="宋体"/>
                <w:color w:val="auto"/>
                <w:sz w:val="18"/>
                <w:szCs w:val="18"/>
                <w:highlight w:val="none"/>
                <w:lang w:val="en-US" w:eastAsia="zh-CN" w:bidi="ar"/>
              </w:rPr>
              <w:t xml:space="preserve">） </w:t>
            </w:r>
            <w:r>
              <w:rPr>
                <w:rStyle w:val="160"/>
                <w:rFonts w:hint="eastAsia" w:ascii="宋体" w:hAnsi="宋体" w:eastAsia="宋体" w:cs="宋体"/>
                <w:color w:val="auto"/>
                <w:sz w:val="18"/>
                <w:szCs w:val="18"/>
                <w:highlight w:val="none"/>
                <w:lang w:val="en-US" w:eastAsia="zh-CN" w:bidi="ar"/>
              </w:rPr>
              <w:t>有没有为追求经营主体登记数量违规放宽登记条件或减少法定程序</w:t>
            </w:r>
            <w:r>
              <w:rPr>
                <w:rStyle w:val="162"/>
                <w:rFonts w:hint="eastAsia" w:ascii="宋体" w:hAnsi="宋体" w:eastAsia="宋体" w:cs="宋体"/>
                <w:color w:val="auto"/>
                <w:sz w:val="18"/>
                <w:szCs w:val="18"/>
                <w:highlight w:val="none"/>
                <w:lang w:val="en-US" w:eastAsia="zh-CN" w:bidi="ar"/>
              </w:rPr>
              <w:t>；</w:t>
            </w:r>
            <w:r>
              <w:rPr>
                <w:rStyle w:val="162"/>
                <w:rFonts w:hint="eastAsia" w:ascii="宋体" w:hAnsi="宋体" w:eastAsia="宋体" w:cs="宋体"/>
                <w:color w:val="auto"/>
                <w:sz w:val="18"/>
                <w:szCs w:val="18"/>
                <w:highlight w:val="none"/>
                <w:lang w:val="en-US" w:eastAsia="zh-CN" w:bidi="ar"/>
              </w:rPr>
              <w:br w:type="textWrapping"/>
            </w:r>
            <w:r>
              <w:rPr>
                <w:rStyle w:val="162"/>
                <w:rFonts w:hint="eastAsia" w:ascii="宋体" w:hAnsi="宋体" w:eastAsia="宋体" w:cs="宋体"/>
                <w:color w:val="auto"/>
                <w:sz w:val="18"/>
                <w:szCs w:val="18"/>
                <w:highlight w:val="none"/>
                <w:lang w:val="en-US" w:eastAsia="zh-CN" w:bidi="ar"/>
              </w:rPr>
              <w:t xml:space="preserve">（ </w:t>
            </w:r>
            <w:r>
              <w:rPr>
                <w:rStyle w:val="159"/>
                <w:rFonts w:hint="eastAsia" w:ascii="宋体" w:hAnsi="宋体" w:eastAsia="宋体" w:cs="宋体"/>
                <w:color w:val="auto"/>
                <w:sz w:val="18"/>
                <w:szCs w:val="18"/>
                <w:highlight w:val="none"/>
                <w:lang w:val="en-US" w:eastAsia="zh-CN" w:bidi="ar"/>
              </w:rPr>
              <w:t>6</w:t>
            </w:r>
            <w:r>
              <w:rPr>
                <w:rStyle w:val="162"/>
                <w:rFonts w:hint="eastAsia" w:ascii="宋体" w:hAnsi="宋体" w:eastAsia="宋体" w:cs="宋体"/>
                <w:color w:val="auto"/>
                <w:sz w:val="18"/>
                <w:szCs w:val="18"/>
                <w:highlight w:val="none"/>
                <w:lang w:val="en-US" w:eastAsia="zh-CN" w:bidi="ar"/>
              </w:rPr>
              <w:t xml:space="preserve">） </w:t>
            </w:r>
            <w:r>
              <w:rPr>
                <w:rStyle w:val="160"/>
                <w:rFonts w:hint="eastAsia" w:ascii="宋体" w:hAnsi="宋体" w:eastAsia="宋体" w:cs="宋体"/>
                <w:color w:val="auto"/>
                <w:sz w:val="18"/>
                <w:szCs w:val="18"/>
                <w:highlight w:val="none"/>
                <w:lang w:val="en-US" w:eastAsia="zh-CN" w:bidi="ar"/>
              </w:rPr>
              <w:t>有没有对符合法定条件的变更和注销申请无故推诿</w:t>
            </w:r>
            <w:r>
              <w:rPr>
                <w:rStyle w:val="162"/>
                <w:rFonts w:hint="eastAsia" w:ascii="宋体" w:hAnsi="宋体" w:eastAsia="宋体" w:cs="宋体"/>
                <w:color w:val="auto"/>
                <w:sz w:val="18"/>
                <w:szCs w:val="18"/>
                <w:highlight w:val="none"/>
                <w:lang w:val="en-US" w:eastAsia="zh-CN" w:bidi="ar"/>
              </w:rPr>
              <w:t>、</w:t>
            </w:r>
            <w:r>
              <w:rPr>
                <w:rStyle w:val="160"/>
                <w:rFonts w:hint="eastAsia" w:ascii="宋体" w:hAnsi="宋体" w:eastAsia="宋体" w:cs="宋体"/>
                <w:color w:val="auto"/>
                <w:sz w:val="18"/>
                <w:szCs w:val="18"/>
                <w:highlight w:val="none"/>
                <w:lang w:val="en-US" w:eastAsia="zh-CN" w:bidi="ar"/>
              </w:rPr>
              <w:t>拖延或拒绝办理</w:t>
            </w:r>
            <w:r>
              <w:rPr>
                <w:rStyle w:val="162"/>
                <w:rFonts w:hint="eastAsia" w:ascii="宋体" w:hAnsi="宋体" w:eastAsia="宋体" w:cs="宋体"/>
                <w:color w:val="auto"/>
                <w:sz w:val="18"/>
                <w:szCs w:val="18"/>
                <w:highlight w:val="none"/>
                <w:lang w:val="en-US" w:eastAsia="zh-CN" w:bidi="ar"/>
              </w:rPr>
              <w:t>；</w:t>
            </w:r>
            <w:r>
              <w:rPr>
                <w:rStyle w:val="162"/>
                <w:rFonts w:hint="eastAsia" w:ascii="宋体" w:hAnsi="宋体" w:eastAsia="宋体" w:cs="宋体"/>
                <w:color w:val="auto"/>
                <w:sz w:val="18"/>
                <w:szCs w:val="18"/>
                <w:highlight w:val="none"/>
                <w:lang w:val="en-US" w:eastAsia="zh-CN" w:bidi="ar"/>
              </w:rPr>
              <w:br w:type="textWrapping"/>
            </w:r>
            <w:r>
              <w:rPr>
                <w:rStyle w:val="162"/>
                <w:rFonts w:hint="eastAsia" w:ascii="宋体" w:hAnsi="宋体" w:eastAsia="宋体" w:cs="宋体"/>
                <w:color w:val="auto"/>
                <w:sz w:val="18"/>
                <w:szCs w:val="18"/>
                <w:highlight w:val="none"/>
                <w:lang w:val="en-US" w:eastAsia="zh-CN" w:bidi="ar"/>
              </w:rPr>
              <w:t xml:space="preserve">（ </w:t>
            </w:r>
            <w:r>
              <w:rPr>
                <w:rStyle w:val="159"/>
                <w:rFonts w:hint="eastAsia" w:ascii="宋体" w:hAnsi="宋体" w:eastAsia="宋体" w:cs="宋体"/>
                <w:color w:val="auto"/>
                <w:sz w:val="18"/>
                <w:szCs w:val="18"/>
                <w:highlight w:val="none"/>
                <w:lang w:val="en-US" w:eastAsia="zh-CN" w:bidi="ar"/>
              </w:rPr>
              <w:t>7</w:t>
            </w:r>
            <w:r>
              <w:rPr>
                <w:rStyle w:val="162"/>
                <w:rFonts w:hint="eastAsia" w:ascii="宋体" w:hAnsi="宋体" w:eastAsia="宋体" w:cs="宋体"/>
                <w:color w:val="auto"/>
                <w:sz w:val="18"/>
                <w:szCs w:val="18"/>
                <w:highlight w:val="none"/>
                <w:lang w:val="en-US" w:eastAsia="zh-CN" w:bidi="ar"/>
              </w:rPr>
              <w:t xml:space="preserve">） </w:t>
            </w:r>
            <w:r>
              <w:rPr>
                <w:rStyle w:val="160"/>
                <w:rFonts w:hint="eastAsia" w:ascii="宋体" w:hAnsi="宋体" w:eastAsia="宋体" w:cs="宋体"/>
                <w:color w:val="auto"/>
                <w:sz w:val="18"/>
                <w:szCs w:val="18"/>
                <w:highlight w:val="none"/>
                <w:lang w:val="en-US" w:eastAsia="zh-CN" w:bidi="ar"/>
              </w:rPr>
              <w:t>有没有对依法可以免予登记的经营者诱导或强制其进行登记</w:t>
            </w:r>
            <w:r>
              <w:rPr>
                <w:rStyle w:val="162"/>
                <w:rFonts w:hint="eastAsia" w:ascii="宋体" w:hAnsi="宋体" w:eastAsia="宋体" w:cs="宋体"/>
                <w:color w:val="auto"/>
                <w:sz w:val="18"/>
                <w:szCs w:val="18"/>
                <w:highlight w:val="none"/>
                <w:lang w:val="en-US" w:eastAsia="zh-CN" w:bidi="ar"/>
              </w:rPr>
              <w:t>；</w:t>
            </w:r>
            <w:r>
              <w:rPr>
                <w:rStyle w:val="162"/>
                <w:rFonts w:hint="eastAsia" w:ascii="宋体" w:hAnsi="宋体" w:eastAsia="宋体" w:cs="宋体"/>
                <w:color w:val="auto"/>
                <w:sz w:val="18"/>
                <w:szCs w:val="18"/>
                <w:highlight w:val="none"/>
                <w:lang w:val="en-US" w:eastAsia="zh-CN" w:bidi="ar"/>
              </w:rPr>
              <w:br w:type="textWrapping"/>
            </w:r>
            <w:r>
              <w:rPr>
                <w:rStyle w:val="162"/>
                <w:rFonts w:hint="eastAsia" w:ascii="宋体" w:hAnsi="宋体" w:eastAsia="宋体" w:cs="宋体"/>
                <w:color w:val="auto"/>
                <w:sz w:val="18"/>
                <w:szCs w:val="18"/>
                <w:highlight w:val="none"/>
                <w:lang w:val="en-US" w:eastAsia="zh-CN" w:bidi="ar"/>
              </w:rPr>
              <w:t xml:space="preserve">（ </w:t>
            </w:r>
            <w:r>
              <w:rPr>
                <w:rStyle w:val="159"/>
                <w:rFonts w:hint="eastAsia" w:ascii="宋体" w:hAnsi="宋体" w:eastAsia="宋体" w:cs="宋体"/>
                <w:color w:val="auto"/>
                <w:sz w:val="18"/>
                <w:szCs w:val="18"/>
                <w:highlight w:val="none"/>
                <w:lang w:val="en-US" w:eastAsia="zh-CN" w:bidi="ar"/>
              </w:rPr>
              <w:t>8</w:t>
            </w:r>
            <w:r>
              <w:rPr>
                <w:rStyle w:val="162"/>
                <w:rFonts w:hint="eastAsia" w:ascii="宋体" w:hAnsi="宋体" w:eastAsia="宋体" w:cs="宋体"/>
                <w:color w:val="auto"/>
                <w:sz w:val="18"/>
                <w:szCs w:val="18"/>
                <w:highlight w:val="none"/>
                <w:lang w:val="en-US" w:eastAsia="zh-CN" w:bidi="ar"/>
              </w:rPr>
              <w:t xml:space="preserve">） </w:t>
            </w:r>
            <w:r>
              <w:rPr>
                <w:rStyle w:val="160"/>
                <w:rFonts w:hint="eastAsia" w:ascii="宋体" w:hAnsi="宋体" w:eastAsia="宋体" w:cs="宋体"/>
                <w:color w:val="auto"/>
                <w:sz w:val="18"/>
                <w:szCs w:val="18"/>
                <w:highlight w:val="none"/>
                <w:lang w:val="en-US" w:eastAsia="zh-CN" w:bidi="ar"/>
              </w:rPr>
              <w:t>有没有违背申请人意愿</w:t>
            </w:r>
            <w:r>
              <w:rPr>
                <w:rStyle w:val="162"/>
                <w:rFonts w:hint="eastAsia" w:ascii="宋体" w:hAnsi="宋体" w:eastAsia="宋体" w:cs="宋体"/>
                <w:color w:val="auto"/>
                <w:sz w:val="18"/>
                <w:szCs w:val="18"/>
                <w:highlight w:val="none"/>
                <w:lang w:val="en-US" w:eastAsia="zh-CN" w:bidi="ar"/>
              </w:rPr>
              <w:t>，</w:t>
            </w:r>
            <w:r>
              <w:rPr>
                <w:rStyle w:val="160"/>
                <w:rFonts w:hint="eastAsia" w:ascii="宋体" w:hAnsi="宋体" w:eastAsia="宋体" w:cs="宋体"/>
                <w:color w:val="auto"/>
                <w:sz w:val="18"/>
                <w:szCs w:val="18"/>
                <w:highlight w:val="none"/>
                <w:lang w:val="en-US" w:eastAsia="zh-CN" w:bidi="ar"/>
              </w:rPr>
              <w:t>诱导或强制其登记为特定类</w:t>
            </w:r>
            <w:r>
              <w:rPr>
                <w:rStyle w:val="160"/>
                <w:rFonts w:hint="eastAsia" w:ascii="宋体" w:hAnsi="宋体" w:eastAsia="宋体" w:cs="宋体"/>
                <w:color w:val="auto"/>
                <w:sz w:val="18"/>
                <w:szCs w:val="18"/>
                <w:highlight w:val="none"/>
                <w:lang w:val="en-US" w:eastAsia="zh-CN" w:bidi="ar"/>
              </w:rPr>
              <w:br w:type="textWrapping"/>
            </w:r>
            <w:r>
              <w:rPr>
                <w:rStyle w:val="160"/>
                <w:rFonts w:hint="eastAsia" w:ascii="宋体" w:hAnsi="宋体" w:eastAsia="宋体" w:cs="宋体"/>
                <w:color w:val="auto"/>
                <w:sz w:val="18"/>
                <w:szCs w:val="18"/>
                <w:highlight w:val="none"/>
                <w:lang w:val="en-US" w:eastAsia="zh-CN" w:bidi="ar"/>
              </w:rPr>
              <w:t>型的经营主体</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3</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工 业 产 品 生 产</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许可</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1</w:t>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有没有明示和遵守办理时限</w:t>
            </w:r>
            <w:r>
              <w:rPr>
                <w:rStyle w:val="161"/>
                <w:rFonts w:hint="eastAsia" w:ascii="宋体" w:hAnsi="宋体" w:eastAsia="宋体" w:cs="宋体"/>
                <w:color w:val="auto"/>
                <w:sz w:val="18"/>
                <w:szCs w:val="18"/>
                <w:highlight w:val="none"/>
                <w:lang w:val="en-US" w:eastAsia="zh-CN" w:bidi="ar"/>
              </w:rPr>
              <w:t>；</w:t>
            </w:r>
            <w:r>
              <w:rPr>
                <w:rStyle w:val="161"/>
                <w:rFonts w:hint="eastAsia" w:ascii="宋体" w:hAnsi="宋体" w:eastAsia="宋体" w:cs="宋体"/>
                <w:color w:val="auto"/>
                <w:sz w:val="18"/>
                <w:szCs w:val="18"/>
                <w:highlight w:val="none"/>
                <w:lang w:val="en-US" w:eastAsia="zh-CN" w:bidi="ar"/>
              </w:rPr>
              <w:br w:type="textWrapping"/>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2</w:t>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有没有一次性告知材料补齐补正</w:t>
            </w:r>
            <w:r>
              <w:rPr>
                <w:rStyle w:val="161"/>
                <w:rFonts w:hint="eastAsia" w:ascii="宋体" w:hAnsi="宋体" w:eastAsia="宋体" w:cs="宋体"/>
                <w:color w:val="auto"/>
                <w:sz w:val="18"/>
                <w:szCs w:val="18"/>
                <w:highlight w:val="none"/>
                <w:lang w:val="en-US" w:eastAsia="zh-CN" w:bidi="ar"/>
              </w:rPr>
              <w:t>；</w:t>
            </w:r>
            <w:r>
              <w:rPr>
                <w:rStyle w:val="161"/>
                <w:rFonts w:hint="eastAsia" w:ascii="宋体" w:hAnsi="宋体" w:eastAsia="宋体" w:cs="宋体"/>
                <w:color w:val="auto"/>
                <w:sz w:val="18"/>
                <w:szCs w:val="18"/>
                <w:highlight w:val="none"/>
                <w:lang w:val="en-US" w:eastAsia="zh-CN" w:bidi="ar"/>
              </w:rPr>
              <w:br w:type="textWrapping"/>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3</w:t>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有没有强制要求经营主体通过收费中介机构代办</w:t>
            </w:r>
            <w:r>
              <w:rPr>
                <w:rStyle w:val="161"/>
                <w:rFonts w:hint="eastAsia" w:ascii="宋体" w:hAnsi="宋体" w:eastAsia="宋体" w:cs="宋体"/>
                <w:color w:val="auto"/>
                <w:sz w:val="18"/>
                <w:szCs w:val="18"/>
                <w:highlight w:val="none"/>
                <w:lang w:val="en-US" w:eastAsia="zh-CN" w:bidi="ar"/>
              </w:rPr>
              <w:t>，</w:t>
            </w:r>
            <w:r>
              <w:rPr>
                <w:rFonts w:hint="eastAsia" w:ascii="宋体" w:hAnsi="宋体" w:eastAsia="宋体" w:cs="宋体"/>
                <w:b w:val="0"/>
                <w:bCs w:val="0"/>
                <w:i w:val="0"/>
                <w:iCs w:val="0"/>
                <w:color w:val="auto"/>
                <w:kern w:val="0"/>
                <w:sz w:val="18"/>
                <w:szCs w:val="18"/>
                <w:highlight w:val="none"/>
                <w:lang w:val="en-US" w:eastAsia="zh-CN" w:bidi="ar"/>
              </w:rPr>
              <w:t>或降低条件违规为中介机构办理其代办的事项</w:t>
            </w:r>
            <w:r>
              <w:rPr>
                <w:rStyle w:val="161"/>
                <w:rFonts w:hint="eastAsia" w:ascii="宋体" w:hAnsi="宋体" w:eastAsia="宋体" w:cs="宋体"/>
                <w:color w:val="auto"/>
                <w:sz w:val="18"/>
                <w:szCs w:val="18"/>
                <w:highlight w:val="none"/>
                <w:lang w:val="en-US" w:eastAsia="zh-CN" w:bidi="ar"/>
              </w:rPr>
              <w:t>；</w:t>
            </w:r>
            <w:r>
              <w:rPr>
                <w:rStyle w:val="161"/>
                <w:rFonts w:hint="eastAsia" w:ascii="宋体" w:hAnsi="宋体" w:eastAsia="宋体" w:cs="宋体"/>
                <w:color w:val="auto"/>
                <w:sz w:val="18"/>
                <w:szCs w:val="18"/>
                <w:highlight w:val="none"/>
                <w:lang w:val="en-US" w:eastAsia="zh-CN" w:bidi="ar"/>
              </w:rPr>
              <w:br w:type="textWrapping"/>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4</w:t>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有没有违规增设审批条件</w:t>
            </w:r>
            <w:r>
              <w:rPr>
                <w:rStyle w:val="161"/>
                <w:rFonts w:hint="eastAsia" w:ascii="宋体" w:hAnsi="宋体" w:eastAsia="宋体" w:cs="宋体"/>
                <w:color w:val="auto"/>
                <w:sz w:val="18"/>
                <w:szCs w:val="18"/>
                <w:highlight w:val="none"/>
                <w:lang w:val="en-US" w:eastAsia="zh-CN" w:bidi="ar"/>
              </w:rPr>
              <w:t>、</w:t>
            </w:r>
            <w:r>
              <w:rPr>
                <w:rFonts w:hint="eastAsia" w:ascii="宋体" w:hAnsi="宋体" w:eastAsia="宋体" w:cs="宋体"/>
                <w:b w:val="0"/>
                <w:bCs w:val="0"/>
                <w:i w:val="0"/>
                <w:iCs w:val="0"/>
                <w:color w:val="auto"/>
                <w:kern w:val="0"/>
                <w:sz w:val="18"/>
                <w:szCs w:val="18"/>
                <w:highlight w:val="none"/>
                <w:lang w:val="en-US" w:eastAsia="zh-CN" w:bidi="ar"/>
              </w:rPr>
              <w:t>程序或环节</w:t>
            </w:r>
            <w:r>
              <w:rPr>
                <w:rStyle w:val="161"/>
                <w:rFonts w:hint="eastAsia" w:ascii="宋体" w:hAnsi="宋体" w:eastAsia="宋体" w:cs="宋体"/>
                <w:color w:val="auto"/>
                <w:sz w:val="18"/>
                <w:szCs w:val="18"/>
                <w:highlight w:val="none"/>
                <w:lang w:val="en-US" w:eastAsia="zh-CN" w:bidi="ar"/>
              </w:rPr>
              <w:t>；</w:t>
            </w:r>
            <w:r>
              <w:rPr>
                <w:rStyle w:val="161"/>
                <w:rFonts w:hint="eastAsia" w:ascii="宋体" w:hAnsi="宋体" w:eastAsia="宋体" w:cs="宋体"/>
                <w:color w:val="auto"/>
                <w:sz w:val="18"/>
                <w:szCs w:val="18"/>
                <w:highlight w:val="none"/>
                <w:lang w:val="en-US" w:eastAsia="zh-CN" w:bidi="ar"/>
              </w:rPr>
              <w:br w:type="textWrapping"/>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5</w:t>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有没有向申请者指定或暗示特定检测机构出具检测</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报告</w:t>
            </w:r>
            <w:r>
              <w:rPr>
                <w:rStyle w:val="161"/>
                <w:rFonts w:hint="eastAsia" w:ascii="宋体" w:hAnsi="宋体" w:eastAsia="宋体" w:cs="宋体"/>
                <w:color w:val="auto"/>
                <w:sz w:val="18"/>
                <w:szCs w:val="18"/>
                <w:highlight w:val="none"/>
                <w:lang w:val="en-US" w:eastAsia="zh-CN" w:bidi="ar"/>
              </w:rPr>
              <w:t>；</w:t>
            </w:r>
            <w:r>
              <w:rPr>
                <w:rStyle w:val="161"/>
                <w:rFonts w:hint="eastAsia" w:ascii="宋体" w:hAnsi="宋体" w:eastAsia="宋体" w:cs="宋体"/>
                <w:color w:val="auto"/>
                <w:sz w:val="18"/>
                <w:szCs w:val="18"/>
                <w:highlight w:val="none"/>
                <w:lang w:val="en-US" w:eastAsia="zh-CN" w:bidi="ar"/>
              </w:rPr>
              <w:br w:type="textWrapping"/>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6</w:t>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有没有在组织现场核查中落实相关回避制度</w:t>
            </w:r>
            <w:r>
              <w:rPr>
                <w:rStyle w:val="161"/>
                <w:rFonts w:hint="eastAsia" w:ascii="宋体" w:hAnsi="宋体" w:eastAsia="宋体" w:cs="宋体"/>
                <w:color w:val="auto"/>
                <w:sz w:val="18"/>
                <w:szCs w:val="18"/>
                <w:highlight w:val="none"/>
                <w:lang w:val="en-US" w:eastAsia="zh-CN" w:bidi="ar"/>
              </w:rPr>
              <w:t>，</w:t>
            </w:r>
            <w:r>
              <w:rPr>
                <w:rFonts w:hint="eastAsia" w:ascii="宋体" w:hAnsi="宋体" w:eastAsia="宋体" w:cs="宋体"/>
                <w:b w:val="0"/>
                <w:bCs w:val="0"/>
                <w:i w:val="0"/>
                <w:iCs w:val="0"/>
                <w:color w:val="auto"/>
                <w:kern w:val="0"/>
                <w:sz w:val="18"/>
                <w:szCs w:val="18"/>
                <w:highlight w:val="none"/>
                <w:lang w:val="en-US" w:eastAsia="zh-CN" w:bidi="ar"/>
              </w:rPr>
              <w:t>防止与核查对象有特定利益关系的人员和机构参与核查工作</w:t>
            </w:r>
            <w:r>
              <w:rPr>
                <w:rStyle w:val="161"/>
                <w:rFonts w:hint="eastAsia" w:ascii="宋体" w:hAnsi="宋体" w:eastAsia="宋体" w:cs="宋体"/>
                <w:color w:val="auto"/>
                <w:sz w:val="18"/>
                <w:szCs w:val="18"/>
                <w:highlight w:val="none"/>
                <w:lang w:val="en-US" w:eastAsia="zh-CN" w:bidi="ar"/>
              </w:rPr>
              <w:t>；</w:t>
            </w:r>
            <w:r>
              <w:rPr>
                <w:rFonts w:hint="eastAsia" w:ascii="宋体" w:hAnsi="宋体" w:eastAsia="宋体" w:cs="宋体"/>
                <w:b w:val="0"/>
                <w:bCs w:val="0"/>
                <w:i w:val="0"/>
                <w:iCs w:val="0"/>
                <w:color w:val="auto"/>
                <w:kern w:val="0"/>
                <w:sz w:val="18"/>
                <w:szCs w:val="18"/>
                <w:highlight w:val="none"/>
                <w:lang w:val="en-US" w:eastAsia="zh-CN" w:bidi="ar"/>
              </w:rPr>
              <w:t>有没有对检测机构</w:t>
            </w:r>
            <w:r>
              <w:rPr>
                <w:rStyle w:val="161"/>
                <w:rFonts w:hint="eastAsia" w:ascii="宋体" w:hAnsi="宋体" w:eastAsia="宋体" w:cs="宋体"/>
                <w:color w:val="auto"/>
                <w:sz w:val="18"/>
                <w:szCs w:val="18"/>
                <w:highlight w:val="none"/>
                <w:lang w:val="en-US" w:eastAsia="zh-CN" w:bidi="ar"/>
              </w:rPr>
              <w:t>、</w:t>
            </w:r>
            <w:r>
              <w:rPr>
                <w:rFonts w:hint="eastAsia" w:ascii="宋体" w:hAnsi="宋体" w:eastAsia="宋体" w:cs="宋体"/>
                <w:b w:val="0"/>
                <w:bCs w:val="0"/>
                <w:i w:val="0"/>
                <w:iCs w:val="0"/>
                <w:color w:val="auto"/>
                <w:kern w:val="0"/>
                <w:sz w:val="18"/>
                <w:szCs w:val="18"/>
                <w:highlight w:val="none"/>
                <w:lang w:val="en-US" w:eastAsia="zh-CN" w:bidi="ar"/>
              </w:rPr>
              <w:t>现场核查机构及人员以明示或暗示等方式</w:t>
            </w:r>
            <w:r>
              <w:rPr>
                <w:rStyle w:val="161"/>
                <w:rFonts w:hint="eastAsia" w:ascii="宋体" w:hAnsi="宋体" w:eastAsia="宋体" w:cs="宋体"/>
                <w:color w:val="auto"/>
                <w:sz w:val="18"/>
                <w:szCs w:val="18"/>
                <w:highlight w:val="none"/>
                <w:lang w:val="en-US" w:eastAsia="zh-CN" w:bidi="ar"/>
              </w:rPr>
              <w:t>，</w:t>
            </w:r>
            <w:r>
              <w:rPr>
                <w:rFonts w:hint="eastAsia" w:ascii="宋体" w:hAnsi="宋体" w:eastAsia="宋体" w:cs="宋体"/>
                <w:b w:val="0"/>
                <w:bCs w:val="0"/>
                <w:i w:val="0"/>
                <w:iCs w:val="0"/>
                <w:color w:val="auto"/>
                <w:kern w:val="0"/>
                <w:sz w:val="18"/>
                <w:szCs w:val="18"/>
                <w:highlight w:val="none"/>
                <w:lang w:val="en-US" w:eastAsia="zh-CN" w:bidi="ar"/>
              </w:rPr>
              <w:t>误导</w:t>
            </w:r>
            <w:r>
              <w:rPr>
                <w:rStyle w:val="161"/>
                <w:rFonts w:hint="eastAsia" w:ascii="宋体" w:hAnsi="宋体" w:eastAsia="宋体" w:cs="宋体"/>
                <w:color w:val="auto"/>
                <w:sz w:val="18"/>
                <w:szCs w:val="18"/>
                <w:highlight w:val="none"/>
                <w:lang w:val="en-US" w:eastAsia="zh-CN" w:bidi="ar"/>
              </w:rPr>
              <w:t>、</w:t>
            </w:r>
            <w:r>
              <w:rPr>
                <w:rFonts w:hint="eastAsia" w:ascii="宋体" w:hAnsi="宋体" w:eastAsia="宋体" w:cs="宋体"/>
                <w:b w:val="0"/>
                <w:bCs w:val="0"/>
                <w:i w:val="0"/>
                <w:iCs w:val="0"/>
                <w:color w:val="auto"/>
                <w:kern w:val="0"/>
                <w:sz w:val="18"/>
                <w:szCs w:val="18"/>
                <w:highlight w:val="none"/>
                <w:lang w:val="en-US" w:eastAsia="zh-CN" w:bidi="ar"/>
              </w:rPr>
              <w:t>干扰</w:t>
            </w:r>
            <w:r>
              <w:rPr>
                <w:rStyle w:val="161"/>
                <w:rFonts w:hint="eastAsia" w:ascii="宋体" w:hAnsi="宋体" w:eastAsia="宋体" w:cs="宋体"/>
                <w:color w:val="auto"/>
                <w:sz w:val="18"/>
                <w:szCs w:val="18"/>
                <w:highlight w:val="none"/>
                <w:lang w:val="en-US" w:eastAsia="zh-CN" w:bidi="ar"/>
              </w:rPr>
              <w:t>、</w:t>
            </w:r>
            <w:r>
              <w:rPr>
                <w:rFonts w:hint="eastAsia" w:ascii="宋体" w:hAnsi="宋体" w:eastAsia="宋体" w:cs="宋体"/>
                <w:b w:val="0"/>
                <w:bCs w:val="0"/>
                <w:i w:val="0"/>
                <w:iCs w:val="0"/>
                <w:color w:val="auto"/>
                <w:kern w:val="0"/>
                <w:sz w:val="18"/>
                <w:szCs w:val="18"/>
                <w:highlight w:val="none"/>
                <w:lang w:val="en-US" w:eastAsia="zh-CN" w:bidi="ar"/>
              </w:rPr>
              <w:t>干预其专业行为</w:t>
            </w:r>
            <w:r>
              <w:rPr>
                <w:rStyle w:val="161"/>
                <w:rFonts w:hint="eastAsia" w:ascii="宋体" w:hAnsi="宋体" w:eastAsia="宋体" w:cs="宋体"/>
                <w:color w:val="auto"/>
                <w:sz w:val="18"/>
                <w:szCs w:val="18"/>
                <w:highlight w:val="none"/>
                <w:lang w:val="en-US" w:eastAsia="zh-CN" w:bidi="ar"/>
              </w:rPr>
              <w:t>；</w:t>
            </w:r>
            <w:r>
              <w:rPr>
                <w:rStyle w:val="161"/>
                <w:rFonts w:hint="eastAsia" w:ascii="宋体" w:hAnsi="宋体" w:eastAsia="宋体" w:cs="宋体"/>
                <w:color w:val="auto"/>
                <w:sz w:val="18"/>
                <w:szCs w:val="18"/>
                <w:highlight w:val="none"/>
                <w:lang w:val="en-US" w:eastAsia="zh-CN" w:bidi="ar"/>
              </w:rPr>
              <w:br w:type="textWrapping"/>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7</w:t>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有没有采取相应措施防止</w:t>
            </w:r>
            <w:r>
              <w:rPr>
                <w:rStyle w:val="161"/>
                <w:rFonts w:hint="eastAsia" w:ascii="宋体" w:hAnsi="宋体" w:eastAsia="宋体" w:cs="宋体"/>
                <w:color w:val="auto"/>
                <w:sz w:val="18"/>
                <w:szCs w:val="18"/>
                <w:highlight w:val="none"/>
                <w:lang w:val="en-US" w:eastAsia="zh-CN" w:bidi="ar"/>
              </w:rPr>
              <w:t>、</w:t>
            </w:r>
            <w:r>
              <w:rPr>
                <w:rFonts w:hint="eastAsia" w:ascii="宋体" w:hAnsi="宋体" w:eastAsia="宋体" w:cs="宋体"/>
                <w:b w:val="0"/>
                <w:bCs w:val="0"/>
                <w:i w:val="0"/>
                <w:iCs w:val="0"/>
                <w:color w:val="auto"/>
                <w:kern w:val="0"/>
                <w:sz w:val="18"/>
                <w:szCs w:val="18"/>
                <w:highlight w:val="none"/>
                <w:lang w:val="en-US" w:eastAsia="zh-CN" w:bidi="ar"/>
              </w:rPr>
              <w:t>制止检测机构和现场核查机构及人员利用受托专业行为谋取不正当利益</w:t>
            </w:r>
            <w:r>
              <w:rPr>
                <w:rStyle w:val="161"/>
                <w:rFonts w:hint="eastAsia" w:ascii="宋体" w:hAnsi="宋体" w:eastAsia="宋体" w:cs="宋体"/>
                <w:color w:val="auto"/>
                <w:sz w:val="18"/>
                <w:szCs w:val="18"/>
                <w:highlight w:val="none"/>
                <w:lang w:val="en-US" w:eastAsia="zh-CN" w:bidi="ar"/>
              </w:rPr>
              <w:t>；</w:t>
            </w:r>
            <w:r>
              <w:rPr>
                <w:rStyle w:val="161"/>
                <w:rFonts w:hint="eastAsia" w:ascii="宋体" w:hAnsi="宋体" w:eastAsia="宋体" w:cs="宋体"/>
                <w:color w:val="auto"/>
                <w:sz w:val="18"/>
                <w:szCs w:val="18"/>
                <w:highlight w:val="none"/>
                <w:lang w:val="en-US" w:eastAsia="zh-CN" w:bidi="ar"/>
              </w:rPr>
              <w:br w:type="textWrapping"/>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8</w:t>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有没有擅自设定生产许可审批事项</w:t>
            </w:r>
            <w:r>
              <w:rPr>
                <w:rStyle w:val="161"/>
                <w:rFonts w:hint="eastAsia" w:ascii="宋体" w:hAnsi="宋体" w:eastAsia="宋体" w:cs="宋体"/>
                <w:color w:val="auto"/>
                <w:sz w:val="18"/>
                <w:szCs w:val="18"/>
                <w:highlight w:val="none"/>
                <w:lang w:val="en-US" w:eastAsia="zh-CN" w:bidi="ar"/>
              </w:rPr>
              <w:t>，</w:t>
            </w:r>
            <w:r>
              <w:rPr>
                <w:rFonts w:hint="eastAsia" w:ascii="宋体" w:hAnsi="宋体" w:eastAsia="宋体" w:cs="宋体"/>
                <w:b w:val="0"/>
                <w:bCs w:val="0"/>
                <w:i w:val="0"/>
                <w:iCs w:val="0"/>
                <w:color w:val="auto"/>
                <w:kern w:val="0"/>
                <w:sz w:val="18"/>
                <w:szCs w:val="18"/>
                <w:highlight w:val="none"/>
                <w:lang w:val="en-US" w:eastAsia="zh-CN" w:bidi="ar"/>
              </w:rPr>
              <w:t>或者对已依法取消的生产许可审批事项继续实施审批</w:t>
            </w:r>
            <w:r>
              <w:rPr>
                <w:rStyle w:val="161"/>
                <w:rFonts w:hint="eastAsia" w:ascii="宋体" w:hAnsi="宋体" w:eastAsia="宋体" w:cs="宋体"/>
                <w:color w:val="auto"/>
                <w:sz w:val="18"/>
                <w:szCs w:val="18"/>
                <w:highlight w:val="none"/>
                <w:lang w:val="en-US" w:eastAsia="zh-CN" w:bidi="ar"/>
              </w:rPr>
              <w:t>；</w:t>
            </w:r>
            <w:r>
              <w:rPr>
                <w:rStyle w:val="161"/>
                <w:rFonts w:hint="eastAsia" w:ascii="宋体" w:hAnsi="宋体" w:eastAsia="宋体" w:cs="宋体"/>
                <w:color w:val="auto"/>
                <w:sz w:val="18"/>
                <w:szCs w:val="18"/>
                <w:highlight w:val="none"/>
                <w:lang w:val="en-US" w:eastAsia="zh-CN" w:bidi="ar"/>
              </w:rPr>
              <w:br w:type="textWrapping"/>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9</w:t>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有没有擅自增加生产许可审批事项的前置条件和审批环节</w:t>
            </w:r>
            <w:r>
              <w:rPr>
                <w:rStyle w:val="161"/>
                <w:rFonts w:hint="eastAsia" w:ascii="宋体" w:hAnsi="宋体" w:eastAsia="宋体" w:cs="宋体"/>
                <w:color w:val="auto"/>
                <w:sz w:val="18"/>
                <w:szCs w:val="18"/>
                <w:highlight w:val="none"/>
                <w:lang w:val="en-US" w:eastAsia="zh-CN" w:bidi="ar"/>
              </w:rPr>
              <w:t>；</w:t>
            </w:r>
            <w:r>
              <w:rPr>
                <w:rStyle w:val="161"/>
                <w:rFonts w:hint="eastAsia" w:ascii="宋体" w:hAnsi="宋体" w:eastAsia="宋体" w:cs="宋体"/>
                <w:color w:val="auto"/>
                <w:sz w:val="18"/>
                <w:szCs w:val="18"/>
                <w:highlight w:val="none"/>
                <w:lang w:val="en-US" w:eastAsia="zh-CN" w:bidi="ar"/>
              </w:rPr>
              <w:br w:type="textWrapping"/>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10</w:t>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有没有擅自将审批职能委托给其他组织和个人</w:t>
            </w:r>
            <w:r>
              <w:rPr>
                <w:rStyle w:val="161"/>
                <w:rFonts w:hint="eastAsia" w:ascii="宋体" w:hAnsi="宋体" w:eastAsia="宋体" w:cs="宋体"/>
                <w:color w:val="auto"/>
                <w:sz w:val="18"/>
                <w:szCs w:val="18"/>
                <w:highlight w:val="none"/>
                <w:lang w:val="en-US" w:eastAsia="zh-CN" w:bidi="ar"/>
              </w:rPr>
              <w:t>；</w:t>
            </w:r>
            <w:r>
              <w:rPr>
                <w:rStyle w:val="161"/>
                <w:rFonts w:hint="eastAsia" w:ascii="宋体" w:hAnsi="宋体" w:eastAsia="宋体" w:cs="宋体"/>
                <w:color w:val="auto"/>
                <w:sz w:val="18"/>
                <w:szCs w:val="18"/>
                <w:highlight w:val="none"/>
                <w:lang w:val="en-US" w:eastAsia="zh-CN" w:bidi="ar"/>
              </w:rPr>
              <w:br w:type="textWrapping"/>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11</w:t>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有没有借生产许可审查</w:t>
            </w:r>
            <w:r>
              <w:rPr>
                <w:rStyle w:val="161"/>
                <w:rFonts w:hint="eastAsia" w:ascii="宋体" w:hAnsi="宋体" w:eastAsia="宋体" w:cs="宋体"/>
                <w:color w:val="auto"/>
                <w:sz w:val="18"/>
                <w:szCs w:val="18"/>
                <w:highlight w:val="none"/>
                <w:lang w:val="en-US" w:eastAsia="zh-CN" w:bidi="ar"/>
              </w:rPr>
              <w:t>，</w:t>
            </w:r>
            <w:r>
              <w:rPr>
                <w:rFonts w:hint="eastAsia" w:ascii="宋体" w:hAnsi="宋体" w:eastAsia="宋体" w:cs="宋体"/>
                <w:b w:val="0"/>
                <w:bCs w:val="0"/>
                <w:i w:val="0"/>
                <w:iCs w:val="0"/>
                <w:color w:val="auto"/>
                <w:kern w:val="0"/>
                <w:sz w:val="18"/>
                <w:szCs w:val="18"/>
                <w:highlight w:val="none"/>
                <w:lang w:val="en-US" w:eastAsia="zh-CN" w:bidi="ar"/>
              </w:rPr>
              <w:t>向行政相对人开展有偿咨询等活动</w:t>
            </w:r>
            <w:r>
              <w:rPr>
                <w:rStyle w:val="161"/>
                <w:rFonts w:hint="eastAsia" w:ascii="宋体" w:hAnsi="宋体" w:eastAsia="宋体" w:cs="宋体"/>
                <w:color w:val="auto"/>
                <w:sz w:val="18"/>
                <w:szCs w:val="18"/>
                <w:highlight w:val="none"/>
                <w:lang w:val="en-US" w:eastAsia="zh-CN" w:bidi="ar"/>
              </w:rPr>
              <w:t>，</w:t>
            </w:r>
            <w:r>
              <w:rPr>
                <w:rFonts w:hint="eastAsia" w:ascii="宋体" w:hAnsi="宋体" w:eastAsia="宋体" w:cs="宋体"/>
                <w:b w:val="0"/>
                <w:bCs w:val="0"/>
                <w:i w:val="0"/>
                <w:iCs w:val="0"/>
                <w:color w:val="auto"/>
                <w:kern w:val="0"/>
                <w:sz w:val="18"/>
                <w:szCs w:val="18"/>
                <w:highlight w:val="none"/>
                <w:lang w:val="en-US" w:eastAsia="zh-CN" w:bidi="ar"/>
              </w:rPr>
              <w:t>强迫行政相对人签订服务协议</w:t>
            </w:r>
            <w:r>
              <w:rPr>
                <w:rStyle w:val="161"/>
                <w:rFonts w:hint="eastAsia" w:ascii="宋体" w:hAnsi="宋体" w:eastAsia="宋体" w:cs="宋体"/>
                <w:color w:val="auto"/>
                <w:sz w:val="18"/>
                <w:szCs w:val="18"/>
                <w:highlight w:val="none"/>
                <w:lang w:val="en-US" w:eastAsia="zh-CN" w:bidi="ar"/>
              </w:rPr>
              <w:t>，</w:t>
            </w:r>
            <w:r>
              <w:rPr>
                <w:rFonts w:hint="eastAsia" w:ascii="宋体" w:hAnsi="宋体" w:eastAsia="宋体" w:cs="宋体"/>
                <w:b w:val="0"/>
                <w:bCs w:val="0"/>
                <w:i w:val="0"/>
                <w:iCs w:val="0"/>
                <w:color w:val="auto"/>
                <w:kern w:val="0"/>
                <w:sz w:val="18"/>
                <w:szCs w:val="18"/>
                <w:highlight w:val="none"/>
                <w:lang w:val="en-US" w:eastAsia="zh-CN" w:bidi="ar"/>
              </w:rPr>
              <w:t>收取不正当费用</w:t>
            </w:r>
            <w:r>
              <w:rPr>
                <w:rStyle w:val="161"/>
                <w:rFonts w:hint="eastAsia" w:ascii="宋体" w:hAnsi="宋体" w:eastAsia="宋体" w:cs="宋体"/>
                <w:color w:val="auto"/>
                <w:sz w:val="18"/>
                <w:szCs w:val="18"/>
                <w:highlight w:val="none"/>
                <w:lang w:val="en-US" w:eastAsia="zh-CN" w:bidi="ar"/>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4</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食品生产许可</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Style w:val="161"/>
                <w:rFonts w:hint="eastAsia" w:ascii="宋体" w:hAnsi="宋体" w:eastAsia="宋体" w:cs="宋体"/>
                <w:color w:val="auto"/>
                <w:sz w:val="18"/>
                <w:szCs w:val="18"/>
                <w:highlight w:val="none"/>
                <w:lang w:val="en-US" w:eastAsia="zh-CN" w:bidi="ar"/>
              </w:rPr>
            </w:pP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1</w:t>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有没有明示和遵守办理时限</w:t>
            </w:r>
            <w:r>
              <w:rPr>
                <w:rStyle w:val="161"/>
                <w:rFonts w:hint="eastAsia" w:ascii="宋体" w:hAnsi="宋体" w:eastAsia="宋体" w:cs="宋体"/>
                <w:color w:val="auto"/>
                <w:sz w:val="18"/>
                <w:szCs w:val="18"/>
                <w:highlight w:val="none"/>
                <w:lang w:val="en-US" w:eastAsia="zh-CN" w:bidi="ar"/>
              </w:rPr>
              <w:t>；</w:t>
            </w:r>
            <w:r>
              <w:rPr>
                <w:rStyle w:val="161"/>
                <w:rFonts w:hint="eastAsia" w:ascii="宋体" w:hAnsi="宋体" w:eastAsia="宋体" w:cs="宋体"/>
                <w:color w:val="auto"/>
                <w:sz w:val="18"/>
                <w:szCs w:val="18"/>
                <w:highlight w:val="none"/>
                <w:lang w:val="en-US" w:eastAsia="zh-CN" w:bidi="ar"/>
              </w:rPr>
              <w:br w:type="textWrapping"/>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2</w:t>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有没有一次性告知材料补齐补正</w:t>
            </w:r>
            <w:r>
              <w:rPr>
                <w:rStyle w:val="161"/>
                <w:rFonts w:hint="eastAsia" w:ascii="宋体" w:hAnsi="宋体" w:eastAsia="宋体" w:cs="宋体"/>
                <w:color w:val="auto"/>
                <w:sz w:val="18"/>
                <w:szCs w:val="18"/>
                <w:highlight w:val="none"/>
                <w:lang w:val="en-US" w:eastAsia="zh-CN" w:bidi="ar"/>
              </w:rPr>
              <w:t>；</w:t>
            </w:r>
            <w:r>
              <w:rPr>
                <w:rStyle w:val="161"/>
                <w:rFonts w:hint="eastAsia" w:ascii="宋体" w:hAnsi="宋体" w:eastAsia="宋体" w:cs="宋体"/>
                <w:color w:val="auto"/>
                <w:sz w:val="18"/>
                <w:szCs w:val="18"/>
                <w:highlight w:val="none"/>
                <w:lang w:val="en-US" w:eastAsia="zh-CN" w:bidi="ar"/>
              </w:rPr>
              <w:br w:type="textWrapping"/>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3</w:t>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有没有违规增设审批条件</w:t>
            </w:r>
            <w:r>
              <w:rPr>
                <w:rStyle w:val="161"/>
                <w:rFonts w:hint="eastAsia" w:ascii="宋体" w:hAnsi="宋体" w:eastAsia="宋体" w:cs="宋体"/>
                <w:color w:val="auto"/>
                <w:sz w:val="18"/>
                <w:szCs w:val="18"/>
                <w:highlight w:val="none"/>
                <w:lang w:val="en-US" w:eastAsia="zh-CN" w:bidi="ar"/>
              </w:rPr>
              <w:t>、</w:t>
            </w:r>
            <w:r>
              <w:rPr>
                <w:rFonts w:hint="eastAsia" w:ascii="宋体" w:hAnsi="宋体" w:eastAsia="宋体" w:cs="宋体"/>
                <w:b w:val="0"/>
                <w:bCs w:val="0"/>
                <w:i w:val="0"/>
                <w:iCs w:val="0"/>
                <w:color w:val="auto"/>
                <w:kern w:val="0"/>
                <w:sz w:val="18"/>
                <w:szCs w:val="18"/>
                <w:highlight w:val="none"/>
                <w:lang w:val="en-US" w:eastAsia="zh-CN" w:bidi="ar"/>
              </w:rPr>
              <w:t>程序或环节</w:t>
            </w:r>
            <w:r>
              <w:rPr>
                <w:rStyle w:val="161"/>
                <w:rFonts w:hint="eastAsia" w:ascii="宋体" w:hAnsi="宋体" w:eastAsia="宋体" w:cs="宋体"/>
                <w:color w:val="auto"/>
                <w:sz w:val="18"/>
                <w:szCs w:val="18"/>
                <w:highlight w:val="none"/>
                <w:lang w:val="en-US" w:eastAsia="zh-CN" w:bidi="ar"/>
              </w:rPr>
              <w:t>；</w:t>
            </w:r>
            <w:r>
              <w:rPr>
                <w:rStyle w:val="161"/>
                <w:rFonts w:hint="eastAsia" w:ascii="宋体" w:hAnsi="宋体" w:eastAsia="宋体" w:cs="宋体"/>
                <w:color w:val="auto"/>
                <w:sz w:val="18"/>
                <w:szCs w:val="18"/>
                <w:highlight w:val="none"/>
                <w:lang w:val="en-US" w:eastAsia="zh-CN" w:bidi="ar"/>
              </w:rPr>
              <w:br w:type="textWrapping"/>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4</w:t>
            </w:r>
            <w:r>
              <w:rPr>
                <w:rStyle w:val="161"/>
                <w:rFonts w:hint="eastAsia" w:ascii="宋体" w:hAnsi="宋体" w:eastAsia="宋体" w:cs="宋体"/>
                <w:color w:val="auto"/>
                <w:sz w:val="18"/>
                <w:szCs w:val="18"/>
                <w:highlight w:val="none"/>
                <w:lang w:val="en-US" w:eastAsia="zh-CN" w:bidi="ar"/>
              </w:rPr>
              <w:t xml:space="preserve">） </w:t>
            </w:r>
            <w:r>
              <w:rPr>
                <w:rFonts w:hint="eastAsia" w:ascii="宋体" w:hAnsi="宋体" w:eastAsia="宋体" w:cs="宋体"/>
                <w:b w:val="0"/>
                <w:bCs w:val="0"/>
                <w:i w:val="0"/>
                <w:iCs w:val="0"/>
                <w:color w:val="auto"/>
                <w:kern w:val="0"/>
                <w:sz w:val="18"/>
                <w:szCs w:val="18"/>
                <w:highlight w:val="none"/>
                <w:lang w:val="en-US" w:eastAsia="zh-CN" w:bidi="ar"/>
              </w:rPr>
              <w:t>有没有违规指定中介机构代办</w:t>
            </w:r>
            <w:r>
              <w:rPr>
                <w:rStyle w:val="161"/>
                <w:rFonts w:hint="eastAsia" w:ascii="宋体" w:hAnsi="宋体" w:eastAsia="宋体" w:cs="宋体"/>
                <w:color w:val="auto"/>
                <w:sz w:val="18"/>
                <w:szCs w:val="18"/>
                <w:highlight w:val="none"/>
                <w:lang w:val="en-US" w:eastAsia="zh-CN" w:bidi="ar"/>
              </w:rPr>
              <w:t>，</w:t>
            </w:r>
            <w:r>
              <w:rPr>
                <w:rFonts w:hint="eastAsia" w:ascii="宋体" w:hAnsi="宋体" w:eastAsia="宋体" w:cs="宋体"/>
                <w:b w:val="0"/>
                <w:bCs w:val="0"/>
                <w:i w:val="0"/>
                <w:iCs w:val="0"/>
                <w:color w:val="auto"/>
                <w:kern w:val="0"/>
                <w:sz w:val="18"/>
                <w:szCs w:val="18"/>
                <w:highlight w:val="none"/>
                <w:lang w:val="en-US" w:eastAsia="zh-CN" w:bidi="ar"/>
              </w:rPr>
              <w:t>或借食品生产许可审查工作</w:t>
            </w:r>
            <w:r>
              <w:rPr>
                <w:rStyle w:val="161"/>
                <w:rFonts w:hint="eastAsia" w:ascii="宋体" w:hAnsi="宋体" w:eastAsia="宋体" w:cs="宋体"/>
                <w:color w:val="auto"/>
                <w:sz w:val="18"/>
                <w:szCs w:val="18"/>
                <w:highlight w:val="none"/>
                <w:lang w:val="en-US" w:eastAsia="zh-CN" w:bidi="ar"/>
              </w:rPr>
              <w:t>，</w:t>
            </w:r>
            <w:r>
              <w:rPr>
                <w:rFonts w:hint="eastAsia" w:ascii="宋体" w:hAnsi="宋体" w:eastAsia="宋体" w:cs="宋体"/>
                <w:b w:val="0"/>
                <w:bCs w:val="0"/>
                <w:i w:val="0"/>
                <w:iCs w:val="0"/>
                <w:color w:val="auto"/>
                <w:kern w:val="0"/>
                <w:sz w:val="18"/>
                <w:szCs w:val="18"/>
                <w:highlight w:val="none"/>
                <w:lang w:val="en-US" w:eastAsia="zh-CN" w:bidi="ar"/>
              </w:rPr>
              <w:t>向行政相对人开展有偿咨询等活动</w:t>
            </w:r>
            <w:r>
              <w:rPr>
                <w:rStyle w:val="161"/>
                <w:rFonts w:hint="eastAsia" w:ascii="宋体" w:hAnsi="宋体" w:eastAsia="宋体" w:cs="宋体"/>
                <w:color w:val="auto"/>
                <w:sz w:val="18"/>
                <w:szCs w:val="18"/>
                <w:highlight w:val="none"/>
                <w:lang w:val="en-US" w:eastAsia="zh-CN" w:bidi="ar"/>
              </w:rPr>
              <w:t>，</w:t>
            </w:r>
            <w:r>
              <w:rPr>
                <w:rFonts w:hint="eastAsia" w:ascii="宋体" w:hAnsi="宋体" w:eastAsia="宋体" w:cs="宋体"/>
                <w:b w:val="0"/>
                <w:bCs w:val="0"/>
                <w:i w:val="0"/>
                <w:iCs w:val="0"/>
                <w:color w:val="auto"/>
                <w:kern w:val="0"/>
                <w:sz w:val="18"/>
                <w:szCs w:val="18"/>
                <w:highlight w:val="none"/>
                <w:lang w:val="en-US" w:eastAsia="zh-CN" w:bidi="ar"/>
              </w:rPr>
              <w:t>收取不正当费用</w:t>
            </w:r>
            <w:r>
              <w:rPr>
                <w:rStyle w:val="161"/>
                <w:rFonts w:hint="eastAsia" w:ascii="宋体" w:hAnsi="宋体" w:eastAsia="宋体" w:cs="宋体"/>
                <w:color w:val="auto"/>
                <w:sz w:val="18"/>
                <w:szCs w:val="18"/>
                <w:highlight w:val="none"/>
                <w:lang w:val="en-US" w:eastAsia="zh-CN" w:bidi="ar"/>
              </w:rPr>
              <w:t>；</w:t>
            </w:r>
          </w:p>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5） 有没有违规放宽食品生产许可条件，或对符合法定条件的变更、延续和注销申请无故推诿、拖延或拒绝办理；</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6） 有没有向行政相对人指定或暗示特定检测机构出具检测报告；</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7） 有没有在组织现场核查中落实相关回避制度，防止与核查对象有特定利益关系的人员和机构参与核查工作。</w:t>
            </w:r>
          </w:p>
          <w:p>
            <w:pPr>
              <w:keepNext w:val="0"/>
              <w:keepLines w:val="0"/>
              <w:widowControl/>
              <w:suppressLineNumbers w:val="0"/>
              <w:jc w:val="left"/>
              <w:rPr>
                <w:rStyle w:val="161"/>
                <w:rFonts w:hint="eastAsia" w:ascii="宋体" w:hAnsi="宋体" w:eastAsia="宋体" w:cs="宋体"/>
                <w:color w:val="auto"/>
                <w:sz w:val="18"/>
                <w:szCs w:val="18"/>
                <w:highlight w:val="none"/>
                <w:lang w:val="en-US" w:eastAsia="zh-CN"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5</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食品经营许可</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有没有明示和遵守办理时限；</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有没有一次性告知材料补齐补正；</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有没有擅自增加经营许可审批事项的前置条件和审批环节，或者对已依法取消的经营许可审批事项继续实施审批；</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有没有对符合法定条件的许可申请受理、审查、变更、延续、补办和注销无故推诿、拖延或拒绝办理；</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有没有按照规定时限和程序开展现场核查，并做好现场核查与许可审批的衔接；</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6） 有没有存在受理人员、审批人员、现场核查人员谋取不正当利益的行为；</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7） 有没有借经营许可审查工作，向行政相对人开展有偿咨询等活动。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6</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仅 销 售 预 包 装</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食 品 的 食 品 经</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营者备案</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有没有明示和遵守办理时限；</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有没有一次性告知补充修改的内容和要求；</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有没有违规增设审批条件、程序或环节；</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有没有借助备案办理设置障碍谋取不正当利益。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7</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使 用 保 健 食 品</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原 料 目 录 以 外</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原 料 的 保 健 食</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品 和 首 次 进 口</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保健食品注册</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有没有强制要求经营主体通过收费中介机构代办，或降低条件违规为中介机构办理其代办的事项；</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有没有违规增设审批条件、程序或环节；</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有没有向申请人指定或暗示特定检测机构出具检测报告；</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有没有在组织现场核查中落实相关回避制度，防止与核查对象有特定利益关系的人员和机构参与核查工作；</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有没有对检测机构、现场核查机构及人员以明示或暗示等方式，误导、干扰、干预其专业行为；</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6） 有没有存在检测机构和现场核查机构及人员利用工作谋取不正当利益行为。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8</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保健食品备案</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有没有一次性告知材料补齐补正；</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有没有强制要求经营主体通过收费中介机构代办，或</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降低条件违规为中介机构办理其代办的事项；</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有没有违规增设审批条件、程序或环节；</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有没有对符合法定条件的变更和注销申请无故推诿、</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拖延或拒绝办理；</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有没有向申请者指定或暗示特定检测机构出具检测</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报告。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9</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特 殊 医 学 用 途</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配方食品注册</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b w:val="0"/>
                <w:bCs w:val="0"/>
                <w:i w:val="0"/>
                <w:iCs w:val="0"/>
                <w:color w:val="auto"/>
                <w:kern w:val="0"/>
                <w:sz w:val="18"/>
                <w:szCs w:val="18"/>
                <w:highlight w:val="none"/>
                <w:lang w:val="en-US" w:eastAsia="zh-CN" w:bidi="ar"/>
              </w:rPr>
            </w:pPr>
            <w:r>
              <w:rPr>
                <w:rFonts w:hint="eastAsia" w:ascii="宋体" w:hAnsi="宋体" w:eastAsia="宋体" w:cs="宋体"/>
                <w:b w:val="0"/>
                <w:bCs w:val="0"/>
                <w:i w:val="0"/>
                <w:iCs w:val="0"/>
                <w:color w:val="auto"/>
                <w:kern w:val="0"/>
                <w:sz w:val="18"/>
                <w:szCs w:val="18"/>
                <w:highlight w:val="none"/>
                <w:lang w:val="en-US" w:eastAsia="zh-CN" w:bidi="ar"/>
              </w:rPr>
              <w:t>（ 1） 有没有强制要求经营主体通过收费中介机构代办，或降低条件违规为中介机构办理其代办的事项；</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有没有违规增设审批条件、程序或环节；</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有没有向申请人指定或暗示特定检测机构出具检测报告；</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有没有在组织现场核查中落实相关回避制度，防止与核查对象有特定利益关系的人员和机构参与核查工作；</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有没有对检测机构、现场核查机构及人员以明示或暗示等方式，误导、干扰、干预其专业行为；</w:t>
            </w:r>
          </w:p>
          <w:p>
            <w:pPr>
              <w:keepNext w:val="0"/>
              <w:keepLines w:val="0"/>
              <w:widowControl/>
              <w:suppressLineNumbers w:val="0"/>
              <w:jc w:val="left"/>
              <w:rPr>
                <w:rFonts w:hint="eastAsia" w:ascii="宋体" w:hAnsi="宋体" w:eastAsia="宋体" w:cs="宋体"/>
                <w:b w:val="0"/>
                <w:bCs w:val="0"/>
                <w:i w:val="0"/>
                <w:iCs w:val="0"/>
                <w:color w:val="auto"/>
                <w:kern w:val="0"/>
                <w:sz w:val="18"/>
                <w:szCs w:val="18"/>
                <w:highlight w:val="none"/>
                <w:lang w:val="en-US" w:eastAsia="zh-CN" w:bidi="ar"/>
              </w:rPr>
            </w:pPr>
            <w:r>
              <w:rPr>
                <w:rFonts w:hint="eastAsia" w:ascii="宋体" w:hAnsi="宋体" w:eastAsia="宋体" w:cs="宋体"/>
                <w:b w:val="0"/>
                <w:bCs w:val="0"/>
                <w:i w:val="0"/>
                <w:iCs w:val="0"/>
                <w:color w:val="auto"/>
                <w:kern w:val="0"/>
                <w:sz w:val="18"/>
                <w:szCs w:val="18"/>
                <w:highlight w:val="none"/>
                <w:lang w:val="en-US" w:eastAsia="zh-CN" w:bidi="ar"/>
              </w:rPr>
              <w:t>（ 6） 有没有存在检测机构和现场核查机构及人员利用工作谋取不正当利益行为。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10</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婴 幼 儿 配 方 乳</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粉 产 品 配 方</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注册</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有没有强制要求经营主体通过收费中介机构代办，或降低条件违规为中介机构办理其代办的事项；</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有没有违规增设审批条件、程序或环节；</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有没有向申请人指定或暗示特定检测机构出具检测报告；</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有没有在组织现场核查中落实相关回避制度，防止与核查对象有特定利益关系的人员和机构参与核查工作；</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有没有对检测机构、现场核查机构及人员以明示或暗示等方式，误导、干扰、干预其专业行为；</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6） 有没有存在检测机构和现场核查机构及人员利用工作谋取不正当利益行为。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11</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从事对温度、湿</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度 等 有 特 殊 要</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求 食 品 贮 存 业</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务 的 非 食 品 生</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产经营者备案</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有没有明示和遵守办理时限；</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有没有一次性告知补充修改的内容和要求；</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有没有违规增设审批条件、程序或环节；</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有没有借助备案办理设置障碍谋取不正当利益。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12</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三 品 一 械” 广告审查</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有没有明示和遵守办理时限；</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有没有一次性告知材料补齐补正；</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有没有强制要求经营主体通过收费中介机构代办，或降低条件违规为中介机构办理其代办的事项；</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有没有违规增设审批条件、程序或环节；</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有没有依 法向社会公开 已审查批准的“ 三品一械”广告。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13</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计 量 标 准 器 具</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核准</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b w:val="0"/>
                <w:bCs w:val="0"/>
                <w:i w:val="0"/>
                <w:iCs w:val="0"/>
                <w:color w:val="auto"/>
                <w:kern w:val="0"/>
                <w:sz w:val="18"/>
                <w:szCs w:val="18"/>
                <w:highlight w:val="none"/>
                <w:lang w:val="en-US" w:eastAsia="zh-CN" w:bidi="ar"/>
              </w:rPr>
            </w:pPr>
            <w:r>
              <w:rPr>
                <w:rFonts w:hint="eastAsia" w:ascii="宋体" w:hAnsi="宋体" w:eastAsia="宋体" w:cs="宋体"/>
                <w:b w:val="0"/>
                <w:bCs w:val="0"/>
                <w:i w:val="0"/>
                <w:iCs w:val="0"/>
                <w:color w:val="auto"/>
                <w:kern w:val="0"/>
                <w:sz w:val="18"/>
                <w:szCs w:val="18"/>
                <w:highlight w:val="none"/>
                <w:lang w:val="en-US" w:eastAsia="zh-CN" w:bidi="ar"/>
              </w:rPr>
              <w:t>（ 1） 有没有明示和遵守办理时限；</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有没有一次性告知材料补齐补正；</w:t>
            </w:r>
          </w:p>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3） 有没有强制要求经营主体通过收费中介机构代办，或降低条件违规为中介机构办理其代办的事项；</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有没有违规增设审批条件、程序或环节；</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有没有违规放宽批准条件。</w:t>
            </w:r>
          </w:p>
          <w:p>
            <w:pPr>
              <w:keepNext w:val="0"/>
              <w:keepLines w:val="0"/>
              <w:widowControl/>
              <w:suppressLineNumbers w:val="0"/>
              <w:jc w:val="left"/>
              <w:rPr>
                <w:rFonts w:hint="eastAsia" w:ascii="宋体" w:hAnsi="宋体" w:eastAsia="宋体" w:cs="宋体"/>
                <w:b w:val="0"/>
                <w:bCs w:val="0"/>
                <w:i w:val="0"/>
                <w:iCs w:val="0"/>
                <w:color w:val="auto"/>
                <w:kern w:val="0"/>
                <w:sz w:val="18"/>
                <w:szCs w:val="18"/>
                <w:highlight w:val="none"/>
                <w:lang w:val="en-US" w:eastAsia="zh-CN"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14</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计 量 器 具 型 式</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批准（ 标准物质</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定级鉴定）</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有没有明示和遵守办理时限；</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有没有一次性告知材料补齐补正；</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有没有强制要求经营主体通过收费中介机构代办，或降低条件违规为中介机构办理其代办的事项；</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有没有违规增设审批条件、程序或环节；</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有没有违规放宽批准条件。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15</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承 担 国 家 法 定</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计 量 检 定 机 构</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任务授权</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有没有明示和遵守办理时限；</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有没有一次性告知材料补齐补正；</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有没有强制要求经营主体通过收费中介机构代办，或降低条件违规为中介机构办理其代办的事项；</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有没有违规增设审批条件、程序或环节；</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有没有违规放宽批准条件。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90" w:hRule="atLeast"/>
        </w:trPr>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16</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注 册 计 量 师</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注册</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有没有明示和遵守办理时限；</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有没有一次性告知材料补齐补正；</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有没有强制要求经营主体通过收费中介机构代办，或降低条件违规为中介机构办理其代办的事项；</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有没有违规增设审批条件、程序或环节；</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有没有违规放宽批准条件。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80" w:hRule="atLeast"/>
        </w:trPr>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17</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移 动 式 压 力 容</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器、气瓶充装单</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位许可</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b w:val="0"/>
                <w:bCs w:val="0"/>
                <w:i w:val="0"/>
                <w:iCs w:val="0"/>
                <w:color w:val="auto"/>
                <w:kern w:val="0"/>
                <w:sz w:val="18"/>
                <w:szCs w:val="18"/>
                <w:highlight w:val="none"/>
                <w:lang w:val="en-US" w:eastAsia="zh-CN" w:bidi="ar"/>
              </w:rPr>
            </w:pPr>
            <w:r>
              <w:rPr>
                <w:rFonts w:hint="eastAsia" w:ascii="宋体" w:hAnsi="宋体" w:eastAsia="宋体" w:cs="宋体"/>
                <w:b w:val="0"/>
                <w:bCs w:val="0"/>
                <w:i w:val="0"/>
                <w:iCs w:val="0"/>
                <w:color w:val="auto"/>
                <w:kern w:val="0"/>
                <w:sz w:val="18"/>
                <w:szCs w:val="18"/>
                <w:highlight w:val="none"/>
                <w:lang w:val="en-US" w:eastAsia="zh-CN" w:bidi="ar"/>
              </w:rPr>
              <w:t>（ 1） 有没有明示和遵守办理时限；</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有没有一次性告知材料补齐补正；</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有没有强制要求经营主体通过收费中介机构代办，或降低条件违规为中介机构办理其代办的事项；</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有没有违规增设审批条件、程序或环节；</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有没有在组织鉴定评审中落实相关回避制度，防止与申请者有特定利益关系的人员和机构参与鉴定评审工作；</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6） 有没有对鉴定评审机构及人员以明示或暗示等方式干预其专业行为；</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7） 有没有采取措施防止、制止鉴定评审机构及人员利用受托专业行为谋取不正当利益。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18</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特种设备检验、</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检测机构核准</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有没有明示和遵守办理时限；</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有没有一次性告知材料补齐补正；</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有没有违规增设审批条件、程序或环节；</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有没有在组织鉴定评审中落实相关回避制度，防止与申请者有特定利益关系的人员和机构参与鉴定评审工作；</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有没有对鉴定评审机构及人员以明示或暗示等方式干预其专业行为；</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6） 有没有采取措施防止、制止鉴定评审机构及人员利用受托专业行为谋取不正当利益。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19</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特 种 设 备 生 产</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许可（ 含安装改</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造 维 修 单 位</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许可）</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有没有明示和遵守办理时限；</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有没有一次性告知材料补齐补正；</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有没有强制要求经营主体通过收费中介机构代办，或降低条件违规为中介机构办理其代办的事项；</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有没有违规增设审批条件、程序或环节；</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有没有向申请者指定或暗示特定型式试验机构出具型式试验报告；</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6） 有没有在组织鉴定评审中落实相关回避制度，防止与申请者有特定利益关系的人员和机构参与鉴定评审工作；</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7） 有没有对鉴定评审机构（ 型式试验机构） 及人员以明示或暗示等方式干预其专业行为；</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8） 有没有采取措施防止、制止鉴定评审机构（型式试验机构）及人员利用受托专业行为谋取不正当利益。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20</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特种设备使用登记</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有没有明示和遵守办理时限；</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有没有一次性告知材料补齐补正；</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有没有强制要求经营主体通过收费中介机构代办，或降低条件违规为中介机构办理其代办的事项；</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有没有违规增设审批条件、程序或环节；</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有没有对符合法定条件的登记、变更和注销申请无故推诿、拖延或拒绝办理。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21</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特种设备检验、</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检 测 人 员 资 质</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认定</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有没有明示和遵守办理时限；</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有没有一次性告知材料补齐补正；</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有没有违规增设审批条件、程序或环节；</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有没有对考试机构及人员以明示或暗示等方式干预其专业行为；</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有没有采取相应措施防止、制止考试机构及人员利用受托专业行为谋取不正当利益。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22</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特 种 设 备 安 全</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管 理 和 作 业 人</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员资质认定</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有没有明示和遵守办理时限；</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有没有一次性告知材料补齐补正；</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有没有违规增设审批条件、程序或环节；</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有没有对考试机构及人员以明示或暗示等方式干预其专业行为；</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有没有采取相应措施防止、制止考试机构及人员利用受托专业行为谋取不正当利益。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23</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特 种 设 备 采 用</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新 材 料 、 新 技</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术、新工艺审批</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b w:val="0"/>
                <w:bCs w:val="0"/>
                <w:i w:val="0"/>
                <w:iCs w:val="0"/>
                <w:color w:val="auto"/>
                <w:kern w:val="0"/>
                <w:sz w:val="18"/>
                <w:szCs w:val="18"/>
                <w:highlight w:val="none"/>
                <w:lang w:val="en-US" w:eastAsia="zh-CN" w:bidi="ar"/>
              </w:rPr>
            </w:pPr>
            <w:r>
              <w:rPr>
                <w:rFonts w:hint="eastAsia" w:ascii="宋体" w:hAnsi="宋体" w:eastAsia="宋体" w:cs="宋体"/>
                <w:b w:val="0"/>
                <w:bCs w:val="0"/>
                <w:i w:val="0"/>
                <w:iCs w:val="0"/>
                <w:color w:val="auto"/>
                <w:kern w:val="0"/>
                <w:sz w:val="18"/>
                <w:szCs w:val="18"/>
                <w:highlight w:val="none"/>
                <w:lang w:val="en-US" w:eastAsia="zh-CN" w:bidi="ar"/>
              </w:rPr>
              <w:t>（ 1） 有没有明示和遵守办理时限；</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有没有一次性告知材料补齐补正；</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有没有强制要求经营主体通过收费中介机构代办，或降低条件违规为中介机构办理其代办的事项；</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有没有违规增设审批条件、程序或环节；</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有没有在组织评审中落实相关回避制度，防止与申请者有特定利益关系的人员和机构参与评审工作；</w:t>
            </w:r>
          </w:p>
          <w:p>
            <w:pPr>
              <w:keepNext w:val="0"/>
              <w:keepLines w:val="0"/>
              <w:widowControl/>
              <w:suppressLineNumbers w:val="0"/>
              <w:jc w:val="left"/>
              <w:rPr>
                <w:rFonts w:hint="eastAsia" w:ascii="宋体" w:hAnsi="宋体" w:eastAsia="宋体" w:cs="宋体"/>
                <w:b w:val="0"/>
                <w:bCs w:val="0"/>
                <w:i w:val="0"/>
                <w:iCs w:val="0"/>
                <w:color w:val="auto"/>
                <w:kern w:val="0"/>
                <w:sz w:val="18"/>
                <w:szCs w:val="18"/>
                <w:highlight w:val="none"/>
                <w:lang w:val="en-US" w:eastAsia="zh-CN" w:bidi="ar"/>
              </w:rPr>
            </w:pPr>
            <w:r>
              <w:rPr>
                <w:rFonts w:hint="eastAsia" w:ascii="宋体" w:hAnsi="宋体" w:eastAsia="宋体" w:cs="宋体"/>
                <w:b w:val="0"/>
                <w:bCs w:val="0"/>
                <w:i w:val="0"/>
                <w:iCs w:val="0"/>
                <w:color w:val="auto"/>
                <w:kern w:val="0"/>
                <w:sz w:val="18"/>
                <w:szCs w:val="18"/>
                <w:highlight w:val="none"/>
                <w:lang w:val="en-US" w:eastAsia="zh-CN" w:bidi="ar"/>
              </w:rPr>
              <w:t>（ 6） 有没有对评审机构及人员以明示或暗示等方式干预其专业行为；</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7） 有没有采取措施防止、制止评审机构及人员利用受托专业行为谋取不正当利益。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24</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检 验 检 测 机 构</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资质认定</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有没有明示和遵守办理时限；</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有没有一次性告知材料补齐补正；</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有没有强制要求经营主体通过收费中介机构代办，或降低条件违规为中介机构办理其代办的事项；</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有没有违规增设审批条件、程序或环节；</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有没有对符合法定条件的申请无故推诿、拖延或拒绝办理。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25</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认证机构审批</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有没有明示和遵守办理时限；</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有没有一次性告知材料补齐补正；</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有没有强制要求经营主体通过收费中介机构代办，或降低条件违规为中介机构办理其代办的事项；</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有没有违规增设审批条件、程序或环节；</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有没有在组织现场核查中落实相关回避制度，防止与核查对象有特定利益关系的人员参与核查工作；</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6） 有没有对现场核查人员以明示或暗示等方式，误导、</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干扰、干预其专业行为。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26</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从 事 强 制 性 产</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品 认 证 以 及 相</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关 活 动 的 认 证</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机 构 、 实 验 室</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指定</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有没有明示和遵守办理时限；</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有没有一次性告知材料补齐补正；</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有没有强制要求经营主体通过收费中介机构代办，或降低条件违规为中介机构办理其代办的事项；</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有没有违规增设审批条件、程序或环节；</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有没有在组织专家评审中落实相关回避制度，防止与评审对象有特定利益关系的人员参与评审工作；</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6） 有没有对评审人员以明示或暗示等方式，误导、干扰、干预其专业行为。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27</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免予办理强制性产品认证 证明》核发</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有没有明示和遵守办理时限；</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有没有一次性告知材料补齐补正；</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有没有违规增设审批条件、程序或环节；</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有没有向申请人推荐或指定中介机构；</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有没有对符合办理要求的申请无故推诿、拖延或拒绝办理，或对不符合办理要求的放宽确认条件。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28</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信用修复管理</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有没有明示和遵守办理时限；</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有没有强制要求经营主体通过收费中介机构代办，或降低条件违规为中介机构办理其代办的事项；</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有没有违规收费；</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有没有对未达到基础公示期的市场主体予以修复。</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29</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双随机检查</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有没有随机抽取检查对象；</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有没有随机抽取执法检查人员；</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有没有对同一检查对象多次重复检查（安全、质量、公共利益等重点检查事项除外）；</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有没有不执行或拖延执行抽查任务。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30</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食 品 生 产 企 业</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监督检查</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有没有由 2 名及以上监督检查人员实施监督检查并落实回避制度；</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有没有当场出示有效执法证件或市场监管部门出具的检查任务书，有没有对监督检查情况如实记录并将监督检查结果书面告知检查企业；</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有没有在检查结果信息形成后 20 个工作日内向社会公开；</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有没有泄露被检查单位的商业秘密、未披露信息或者保密商务信息。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31</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食 品 经 营 单 位</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监督检查</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有没有由 2 名及以上监督检查人员实施监督检查并落实回避制度；</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有没有当场出示有效执法证件或市场监管部门出具的检查任务书，有没有对监督检查情况如实记录并将监督检查结果书面告知检查单位；</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有没有在检查结果信息形成后 20 个工作日内向社会公开；</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有没有泄露监督检查相关情况以及被检查单位的商业秘密、未披露信息或者保密商务信息；</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在对经营单位食品安全管理人员随机进行监督抽查考核时，有没有公布考核情况；</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6） 实施飞行检查时，有没有事先告知被检查单位飞行检查内容、检查人员行程等检查相关信息的情形；</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7） 根据需要聘请相关领域第三方机构或人员参加监督检查时，有没有未核验相关机构资质或确认人员能力，有没有未明确廉洁、保密等相关要求。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32</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从事对温度、湿</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度 等 有 特 殊 要</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求 食 品 贮 存 业</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务 的 非 食 品 生</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产 经 营 者 监 督</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检查</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有没有由 2 名及以上监督检查人员实施监督检查并落实回避制度；</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有没有当场出示有效执法证件或市场监管部门出具的检查任务书，有没有对监督检查情况如实记录并将监督检查结果书面告知检查单位；</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有没有在检查结果信息形成后 20 个工作日内向社会公开；</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有没有泄露监督检查相关情况以及被检查单位的商业秘密、未披露信息或者保密商务信息；</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在对检查单位食品安全管理人员随机进行监督抽查考核时，有没有公布考核情况；</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6） 实施飞行检查时，有没有事先告知被检查单位飞行检查内容、检查人员行程等检查相关信息的情形；</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7） 根据需要聘请相关领域第三方机构或人员参加监督检查时，有没有未核验相关机构资质或确认人员能力，有没有未明确廉洁、保密等相关要求。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33</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特 殊 食 品 监 督</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检查</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有没有由 2 名及以上监督检查人员实施监督检查并落实回避制度；</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有没有当场出示有效执法证件或市场监管部门出具的检查任务书，有没有对监督检查情况如实记录并将监督检查结果书面告知检查经营主体；</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有没有在检查结果信息形成后 20 个工作日内向社会公开；</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有没有泄露监督检查相关情况以及被检查单位的商业秘密、未披露信息或者保密商务信息；</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有没有采取相应措施防止、制止监督检查人员谋取不正当利益。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34</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价格收费、反不</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正 当 竞 争 和 规</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范 直 销 打 击 传</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销监督检查</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在研究制定监督检查制度规则时，有没有进行深入调研和充分论证；</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有没有存在消极对待经营主体投诉举报、反映问题的情况；</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有没有综合运用行政指导、行政约谈、提醒告诫、案例曝光、信用监管等多种方式进行事前事中的全链条监管。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35</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工业产品抽查</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有没有转包检验任务或者未经组织监督抽查的市场监督管理部门同意分包检验任务；</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有没有出具虚假检验报告；</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有没有在承担监督抽查相关工作期间，与被抽样生产者、销售者签订监督抽查同类产品的有偿服务协议或者接受被抽样生产者、销售者对同一产品的委托检验；</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有没有利用监督抽查结果开展产品推荐、评比，出具监督抽查产品合格证书、牌匾等；</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有没有利用承担监督抽查相关工作的便利，谋取不正当利益；</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6） 有没有违反规定向被抽样生产者、销售者收取抽样、检验等与监督抽查有关的费用；</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7） 有没有及时将检验结论书面告知被抽样生产者、销售者，并同时告知其依法享有的权利；</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8） 有没有按照法律、行政法规有关规定公开监督抽查结果。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36</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食品抽检</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在现场抽样时，有没有出示抽样授权委托及有效身份证明文件；</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在现场抽样时，有没有由被抽样单位自行寄送样品；</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在现场抽样时，有没有按产品标签中标注的保存条件或其他特殊要求对所抽取的样品进行保存；</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有没有出具虚假检验报告；</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有没有按规定支付样品费用；</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6） 有没有向被抽样单位索要检验费用。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37</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食 品 抽 检 核 查</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处置</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有没有利用核查处置便利，为个人或其他食品生产经营者牟取非法或不当利益；</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有没有包庇食品生产经营者违法行为。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38</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特 种 设 备 监 督</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检 查（ 安 装 、 经</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营 、 使 用 、 进 口</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单 位 和 检 验 检</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测机构）</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有没有由 2 名及以上监督检查人员实施监督检查并落实回避制度；</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有没有向被检查对象“ 吃拿卡要”，乱作为、不作为等问题；</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委托第三方机构实施监督检查时，有没有对受委托监督检查机构及人员以明示或暗示等方式，误导、干扰、干预其专业行为；</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有没有采取相应措施防止、制止受委托监督检查机构及人员利用受托专业行为谋取不正当利益。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39</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经 营 者 集 中 反</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垄断审查</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b w:val="0"/>
                <w:bCs w:val="0"/>
                <w:i w:val="0"/>
                <w:iCs w:val="0"/>
                <w:color w:val="auto"/>
                <w:kern w:val="0"/>
                <w:sz w:val="18"/>
                <w:szCs w:val="18"/>
                <w:highlight w:val="none"/>
                <w:lang w:val="en-US" w:eastAsia="zh-CN" w:bidi="ar"/>
              </w:rPr>
            </w:pPr>
            <w:r>
              <w:rPr>
                <w:rFonts w:hint="eastAsia" w:ascii="宋体" w:hAnsi="宋体" w:eastAsia="宋体" w:cs="宋体"/>
                <w:b w:val="0"/>
                <w:bCs w:val="0"/>
                <w:i w:val="0"/>
                <w:iCs w:val="0"/>
                <w:color w:val="auto"/>
                <w:kern w:val="0"/>
                <w:sz w:val="18"/>
                <w:szCs w:val="18"/>
                <w:highlight w:val="none"/>
                <w:lang w:val="en-US" w:eastAsia="zh-CN" w:bidi="ar"/>
              </w:rPr>
              <w:t>（ 1） 有没有明示和遵守办理时限；</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有没有将不符合简易标准案件按照简易案件审查；</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有没有将不符合委托标准的案件委托地方；</w:t>
            </w:r>
          </w:p>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4） 有没有对符合法定受理条件的案件故意不受理；</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有没有对简易案件在受理后不予公示或不及时公示。</w:t>
            </w:r>
          </w:p>
          <w:p>
            <w:pPr>
              <w:keepNext w:val="0"/>
              <w:keepLines w:val="0"/>
              <w:widowControl/>
              <w:suppressLineNumbers w:val="0"/>
              <w:jc w:val="left"/>
              <w:rPr>
                <w:rFonts w:hint="eastAsia" w:ascii="宋体" w:hAnsi="宋体" w:eastAsia="宋体" w:cs="宋体"/>
                <w:b w:val="0"/>
                <w:bCs w:val="0"/>
                <w:i w:val="0"/>
                <w:iCs w:val="0"/>
                <w:color w:val="auto"/>
                <w:kern w:val="0"/>
                <w:sz w:val="18"/>
                <w:szCs w:val="18"/>
                <w:highlight w:val="none"/>
                <w:lang w:val="en-US" w:eastAsia="zh-CN" w:bidi="ar"/>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40</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检 验 检 测 机 构</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监督检查</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现场检查时，有没有技术人员与被检查机构存在利害关系；</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有没有随意检查、多头检查、重复检查，干扰机构正常生产经营活动；</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有没有由被检查机构承担费用、“ 吃拿卡要”、收取被检查机构给予的劳务费、礼金（ 品） 、参加宴请等情况；</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有没有将监督检查结果及时向社会公开。</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41</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认 证 机 构 及 认</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证 活 动 监 督</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检查</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有没有向检查对象出具检查通知书；</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有没有组织 2 名及以上的检查人员实施检查，做好检查记录，并由检查人员、当事人或者有关人员签名或者签章，并充分保证行政相对人的合法权益；</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有没有泄露行政相对人的商业秘密并给行政相对人造成损失；</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有没有采取相应措施防止检查人员利用受托专业行为谋取不正当利益。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42</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消费者举报/投</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诉办理</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有没有按照规定要求时限处理投诉；</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有没有按照规定要求反馈消费者投诉办理结果；</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有没有未与消费者沟通，就办结投诉；</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实名举报的，有没有按照规定要求将是否立案反馈举报人。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43</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缺 陷 产 品 召 回</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管理</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有没有按规定及时处理产品缺陷线索；</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有没有缺陷调查标准不统一，选择性开展调查；</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有没有向调查对象“ 吃拿卡要”，办关系案、人情案、乱作为、不作为；</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有没有泄露相关经营主体和当事人个人隐私或商业秘密。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c>
          <w:tcPr>
            <w:tcW w:w="100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center"/>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44</w:t>
            </w:r>
          </w:p>
        </w:tc>
        <w:tc>
          <w:tcPr>
            <w:tcW w:w="1815"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执法办案</w:t>
            </w:r>
          </w:p>
        </w:tc>
        <w:tc>
          <w:tcPr>
            <w:tcW w:w="6000" w:type="dxa"/>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widowControl/>
              <w:suppressLineNumbers w:val="0"/>
              <w:jc w:val="left"/>
              <w:rPr>
                <w:rFonts w:hint="eastAsia" w:ascii="宋体" w:hAnsi="宋体" w:eastAsia="宋体" w:cs="宋体"/>
                <w:color w:val="auto"/>
                <w:sz w:val="18"/>
                <w:szCs w:val="18"/>
                <w:highlight w:val="none"/>
              </w:rPr>
            </w:pPr>
            <w:r>
              <w:rPr>
                <w:rFonts w:hint="eastAsia" w:ascii="宋体" w:hAnsi="宋体" w:eastAsia="宋体" w:cs="宋体"/>
                <w:b w:val="0"/>
                <w:bCs w:val="0"/>
                <w:i w:val="0"/>
                <w:iCs w:val="0"/>
                <w:color w:val="auto"/>
                <w:kern w:val="0"/>
                <w:sz w:val="18"/>
                <w:szCs w:val="18"/>
                <w:highlight w:val="none"/>
                <w:lang w:val="en-US" w:eastAsia="zh-CN" w:bidi="ar"/>
              </w:rPr>
              <w:t>（ 1） 有没有有案不立、压案不查等执法不严格的问题；</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2） 有没有违规查封、扣押、冻结涉案企业财产以及超越管辖权执法、超期限办案等执法不规范的问题；</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3） 有没有滥用自由裁量权，同案类案不同罚、处罚畸轻畸重等执法不公正的问题；</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4） 有没有执法方式简单粗暴、任性执法、过度执法等执法不文明的问题；</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5） 有没有向企业和管理服务对象“ 吃拿卡要”，办关系案、人情案、乱作为、不作为等问题；</w:t>
            </w:r>
            <w:r>
              <w:rPr>
                <w:rFonts w:hint="eastAsia" w:ascii="宋体" w:hAnsi="宋体" w:eastAsia="宋体" w:cs="宋体"/>
                <w:b w:val="0"/>
                <w:bCs w:val="0"/>
                <w:i w:val="0"/>
                <w:iCs w:val="0"/>
                <w:color w:val="auto"/>
                <w:kern w:val="0"/>
                <w:sz w:val="18"/>
                <w:szCs w:val="18"/>
                <w:highlight w:val="none"/>
                <w:lang w:val="en-US" w:eastAsia="zh-CN" w:bidi="ar"/>
              </w:rPr>
              <w:br w:type="textWrapping"/>
            </w:r>
            <w:r>
              <w:rPr>
                <w:rFonts w:hint="eastAsia" w:ascii="宋体" w:hAnsi="宋体" w:eastAsia="宋体" w:cs="宋体"/>
                <w:b w:val="0"/>
                <w:bCs w:val="0"/>
                <w:i w:val="0"/>
                <w:iCs w:val="0"/>
                <w:color w:val="auto"/>
                <w:kern w:val="0"/>
                <w:sz w:val="18"/>
                <w:szCs w:val="18"/>
                <w:highlight w:val="none"/>
                <w:lang w:val="en-US" w:eastAsia="zh-CN" w:bidi="ar"/>
              </w:rPr>
              <w:t>（ 6） 有没有加强源头治理，防止“ 以罚代管”“ 一罚了之”。</w:t>
            </w:r>
          </w:p>
        </w:tc>
      </w:tr>
    </w:tbl>
    <w:p>
      <w:pPr>
        <w:keepNext w:val="0"/>
        <w:keepLines w:val="0"/>
        <w:widowControl/>
        <w:suppressLineNumbers w:val="0"/>
        <w:jc w:val="left"/>
        <w:rPr>
          <w:color w:val="auto"/>
          <w:highlight w:val="none"/>
        </w:rPr>
      </w:pPr>
    </w:p>
    <w:p>
      <w:pPr>
        <w:rPr>
          <w:rFonts w:hint="default"/>
          <w:color w:val="auto"/>
          <w:highlight w:val="none"/>
          <w:lang w:val="en-US" w:eastAsia="zh-CN"/>
        </w:rPr>
        <w:sectPr>
          <w:headerReference r:id="rId9" w:type="default"/>
          <w:footerReference r:id="rId10" w:type="default"/>
          <w:pgSz w:w="11906" w:h="16838"/>
          <w:pgMar w:top="567" w:right="1134" w:bottom="1134" w:left="1418" w:header="1418" w:footer="1134" w:gutter="0"/>
          <w:pgNumType w:fmt="decimal" w:start="1"/>
          <w:cols w:space="720" w:num="1"/>
          <w:formProt w:val="0"/>
          <w:docGrid w:type="lines" w:linePitch="312" w:charSpace="0"/>
        </w:sectPr>
      </w:pPr>
    </w:p>
    <w:p>
      <w:pPr>
        <w:pStyle w:val="22"/>
        <w:rPr>
          <w:rFonts w:hint="default"/>
          <w:color w:val="auto"/>
          <w:highlight w:val="none"/>
          <w:lang w:val="en-US" w:eastAsia="zh-CN"/>
        </w:rPr>
      </w:pPr>
    </w:p>
    <w:p>
      <w:pPr>
        <w:rPr>
          <w:rFonts w:hint="default"/>
          <w:color w:val="auto"/>
          <w:highlight w:val="none"/>
          <w:lang w:val="en-US" w:eastAsia="zh-CN"/>
        </w:rPr>
      </w:pPr>
    </w:p>
    <w:p>
      <w:pPr>
        <w:pStyle w:val="95"/>
        <w:keepNext/>
        <w:keepLines w:val="0"/>
        <w:pageBreakBefore w:val="0"/>
        <w:widowControl/>
        <w:tabs>
          <w:tab w:val="left" w:pos="0"/>
          <w:tab w:val="clear" w:pos="360"/>
        </w:tabs>
        <w:kinsoku/>
        <w:wordWrap/>
        <w:overflowPunct/>
        <w:topLinePunct w:val="0"/>
        <w:autoSpaceDE/>
        <w:autoSpaceDN/>
        <w:bidi w:val="0"/>
        <w:adjustRightInd/>
        <w:snapToGrid/>
        <w:spacing w:after="40"/>
        <w:ind w:left="0" w:leftChars="0" w:firstLine="0" w:firstLineChars="0"/>
        <w:jc w:val="center"/>
        <w:textAlignment w:val="auto"/>
        <w:rPr>
          <w:rFonts w:hint="eastAsia"/>
          <w:color w:val="auto"/>
          <w:highlight w:val="none"/>
          <w:lang w:val="en-US" w:eastAsia="zh-CN"/>
        </w:rPr>
      </w:pPr>
    </w:p>
    <w:p>
      <w:pPr>
        <w:pStyle w:val="108"/>
        <w:bidi w:val="0"/>
        <w:jc w:val="center"/>
        <w:rPr>
          <w:rFonts w:hint="eastAsia"/>
          <w:color w:val="auto"/>
          <w:highlight w:val="none"/>
          <w:lang w:val="en-US" w:eastAsia="zh-CN"/>
        </w:rPr>
      </w:pPr>
      <w:r>
        <w:rPr>
          <w:rFonts w:hint="eastAsia"/>
          <w:color w:val="auto"/>
          <w:highlight w:val="none"/>
          <w:lang w:val="en-US" w:eastAsia="zh-CN"/>
        </w:rPr>
        <w:t>（资料性）</w:t>
      </w:r>
    </w:p>
    <w:p>
      <w:pPr>
        <w:pStyle w:val="108"/>
        <w:bidi w:val="0"/>
        <w:rPr>
          <w:rFonts w:hint="eastAsia"/>
          <w:color w:val="auto"/>
          <w:highlight w:val="none"/>
          <w:lang w:val="en-US" w:eastAsia="zh-CN"/>
        </w:rPr>
      </w:pPr>
      <w:r>
        <w:rPr>
          <w:rFonts w:hint="eastAsia"/>
          <w:color w:val="auto"/>
          <w:highlight w:val="none"/>
          <w:lang w:val="en-US" w:eastAsia="zh-CN"/>
        </w:rPr>
        <w:t>行风状况监测评价指标体系表</w:t>
      </w:r>
    </w:p>
    <w:p>
      <w:pPr>
        <w:pStyle w:val="124"/>
        <w:numPr>
          <w:ilvl w:val="2"/>
          <w:numId w:val="0"/>
        </w:numPr>
        <w:bidi w:val="0"/>
        <w:ind w:leftChars="0"/>
        <w:rPr>
          <w:rFonts w:hint="eastAsia"/>
          <w:color w:val="auto"/>
          <w:highlight w:val="none"/>
          <w:lang w:val="en-US" w:eastAsia="zh-CN"/>
        </w:rPr>
      </w:pPr>
    </w:p>
    <w:p>
      <w:pPr>
        <w:pStyle w:val="124"/>
        <w:numPr>
          <w:ilvl w:val="2"/>
          <w:numId w:val="0"/>
        </w:numPr>
        <w:bidi w:val="0"/>
        <w:ind w:leftChars="0"/>
        <w:rPr>
          <w:rFonts w:hint="eastAsia"/>
          <w:color w:val="auto"/>
          <w:highlight w:val="none"/>
          <w:lang w:val="en-US" w:eastAsia="zh-CN"/>
        </w:rPr>
      </w:pPr>
    </w:p>
    <w:p>
      <w:pPr>
        <w:pStyle w:val="119"/>
        <w:numPr>
          <w:ilvl w:val="1"/>
          <w:numId w:val="0"/>
        </w:numPr>
        <w:bidi w:val="0"/>
        <w:ind w:leftChars="0" w:firstLine="420" w:firstLineChars="200"/>
        <w:rPr>
          <w:rFonts w:hint="eastAsia"/>
          <w:color w:val="auto"/>
          <w:highlight w:val="none"/>
          <w:lang w:val="en-US" w:eastAsia="zh-CN"/>
        </w:rPr>
      </w:pPr>
      <w:r>
        <w:rPr>
          <w:rFonts w:hint="eastAsia"/>
          <w:color w:val="auto"/>
          <w:highlight w:val="none"/>
          <w:lang w:val="en-US" w:eastAsia="zh-CN"/>
        </w:rPr>
        <w:t>行风状况监测评价指标体系表见表B.1.</w:t>
      </w:r>
    </w:p>
    <w:p>
      <w:pPr>
        <w:pStyle w:val="78"/>
        <w:numPr>
          <w:ilvl w:val="1"/>
          <w:numId w:val="0"/>
        </w:numPr>
        <w:bidi w:val="0"/>
        <w:ind w:left="0" w:firstLine="0"/>
        <w:rPr>
          <w:rFonts w:hint="eastAsia"/>
          <w:color w:val="auto"/>
          <w:highlight w:val="none"/>
          <w:lang w:val="en-US" w:eastAsia="zh-CN"/>
        </w:rPr>
      </w:pPr>
      <w:r>
        <w:rPr>
          <w:rFonts w:hint="eastAsia"/>
          <w:color w:val="auto"/>
          <w:highlight w:val="none"/>
          <w:lang w:val="en-US" w:eastAsia="zh-CN"/>
        </w:rPr>
        <w:t>表B.1  行风状况监测评价指标体系表</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2"/>
        <w:gridCol w:w="984"/>
        <w:gridCol w:w="1138"/>
        <w:gridCol w:w="2488"/>
        <w:gridCol w:w="1450"/>
        <w:gridCol w:w="6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2" w:type="dxa"/>
          </w:tcPr>
          <w:p>
            <w:pPr>
              <w:pStyle w:val="26"/>
              <w:ind w:left="0" w:leftChars="0" w:firstLine="0" w:firstLineChars="0"/>
              <w:jc w:val="center"/>
              <w:rPr>
                <w:rFonts w:hint="default"/>
                <w:color w:val="auto"/>
                <w:sz w:val="18"/>
                <w:szCs w:val="18"/>
                <w:highlight w:val="none"/>
                <w:vertAlign w:val="baseline"/>
                <w:lang w:val="en-US" w:eastAsia="zh-CN"/>
              </w:rPr>
            </w:pPr>
            <w:r>
              <w:rPr>
                <w:rFonts w:hint="eastAsia"/>
                <w:color w:val="auto"/>
                <w:sz w:val="18"/>
                <w:szCs w:val="18"/>
                <w:highlight w:val="none"/>
                <w:vertAlign w:val="baseline"/>
                <w:lang w:val="en-US" w:eastAsia="zh-CN"/>
              </w:rPr>
              <w:t>序号</w:t>
            </w:r>
          </w:p>
        </w:tc>
        <w:tc>
          <w:tcPr>
            <w:tcW w:w="984" w:type="dxa"/>
          </w:tcPr>
          <w:p>
            <w:pPr>
              <w:pStyle w:val="26"/>
              <w:ind w:left="0" w:leftChars="0" w:firstLine="0" w:firstLineChars="0"/>
              <w:jc w:val="center"/>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一级指标</w:t>
            </w:r>
          </w:p>
        </w:tc>
        <w:tc>
          <w:tcPr>
            <w:tcW w:w="1138" w:type="dxa"/>
          </w:tcPr>
          <w:p>
            <w:pPr>
              <w:pStyle w:val="26"/>
              <w:ind w:left="0" w:leftChars="0" w:firstLine="0" w:firstLineChars="0"/>
              <w:jc w:val="center"/>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二级指标</w:t>
            </w:r>
          </w:p>
        </w:tc>
        <w:tc>
          <w:tcPr>
            <w:tcW w:w="2488" w:type="dxa"/>
          </w:tcPr>
          <w:p>
            <w:pPr>
              <w:pStyle w:val="26"/>
              <w:ind w:left="0" w:leftChars="0" w:firstLine="0" w:firstLineChars="0"/>
              <w:jc w:val="center"/>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指标说明</w:t>
            </w:r>
          </w:p>
        </w:tc>
        <w:tc>
          <w:tcPr>
            <w:tcW w:w="1450" w:type="dxa"/>
          </w:tcPr>
          <w:p>
            <w:pPr>
              <w:pStyle w:val="26"/>
              <w:ind w:left="0" w:leftChars="0" w:firstLine="0" w:firstLineChars="0"/>
              <w:jc w:val="center"/>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指标信息来源</w:t>
            </w:r>
          </w:p>
        </w:tc>
        <w:tc>
          <w:tcPr>
            <w:tcW w:w="6375" w:type="dxa"/>
          </w:tcPr>
          <w:p>
            <w:pPr>
              <w:pStyle w:val="26"/>
              <w:ind w:left="0" w:leftChars="0" w:firstLine="0" w:firstLineChars="0"/>
              <w:jc w:val="center"/>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赋分标准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2" w:type="dxa"/>
          </w:tcPr>
          <w:p>
            <w:pPr>
              <w:pStyle w:val="26"/>
              <w:ind w:left="0" w:leftChars="0" w:firstLine="0" w:firstLineChars="0"/>
              <w:jc w:val="center"/>
              <w:rPr>
                <w:rFonts w:hint="eastAsia"/>
                <w:color w:val="auto"/>
                <w:sz w:val="18"/>
                <w:szCs w:val="18"/>
                <w:highlight w:val="none"/>
                <w:vertAlign w:val="baseline"/>
                <w:lang w:val="en-US" w:eastAsia="zh-CN"/>
              </w:rPr>
            </w:pPr>
          </w:p>
        </w:tc>
        <w:tc>
          <w:tcPr>
            <w:tcW w:w="984" w:type="dxa"/>
            <w:vMerge w:val="restart"/>
            <w:vAlign w:val="center"/>
          </w:tcPr>
          <w:p>
            <w:pPr>
              <w:pStyle w:val="26"/>
              <w:ind w:left="0" w:leftChars="0" w:firstLine="0" w:firstLineChars="0"/>
              <w:jc w:val="center"/>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问题防治</w:t>
            </w:r>
          </w:p>
        </w:tc>
        <w:tc>
          <w:tcPr>
            <w:tcW w:w="1138" w:type="dxa"/>
            <w:vAlign w:val="center"/>
          </w:tcPr>
          <w:p>
            <w:pPr>
              <w:pStyle w:val="26"/>
              <w:ind w:left="0" w:leftChars="0" w:firstLine="0" w:firstLineChars="0"/>
              <w:jc w:val="center"/>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行风问题防治质量</w:t>
            </w:r>
          </w:p>
        </w:tc>
        <w:tc>
          <w:tcPr>
            <w:tcW w:w="2488" w:type="dxa"/>
            <w:vAlign w:val="center"/>
          </w:tcPr>
          <w:p>
            <w:pPr>
              <w:pStyle w:val="26"/>
              <w:ind w:left="0" w:leftChars="0" w:firstLine="0" w:firstLineChars="0"/>
              <w:jc w:val="both"/>
              <w:rPr>
                <w:rFonts w:hint="eastAsia" w:eastAsia="宋体"/>
                <w:color w:val="auto"/>
                <w:sz w:val="18"/>
                <w:szCs w:val="18"/>
                <w:highlight w:val="none"/>
                <w:vertAlign w:val="baseline"/>
                <w:lang w:val="en-US" w:eastAsia="zh-CN"/>
              </w:rPr>
            </w:pPr>
            <w:r>
              <w:rPr>
                <w:rFonts w:hint="eastAsia"/>
                <w:color w:val="auto"/>
                <w:sz w:val="18"/>
                <w:szCs w:val="18"/>
                <w:highlight w:val="none"/>
                <w:vertAlign w:val="baseline"/>
                <w:lang w:val="en-US" w:eastAsia="zh-CN"/>
              </w:rPr>
              <w:t>评价各地主动排查整治绗风问题情况。（每季度最后一个月25日前向省局报送本季度行风问题案例情况）</w:t>
            </w:r>
          </w:p>
        </w:tc>
        <w:tc>
          <w:tcPr>
            <w:tcW w:w="1450" w:type="dxa"/>
            <w:vAlign w:val="center"/>
          </w:tcPr>
          <w:p>
            <w:pPr>
              <w:pStyle w:val="26"/>
              <w:ind w:left="0" w:leftChars="0" w:firstLine="0" w:firstLineChars="0"/>
              <w:jc w:val="center"/>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市级局上报</w:t>
            </w:r>
          </w:p>
        </w:tc>
        <w:tc>
          <w:tcPr>
            <w:tcW w:w="6375" w:type="dxa"/>
          </w:tcPr>
          <w:p>
            <w:pPr>
              <w:pStyle w:val="26"/>
              <w:numPr>
                <w:ilvl w:val="0"/>
                <w:numId w:val="22"/>
              </w:numPr>
              <w:tabs>
                <w:tab w:val="center" w:pos="220"/>
                <w:tab w:val="clear" w:pos="312"/>
                <w:tab w:val="clear" w:pos="4201"/>
              </w:tabs>
              <w:ind w:left="0" w:leftChars="0" w:firstLine="0" w:firstLineChars="0"/>
              <w:jc w:val="both"/>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所报案例符合《市场监管系统行风问题排查整治指引清单》要求，或经省局行风办研究论证确属行风问题，且有市级局正式处理意见和整改措施的，每个案例加2分；</w:t>
            </w:r>
          </w:p>
          <w:p>
            <w:pPr>
              <w:pStyle w:val="26"/>
              <w:numPr>
                <w:ilvl w:val="0"/>
                <w:numId w:val="22"/>
              </w:numPr>
              <w:tabs>
                <w:tab w:val="center" w:pos="220"/>
                <w:tab w:val="clear" w:pos="312"/>
                <w:tab w:val="clear" w:pos="4201"/>
              </w:tabs>
              <w:ind w:left="0" w:leftChars="0" w:firstLine="0" w:firstLineChars="0"/>
              <w:jc w:val="both"/>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在1所列条件的基础上，以正式文件对该典型案例在全市（区）范围进行通报，取得良好警示教育效果的，每个案例再加5分。</w:t>
            </w:r>
          </w:p>
          <w:p>
            <w:pPr>
              <w:pStyle w:val="26"/>
              <w:numPr>
                <w:ilvl w:val="0"/>
                <w:numId w:val="0"/>
              </w:numPr>
              <w:ind w:leftChars="0"/>
              <w:jc w:val="both"/>
              <w:rPr>
                <w:rFonts w:hint="default"/>
                <w:color w:val="auto"/>
                <w:sz w:val="18"/>
                <w:szCs w:val="18"/>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2" w:type="dxa"/>
          </w:tcPr>
          <w:p>
            <w:pPr>
              <w:pStyle w:val="26"/>
              <w:ind w:left="0" w:leftChars="0" w:firstLine="0" w:firstLineChars="0"/>
              <w:jc w:val="center"/>
              <w:rPr>
                <w:rFonts w:hint="eastAsia"/>
                <w:color w:val="auto"/>
                <w:sz w:val="18"/>
                <w:szCs w:val="18"/>
                <w:highlight w:val="none"/>
                <w:vertAlign w:val="baseline"/>
                <w:lang w:val="en-US" w:eastAsia="zh-CN"/>
              </w:rPr>
            </w:pPr>
          </w:p>
        </w:tc>
        <w:tc>
          <w:tcPr>
            <w:tcW w:w="984" w:type="dxa"/>
            <w:vMerge w:val="continue"/>
            <w:vAlign w:val="center"/>
          </w:tcPr>
          <w:p>
            <w:pPr>
              <w:pStyle w:val="26"/>
              <w:ind w:left="0" w:leftChars="0" w:firstLine="0" w:firstLineChars="0"/>
              <w:jc w:val="center"/>
              <w:rPr>
                <w:rFonts w:hint="eastAsia"/>
                <w:color w:val="auto"/>
                <w:sz w:val="18"/>
                <w:szCs w:val="18"/>
                <w:highlight w:val="none"/>
                <w:vertAlign w:val="baseline"/>
                <w:lang w:val="en-US" w:eastAsia="zh-CN"/>
              </w:rPr>
            </w:pPr>
          </w:p>
        </w:tc>
        <w:tc>
          <w:tcPr>
            <w:tcW w:w="1138" w:type="dxa"/>
            <w:vAlign w:val="center"/>
          </w:tcPr>
          <w:p>
            <w:pPr>
              <w:pStyle w:val="26"/>
              <w:ind w:left="0" w:leftChars="0" w:firstLine="0" w:firstLineChars="0"/>
              <w:jc w:val="center"/>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群众反映问题处理情况</w:t>
            </w:r>
          </w:p>
        </w:tc>
        <w:tc>
          <w:tcPr>
            <w:tcW w:w="2488" w:type="dxa"/>
          </w:tcPr>
          <w:p>
            <w:pPr>
              <w:pStyle w:val="26"/>
              <w:ind w:left="0" w:leftChars="0" w:firstLine="0" w:firstLineChars="0"/>
              <w:jc w:val="both"/>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评价各地处理经营主体和群众通过总局行风问题征集系统、省局行风问题线索举报电话反映行风问题办理情况。</w:t>
            </w:r>
          </w:p>
        </w:tc>
        <w:tc>
          <w:tcPr>
            <w:tcW w:w="1450" w:type="dxa"/>
            <w:vAlign w:val="center"/>
          </w:tcPr>
          <w:p>
            <w:pPr>
              <w:pStyle w:val="26"/>
              <w:ind w:left="0" w:leftChars="0" w:firstLine="0" w:firstLineChars="0"/>
              <w:jc w:val="both"/>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总局行风问题征集系统、省局行风问题线索举报电话记录，各市级局上报文件</w:t>
            </w:r>
          </w:p>
        </w:tc>
        <w:tc>
          <w:tcPr>
            <w:tcW w:w="6375" w:type="dxa"/>
            <w:vAlign w:val="center"/>
          </w:tcPr>
          <w:p>
            <w:pPr>
              <w:pStyle w:val="26"/>
              <w:ind w:left="0" w:leftChars="0" w:firstLine="0" w:firstLineChars="0"/>
              <w:jc w:val="both"/>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1.未及时处理的（以省局收到市级局报送的正式文件时间为准，原则上超过省局规定时间判定为未及时处理），每个扣5分；</w:t>
            </w:r>
          </w:p>
          <w:p>
            <w:pPr>
              <w:pStyle w:val="26"/>
              <w:ind w:left="0" w:leftChars="0" w:firstLine="0" w:firstLineChars="0"/>
              <w:jc w:val="both"/>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2.已处理的问题，同一反映人再次反映同一问题的，每个扣5分。</w:t>
            </w:r>
          </w:p>
        </w:tc>
      </w:tr>
    </w:tbl>
    <w:p>
      <w:pPr>
        <w:pStyle w:val="26"/>
        <w:ind w:left="0" w:leftChars="0" w:firstLine="0" w:firstLineChars="0"/>
        <w:jc w:val="center"/>
        <w:rPr>
          <w:rFonts w:hint="eastAsia"/>
          <w:color w:val="auto"/>
          <w:sz w:val="18"/>
          <w:szCs w:val="18"/>
          <w:highlight w:val="none"/>
          <w:vertAlign w:val="baseline"/>
          <w:lang w:val="en-US" w:eastAsia="zh-CN"/>
        </w:rPr>
        <w:sectPr>
          <w:footerReference r:id="rId11" w:type="default"/>
          <w:pgSz w:w="16838" w:h="11906" w:orient="landscape"/>
          <w:pgMar w:top="1418" w:right="567" w:bottom="1134" w:left="1134" w:header="1418" w:footer="1134" w:gutter="0"/>
          <w:pgNumType w:fmt="decimal"/>
          <w:cols w:space="720" w:num="1"/>
          <w:formProt w:val="0"/>
          <w:docGrid w:type="lines" w:linePitch="312" w:charSpace="0"/>
        </w:sectPr>
      </w:pP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5"/>
        <w:gridCol w:w="726"/>
        <w:gridCol w:w="813"/>
        <w:gridCol w:w="1649"/>
        <w:gridCol w:w="988"/>
        <w:gridCol w:w="3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2" w:type="dxa"/>
          </w:tcPr>
          <w:p>
            <w:pPr>
              <w:pStyle w:val="26"/>
              <w:ind w:left="0" w:leftChars="0" w:firstLine="0" w:firstLineChars="0"/>
              <w:jc w:val="center"/>
              <w:rPr>
                <w:rFonts w:hint="eastAsia"/>
                <w:color w:val="auto"/>
                <w:sz w:val="18"/>
                <w:szCs w:val="18"/>
                <w:highlight w:val="none"/>
                <w:vertAlign w:val="baseline"/>
                <w:lang w:val="en-US" w:eastAsia="zh-CN"/>
              </w:rPr>
            </w:pPr>
          </w:p>
        </w:tc>
        <w:tc>
          <w:tcPr>
            <w:tcW w:w="984" w:type="dxa"/>
            <w:vAlign w:val="center"/>
          </w:tcPr>
          <w:p>
            <w:pPr>
              <w:pStyle w:val="26"/>
              <w:ind w:left="0" w:leftChars="0" w:firstLine="0" w:firstLineChars="0"/>
              <w:jc w:val="center"/>
              <w:rPr>
                <w:rFonts w:hint="eastAsia"/>
                <w:color w:val="auto"/>
                <w:sz w:val="18"/>
                <w:szCs w:val="18"/>
                <w:highlight w:val="none"/>
                <w:vertAlign w:val="baseline"/>
                <w:lang w:val="en-US" w:eastAsia="zh-CN"/>
              </w:rPr>
            </w:pPr>
          </w:p>
        </w:tc>
        <w:tc>
          <w:tcPr>
            <w:tcW w:w="1138" w:type="dxa"/>
            <w:vAlign w:val="center"/>
          </w:tcPr>
          <w:p>
            <w:pPr>
              <w:pStyle w:val="26"/>
              <w:ind w:left="0" w:leftChars="0" w:firstLine="0" w:firstLineChars="0"/>
              <w:jc w:val="center"/>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督办转办问题处理情况</w:t>
            </w:r>
          </w:p>
        </w:tc>
        <w:tc>
          <w:tcPr>
            <w:tcW w:w="2488" w:type="dxa"/>
          </w:tcPr>
          <w:p>
            <w:pPr>
              <w:pStyle w:val="26"/>
              <w:ind w:left="0" w:leftChars="0" w:firstLine="0" w:firstLineChars="0"/>
              <w:jc w:val="both"/>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评价各地处理总局、省局督办转办行风问题情况。（此处省局转办不含总局行风问题征集系统、省局行风问题线索举报电话反映问题办理）</w:t>
            </w:r>
          </w:p>
        </w:tc>
        <w:tc>
          <w:tcPr>
            <w:tcW w:w="1450" w:type="dxa"/>
            <w:vAlign w:val="center"/>
          </w:tcPr>
          <w:p>
            <w:pPr>
              <w:pStyle w:val="26"/>
              <w:ind w:left="0" w:leftChars="0" w:firstLine="0" w:firstLineChars="0"/>
              <w:jc w:val="center"/>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行风办统计</w:t>
            </w:r>
          </w:p>
        </w:tc>
        <w:tc>
          <w:tcPr>
            <w:tcW w:w="6375" w:type="dxa"/>
          </w:tcPr>
          <w:p>
            <w:pPr>
              <w:pStyle w:val="26"/>
              <w:ind w:left="0" w:leftChars="0" w:firstLine="0" w:firstLineChars="0"/>
              <w:jc w:val="both"/>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1.超过限定反馈时间的，每件扣5分；</w:t>
            </w:r>
          </w:p>
          <w:p>
            <w:pPr>
              <w:pStyle w:val="26"/>
              <w:ind w:left="0" w:leftChars="0" w:firstLine="0" w:firstLineChars="0"/>
              <w:jc w:val="both"/>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2.反馈的处理情况不符合要求的（如事实核查不清楚、原因分析不充分、结论意见不明确，以及照抄照转、弄虚作假等），每件扣5分。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2" w:type="dxa"/>
          </w:tcPr>
          <w:p>
            <w:pPr>
              <w:pStyle w:val="26"/>
              <w:ind w:left="0" w:leftChars="0" w:firstLine="0" w:firstLineChars="0"/>
              <w:jc w:val="center"/>
              <w:rPr>
                <w:rFonts w:hint="eastAsia"/>
                <w:color w:val="auto"/>
                <w:sz w:val="18"/>
                <w:szCs w:val="18"/>
                <w:highlight w:val="none"/>
                <w:vertAlign w:val="baseline"/>
                <w:lang w:val="en-US" w:eastAsia="zh-CN"/>
              </w:rPr>
            </w:pPr>
          </w:p>
        </w:tc>
        <w:tc>
          <w:tcPr>
            <w:tcW w:w="984" w:type="dxa"/>
            <w:vMerge w:val="restart"/>
            <w:vAlign w:val="center"/>
          </w:tcPr>
          <w:p>
            <w:pPr>
              <w:pStyle w:val="26"/>
              <w:ind w:left="0" w:leftChars="0" w:firstLine="0" w:firstLineChars="0"/>
              <w:jc w:val="center"/>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创新创优</w:t>
            </w:r>
          </w:p>
        </w:tc>
        <w:tc>
          <w:tcPr>
            <w:tcW w:w="1138" w:type="dxa"/>
            <w:vAlign w:val="center"/>
          </w:tcPr>
          <w:p>
            <w:pPr>
              <w:pStyle w:val="26"/>
              <w:ind w:left="0" w:leftChars="0" w:firstLine="0" w:firstLineChars="0"/>
              <w:jc w:val="center"/>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创新举措</w:t>
            </w:r>
          </w:p>
        </w:tc>
        <w:tc>
          <w:tcPr>
            <w:tcW w:w="2488" w:type="dxa"/>
          </w:tcPr>
          <w:p>
            <w:pPr>
              <w:pStyle w:val="26"/>
              <w:ind w:left="0" w:leftChars="0" w:firstLine="0" w:firstLineChars="0"/>
              <w:jc w:val="both"/>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评价各地发挥工作主动性，为优化行风而采取的创新性工作举措和取得的成效。（每季度最后一个月25日前向省局报送本季度情况）</w:t>
            </w:r>
          </w:p>
        </w:tc>
        <w:tc>
          <w:tcPr>
            <w:tcW w:w="1450" w:type="dxa"/>
            <w:vAlign w:val="center"/>
          </w:tcPr>
          <w:p>
            <w:pPr>
              <w:pStyle w:val="26"/>
              <w:ind w:left="0" w:leftChars="0" w:firstLine="0" w:firstLineChars="0"/>
              <w:jc w:val="center"/>
              <w:rPr>
                <w:rFonts w:hint="eastAsia"/>
                <w:color w:val="auto"/>
                <w:sz w:val="18"/>
                <w:szCs w:val="18"/>
                <w:highlight w:val="none"/>
                <w:vertAlign w:val="baseline"/>
                <w:lang w:val="en-US" w:eastAsia="zh-CN"/>
              </w:rPr>
            </w:pPr>
          </w:p>
        </w:tc>
        <w:tc>
          <w:tcPr>
            <w:tcW w:w="6375" w:type="dxa"/>
          </w:tcPr>
          <w:p>
            <w:pPr>
              <w:pStyle w:val="26"/>
              <w:ind w:left="0" w:leftChars="0" w:firstLine="0" w:firstLineChars="0"/>
              <w:jc w:val="both"/>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1.工作信息被总局行风建设工作简报单篇采用的，每篇加10分；综合采用的，每次加5分；</w:t>
            </w:r>
          </w:p>
          <w:p>
            <w:pPr>
              <w:pStyle w:val="26"/>
              <w:ind w:left="0" w:leftChars="0" w:firstLine="0" w:firstLineChars="0"/>
              <w:jc w:val="both"/>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2.工作信息被省局行风建设工作简报单篇采用的，每篇加5分；综合采用的，每次加2分；</w:t>
            </w:r>
          </w:p>
          <w:p>
            <w:pPr>
              <w:pStyle w:val="26"/>
              <w:ind w:left="0" w:leftChars="0" w:firstLine="0" w:firstLineChars="0"/>
              <w:jc w:val="both"/>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3.被中央主要媒体（18家单位）正面宣传报道的，每次加10分；被省级主要媒体（党报、党刊、卫视频道）正面宣传报道的，每次加5分；被其他媒体正面宣传报道的，每次加1分。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2" w:type="dxa"/>
          </w:tcPr>
          <w:p>
            <w:pPr>
              <w:pStyle w:val="26"/>
              <w:ind w:left="0" w:leftChars="0" w:firstLine="0" w:firstLineChars="0"/>
              <w:jc w:val="center"/>
              <w:rPr>
                <w:rFonts w:hint="eastAsia"/>
                <w:color w:val="auto"/>
                <w:sz w:val="18"/>
                <w:szCs w:val="18"/>
                <w:highlight w:val="none"/>
                <w:vertAlign w:val="baseline"/>
                <w:lang w:val="en-US" w:eastAsia="zh-CN"/>
              </w:rPr>
            </w:pPr>
          </w:p>
        </w:tc>
        <w:tc>
          <w:tcPr>
            <w:tcW w:w="984" w:type="dxa"/>
            <w:vMerge w:val="continue"/>
            <w:vAlign w:val="center"/>
          </w:tcPr>
          <w:p>
            <w:pPr>
              <w:pStyle w:val="26"/>
              <w:ind w:left="0" w:leftChars="0" w:firstLine="0" w:firstLineChars="0"/>
              <w:jc w:val="center"/>
              <w:rPr>
                <w:rFonts w:hint="eastAsia"/>
                <w:color w:val="auto"/>
                <w:sz w:val="18"/>
                <w:szCs w:val="18"/>
                <w:highlight w:val="none"/>
                <w:vertAlign w:val="baseline"/>
                <w:lang w:val="en-US" w:eastAsia="zh-CN"/>
              </w:rPr>
            </w:pPr>
          </w:p>
        </w:tc>
        <w:tc>
          <w:tcPr>
            <w:tcW w:w="1138" w:type="dxa"/>
            <w:vAlign w:val="center"/>
          </w:tcPr>
          <w:p>
            <w:pPr>
              <w:pStyle w:val="26"/>
              <w:ind w:left="0" w:leftChars="0" w:firstLine="0" w:firstLineChars="0"/>
              <w:jc w:val="center"/>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表扬肯定</w:t>
            </w:r>
          </w:p>
        </w:tc>
        <w:tc>
          <w:tcPr>
            <w:tcW w:w="2488" w:type="dxa"/>
          </w:tcPr>
          <w:p>
            <w:pPr>
              <w:pStyle w:val="26"/>
              <w:ind w:left="0" w:leftChars="0" w:firstLine="0" w:firstLineChars="0"/>
              <w:jc w:val="both"/>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评价各地行风建设工作得到有关领导或部门表扬肯定的情况。（每季度最后一个月25日前向省局报送本季度情况）</w:t>
            </w:r>
          </w:p>
        </w:tc>
        <w:tc>
          <w:tcPr>
            <w:tcW w:w="1450" w:type="dxa"/>
            <w:vAlign w:val="center"/>
          </w:tcPr>
          <w:p>
            <w:pPr>
              <w:pStyle w:val="26"/>
              <w:ind w:left="0" w:leftChars="0" w:firstLine="0" w:firstLineChars="0"/>
              <w:jc w:val="center"/>
              <w:rPr>
                <w:rFonts w:hint="eastAsia"/>
                <w:color w:val="auto"/>
                <w:sz w:val="18"/>
                <w:szCs w:val="18"/>
                <w:highlight w:val="none"/>
                <w:vertAlign w:val="baseline"/>
                <w:lang w:val="en-US" w:eastAsia="zh-CN"/>
              </w:rPr>
            </w:pPr>
          </w:p>
        </w:tc>
        <w:tc>
          <w:tcPr>
            <w:tcW w:w="6375" w:type="dxa"/>
          </w:tcPr>
          <w:p>
            <w:pPr>
              <w:pStyle w:val="26"/>
              <w:ind w:left="0" w:leftChars="0" w:firstLine="0" w:firstLineChars="0"/>
              <w:jc w:val="both"/>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1.得到省委、省政府领导或总局主要领导肯定性批示的，每次加10分；</w:t>
            </w:r>
          </w:p>
          <w:p>
            <w:pPr>
              <w:pStyle w:val="26"/>
              <w:ind w:left="0" w:leftChars="0" w:firstLine="0" w:firstLineChars="0"/>
              <w:jc w:val="both"/>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2.被总局作为正面典型案例在全国推广的，每项加10分。</w:t>
            </w:r>
          </w:p>
          <w:p>
            <w:pPr>
              <w:pStyle w:val="26"/>
              <w:ind w:left="0" w:leftChars="0" w:firstLine="0" w:firstLineChars="0"/>
              <w:jc w:val="both"/>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3.被省局作为正面典型案例在全省推广的，每项加5分。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2" w:type="dxa"/>
          </w:tcPr>
          <w:p>
            <w:pPr>
              <w:pStyle w:val="26"/>
              <w:ind w:left="0" w:leftChars="0" w:firstLine="0" w:firstLineChars="0"/>
              <w:jc w:val="center"/>
              <w:rPr>
                <w:rFonts w:hint="eastAsia"/>
                <w:color w:val="auto"/>
                <w:sz w:val="18"/>
                <w:szCs w:val="18"/>
                <w:highlight w:val="none"/>
                <w:vertAlign w:val="baseline"/>
                <w:lang w:val="en-US" w:eastAsia="zh-CN"/>
              </w:rPr>
            </w:pPr>
          </w:p>
        </w:tc>
        <w:tc>
          <w:tcPr>
            <w:tcW w:w="984" w:type="dxa"/>
            <w:vMerge w:val="restart"/>
            <w:vAlign w:val="center"/>
          </w:tcPr>
          <w:p>
            <w:pPr>
              <w:pStyle w:val="26"/>
              <w:ind w:left="0" w:leftChars="0" w:firstLine="0" w:firstLineChars="0"/>
              <w:jc w:val="center"/>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负面影响</w:t>
            </w:r>
          </w:p>
        </w:tc>
        <w:tc>
          <w:tcPr>
            <w:tcW w:w="1138" w:type="dxa"/>
            <w:vAlign w:val="center"/>
          </w:tcPr>
          <w:p>
            <w:pPr>
              <w:pStyle w:val="26"/>
              <w:ind w:left="0" w:leftChars="0" w:firstLine="0" w:firstLineChars="0"/>
              <w:jc w:val="center"/>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典型问题通报情况</w:t>
            </w:r>
          </w:p>
        </w:tc>
        <w:tc>
          <w:tcPr>
            <w:tcW w:w="2488" w:type="dxa"/>
          </w:tcPr>
          <w:p>
            <w:pPr>
              <w:pStyle w:val="26"/>
              <w:ind w:left="0" w:leftChars="0" w:firstLine="0" w:firstLineChars="0"/>
              <w:jc w:val="both"/>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评价各地发生行风问题，且被中央纪委国家监委、省纪委监委通报曝光的情况。</w:t>
            </w:r>
          </w:p>
        </w:tc>
        <w:tc>
          <w:tcPr>
            <w:tcW w:w="1450" w:type="dxa"/>
            <w:vAlign w:val="center"/>
          </w:tcPr>
          <w:p>
            <w:pPr>
              <w:pStyle w:val="26"/>
              <w:ind w:left="0" w:leftChars="0" w:firstLine="0" w:firstLineChars="0"/>
              <w:jc w:val="center"/>
              <w:rPr>
                <w:rFonts w:hint="eastAsia"/>
                <w:color w:val="auto"/>
                <w:sz w:val="18"/>
                <w:szCs w:val="18"/>
                <w:highlight w:val="none"/>
                <w:vertAlign w:val="baseline"/>
                <w:lang w:val="en-US" w:eastAsia="zh-CN"/>
              </w:rPr>
            </w:pPr>
          </w:p>
        </w:tc>
        <w:tc>
          <w:tcPr>
            <w:tcW w:w="6375" w:type="dxa"/>
          </w:tcPr>
          <w:p>
            <w:pPr>
              <w:pStyle w:val="26"/>
              <w:ind w:left="0" w:leftChars="0" w:firstLine="0" w:firstLineChars="0"/>
              <w:jc w:val="both"/>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1.被中央纪委国家监委网站通报曝光的，每起扣10分；</w:t>
            </w:r>
          </w:p>
          <w:p>
            <w:pPr>
              <w:pStyle w:val="26"/>
              <w:ind w:left="0" w:leftChars="0" w:firstLine="0" w:firstLineChars="0"/>
              <w:jc w:val="both"/>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2.被省纪委监委网站通报曝光的，每起扣5分；</w:t>
            </w:r>
          </w:p>
          <w:p>
            <w:pPr>
              <w:pStyle w:val="26"/>
              <w:ind w:left="0" w:leftChars="0" w:firstLine="0" w:firstLineChars="0"/>
              <w:jc w:val="both"/>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3.上述通报曝光的案例，如果是由本级机关主动发现、查处、上报的，不扣分。（需提交证明材料）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2" w:type="dxa"/>
          </w:tcPr>
          <w:p>
            <w:pPr>
              <w:pStyle w:val="26"/>
              <w:ind w:left="0" w:leftChars="0" w:firstLine="0" w:firstLineChars="0"/>
              <w:jc w:val="center"/>
              <w:rPr>
                <w:rFonts w:hint="eastAsia"/>
                <w:color w:val="auto"/>
                <w:sz w:val="18"/>
                <w:szCs w:val="18"/>
                <w:highlight w:val="none"/>
                <w:vertAlign w:val="baseline"/>
                <w:lang w:val="en-US" w:eastAsia="zh-CN"/>
              </w:rPr>
            </w:pPr>
          </w:p>
        </w:tc>
        <w:tc>
          <w:tcPr>
            <w:tcW w:w="984" w:type="dxa"/>
            <w:vMerge w:val="continue"/>
          </w:tcPr>
          <w:p>
            <w:pPr>
              <w:pStyle w:val="26"/>
              <w:ind w:left="0" w:leftChars="0" w:firstLine="0" w:firstLineChars="0"/>
              <w:jc w:val="center"/>
              <w:rPr>
                <w:rFonts w:hint="eastAsia"/>
                <w:color w:val="auto"/>
                <w:sz w:val="18"/>
                <w:szCs w:val="18"/>
                <w:highlight w:val="none"/>
                <w:vertAlign w:val="baseline"/>
                <w:lang w:val="en-US" w:eastAsia="zh-CN"/>
              </w:rPr>
            </w:pPr>
          </w:p>
        </w:tc>
        <w:tc>
          <w:tcPr>
            <w:tcW w:w="1138" w:type="dxa"/>
            <w:vAlign w:val="center"/>
          </w:tcPr>
          <w:p>
            <w:pPr>
              <w:pStyle w:val="26"/>
              <w:ind w:left="0" w:leftChars="0" w:firstLine="0" w:firstLineChars="0"/>
              <w:jc w:val="center"/>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负面舆情监测情况</w:t>
            </w:r>
          </w:p>
        </w:tc>
        <w:tc>
          <w:tcPr>
            <w:tcW w:w="2488" w:type="dxa"/>
          </w:tcPr>
          <w:p>
            <w:pPr>
              <w:pStyle w:val="26"/>
              <w:ind w:left="0" w:leftChars="0" w:firstLine="0" w:firstLineChars="0"/>
              <w:jc w:val="both"/>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评价各地发生行风问题且引起较大社会负面影响的情况。</w:t>
            </w:r>
          </w:p>
        </w:tc>
        <w:tc>
          <w:tcPr>
            <w:tcW w:w="1450" w:type="dxa"/>
            <w:vAlign w:val="center"/>
          </w:tcPr>
          <w:p>
            <w:pPr>
              <w:pStyle w:val="26"/>
              <w:ind w:left="0" w:leftChars="0" w:firstLine="0" w:firstLineChars="0"/>
              <w:jc w:val="center"/>
              <w:rPr>
                <w:rFonts w:hint="eastAsia"/>
                <w:color w:val="auto"/>
                <w:sz w:val="18"/>
                <w:szCs w:val="18"/>
                <w:highlight w:val="none"/>
                <w:vertAlign w:val="baseline"/>
                <w:lang w:val="en-US" w:eastAsia="zh-CN"/>
              </w:rPr>
            </w:pPr>
          </w:p>
        </w:tc>
        <w:tc>
          <w:tcPr>
            <w:tcW w:w="6375" w:type="dxa"/>
          </w:tcPr>
          <w:p>
            <w:pPr>
              <w:pStyle w:val="26"/>
              <w:ind w:left="0" w:leftChars="0" w:firstLine="0" w:firstLineChars="0"/>
              <w:jc w:val="both"/>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1.发生负面舆情事件，被总局《市场监管舆情》《重大舆情专报》刊载的，每起扣10分；</w:t>
            </w:r>
          </w:p>
          <w:p>
            <w:pPr>
              <w:pStyle w:val="26"/>
              <w:ind w:left="0" w:leftChars="0" w:firstLine="0" w:firstLineChars="0"/>
              <w:jc w:val="both"/>
              <w:rPr>
                <w:rFonts w:hint="eastAsia"/>
                <w:color w:val="auto"/>
                <w:sz w:val="18"/>
                <w:szCs w:val="18"/>
                <w:highlight w:val="none"/>
                <w:vertAlign w:val="baseline"/>
                <w:lang w:val="en-US" w:eastAsia="zh-CN"/>
              </w:rPr>
            </w:pPr>
            <w:r>
              <w:rPr>
                <w:rFonts w:hint="eastAsia"/>
                <w:color w:val="auto"/>
                <w:sz w:val="18"/>
                <w:szCs w:val="18"/>
                <w:highlight w:val="none"/>
                <w:vertAlign w:val="baseline"/>
                <w:lang w:val="en-US" w:eastAsia="zh-CN"/>
              </w:rPr>
              <w:t>2.发生重大舆情、造成严重不良影响的，扣20分。作为否决项，评价结果降为最低等次。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37" w:type="dxa"/>
            <w:gridSpan w:val="6"/>
          </w:tcPr>
          <w:p>
            <w:pPr>
              <w:pStyle w:val="110"/>
              <w:bidi w:val="0"/>
              <w:rPr>
                <w:rFonts w:hint="eastAsia"/>
                <w:color w:val="auto"/>
                <w:highlight w:val="none"/>
                <w:lang w:val="en-US" w:eastAsia="zh-CN"/>
              </w:rPr>
            </w:pPr>
            <w:r>
              <w:rPr>
                <w:rFonts w:hint="eastAsia"/>
                <w:color w:val="auto"/>
                <w:highlight w:val="none"/>
                <w:lang w:val="en-US" w:eastAsia="zh-CN"/>
              </w:rPr>
              <w:t>行风状况监测评价基准分值为100分，在此基础上根据各指标情况进行加分或扣分，得出各地综合得分。</w:t>
            </w:r>
          </w:p>
        </w:tc>
      </w:tr>
    </w:tbl>
    <w:p>
      <w:pPr>
        <w:pStyle w:val="26"/>
        <w:shd w:val="clear"/>
        <w:rPr>
          <w:color w:val="auto"/>
          <w:highlight w:val="none"/>
        </w:rPr>
      </w:pPr>
    </w:p>
    <w:p>
      <w:pPr>
        <w:pStyle w:val="87"/>
        <w:framePr w:wrap="around" w:y="1"/>
        <w:shd w:val="clear"/>
        <w:rPr>
          <w:color w:val="auto"/>
          <w:highlight w:val="none"/>
        </w:rPr>
      </w:pPr>
      <w:r>
        <w:rPr>
          <w:color w:val="auto"/>
          <w:highlight w:val="none"/>
        </w:rPr>
        <w:t>_________________________________</w:t>
      </w:r>
    </w:p>
    <w:p>
      <w:pPr>
        <w:pStyle w:val="26"/>
        <w:shd w:val="clear"/>
        <w:rPr>
          <w:color w:val="auto"/>
          <w:highlight w:val="none"/>
        </w:rPr>
      </w:pPr>
    </w:p>
    <w:p>
      <w:pPr>
        <w:pStyle w:val="87"/>
        <w:framePr w:hSpace="0" w:vSpace="0" w:wrap="auto" w:vAnchor="margin" w:hAnchor="text" w:xAlign="left" w:yAlign="inline"/>
        <w:rPr>
          <w:rFonts w:hint="eastAsia"/>
          <w:highlight w:val="none"/>
        </w:rPr>
      </w:pPr>
      <w:bookmarkStart w:id="53" w:name="_GoBack"/>
      <w:bookmarkEnd w:id="53"/>
    </w:p>
    <w:sectPr>
      <w:footerReference r:id="rId12"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FZFSK--GBK1-0">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pPr>
                      <w:pStyle w:val="2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7"/>
      <w:ind w:right="918"/>
      <w:jc w:val="center"/>
      <w:rPr>
        <w:rFonts w:hint="eastAsia"/>
      </w:rPr>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pPr>
                      <w:pStyle w:val="2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rPr>
        <w:rFonts w:hint="default"/>
        <w:lang w:val="en-US"/>
      </w:rPr>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pPr>
                      <w:pStyle w:val="20"/>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0"/>
                            <w:rPr>
                              <w:rFonts w:hint="eastAsia" w:eastAsia="宋体"/>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20"/>
                      <w:rPr>
                        <w:rFonts w:hint="eastAsia" w:eastAsia="宋体"/>
                        <w:lang w:eastAsia="zh-CN"/>
                      </w:rPr>
                    </w:pPr>
                  </w:p>
                </w:txbxContent>
              </v:textbox>
            </v:shape>
          </w:pict>
        </mc:Fallback>
      </mc:AlternateContent>
    </w:r>
    <w:r>
      <w:rPr>
        <w:rFonts w:hint="eastAsia"/>
        <w:lang w:val="en-US" w:eastAsia="zh-CN"/>
      </w:rPr>
      <w:t>16</w:t>
    </w:r>
  </w:p>
  <w:p>
    <w:pPr>
      <w:pStyle w:val="117"/>
      <w:ind w:right="918"/>
      <w:jc w:val="center"/>
      <w:rPr>
        <w:rFonts w:hint="eastAsi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rPr>
        <w:rFonts w:hint="eastAsia"/>
      </w:rPr>
    </w:pPr>
    <w:r>
      <w:rPr>
        <w:sz w:val="18"/>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20"/>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t>DB</w:t>
    </w:r>
    <w:r>
      <w:rPr>
        <w:rFonts w:hint="eastAsia"/>
        <w:lang w:val="en-US" w:eastAsia="zh-CN"/>
      </w:rPr>
      <w:t>61</w:t>
    </w:r>
    <w:r>
      <w:t>/</w:t>
    </w:r>
    <w:r>
      <w:rPr>
        <w:rFonts w:hint="eastAsia"/>
        <w:lang w:val="en-US" w:eastAsia="zh-CN"/>
      </w:rPr>
      <w:t>T</w:t>
    </w:r>
    <w:r>
      <w:t xml:space="preserve"> XXXXX—XXXX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t>DB</w:t>
    </w:r>
    <w:r>
      <w:rPr>
        <w:rFonts w:hint="eastAsia"/>
        <w:lang w:val="en-US" w:eastAsia="zh-CN"/>
      </w:rPr>
      <w:t>61</w:t>
    </w:r>
    <w:r>
      <w:t>/</w:t>
    </w:r>
    <w:r>
      <w:rPr>
        <w:rFonts w:hint="eastAsia"/>
        <w:lang w:val="en-US" w:eastAsia="zh-CN"/>
      </w:rPr>
      <w:t>T</w:t>
    </w:r>
    <w:r>
      <w:t xml:space="preserve">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EF65C1"/>
    <w:multiLevelType w:val="multilevel"/>
    <w:tmpl w:val="D9EF65C1"/>
    <w:lvl w:ilvl="0" w:tentative="0">
      <w:start w:val="1"/>
      <w:numFmt w:val="lowerLetter"/>
      <w:pStyle w:val="9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20"/>
      <w:lvlText w:val="%2)"/>
      <w:lvlJc w:val="left"/>
      <w:pPr>
        <w:tabs>
          <w:tab w:val="left" w:pos="1260"/>
        </w:tabs>
        <w:ind w:left="1259" w:hanging="419"/>
      </w:pPr>
      <w:rPr>
        <w:rFonts w:hint="eastAsia"/>
      </w:rPr>
    </w:lvl>
    <w:lvl w:ilvl="2" w:tentative="0">
      <w:start w:val="1"/>
      <w:numFmt w:val="decimal"/>
      <w:pStyle w:val="113"/>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079102AD"/>
    <w:multiLevelType w:val="multilevel"/>
    <w:tmpl w:val="079102AD"/>
    <w:lvl w:ilvl="0" w:tentative="0">
      <w:start w:val="1"/>
      <w:numFmt w:val="decimal"/>
      <w:pStyle w:val="132"/>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tentative="0">
      <w:start w:val="1"/>
      <w:numFmt w:val="decimal"/>
      <w:pStyle w:val="90"/>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81"/>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DE2B46"/>
    <w:multiLevelType w:val="multilevel"/>
    <w:tmpl w:val="0DDE2B46"/>
    <w:lvl w:ilvl="0" w:tentative="0">
      <w:start w:val="1"/>
      <w:numFmt w:val="lowerLetter"/>
      <w:pStyle w:val="111"/>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47"/>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4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74"/>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73"/>
      <w:suff w:val="nothing"/>
      <w:lvlText w:val="%1.%2.%3　"/>
      <w:lvlJc w:val="left"/>
      <w:pPr>
        <w:ind w:left="0" w:firstLine="0"/>
      </w:pPr>
      <w:rPr>
        <w:rFonts w:hint="eastAsia" w:ascii="黑体" w:hAnsi="Times New Roman" w:eastAsia="黑体"/>
        <w:b w:val="0"/>
        <w:i w:val="0"/>
        <w:sz w:val="21"/>
      </w:rPr>
    </w:lvl>
    <w:lvl w:ilvl="3" w:tentative="0">
      <w:start w:val="1"/>
      <w:numFmt w:val="decimal"/>
      <w:pStyle w:val="99"/>
      <w:suff w:val="nothing"/>
      <w:lvlText w:val="%1.%2.%3.%4　"/>
      <w:lvlJc w:val="left"/>
      <w:pPr>
        <w:ind w:left="0" w:firstLine="0"/>
      </w:pPr>
      <w:rPr>
        <w:rFonts w:hint="eastAsia" w:ascii="黑体" w:hAnsi="Times New Roman" w:eastAsia="黑体"/>
        <w:b w:val="0"/>
        <w:i w:val="0"/>
        <w:sz w:val="21"/>
      </w:rPr>
    </w:lvl>
    <w:lvl w:ilvl="4" w:tentative="0">
      <w:start w:val="1"/>
      <w:numFmt w:val="decimal"/>
      <w:pStyle w:val="115"/>
      <w:suff w:val="nothing"/>
      <w:lvlText w:val="%1.%2.%3.%4.%5　"/>
      <w:lvlJc w:val="left"/>
      <w:pPr>
        <w:ind w:left="0" w:firstLine="0"/>
      </w:pPr>
      <w:rPr>
        <w:rFonts w:hint="eastAsia" w:ascii="黑体" w:hAnsi="Times New Roman" w:eastAsia="黑体"/>
        <w:b w:val="0"/>
        <w:i w:val="0"/>
        <w:sz w:val="21"/>
      </w:rPr>
    </w:lvl>
    <w:lvl w:ilvl="5" w:tentative="0">
      <w:start w:val="1"/>
      <w:numFmt w:val="decimal"/>
      <w:pStyle w:val="123"/>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A8F7113"/>
    <w:multiLevelType w:val="multilevel"/>
    <w:tmpl w:val="2A8F7113"/>
    <w:lvl w:ilvl="0" w:tentative="0">
      <w:start w:val="1"/>
      <w:numFmt w:val="upperLetter"/>
      <w:pStyle w:val="134"/>
      <w:suff w:val="space"/>
      <w:lvlText w:val="%1"/>
      <w:lvlJc w:val="left"/>
      <w:pPr>
        <w:ind w:left="623" w:hanging="425"/>
      </w:pPr>
      <w:rPr>
        <w:rFonts w:hint="eastAsia"/>
      </w:rPr>
    </w:lvl>
    <w:lvl w:ilvl="1" w:tentative="0">
      <w:start w:val="1"/>
      <w:numFmt w:val="decimal"/>
      <w:pStyle w:val="14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tentative="0">
      <w:start w:val="1"/>
      <w:numFmt w:val="none"/>
      <w:pStyle w:val="104"/>
      <w:suff w:val="nothing"/>
      <w:lvlText w:val="%1——"/>
      <w:lvlJc w:val="left"/>
      <w:pPr>
        <w:ind w:left="833" w:hanging="408"/>
      </w:pPr>
      <w:rPr>
        <w:rFonts w:hint="eastAsia"/>
      </w:rPr>
    </w:lvl>
    <w:lvl w:ilvl="1" w:tentative="0">
      <w:start w:val="1"/>
      <w:numFmt w:val="bullet"/>
      <w:pStyle w:val="92"/>
      <w:lvlText w:val=""/>
      <w:lvlJc w:val="left"/>
      <w:pPr>
        <w:tabs>
          <w:tab w:val="left" w:pos="760"/>
        </w:tabs>
        <w:ind w:left="1264" w:hanging="413"/>
      </w:pPr>
      <w:rPr>
        <w:rFonts w:hint="default" w:ascii="Symbol" w:hAnsi="Symbol"/>
        <w:color w:val="auto"/>
      </w:rPr>
    </w:lvl>
    <w:lvl w:ilvl="2" w:tentative="0">
      <w:start w:val="1"/>
      <w:numFmt w:val="bullet"/>
      <w:pStyle w:val="5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9">
    <w:nsid w:val="3D733618"/>
    <w:multiLevelType w:val="multilevel"/>
    <w:tmpl w:val="3D733618"/>
    <w:lvl w:ilvl="0" w:tentative="0">
      <w:start w:val="1"/>
      <w:numFmt w:val="decimal"/>
      <w:pStyle w:val="2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0">
    <w:nsid w:val="4B733A5F"/>
    <w:multiLevelType w:val="multilevel"/>
    <w:tmpl w:val="4B733A5F"/>
    <w:lvl w:ilvl="0" w:tentative="0">
      <w:start w:val="1"/>
      <w:numFmt w:val="decimal"/>
      <w:pStyle w:val="48"/>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02"/>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59228842"/>
    <w:multiLevelType w:val="multilevel"/>
    <w:tmpl w:val="59228842"/>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60B55DC2"/>
    <w:multiLevelType w:val="multilevel"/>
    <w:tmpl w:val="60B55DC2"/>
    <w:lvl w:ilvl="0" w:tentative="0">
      <w:start w:val="1"/>
      <w:numFmt w:val="upperLetter"/>
      <w:pStyle w:val="105"/>
      <w:lvlText w:val="%1"/>
      <w:lvlJc w:val="left"/>
      <w:pPr>
        <w:tabs>
          <w:tab w:val="left" w:pos="0"/>
        </w:tabs>
        <w:ind w:left="0" w:hanging="425"/>
      </w:pPr>
      <w:rPr>
        <w:rFonts w:hint="eastAsia"/>
      </w:rPr>
    </w:lvl>
    <w:lvl w:ilvl="1" w:tentative="0">
      <w:start w:val="1"/>
      <w:numFmt w:val="decimal"/>
      <w:pStyle w:val="78"/>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0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95"/>
      <w:suff w:val="nothing"/>
      <w:lvlText w:val="附　录　%1"/>
      <w:lvlJc w:val="left"/>
      <w:pPr>
        <w:ind w:left="4200" w:firstLine="0"/>
      </w:pPr>
      <w:rPr>
        <w:rFonts w:hint="eastAsia" w:ascii="黑体" w:hAnsi="Times New Roman" w:eastAsia="黑体"/>
        <w:b w:val="0"/>
        <w:i w:val="0"/>
        <w:spacing w:val="0"/>
        <w:w w:val="100"/>
        <w:sz w:val="21"/>
      </w:rPr>
    </w:lvl>
    <w:lvl w:ilvl="1" w:tentative="0">
      <w:start w:val="1"/>
      <w:numFmt w:val="decimal"/>
      <w:pStyle w:val="5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25"/>
      <w:suff w:val="nothing"/>
      <w:lvlText w:val="%1.%2.%3　"/>
      <w:lvlJc w:val="left"/>
      <w:pPr>
        <w:ind w:left="0" w:firstLine="0"/>
      </w:pPr>
      <w:rPr>
        <w:rFonts w:hint="eastAsia" w:ascii="黑体" w:hAnsi="Times New Roman" w:eastAsia="黑体"/>
        <w:b w:val="0"/>
        <w:i w:val="0"/>
        <w:sz w:val="21"/>
      </w:rPr>
    </w:lvl>
    <w:lvl w:ilvl="3" w:tentative="0">
      <w:start w:val="1"/>
      <w:numFmt w:val="decimal"/>
      <w:pStyle w:val="71"/>
      <w:suff w:val="nothing"/>
      <w:lvlText w:val="%1.%2.%3.%4　"/>
      <w:lvlJc w:val="left"/>
      <w:pPr>
        <w:ind w:left="0" w:firstLine="0"/>
      </w:pPr>
      <w:rPr>
        <w:rFonts w:hint="eastAsia" w:ascii="黑体" w:hAnsi="Times New Roman" w:eastAsia="黑体"/>
        <w:b w:val="0"/>
        <w:i w:val="0"/>
        <w:sz w:val="21"/>
      </w:rPr>
    </w:lvl>
    <w:lvl w:ilvl="4" w:tentative="0">
      <w:start w:val="1"/>
      <w:numFmt w:val="decimal"/>
      <w:pStyle w:val="76"/>
      <w:suff w:val="nothing"/>
      <w:lvlText w:val="%1.%2.%3.%4.%5　"/>
      <w:lvlJc w:val="left"/>
      <w:pPr>
        <w:ind w:left="0" w:firstLine="0"/>
      </w:pPr>
      <w:rPr>
        <w:rFonts w:hint="eastAsia" w:ascii="黑体" w:hAnsi="Times New Roman" w:eastAsia="黑体"/>
        <w:b w:val="0"/>
        <w:i w:val="0"/>
        <w:sz w:val="21"/>
      </w:rPr>
    </w:lvl>
    <w:lvl w:ilvl="5" w:tentative="0">
      <w:start w:val="1"/>
      <w:numFmt w:val="decimal"/>
      <w:pStyle w:val="75"/>
      <w:suff w:val="nothing"/>
      <w:lvlText w:val="%1.%2.%3.%4.%5.%6　"/>
      <w:lvlJc w:val="left"/>
      <w:pPr>
        <w:ind w:left="0" w:firstLine="0"/>
      </w:pPr>
      <w:rPr>
        <w:rFonts w:hint="eastAsia" w:ascii="黑体" w:hAnsi="Times New Roman" w:eastAsia="黑体"/>
        <w:b w:val="0"/>
        <w:i w:val="0"/>
        <w:sz w:val="21"/>
      </w:rPr>
    </w:lvl>
    <w:lvl w:ilvl="6" w:tentative="0">
      <w:start w:val="1"/>
      <w:numFmt w:val="decimal"/>
      <w:pStyle w:val="9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875851F"/>
    <w:multiLevelType w:val="singleLevel"/>
    <w:tmpl w:val="6875851F"/>
    <w:lvl w:ilvl="0" w:tentative="0">
      <w:start w:val="1"/>
      <w:numFmt w:val="decimal"/>
      <w:lvlText w:val="%1."/>
      <w:lvlJc w:val="left"/>
      <w:pPr>
        <w:tabs>
          <w:tab w:val="left" w:pos="312"/>
        </w:tabs>
      </w:pPr>
    </w:lvl>
  </w:abstractNum>
  <w:abstractNum w:abstractNumId="17">
    <w:nsid w:val="6D6C07CD"/>
    <w:multiLevelType w:val="multilevel"/>
    <w:tmpl w:val="6D6C07CD"/>
    <w:lvl w:ilvl="0" w:tentative="0">
      <w:start w:val="1"/>
      <w:numFmt w:val="lowerLetter"/>
      <w:pStyle w:val="57"/>
      <w:lvlText w:val="%1)"/>
      <w:lvlJc w:val="left"/>
      <w:pPr>
        <w:tabs>
          <w:tab w:val="left" w:pos="839"/>
        </w:tabs>
        <w:ind w:left="839" w:hanging="419"/>
      </w:pPr>
      <w:rPr>
        <w:rFonts w:hint="eastAsia" w:ascii="宋体" w:eastAsia="宋体"/>
        <w:b w:val="0"/>
        <w:i w:val="0"/>
        <w:sz w:val="21"/>
      </w:rPr>
    </w:lvl>
    <w:lvl w:ilvl="1" w:tentative="0">
      <w:start w:val="1"/>
      <w:numFmt w:val="decimal"/>
      <w:pStyle w:val="103"/>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tentative="0">
      <w:start w:val="1"/>
      <w:numFmt w:val="none"/>
      <w:pStyle w:val="11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6"/>
  </w:num>
  <w:num w:numId="2">
    <w:abstractNumId w:val="9"/>
  </w:num>
  <w:num w:numId="3">
    <w:abstractNumId w:val="5"/>
  </w:num>
  <w:num w:numId="4">
    <w:abstractNumId w:val="10"/>
  </w:num>
  <w:num w:numId="5">
    <w:abstractNumId w:val="15"/>
  </w:num>
  <w:num w:numId="6">
    <w:abstractNumId w:val="8"/>
  </w:num>
  <w:num w:numId="7">
    <w:abstractNumId w:val="17"/>
  </w:num>
  <w:num w:numId="8">
    <w:abstractNumId w:val="13"/>
  </w:num>
  <w:num w:numId="9">
    <w:abstractNumId w:val="3"/>
  </w:num>
  <w:num w:numId="10">
    <w:abstractNumId w:val="2"/>
  </w:num>
  <w:num w:numId="11">
    <w:abstractNumId w:val="0"/>
  </w:num>
  <w:num w:numId="12">
    <w:abstractNumId w:val="11"/>
  </w:num>
  <w:num w:numId="13">
    <w:abstractNumId w:val="14"/>
  </w:num>
  <w:num w:numId="14">
    <w:abstractNumId w:val="18"/>
  </w:num>
  <w:num w:numId="15">
    <w:abstractNumId w:val="4"/>
  </w:num>
  <w:num w:numId="16">
    <w:abstractNumId w:val="1"/>
  </w:num>
  <w:num w:numId="17">
    <w:abstractNumId w:val="7"/>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removePersonalInformation/>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forms"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0ZjRlZDRkYmFkMzI5ODkxZWRhYmE1NzhiMDBjYmMifQ=="/>
  </w:docVars>
  <w:rsids>
    <w:rsidRoot w:val="017D361E"/>
    <w:rsid w:val="00000244"/>
    <w:rsid w:val="0000185F"/>
    <w:rsid w:val="0000586F"/>
    <w:rsid w:val="00013D86"/>
    <w:rsid w:val="00013E02"/>
    <w:rsid w:val="0002143C"/>
    <w:rsid w:val="00025A65"/>
    <w:rsid w:val="00026C31"/>
    <w:rsid w:val="00027280"/>
    <w:rsid w:val="000320A7"/>
    <w:rsid w:val="000343C5"/>
    <w:rsid w:val="00035925"/>
    <w:rsid w:val="00047F89"/>
    <w:rsid w:val="00052738"/>
    <w:rsid w:val="0006671B"/>
    <w:rsid w:val="00067CDF"/>
    <w:rsid w:val="00074FBE"/>
    <w:rsid w:val="00083A09"/>
    <w:rsid w:val="0009005E"/>
    <w:rsid w:val="00092857"/>
    <w:rsid w:val="000A20A9"/>
    <w:rsid w:val="000A48B1"/>
    <w:rsid w:val="000B3143"/>
    <w:rsid w:val="000B623F"/>
    <w:rsid w:val="000C6B05"/>
    <w:rsid w:val="000C6DD6"/>
    <w:rsid w:val="000C73D4"/>
    <w:rsid w:val="000C7A1F"/>
    <w:rsid w:val="000D3D4C"/>
    <w:rsid w:val="000D4F51"/>
    <w:rsid w:val="000D718B"/>
    <w:rsid w:val="000E0C46"/>
    <w:rsid w:val="000E703D"/>
    <w:rsid w:val="000F030C"/>
    <w:rsid w:val="000F129C"/>
    <w:rsid w:val="001056DE"/>
    <w:rsid w:val="001124C0"/>
    <w:rsid w:val="0013175F"/>
    <w:rsid w:val="00140AA7"/>
    <w:rsid w:val="00142D89"/>
    <w:rsid w:val="001512B4"/>
    <w:rsid w:val="001620A5"/>
    <w:rsid w:val="00164E53"/>
    <w:rsid w:val="0016699D"/>
    <w:rsid w:val="00175159"/>
    <w:rsid w:val="00176208"/>
    <w:rsid w:val="0018211B"/>
    <w:rsid w:val="001840D3"/>
    <w:rsid w:val="001900F8"/>
    <w:rsid w:val="00191258"/>
    <w:rsid w:val="00192680"/>
    <w:rsid w:val="00193037"/>
    <w:rsid w:val="00193A2C"/>
    <w:rsid w:val="001A288E"/>
    <w:rsid w:val="001A40DF"/>
    <w:rsid w:val="001B09CC"/>
    <w:rsid w:val="001B6DC2"/>
    <w:rsid w:val="001C149C"/>
    <w:rsid w:val="001C21AC"/>
    <w:rsid w:val="001C47BA"/>
    <w:rsid w:val="001C59EA"/>
    <w:rsid w:val="001D406C"/>
    <w:rsid w:val="001D41EE"/>
    <w:rsid w:val="001E0380"/>
    <w:rsid w:val="001E13B1"/>
    <w:rsid w:val="001E1F51"/>
    <w:rsid w:val="001F30AF"/>
    <w:rsid w:val="001F3A19"/>
    <w:rsid w:val="0020360B"/>
    <w:rsid w:val="0021491E"/>
    <w:rsid w:val="00220B88"/>
    <w:rsid w:val="0022778E"/>
    <w:rsid w:val="00234467"/>
    <w:rsid w:val="00237D8D"/>
    <w:rsid w:val="00241DA2"/>
    <w:rsid w:val="00247FEE"/>
    <w:rsid w:val="00250E7D"/>
    <w:rsid w:val="002565D5"/>
    <w:rsid w:val="002622C0"/>
    <w:rsid w:val="002778AE"/>
    <w:rsid w:val="0028269A"/>
    <w:rsid w:val="00283590"/>
    <w:rsid w:val="002849BF"/>
    <w:rsid w:val="00286973"/>
    <w:rsid w:val="0028736B"/>
    <w:rsid w:val="00287580"/>
    <w:rsid w:val="00294E70"/>
    <w:rsid w:val="002A1924"/>
    <w:rsid w:val="002A7420"/>
    <w:rsid w:val="002B0F12"/>
    <w:rsid w:val="002B1308"/>
    <w:rsid w:val="002B4554"/>
    <w:rsid w:val="002C342A"/>
    <w:rsid w:val="002C72D8"/>
    <w:rsid w:val="002D11FA"/>
    <w:rsid w:val="002E0DDF"/>
    <w:rsid w:val="002E2906"/>
    <w:rsid w:val="002E5635"/>
    <w:rsid w:val="002E64C3"/>
    <w:rsid w:val="002E6A2C"/>
    <w:rsid w:val="002F1D8C"/>
    <w:rsid w:val="002F21DA"/>
    <w:rsid w:val="00301F39"/>
    <w:rsid w:val="00307056"/>
    <w:rsid w:val="00325926"/>
    <w:rsid w:val="00327A8A"/>
    <w:rsid w:val="00336610"/>
    <w:rsid w:val="00337545"/>
    <w:rsid w:val="00343F73"/>
    <w:rsid w:val="00345060"/>
    <w:rsid w:val="0035306D"/>
    <w:rsid w:val="0035323B"/>
    <w:rsid w:val="003609D2"/>
    <w:rsid w:val="00363F22"/>
    <w:rsid w:val="003707BB"/>
    <w:rsid w:val="00372216"/>
    <w:rsid w:val="00375564"/>
    <w:rsid w:val="00383191"/>
    <w:rsid w:val="00386DED"/>
    <w:rsid w:val="003912E7"/>
    <w:rsid w:val="00393947"/>
    <w:rsid w:val="00395AFA"/>
    <w:rsid w:val="003A2275"/>
    <w:rsid w:val="003A6A4F"/>
    <w:rsid w:val="003A7088"/>
    <w:rsid w:val="003B00DF"/>
    <w:rsid w:val="003B1275"/>
    <w:rsid w:val="003B1778"/>
    <w:rsid w:val="003C11CB"/>
    <w:rsid w:val="003C75F3"/>
    <w:rsid w:val="003C78A3"/>
    <w:rsid w:val="003D265D"/>
    <w:rsid w:val="003D3007"/>
    <w:rsid w:val="003E1867"/>
    <w:rsid w:val="003E5729"/>
    <w:rsid w:val="003F43DE"/>
    <w:rsid w:val="003F4EE0"/>
    <w:rsid w:val="00402153"/>
    <w:rsid w:val="00402FC1"/>
    <w:rsid w:val="00425082"/>
    <w:rsid w:val="00425534"/>
    <w:rsid w:val="00431DEB"/>
    <w:rsid w:val="00446B29"/>
    <w:rsid w:val="00447B36"/>
    <w:rsid w:val="00451090"/>
    <w:rsid w:val="00453F9A"/>
    <w:rsid w:val="00471E91"/>
    <w:rsid w:val="00474675"/>
    <w:rsid w:val="0047470C"/>
    <w:rsid w:val="004809BC"/>
    <w:rsid w:val="00495FC1"/>
    <w:rsid w:val="004A35F9"/>
    <w:rsid w:val="004B24C1"/>
    <w:rsid w:val="004C292F"/>
    <w:rsid w:val="00504AEA"/>
    <w:rsid w:val="00510273"/>
    <w:rsid w:val="00510280"/>
    <w:rsid w:val="00513D73"/>
    <w:rsid w:val="00514A43"/>
    <w:rsid w:val="005174E5"/>
    <w:rsid w:val="005200C1"/>
    <w:rsid w:val="00521B70"/>
    <w:rsid w:val="00522393"/>
    <w:rsid w:val="00522620"/>
    <w:rsid w:val="00525656"/>
    <w:rsid w:val="00526969"/>
    <w:rsid w:val="00534C02"/>
    <w:rsid w:val="0054264B"/>
    <w:rsid w:val="00543786"/>
    <w:rsid w:val="00550488"/>
    <w:rsid w:val="005533D7"/>
    <w:rsid w:val="00557365"/>
    <w:rsid w:val="005703DE"/>
    <w:rsid w:val="005804CA"/>
    <w:rsid w:val="0058464E"/>
    <w:rsid w:val="005978D4"/>
    <w:rsid w:val="005A01CB"/>
    <w:rsid w:val="005A3CB9"/>
    <w:rsid w:val="005A58FF"/>
    <w:rsid w:val="005A5EAF"/>
    <w:rsid w:val="005A64C0"/>
    <w:rsid w:val="005B3C11"/>
    <w:rsid w:val="005B4706"/>
    <w:rsid w:val="005C0FB5"/>
    <w:rsid w:val="005C1C28"/>
    <w:rsid w:val="005C6DB5"/>
    <w:rsid w:val="005D645A"/>
    <w:rsid w:val="005E19E7"/>
    <w:rsid w:val="005F00FE"/>
    <w:rsid w:val="0061716C"/>
    <w:rsid w:val="006243A1"/>
    <w:rsid w:val="0063081C"/>
    <w:rsid w:val="00632E56"/>
    <w:rsid w:val="00635CBA"/>
    <w:rsid w:val="0064338B"/>
    <w:rsid w:val="00645E41"/>
    <w:rsid w:val="00646542"/>
    <w:rsid w:val="006504F4"/>
    <w:rsid w:val="00651748"/>
    <w:rsid w:val="00654BC9"/>
    <w:rsid w:val="006552FD"/>
    <w:rsid w:val="00663AF3"/>
    <w:rsid w:val="00666B6C"/>
    <w:rsid w:val="00682682"/>
    <w:rsid w:val="00682702"/>
    <w:rsid w:val="00682A4D"/>
    <w:rsid w:val="006901B8"/>
    <w:rsid w:val="00692368"/>
    <w:rsid w:val="006A2EBC"/>
    <w:rsid w:val="006A5EA0"/>
    <w:rsid w:val="006A783B"/>
    <w:rsid w:val="006A7B33"/>
    <w:rsid w:val="006B4E13"/>
    <w:rsid w:val="006B75DD"/>
    <w:rsid w:val="006C67E0"/>
    <w:rsid w:val="006C7ABA"/>
    <w:rsid w:val="006D0016"/>
    <w:rsid w:val="006D0D60"/>
    <w:rsid w:val="006D1122"/>
    <w:rsid w:val="006D3C00"/>
    <w:rsid w:val="006E3675"/>
    <w:rsid w:val="006E4A7F"/>
    <w:rsid w:val="006E54D7"/>
    <w:rsid w:val="006F0EE9"/>
    <w:rsid w:val="006F22DA"/>
    <w:rsid w:val="00704DF6"/>
    <w:rsid w:val="0070651C"/>
    <w:rsid w:val="007132A3"/>
    <w:rsid w:val="00716421"/>
    <w:rsid w:val="00724EFB"/>
    <w:rsid w:val="0072600C"/>
    <w:rsid w:val="00727D4A"/>
    <w:rsid w:val="007419C3"/>
    <w:rsid w:val="007467A7"/>
    <w:rsid w:val="007469DD"/>
    <w:rsid w:val="0074741B"/>
    <w:rsid w:val="0074759E"/>
    <w:rsid w:val="007478EA"/>
    <w:rsid w:val="0075415C"/>
    <w:rsid w:val="00763502"/>
    <w:rsid w:val="0077741F"/>
    <w:rsid w:val="00777D06"/>
    <w:rsid w:val="007913AB"/>
    <w:rsid w:val="007914F7"/>
    <w:rsid w:val="007B1625"/>
    <w:rsid w:val="007B706E"/>
    <w:rsid w:val="007B71EB"/>
    <w:rsid w:val="007C6205"/>
    <w:rsid w:val="007C686A"/>
    <w:rsid w:val="007C728E"/>
    <w:rsid w:val="007C75C9"/>
    <w:rsid w:val="007D2C53"/>
    <w:rsid w:val="007D3D60"/>
    <w:rsid w:val="007E1980"/>
    <w:rsid w:val="007E4B63"/>
    <w:rsid w:val="007E4B76"/>
    <w:rsid w:val="007E5EA8"/>
    <w:rsid w:val="007F0CF1"/>
    <w:rsid w:val="007F12A5"/>
    <w:rsid w:val="007F4CF1"/>
    <w:rsid w:val="007F582F"/>
    <w:rsid w:val="007F5BE3"/>
    <w:rsid w:val="007F6103"/>
    <w:rsid w:val="007F758D"/>
    <w:rsid w:val="007F7D52"/>
    <w:rsid w:val="0080654C"/>
    <w:rsid w:val="00806C98"/>
    <w:rsid w:val="008071C6"/>
    <w:rsid w:val="00807C2F"/>
    <w:rsid w:val="0081249B"/>
    <w:rsid w:val="00817A00"/>
    <w:rsid w:val="00825C82"/>
    <w:rsid w:val="00835DB3"/>
    <w:rsid w:val="0083617B"/>
    <w:rsid w:val="008371BD"/>
    <w:rsid w:val="00846003"/>
    <w:rsid w:val="008504A8"/>
    <w:rsid w:val="0085282E"/>
    <w:rsid w:val="008547EB"/>
    <w:rsid w:val="00856A7E"/>
    <w:rsid w:val="0087198C"/>
    <w:rsid w:val="00872B1B"/>
    <w:rsid w:val="00872C1F"/>
    <w:rsid w:val="00873B42"/>
    <w:rsid w:val="0087607B"/>
    <w:rsid w:val="008856D8"/>
    <w:rsid w:val="00892E82"/>
    <w:rsid w:val="00893C3C"/>
    <w:rsid w:val="008B5C7A"/>
    <w:rsid w:val="008C1B58"/>
    <w:rsid w:val="008C3816"/>
    <w:rsid w:val="008C39AE"/>
    <w:rsid w:val="008C590D"/>
    <w:rsid w:val="008D2016"/>
    <w:rsid w:val="008E031B"/>
    <w:rsid w:val="008E7029"/>
    <w:rsid w:val="008E7EF6"/>
    <w:rsid w:val="008F1F98"/>
    <w:rsid w:val="008F6758"/>
    <w:rsid w:val="009040DD"/>
    <w:rsid w:val="00905B47"/>
    <w:rsid w:val="009068FF"/>
    <w:rsid w:val="0091331C"/>
    <w:rsid w:val="009279DE"/>
    <w:rsid w:val="00927BF4"/>
    <w:rsid w:val="00930116"/>
    <w:rsid w:val="00936BB8"/>
    <w:rsid w:val="0094212C"/>
    <w:rsid w:val="009516B4"/>
    <w:rsid w:val="00954689"/>
    <w:rsid w:val="0095558B"/>
    <w:rsid w:val="00956921"/>
    <w:rsid w:val="00957D5E"/>
    <w:rsid w:val="009617C9"/>
    <w:rsid w:val="00961C93"/>
    <w:rsid w:val="00965324"/>
    <w:rsid w:val="0097091E"/>
    <w:rsid w:val="009760D3"/>
    <w:rsid w:val="00977003"/>
    <w:rsid w:val="00977132"/>
    <w:rsid w:val="00981A4B"/>
    <w:rsid w:val="00982501"/>
    <w:rsid w:val="009860DA"/>
    <w:rsid w:val="00986CC3"/>
    <w:rsid w:val="009877D3"/>
    <w:rsid w:val="00994E8F"/>
    <w:rsid w:val="009951DC"/>
    <w:rsid w:val="009959BB"/>
    <w:rsid w:val="00997158"/>
    <w:rsid w:val="009A3A7C"/>
    <w:rsid w:val="009B2ADB"/>
    <w:rsid w:val="009B603A"/>
    <w:rsid w:val="009B6562"/>
    <w:rsid w:val="009C2D0E"/>
    <w:rsid w:val="009C3DAC"/>
    <w:rsid w:val="009C42E0"/>
    <w:rsid w:val="009D3897"/>
    <w:rsid w:val="009D5362"/>
    <w:rsid w:val="009E1415"/>
    <w:rsid w:val="009E3018"/>
    <w:rsid w:val="009E6116"/>
    <w:rsid w:val="00A02E43"/>
    <w:rsid w:val="00A065F9"/>
    <w:rsid w:val="00A07F34"/>
    <w:rsid w:val="00A140F5"/>
    <w:rsid w:val="00A22154"/>
    <w:rsid w:val="00A22E5B"/>
    <w:rsid w:val="00A25C38"/>
    <w:rsid w:val="00A36BBE"/>
    <w:rsid w:val="00A4307A"/>
    <w:rsid w:val="00A47EBB"/>
    <w:rsid w:val="00A51CDD"/>
    <w:rsid w:val="00A63635"/>
    <w:rsid w:val="00A6730D"/>
    <w:rsid w:val="00A71625"/>
    <w:rsid w:val="00A71B9B"/>
    <w:rsid w:val="00A751C7"/>
    <w:rsid w:val="00A87844"/>
    <w:rsid w:val="00A94D62"/>
    <w:rsid w:val="00AA038C"/>
    <w:rsid w:val="00AA7A09"/>
    <w:rsid w:val="00AB3B50"/>
    <w:rsid w:val="00AC05B1"/>
    <w:rsid w:val="00AC1E98"/>
    <w:rsid w:val="00AC3021"/>
    <w:rsid w:val="00AD356C"/>
    <w:rsid w:val="00AD51E7"/>
    <w:rsid w:val="00AE2914"/>
    <w:rsid w:val="00AE6D15"/>
    <w:rsid w:val="00B04182"/>
    <w:rsid w:val="00B07AE3"/>
    <w:rsid w:val="00B11430"/>
    <w:rsid w:val="00B22A27"/>
    <w:rsid w:val="00B3101B"/>
    <w:rsid w:val="00B33E76"/>
    <w:rsid w:val="00B353EB"/>
    <w:rsid w:val="00B37A3E"/>
    <w:rsid w:val="00B40481"/>
    <w:rsid w:val="00B439C4"/>
    <w:rsid w:val="00B4535E"/>
    <w:rsid w:val="00B52A8C"/>
    <w:rsid w:val="00B61CE2"/>
    <w:rsid w:val="00B62046"/>
    <w:rsid w:val="00B636A8"/>
    <w:rsid w:val="00B665C6"/>
    <w:rsid w:val="00B805AF"/>
    <w:rsid w:val="00B869EC"/>
    <w:rsid w:val="00B90D72"/>
    <w:rsid w:val="00B9397A"/>
    <w:rsid w:val="00B9633D"/>
    <w:rsid w:val="00B96967"/>
    <w:rsid w:val="00BA2EBE"/>
    <w:rsid w:val="00BB05BD"/>
    <w:rsid w:val="00BB0F28"/>
    <w:rsid w:val="00BB1C29"/>
    <w:rsid w:val="00BB458A"/>
    <w:rsid w:val="00BC7429"/>
    <w:rsid w:val="00BD00D3"/>
    <w:rsid w:val="00BD1659"/>
    <w:rsid w:val="00BD3AA9"/>
    <w:rsid w:val="00BD4A18"/>
    <w:rsid w:val="00BD6DB2"/>
    <w:rsid w:val="00BE0690"/>
    <w:rsid w:val="00BE0FA9"/>
    <w:rsid w:val="00BE11CF"/>
    <w:rsid w:val="00BE21AB"/>
    <w:rsid w:val="00BE3A8F"/>
    <w:rsid w:val="00BE4F22"/>
    <w:rsid w:val="00BE55CB"/>
    <w:rsid w:val="00BF617A"/>
    <w:rsid w:val="00C0379D"/>
    <w:rsid w:val="00C03931"/>
    <w:rsid w:val="00C05FE3"/>
    <w:rsid w:val="00C079EE"/>
    <w:rsid w:val="00C2136D"/>
    <w:rsid w:val="00C214EE"/>
    <w:rsid w:val="00C2314B"/>
    <w:rsid w:val="00C23222"/>
    <w:rsid w:val="00C24971"/>
    <w:rsid w:val="00C26BE5"/>
    <w:rsid w:val="00C26E4D"/>
    <w:rsid w:val="00C27909"/>
    <w:rsid w:val="00C27B03"/>
    <w:rsid w:val="00C314E1"/>
    <w:rsid w:val="00C34397"/>
    <w:rsid w:val="00C4095D"/>
    <w:rsid w:val="00C41D7D"/>
    <w:rsid w:val="00C43D76"/>
    <w:rsid w:val="00C462A6"/>
    <w:rsid w:val="00C601D2"/>
    <w:rsid w:val="00C657AB"/>
    <w:rsid w:val="00C65BCC"/>
    <w:rsid w:val="00C66970"/>
    <w:rsid w:val="00C71A99"/>
    <w:rsid w:val="00C8691C"/>
    <w:rsid w:val="00C87843"/>
    <w:rsid w:val="00C924EA"/>
    <w:rsid w:val="00CA168A"/>
    <w:rsid w:val="00CA357E"/>
    <w:rsid w:val="00CA44F9"/>
    <w:rsid w:val="00CA4A69"/>
    <w:rsid w:val="00CC3E0C"/>
    <w:rsid w:val="00CC58D3"/>
    <w:rsid w:val="00CC784D"/>
    <w:rsid w:val="00CE5ABC"/>
    <w:rsid w:val="00D00C64"/>
    <w:rsid w:val="00D0337B"/>
    <w:rsid w:val="00D079B2"/>
    <w:rsid w:val="00D114E9"/>
    <w:rsid w:val="00D14F87"/>
    <w:rsid w:val="00D21A3E"/>
    <w:rsid w:val="00D4235B"/>
    <w:rsid w:val="00D429C6"/>
    <w:rsid w:val="00D47748"/>
    <w:rsid w:val="00D5149D"/>
    <w:rsid w:val="00D54CC3"/>
    <w:rsid w:val="00D55EDE"/>
    <w:rsid w:val="00D6041A"/>
    <w:rsid w:val="00D633EB"/>
    <w:rsid w:val="00D82FF7"/>
    <w:rsid w:val="00D847FE"/>
    <w:rsid w:val="00D964EA"/>
    <w:rsid w:val="00D966D0"/>
    <w:rsid w:val="00D97784"/>
    <w:rsid w:val="00DA0C59"/>
    <w:rsid w:val="00DA3991"/>
    <w:rsid w:val="00DA47F7"/>
    <w:rsid w:val="00DB7E6C"/>
    <w:rsid w:val="00DD0D7E"/>
    <w:rsid w:val="00DD5A29"/>
    <w:rsid w:val="00DD5D9D"/>
    <w:rsid w:val="00DD70C2"/>
    <w:rsid w:val="00DE35CB"/>
    <w:rsid w:val="00DF072C"/>
    <w:rsid w:val="00DF21E9"/>
    <w:rsid w:val="00E00F14"/>
    <w:rsid w:val="00E01231"/>
    <w:rsid w:val="00E06386"/>
    <w:rsid w:val="00E13551"/>
    <w:rsid w:val="00E24EB4"/>
    <w:rsid w:val="00E320ED"/>
    <w:rsid w:val="00E33AFB"/>
    <w:rsid w:val="00E34218"/>
    <w:rsid w:val="00E46282"/>
    <w:rsid w:val="00E5216E"/>
    <w:rsid w:val="00E6019C"/>
    <w:rsid w:val="00E82344"/>
    <w:rsid w:val="00E84C82"/>
    <w:rsid w:val="00E84D64"/>
    <w:rsid w:val="00E87408"/>
    <w:rsid w:val="00E914C4"/>
    <w:rsid w:val="00E934F5"/>
    <w:rsid w:val="00E96961"/>
    <w:rsid w:val="00EA72EC"/>
    <w:rsid w:val="00EB11CB"/>
    <w:rsid w:val="00EB12ED"/>
    <w:rsid w:val="00EB275A"/>
    <w:rsid w:val="00EB45FC"/>
    <w:rsid w:val="00EB786A"/>
    <w:rsid w:val="00EC1578"/>
    <w:rsid w:val="00EC1C72"/>
    <w:rsid w:val="00EC2A47"/>
    <w:rsid w:val="00EC3CC9"/>
    <w:rsid w:val="00EC680A"/>
    <w:rsid w:val="00EE2BED"/>
    <w:rsid w:val="00EE374B"/>
    <w:rsid w:val="00EE7914"/>
    <w:rsid w:val="00EF43E9"/>
    <w:rsid w:val="00F10155"/>
    <w:rsid w:val="00F11BB5"/>
    <w:rsid w:val="00F1417B"/>
    <w:rsid w:val="00F15A59"/>
    <w:rsid w:val="00F34B99"/>
    <w:rsid w:val="00F43C25"/>
    <w:rsid w:val="00F52DAB"/>
    <w:rsid w:val="00F543F0"/>
    <w:rsid w:val="00F568E4"/>
    <w:rsid w:val="00F77FB2"/>
    <w:rsid w:val="00F806C2"/>
    <w:rsid w:val="00F81D29"/>
    <w:rsid w:val="00F91C4D"/>
    <w:rsid w:val="00F92FD9"/>
    <w:rsid w:val="00FA5AAB"/>
    <w:rsid w:val="00FA6684"/>
    <w:rsid w:val="00FA731E"/>
    <w:rsid w:val="00FB2B38"/>
    <w:rsid w:val="00FC17B0"/>
    <w:rsid w:val="00FC563F"/>
    <w:rsid w:val="00FC6358"/>
    <w:rsid w:val="00FD320D"/>
    <w:rsid w:val="00FE23DE"/>
    <w:rsid w:val="00FE67A3"/>
    <w:rsid w:val="00FE73E2"/>
    <w:rsid w:val="017D361E"/>
    <w:rsid w:val="02673CEA"/>
    <w:rsid w:val="02E934C5"/>
    <w:rsid w:val="03827DBA"/>
    <w:rsid w:val="045362D3"/>
    <w:rsid w:val="04AF4983"/>
    <w:rsid w:val="053F58D9"/>
    <w:rsid w:val="05A903B7"/>
    <w:rsid w:val="05B922DB"/>
    <w:rsid w:val="06552770"/>
    <w:rsid w:val="085212AC"/>
    <w:rsid w:val="0871454E"/>
    <w:rsid w:val="091B1576"/>
    <w:rsid w:val="0A441A30"/>
    <w:rsid w:val="0AF529FF"/>
    <w:rsid w:val="0BF939EF"/>
    <w:rsid w:val="0CB95FA2"/>
    <w:rsid w:val="0D8A1D43"/>
    <w:rsid w:val="0FB370F3"/>
    <w:rsid w:val="109E3202"/>
    <w:rsid w:val="11120A05"/>
    <w:rsid w:val="11442D16"/>
    <w:rsid w:val="119421A3"/>
    <w:rsid w:val="11A924A1"/>
    <w:rsid w:val="12ED6EF0"/>
    <w:rsid w:val="12F34BAD"/>
    <w:rsid w:val="1367781A"/>
    <w:rsid w:val="137003D0"/>
    <w:rsid w:val="14284C6D"/>
    <w:rsid w:val="171D67AE"/>
    <w:rsid w:val="17602554"/>
    <w:rsid w:val="177B3623"/>
    <w:rsid w:val="18710B13"/>
    <w:rsid w:val="18AA2AF1"/>
    <w:rsid w:val="19DF3D1E"/>
    <w:rsid w:val="1A2E4BEE"/>
    <w:rsid w:val="1A562397"/>
    <w:rsid w:val="1AF74E2F"/>
    <w:rsid w:val="1B042291"/>
    <w:rsid w:val="1BFB2508"/>
    <w:rsid w:val="1D443673"/>
    <w:rsid w:val="1D5C3994"/>
    <w:rsid w:val="1DE67BE0"/>
    <w:rsid w:val="209C7DCF"/>
    <w:rsid w:val="21556F04"/>
    <w:rsid w:val="21E46E2E"/>
    <w:rsid w:val="23C7036A"/>
    <w:rsid w:val="23E96C01"/>
    <w:rsid w:val="242816A0"/>
    <w:rsid w:val="24A30FC9"/>
    <w:rsid w:val="24E4595F"/>
    <w:rsid w:val="24EC0830"/>
    <w:rsid w:val="24F45E08"/>
    <w:rsid w:val="2602495B"/>
    <w:rsid w:val="27101363"/>
    <w:rsid w:val="273511BD"/>
    <w:rsid w:val="28076330"/>
    <w:rsid w:val="281709F3"/>
    <w:rsid w:val="2973240B"/>
    <w:rsid w:val="2B423C5D"/>
    <w:rsid w:val="2BEE089C"/>
    <w:rsid w:val="2DA86FDF"/>
    <w:rsid w:val="2DDE17BC"/>
    <w:rsid w:val="2F20329E"/>
    <w:rsid w:val="2F781BEF"/>
    <w:rsid w:val="2FB376F9"/>
    <w:rsid w:val="2FB84BD7"/>
    <w:rsid w:val="2FFC399F"/>
    <w:rsid w:val="30F91D22"/>
    <w:rsid w:val="31441F25"/>
    <w:rsid w:val="31952CC4"/>
    <w:rsid w:val="31E005F8"/>
    <w:rsid w:val="32972E74"/>
    <w:rsid w:val="333A6EB9"/>
    <w:rsid w:val="34531769"/>
    <w:rsid w:val="351D38CE"/>
    <w:rsid w:val="35927BE4"/>
    <w:rsid w:val="3670083A"/>
    <w:rsid w:val="36CE1445"/>
    <w:rsid w:val="36E253D8"/>
    <w:rsid w:val="36E57E08"/>
    <w:rsid w:val="37087E3B"/>
    <w:rsid w:val="371126E3"/>
    <w:rsid w:val="375F78B6"/>
    <w:rsid w:val="37730B24"/>
    <w:rsid w:val="385626B3"/>
    <w:rsid w:val="38A348FA"/>
    <w:rsid w:val="39021AEF"/>
    <w:rsid w:val="390C0868"/>
    <w:rsid w:val="390D01E6"/>
    <w:rsid w:val="39253FF6"/>
    <w:rsid w:val="3A3A6BB0"/>
    <w:rsid w:val="3B531B4D"/>
    <w:rsid w:val="3BFD79EE"/>
    <w:rsid w:val="3C9777DF"/>
    <w:rsid w:val="3CB73B77"/>
    <w:rsid w:val="3DEB217B"/>
    <w:rsid w:val="3E896552"/>
    <w:rsid w:val="3E8B3DD3"/>
    <w:rsid w:val="3EA03E64"/>
    <w:rsid w:val="3F1C4BC6"/>
    <w:rsid w:val="3F2A4DBC"/>
    <w:rsid w:val="3F874B01"/>
    <w:rsid w:val="3FFB7052"/>
    <w:rsid w:val="40D651FA"/>
    <w:rsid w:val="410A3AE9"/>
    <w:rsid w:val="414B6ACD"/>
    <w:rsid w:val="43A6003D"/>
    <w:rsid w:val="442D0CF5"/>
    <w:rsid w:val="44B05247"/>
    <w:rsid w:val="44E53D72"/>
    <w:rsid w:val="455D2EAC"/>
    <w:rsid w:val="457627F2"/>
    <w:rsid w:val="45D77935"/>
    <w:rsid w:val="47737D41"/>
    <w:rsid w:val="47BD5474"/>
    <w:rsid w:val="489202C3"/>
    <w:rsid w:val="489A4326"/>
    <w:rsid w:val="496E4B44"/>
    <w:rsid w:val="497E6BB8"/>
    <w:rsid w:val="4A162830"/>
    <w:rsid w:val="4A740E60"/>
    <w:rsid w:val="4B04521E"/>
    <w:rsid w:val="4B2D1A90"/>
    <w:rsid w:val="4C097D90"/>
    <w:rsid w:val="4C530AD9"/>
    <w:rsid w:val="4D167F5C"/>
    <w:rsid w:val="4EEB70BF"/>
    <w:rsid w:val="501B2103"/>
    <w:rsid w:val="50441053"/>
    <w:rsid w:val="50EA6DB9"/>
    <w:rsid w:val="5107121D"/>
    <w:rsid w:val="51076A46"/>
    <w:rsid w:val="51431576"/>
    <w:rsid w:val="52967E66"/>
    <w:rsid w:val="532D2E7F"/>
    <w:rsid w:val="53B95390"/>
    <w:rsid w:val="54FC1E75"/>
    <w:rsid w:val="56623148"/>
    <w:rsid w:val="56EA71AA"/>
    <w:rsid w:val="57BE16D7"/>
    <w:rsid w:val="57E14610"/>
    <w:rsid w:val="58BA4419"/>
    <w:rsid w:val="58E32464"/>
    <w:rsid w:val="599A00FA"/>
    <w:rsid w:val="5AB86430"/>
    <w:rsid w:val="5AE1765C"/>
    <w:rsid w:val="5B106FB3"/>
    <w:rsid w:val="5B27377D"/>
    <w:rsid w:val="5BFF5159"/>
    <w:rsid w:val="5CB67559"/>
    <w:rsid w:val="5D1D71D9"/>
    <w:rsid w:val="5D606BCB"/>
    <w:rsid w:val="5E0A46E4"/>
    <w:rsid w:val="5E154738"/>
    <w:rsid w:val="5E745F72"/>
    <w:rsid w:val="5F4073B4"/>
    <w:rsid w:val="5F8E201B"/>
    <w:rsid w:val="5F904BEC"/>
    <w:rsid w:val="5FC71C63"/>
    <w:rsid w:val="607C7F62"/>
    <w:rsid w:val="60D22664"/>
    <w:rsid w:val="61A1764F"/>
    <w:rsid w:val="61C47891"/>
    <w:rsid w:val="62535811"/>
    <w:rsid w:val="630C7063"/>
    <w:rsid w:val="636777CC"/>
    <w:rsid w:val="63A7251C"/>
    <w:rsid w:val="63C84425"/>
    <w:rsid w:val="64260FEA"/>
    <w:rsid w:val="64472505"/>
    <w:rsid w:val="646B288B"/>
    <w:rsid w:val="648B6CD1"/>
    <w:rsid w:val="64A76FAC"/>
    <w:rsid w:val="64F21A40"/>
    <w:rsid w:val="651819DD"/>
    <w:rsid w:val="653C2717"/>
    <w:rsid w:val="65963AE4"/>
    <w:rsid w:val="663F6746"/>
    <w:rsid w:val="6646219F"/>
    <w:rsid w:val="66C47E89"/>
    <w:rsid w:val="672D3290"/>
    <w:rsid w:val="6743655C"/>
    <w:rsid w:val="67F5387B"/>
    <w:rsid w:val="68451B6B"/>
    <w:rsid w:val="68EE6BAB"/>
    <w:rsid w:val="69B453B4"/>
    <w:rsid w:val="6A1017D3"/>
    <w:rsid w:val="6ABE131A"/>
    <w:rsid w:val="6AD14AE6"/>
    <w:rsid w:val="6B5E5589"/>
    <w:rsid w:val="6BFD0B96"/>
    <w:rsid w:val="6CCE5139"/>
    <w:rsid w:val="6DD81CFF"/>
    <w:rsid w:val="6E6D3079"/>
    <w:rsid w:val="6E735638"/>
    <w:rsid w:val="6F7F7DE1"/>
    <w:rsid w:val="6FB44C60"/>
    <w:rsid w:val="70A2144C"/>
    <w:rsid w:val="70E84B6C"/>
    <w:rsid w:val="71A934E3"/>
    <w:rsid w:val="71FF122B"/>
    <w:rsid w:val="725BE90F"/>
    <w:rsid w:val="72AA4C43"/>
    <w:rsid w:val="72BA2844"/>
    <w:rsid w:val="740100AF"/>
    <w:rsid w:val="74A30D2C"/>
    <w:rsid w:val="74FF490C"/>
    <w:rsid w:val="763A1CCA"/>
    <w:rsid w:val="77327249"/>
    <w:rsid w:val="77370ECB"/>
    <w:rsid w:val="77745D03"/>
    <w:rsid w:val="77E4019B"/>
    <w:rsid w:val="77FD211E"/>
    <w:rsid w:val="78DC7B7C"/>
    <w:rsid w:val="793C3372"/>
    <w:rsid w:val="795B10C0"/>
    <w:rsid w:val="7A2417C3"/>
    <w:rsid w:val="7AF21F66"/>
    <w:rsid w:val="7B64339E"/>
    <w:rsid w:val="7BDD5A2E"/>
    <w:rsid w:val="7C071529"/>
    <w:rsid w:val="7CD30892"/>
    <w:rsid w:val="7D307323"/>
    <w:rsid w:val="7DED3CF7"/>
    <w:rsid w:val="7DF9922E"/>
    <w:rsid w:val="7DFEAF0F"/>
    <w:rsid w:val="7E0144A8"/>
    <w:rsid w:val="7E712AEF"/>
    <w:rsid w:val="7EC22302"/>
    <w:rsid w:val="7ED84A5B"/>
    <w:rsid w:val="7F287BD7"/>
    <w:rsid w:val="7F364DF4"/>
    <w:rsid w:val="7FC538A9"/>
    <w:rsid w:val="7FEB5A04"/>
    <w:rsid w:val="7FFD0387"/>
    <w:rsid w:val="B3629932"/>
    <w:rsid w:val="BFDE1CE7"/>
    <w:rsid w:val="C337F4B9"/>
    <w:rsid w:val="F6FECEB1"/>
    <w:rsid w:val="F75FFA4C"/>
    <w:rsid w:val="F9EDD007"/>
    <w:rsid w:val="FD7FF284"/>
    <w:rsid w:val="FDF9C40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4"/>
    <w:qFormat/>
    <w:uiPriority w:val="0"/>
    <w:pPr>
      <w:keepNext/>
      <w:keepLines/>
      <w:spacing w:before="340" w:after="330" w:line="576" w:lineRule="auto"/>
      <w:outlineLvl w:val="0"/>
    </w:pPr>
    <w:rPr>
      <w:b/>
      <w:bCs/>
      <w:kern w:val="44"/>
      <w:sz w:val="44"/>
      <w:szCs w:val="44"/>
    </w:rPr>
  </w:style>
  <w:style w:type="paragraph" w:styleId="3">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unhideWhenUsed/>
    <w:qFormat/>
    <w:uiPriority w:val="9"/>
    <w:pPr>
      <w:numPr>
        <w:ilvl w:val="2"/>
        <w:numId w:val="1"/>
      </w:numPr>
      <w:spacing w:before="156" w:beforeLines="50" w:line="360" w:lineRule="auto"/>
      <w:ind w:left="0" w:firstLine="422" w:firstLineChars="200"/>
      <w:outlineLvl w:val="2"/>
    </w:pPr>
    <w:rPr>
      <w:b/>
      <w:color w:val="000000" w:themeColor="text1"/>
      <w:szCs w:val="22"/>
      <w14:textFill>
        <w14:solidFill>
          <w14:schemeClr w14:val="tx1"/>
        </w14:solidFill>
      </w14:textFill>
    </w:rPr>
  </w:style>
  <w:style w:type="character" w:default="1" w:styleId="39">
    <w:name w:val="Default Paragraph Font"/>
    <w:semiHidden/>
    <w:qFormat/>
    <w:uiPriority w:val="0"/>
  </w:style>
  <w:style w:type="table" w:default="1" w:styleId="37">
    <w:name w:val="Normal Table"/>
    <w:semiHidden/>
    <w:qFormat/>
    <w:uiPriority w:val="0"/>
    <w:tblPr>
      <w:tblCellMar>
        <w:top w:w="0" w:type="dxa"/>
        <w:left w:w="108" w:type="dxa"/>
        <w:bottom w:w="0" w:type="dxa"/>
        <w:right w:w="108" w:type="dxa"/>
      </w:tblCellMar>
    </w:tblPr>
  </w:style>
  <w:style w:type="paragraph" w:styleId="5">
    <w:name w:val="toc 7"/>
    <w:basedOn w:val="1"/>
    <w:next w:val="1"/>
    <w:semiHidden/>
    <w:qFormat/>
    <w:uiPriority w:val="0"/>
    <w:pPr>
      <w:tabs>
        <w:tab w:val="right" w:leader="dot" w:pos="9241"/>
      </w:tabs>
      <w:ind w:firstLine="505"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caption"/>
    <w:basedOn w:val="1"/>
    <w:next w:val="1"/>
    <w:qFormat/>
    <w:uiPriority w:val="0"/>
    <w:pPr>
      <w:spacing w:before="152" w:after="16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link w:val="146"/>
    <w:semiHidden/>
    <w:qFormat/>
    <w:uiPriority w:val="0"/>
    <w:pPr>
      <w:shd w:val="clear" w:color="auto" w:fill="000080"/>
    </w:pPr>
  </w:style>
  <w:style w:type="paragraph" w:styleId="10">
    <w:name w:val="annotation text"/>
    <w:basedOn w:val="1"/>
    <w:link w:val="150"/>
    <w:unhideWhenUsed/>
    <w:qFormat/>
    <w:uiPriority w:val="0"/>
    <w:pPr>
      <w:jc w:val="left"/>
    </w:pPr>
    <w:rPr>
      <w:rFonts w:ascii="Calibri" w:hAnsi="Calibri"/>
      <w:szCs w:val="22"/>
    </w:rPr>
  </w:style>
  <w:style w:type="paragraph" w:styleId="11">
    <w:name w:val="index 6"/>
    <w:basedOn w:val="1"/>
    <w:next w:val="1"/>
    <w:qFormat/>
    <w:uiPriority w:val="0"/>
    <w:pPr>
      <w:ind w:left="1260" w:hanging="210"/>
      <w:jc w:val="left"/>
    </w:pPr>
    <w:rPr>
      <w:rFonts w:ascii="Calibri" w:hAnsi="Calibri"/>
      <w:sz w:val="20"/>
      <w:szCs w:val="20"/>
    </w:rPr>
  </w:style>
  <w:style w:type="paragraph" w:styleId="12">
    <w:name w:val="Body Text Indent"/>
    <w:basedOn w:val="1"/>
    <w:link w:val="149"/>
    <w:qFormat/>
    <w:uiPriority w:val="0"/>
    <w:pPr>
      <w:spacing w:after="120"/>
      <w:ind w:left="420" w:leftChars="200"/>
    </w:pPr>
  </w:style>
  <w:style w:type="paragraph" w:styleId="13">
    <w:name w:val="index 4"/>
    <w:basedOn w:val="1"/>
    <w:next w:val="1"/>
    <w:qFormat/>
    <w:uiPriority w:val="0"/>
    <w:pPr>
      <w:ind w:left="840" w:hanging="210"/>
      <w:jc w:val="left"/>
    </w:pPr>
    <w:rPr>
      <w:rFonts w:ascii="Calibri" w:hAnsi="Calibri"/>
      <w:sz w:val="20"/>
      <w:szCs w:val="20"/>
    </w:rPr>
  </w:style>
  <w:style w:type="paragraph" w:styleId="14">
    <w:name w:val="toc 5"/>
    <w:basedOn w:val="1"/>
    <w:next w:val="1"/>
    <w:semiHidden/>
    <w:qFormat/>
    <w:uiPriority w:val="0"/>
    <w:pPr>
      <w:tabs>
        <w:tab w:val="right" w:leader="dot" w:pos="9241"/>
      </w:tabs>
      <w:ind w:firstLine="300" w:firstLineChars="300"/>
      <w:jc w:val="left"/>
    </w:pPr>
    <w:rPr>
      <w:rFonts w:ascii="宋体"/>
      <w:szCs w:val="21"/>
    </w:rPr>
  </w:style>
  <w:style w:type="paragraph" w:styleId="15">
    <w:name w:val="toc 3"/>
    <w:basedOn w:val="1"/>
    <w:next w:val="1"/>
    <w:semiHidden/>
    <w:qFormat/>
    <w:uiPriority w:val="0"/>
    <w:pPr>
      <w:tabs>
        <w:tab w:val="right" w:leader="dot" w:pos="9241"/>
      </w:tabs>
      <w:ind w:firstLine="102" w:firstLineChars="100"/>
      <w:jc w:val="left"/>
    </w:pPr>
    <w:rPr>
      <w:rFonts w:ascii="宋体"/>
      <w:szCs w:val="21"/>
    </w:rPr>
  </w:style>
  <w:style w:type="paragraph" w:styleId="16">
    <w:name w:val="toc 8"/>
    <w:basedOn w:val="1"/>
    <w:next w:val="1"/>
    <w:semiHidden/>
    <w:qFormat/>
    <w:uiPriority w:val="0"/>
    <w:pPr>
      <w:tabs>
        <w:tab w:val="right" w:leader="dot" w:pos="9241"/>
      </w:tabs>
      <w:ind w:firstLine="607" w:firstLineChars="600"/>
      <w:jc w:val="left"/>
    </w:pPr>
    <w:rPr>
      <w:rFonts w:ascii="宋体"/>
      <w:szCs w:val="21"/>
    </w:rPr>
  </w:style>
  <w:style w:type="paragraph" w:styleId="17">
    <w:name w:val="index 3"/>
    <w:basedOn w:val="1"/>
    <w:next w:val="1"/>
    <w:qFormat/>
    <w:uiPriority w:val="0"/>
    <w:pPr>
      <w:ind w:left="630" w:hanging="210"/>
      <w:jc w:val="left"/>
    </w:pPr>
    <w:rPr>
      <w:rFonts w:ascii="Calibri" w:hAnsi="Calibri"/>
      <w:sz w:val="20"/>
      <w:szCs w:val="20"/>
    </w:rPr>
  </w:style>
  <w:style w:type="paragraph" w:styleId="18">
    <w:name w:val="endnote text"/>
    <w:basedOn w:val="1"/>
    <w:link w:val="153"/>
    <w:semiHidden/>
    <w:qFormat/>
    <w:uiPriority w:val="0"/>
    <w:pPr>
      <w:snapToGrid w:val="0"/>
      <w:jc w:val="left"/>
    </w:pPr>
  </w:style>
  <w:style w:type="paragraph" w:styleId="19">
    <w:name w:val="Balloon Text"/>
    <w:basedOn w:val="1"/>
    <w:link w:val="143"/>
    <w:semiHidden/>
    <w:qFormat/>
    <w:uiPriority w:val="0"/>
    <w:rPr>
      <w:sz w:val="18"/>
      <w:szCs w:val="18"/>
    </w:rPr>
  </w:style>
  <w:style w:type="paragraph" w:styleId="20">
    <w:name w:val="footer"/>
    <w:basedOn w:val="1"/>
    <w:link w:val="154"/>
    <w:qFormat/>
    <w:uiPriority w:val="0"/>
    <w:pPr>
      <w:snapToGrid w:val="0"/>
      <w:ind w:right="210" w:rightChars="100"/>
      <w:jc w:val="right"/>
    </w:pPr>
    <w:rPr>
      <w:sz w:val="18"/>
      <w:szCs w:val="18"/>
    </w:rPr>
  </w:style>
  <w:style w:type="paragraph" w:styleId="21">
    <w:name w:val="header"/>
    <w:basedOn w:val="1"/>
    <w:link w:val="145"/>
    <w:qFormat/>
    <w:uiPriority w:val="0"/>
    <w:pPr>
      <w:snapToGrid w:val="0"/>
      <w:jc w:val="left"/>
    </w:pPr>
    <w:rPr>
      <w:sz w:val="18"/>
      <w:szCs w:val="18"/>
    </w:rPr>
  </w:style>
  <w:style w:type="paragraph" w:styleId="22">
    <w:name w:val="toc 1"/>
    <w:basedOn w:val="1"/>
    <w:next w:val="1"/>
    <w:semiHidden/>
    <w:qFormat/>
    <w:uiPriority w:val="0"/>
    <w:pPr>
      <w:tabs>
        <w:tab w:val="right" w:leader="dot" w:pos="9241"/>
      </w:tabs>
      <w:spacing w:before="25" w:beforeLines="25" w:after="25" w:afterLines="25"/>
      <w:jc w:val="left"/>
    </w:pPr>
    <w:rPr>
      <w:rFonts w:ascii="宋体"/>
      <w:szCs w:val="21"/>
    </w:rPr>
  </w:style>
  <w:style w:type="paragraph" w:styleId="23">
    <w:name w:val="toc 4"/>
    <w:basedOn w:val="1"/>
    <w:next w:val="1"/>
    <w:semiHidden/>
    <w:qFormat/>
    <w:uiPriority w:val="0"/>
    <w:pPr>
      <w:tabs>
        <w:tab w:val="right" w:leader="dot" w:pos="9241"/>
      </w:tabs>
      <w:ind w:firstLine="198" w:firstLineChars="200"/>
      <w:jc w:val="left"/>
    </w:pPr>
    <w:rPr>
      <w:rFonts w:ascii="宋体"/>
      <w:szCs w:val="21"/>
    </w:rPr>
  </w:style>
  <w:style w:type="paragraph" w:styleId="24">
    <w:name w:val="index heading"/>
    <w:basedOn w:val="1"/>
    <w:next w:val="25"/>
    <w:qFormat/>
    <w:uiPriority w:val="0"/>
    <w:pPr>
      <w:spacing w:before="120" w:after="120"/>
      <w:jc w:val="center"/>
    </w:pPr>
    <w:rPr>
      <w:rFonts w:ascii="Calibri" w:hAnsi="Calibri"/>
      <w:b/>
      <w:bCs/>
      <w:iCs/>
      <w:szCs w:val="20"/>
    </w:rPr>
  </w:style>
  <w:style w:type="paragraph" w:styleId="25">
    <w:name w:val="index 1"/>
    <w:basedOn w:val="1"/>
    <w:next w:val="26"/>
    <w:qFormat/>
    <w:uiPriority w:val="0"/>
    <w:pPr>
      <w:tabs>
        <w:tab w:val="right" w:leader="dot" w:pos="9299"/>
      </w:tabs>
      <w:jc w:val="left"/>
    </w:pPr>
    <w:rPr>
      <w:rFonts w:ascii="宋体"/>
      <w:szCs w:val="21"/>
    </w:rPr>
  </w:style>
  <w:style w:type="paragraph" w:customStyle="1" w:styleId="26">
    <w:name w:val="段"/>
    <w:link w:val="148"/>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7">
    <w:name w:val="footnote text"/>
    <w:basedOn w:val="1"/>
    <w:link w:val="155"/>
    <w:qFormat/>
    <w:uiPriority w:val="0"/>
    <w:pPr>
      <w:numPr>
        <w:ilvl w:val="0"/>
        <w:numId w:val="2"/>
      </w:numPr>
      <w:snapToGrid w:val="0"/>
      <w:jc w:val="left"/>
    </w:pPr>
    <w:rPr>
      <w:rFonts w:ascii="宋体"/>
      <w:sz w:val="18"/>
      <w:szCs w:val="18"/>
    </w:rPr>
  </w:style>
  <w:style w:type="paragraph" w:styleId="28">
    <w:name w:val="toc 6"/>
    <w:basedOn w:val="1"/>
    <w:next w:val="1"/>
    <w:semiHidden/>
    <w:qFormat/>
    <w:uiPriority w:val="0"/>
    <w:pPr>
      <w:tabs>
        <w:tab w:val="right" w:leader="dot" w:pos="9241"/>
      </w:tabs>
      <w:ind w:firstLine="403" w:firstLineChars="400"/>
      <w:jc w:val="left"/>
    </w:pPr>
    <w:rPr>
      <w:rFonts w:ascii="宋体"/>
      <w:szCs w:val="21"/>
    </w:rPr>
  </w:style>
  <w:style w:type="paragraph" w:styleId="29">
    <w:name w:val="index 7"/>
    <w:basedOn w:val="1"/>
    <w:next w:val="1"/>
    <w:qFormat/>
    <w:uiPriority w:val="0"/>
    <w:pPr>
      <w:ind w:left="1470" w:hanging="210"/>
      <w:jc w:val="left"/>
    </w:pPr>
    <w:rPr>
      <w:rFonts w:ascii="Calibri" w:hAnsi="Calibri"/>
      <w:sz w:val="20"/>
      <w:szCs w:val="20"/>
    </w:rPr>
  </w:style>
  <w:style w:type="paragraph" w:styleId="30">
    <w:name w:val="index 9"/>
    <w:basedOn w:val="1"/>
    <w:next w:val="1"/>
    <w:qFormat/>
    <w:uiPriority w:val="0"/>
    <w:pPr>
      <w:ind w:left="1890" w:hanging="210"/>
      <w:jc w:val="left"/>
    </w:pPr>
    <w:rPr>
      <w:rFonts w:ascii="Calibri" w:hAnsi="Calibri"/>
      <w:sz w:val="20"/>
      <w:szCs w:val="20"/>
    </w:rPr>
  </w:style>
  <w:style w:type="paragraph" w:styleId="31">
    <w:name w:val="toc 2"/>
    <w:basedOn w:val="1"/>
    <w:next w:val="1"/>
    <w:semiHidden/>
    <w:qFormat/>
    <w:uiPriority w:val="0"/>
    <w:pPr>
      <w:tabs>
        <w:tab w:val="right" w:leader="dot" w:pos="9241"/>
      </w:tabs>
    </w:pPr>
    <w:rPr>
      <w:rFonts w:ascii="宋体"/>
      <w:szCs w:val="21"/>
    </w:rPr>
  </w:style>
  <w:style w:type="paragraph" w:styleId="32">
    <w:name w:val="toc 9"/>
    <w:basedOn w:val="1"/>
    <w:next w:val="1"/>
    <w:semiHidden/>
    <w:qFormat/>
    <w:uiPriority w:val="0"/>
    <w:pPr>
      <w:ind w:left="1470"/>
      <w:jc w:val="left"/>
    </w:pPr>
    <w:rPr>
      <w:sz w:val="20"/>
      <w:szCs w:val="20"/>
    </w:rPr>
  </w:style>
  <w:style w:type="paragraph" w:styleId="3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34">
    <w:name w:val="index 2"/>
    <w:basedOn w:val="1"/>
    <w:next w:val="1"/>
    <w:qFormat/>
    <w:uiPriority w:val="0"/>
    <w:pPr>
      <w:ind w:left="420" w:hanging="210"/>
      <w:jc w:val="left"/>
    </w:pPr>
    <w:rPr>
      <w:rFonts w:ascii="Calibri" w:hAnsi="Calibri"/>
      <w:sz w:val="20"/>
      <w:szCs w:val="20"/>
    </w:rPr>
  </w:style>
  <w:style w:type="paragraph" w:styleId="35">
    <w:name w:val="annotation subject"/>
    <w:basedOn w:val="10"/>
    <w:next w:val="10"/>
    <w:semiHidden/>
    <w:qFormat/>
    <w:uiPriority w:val="0"/>
    <w:rPr>
      <w:rFonts w:ascii="Times New Roman" w:hAnsi="Times New Roman"/>
      <w:b/>
      <w:bCs/>
      <w:szCs w:val="24"/>
    </w:rPr>
  </w:style>
  <w:style w:type="paragraph" w:styleId="36">
    <w:name w:val="Body Text First Indent 2"/>
    <w:basedOn w:val="12"/>
    <w:link w:val="151"/>
    <w:qFormat/>
    <w:uiPriority w:val="0"/>
    <w:pPr>
      <w:spacing w:after="0"/>
      <w:ind w:left="1410" w:leftChars="0" w:firstLine="420" w:firstLineChars="200"/>
    </w:pPr>
    <w:rPr>
      <w:rFonts w:ascii="Calibri" w:hAnsi="Calibri"/>
      <w:sz w:val="28"/>
      <w:szCs w:val="20"/>
    </w:rPr>
  </w:style>
  <w:style w:type="table" w:styleId="38">
    <w:name w:val="Table Grid"/>
    <w:basedOn w:val="37"/>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0">
    <w:name w:val="Strong"/>
    <w:qFormat/>
    <w:uiPriority w:val="0"/>
    <w:rPr>
      <w:b/>
    </w:rPr>
  </w:style>
  <w:style w:type="character" w:styleId="41">
    <w:name w:val="endnote reference"/>
    <w:semiHidden/>
    <w:qFormat/>
    <w:uiPriority w:val="0"/>
    <w:rPr>
      <w:vertAlign w:val="superscript"/>
    </w:rPr>
  </w:style>
  <w:style w:type="character" w:styleId="42">
    <w:name w:val="page number"/>
    <w:qFormat/>
    <w:uiPriority w:val="0"/>
    <w:rPr>
      <w:rFonts w:ascii="Times New Roman" w:hAnsi="Times New Roman" w:eastAsia="宋体"/>
      <w:sz w:val="18"/>
    </w:rPr>
  </w:style>
  <w:style w:type="character" w:styleId="43">
    <w:name w:val="FollowedHyperlink"/>
    <w:qFormat/>
    <w:uiPriority w:val="0"/>
    <w:rPr>
      <w:color w:val="800080"/>
      <w:u w:val="single"/>
    </w:rPr>
  </w:style>
  <w:style w:type="character" w:styleId="44">
    <w:name w:val="Hyperlink"/>
    <w:basedOn w:val="39"/>
    <w:qFormat/>
    <w:uiPriority w:val="0"/>
    <w:rPr>
      <w:color w:val="0000FF"/>
      <w:spacing w:val="0"/>
      <w:w w:val="100"/>
      <w:szCs w:val="21"/>
      <w:u w:val="single"/>
    </w:rPr>
  </w:style>
  <w:style w:type="character" w:styleId="45">
    <w:name w:val="annotation reference"/>
    <w:unhideWhenUsed/>
    <w:qFormat/>
    <w:uiPriority w:val="0"/>
    <w:rPr>
      <w:sz w:val="21"/>
      <w:szCs w:val="21"/>
    </w:rPr>
  </w:style>
  <w:style w:type="character" w:styleId="46">
    <w:name w:val="footnote reference"/>
    <w:semiHidden/>
    <w:qFormat/>
    <w:uiPriority w:val="0"/>
    <w:rPr>
      <w:vertAlign w:val="superscript"/>
    </w:rPr>
  </w:style>
  <w:style w:type="paragraph" w:customStyle="1" w:styleId="47">
    <w:name w:val="注×：（正文）"/>
    <w:qFormat/>
    <w:uiPriority w:val="0"/>
    <w:pPr>
      <w:numPr>
        <w:ilvl w:val="0"/>
        <w:numId w:val="3"/>
      </w:numPr>
      <w:jc w:val="both"/>
    </w:pPr>
    <w:rPr>
      <w:rFonts w:ascii="宋体" w:hAnsi="Times New Roman" w:eastAsia="宋体" w:cs="Times New Roman"/>
      <w:sz w:val="18"/>
      <w:szCs w:val="18"/>
      <w:lang w:val="en-US" w:eastAsia="zh-CN" w:bidi="ar-SA"/>
    </w:rPr>
  </w:style>
  <w:style w:type="paragraph" w:customStyle="1" w:styleId="48">
    <w:name w:val="示例×："/>
    <w:basedOn w:val="49"/>
    <w:qFormat/>
    <w:uiPriority w:val="0"/>
    <w:pPr>
      <w:numPr>
        <w:ilvl w:val="0"/>
        <w:numId w:val="4"/>
      </w:numPr>
      <w:spacing w:before="0" w:beforeLines="0" w:after="0" w:afterLines="0"/>
      <w:outlineLvl w:val="9"/>
    </w:pPr>
    <w:rPr>
      <w:rFonts w:ascii="宋体" w:eastAsia="宋体"/>
      <w:sz w:val="18"/>
      <w:szCs w:val="18"/>
    </w:rPr>
  </w:style>
  <w:style w:type="paragraph" w:customStyle="1" w:styleId="49">
    <w:name w:val="章标题"/>
    <w:next w:val="26"/>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0">
    <w:name w:val="标准书眉_偶数页"/>
    <w:basedOn w:val="51"/>
    <w:next w:val="1"/>
    <w:qFormat/>
    <w:uiPriority w:val="0"/>
    <w:pPr>
      <w:tabs>
        <w:tab w:val="center" w:pos="4154"/>
        <w:tab w:val="right" w:pos="8306"/>
      </w:tabs>
      <w:jc w:val="left"/>
    </w:pPr>
    <w:rPr>
      <w:rFonts w:ascii="黑体" w:eastAsia="黑体"/>
    </w:rPr>
  </w:style>
  <w:style w:type="paragraph" w:customStyle="1" w:styleId="51">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2">
    <w:name w:val="附录章标题"/>
    <w:next w:val="26"/>
    <w:qFormat/>
    <w:uiPriority w:val="0"/>
    <w:pPr>
      <w:numPr>
        <w:ilvl w:val="1"/>
        <w:numId w:val="5"/>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53">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54">
    <w:name w:val="封面标准英文名称"/>
    <w:basedOn w:val="55"/>
    <w:qFormat/>
    <w:uiPriority w:val="0"/>
    <w:pPr>
      <w:spacing w:before="370" w:line="400" w:lineRule="exact"/>
    </w:pPr>
    <w:rPr>
      <w:rFonts w:ascii="Times New Roman"/>
      <w:sz w:val="28"/>
      <w:szCs w:val="28"/>
    </w:rPr>
  </w:style>
  <w:style w:type="paragraph" w:customStyle="1" w:styleId="55">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56">
    <w:name w:val="列项◆（三级）"/>
    <w:basedOn w:val="1"/>
    <w:qFormat/>
    <w:uiPriority w:val="0"/>
    <w:pPr>
      <w:numPr>
        <w:ilvl w:val="2"/>
        <w:numId w:val="6"/>
      </w:numPr>
    </w:pPr>
    <w:rPr>
      <w:rFonts w:ascii="宋体"/>
      <w:szCs w:val="21"/>
    </w:rPr>
  </w:style>
  <w:style w:type="paragraph" w:customStyle="1" w:styleId="57">
    <w:name w:val="附录字母编号列项（一级）"/>
    <w:qFormat/>
    <w:uiPriority w:val="0"/>
    <w:pPr>
      <w:numPr>
        <w:ilvl w:val="0"/>
        <w:numId w:val="7"/>
      </w:numPr>
    </w:pPr>
    <w:rPr>
      <w:rFonts w:ascii="宋体" w:hAnsi="Times New Roman" w:eastAsia="宋体" w:cs="Times New Roman"/>
      <w:sz w:val="21"/>
      <w:lang w:val="en-US" w:eastAsia="zh-CN" w:bidi="ar-SA"/>
    </w:rPr>
  </w:style>
  <w:style w:type="paragraph" w:customStyle="1" w:styleId="58">
    <w:name w:val="封面正文"/>
    <w:qFormat/>
    <w:uiPriority w:val="0"/>
    <w:pPr>
      <w:jc w:val="both"/>
    </w:pPr>
    <w:rPr>
      <w:rFonts w:ascii="Times New Roman" w:hAnsi="Times New Roman" w:eastAsia="宋体" w:cs="Times New Roman"/>
      <w:lang w:val="en-US" w:eastAsia="zh-CN" w:bidi="ar-SA"/>
    </w:rPr>
  </w:style>
  <w:style w:type="paragraph" w:customStyle="1" w:styleId="59">
    <w:name w:val="正文公式编号制表符"/>
    <w:basedOn w:val="26"/>
    <w:next w:val="26"/>
    <w:qFormat/>
    <w:uiPriority w:val="0"/>
    <w:pPr>
      <w:ind w:firstLine="0" w:firstLineChars="0"/>
    </w:pPr>
  </w:style>
  <w:style w:type="paragraph" w:customStyle="1" w:styleId="60">
    <w:name w:val="附录公式"/>
    <w:basedOn w:val="26"/>
    <w:next w:val="26"/>
    <w:link w:val="157"/>
    <w:qFormat/>
    <w:uiPriority w:val="0"/>
  </w:style>
  <w:style w:type="paragraph" w:customStyle="1" w:styleId="61">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62">
    <w:name w:val="其他实施日期"/>
    <w:basedOn w:val="63"/>
    <w:qFormat/>
    <w:uiPriority w:val="0"/>
  </w:style>
  <w:style w:type="paragraph" w:customStyle="1" w:styleId="63">
    <w:name w:val="实施日期"/>
    <w:basedOn w:val="53"/>
    <w:qFormat/>
    <w:uiPriority w:val="0"/>
    <w:pPr>
      <w:framePr w:vAnchor="page" w:hAnchor="page"/>
      <w:jc w:val="right"/>
    </w:pPr>
  </w:style>
  <w:style w:type="paragraph" w:customStyle="1" w:styleId="64">
    <w:name w:val="封面标准文稿编辑信息"/>
    <w:basedOn w:val="65"/>
    <w:qFormat/>
    <w:uiPriority w:val="0"/>
    <w:pPr>
      <w:spacing w:before="180" w:line="180" w:lineRule="exact"/>
    </w:pPr>
    <w:rPr>
      <w:sz w:val="21"/>
    </w:rPr>
  </w:style>
  <w:style w:type="paragraph" w:customStyle="1" w:styleId="65">
    <w:name w:val="封面标准文稿类别"/>
    <w:basedOn w:val="66"/>
    <w:qFormat/>
    <w:uiPriority w:val="0"/>
    <w:pPr>
      <w:spacing w:after="160" w:line="240" w:lineRule="auto"/>
    </w:pPr>
    <w:rPr>
      <w:sz w:val="24"/>
    </w:rPr>
  </w:style>
  <w:style w:type="paragraph" w:customStyle="1" w:styleId="66">
    <w:name w:val="封面一致性程度标识"/>
    <w:basedOn w:val="54"/>
    <w:qFormat/>
    <w:uiPriority w:val="0"/>
    <w:pPr>
      <w:spacing w:before="440"/>
    </w:pPr>
    <w:rPr>
      <w:rFonts w:ascii="宋体" w:eastAsia="宋体"/>
    </w:rPr>
  </w:style>
  <w:style w:type="paragraph" w:customStyle="1" w:styleId="67">
    <w:name w:val="图的脚注"/>
    <w:next w:val="2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68">
    <w:name w:val="封面标准文稿编辑信息2"/>
    <w:basedOn w:val="64"/>
    <w:qFormat/>
    <w:uiPriority w:val="0"/>
    <w:pPr>
      <w:framePr w:y="4469"/>
    </w:pPr>
  </w:style>
  <w:style w:type="paragraph" w:customStyle="1" w:styleId="69">
    <w:name w:val="条文脚注"/>
    <w:basedOn w:val="27"/>
    <w:qFormat/>
    <w:uiPriority w:val="0"/>
    <w:pPr>
      <w:numPr>
        <w:ilvl w:val="0"/>
        <w:numId w:val="0"/>
      </w:numPr>
      <w:jc w:val="both"/>
    </w:pPr>
    <w:rPr>
      <w:rFonts w:ascii="宋体"/>
    </w:rPr>
  </w:style>
  <w:style w:type="paragraph" w:customStyle="1" w:styleId="70">
    <w:name w:val="示例后文字"/>
    <w:basedOn w:val="26"/>
    <w:next w:val="26"/>
    <w:qFormat/>
    <w:uiPriority w:val="0"/>
    <w:pPr>
      <w:ind w:firstLine="360"/>
    </w:pPr>
    <w:rPr>
      <w:sz w:val="18"/>
    </w:rPr>
  </w:style>
  <w:style w:type="paragraph" w:customStyle="1" w:styleId="71">
    <w:name w:val="附录二级条标题"/>
    <w:basedOn w:val="1"/>
    <w:next w:val="26"/>
    <w:qFormat/>
    <w:uiPriority w:val="0"/>
    <w:pPr>
      <w:widowControl/>
      <w:numPr>
        <w:ilvl w:val="3"/>
        <w:numId w:val="5"/>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72">
    <w:name w:val="二级无"/>
    <w:basedOn w:val="73"/>
    <w:qFormat/>
    <w:uiPriority w:val="0"/>
    <w:pPr>
      <w:spacing w:before="0" w:beforeLines="0" w:after="0" w:afterLines="0"/>
    </w:pPr>
    <w:rPr>
      <w:rFonts w:ascii="宋体" w:eastAsia="宋体"/>
    </w:rPr>
  </w:style>
  <w:style w:type="paragraph" w:customStyle="1" w:styleId="73">
    <w:name w:val="二级条标题"/>
    <w:basedOn w:val="74"/>
    <w:next w:val="26"/>
    <w:qFormat/>
    <w:uiPriority w:val="0"/>
    <w:pPr>
      <w:numPr>
        <w:ilvl w:val="2"/>
        <w:numId w:val="1"/>
      </w:numPr>
      <w:spacing w:before="50" w:after="50"/>
      <w:outlineLvl w:val="3"/>
    </w:pPr>
  </w:style>
  <w:style w:type="paragraph" w:customStyle="1" w:styleId="74">
    <w:name w:val="一级条标题"/>
    <w:next w:val="26"/>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75">
    <w:name w:val="附录四级条标题"/>
    <w:basedOn w:val="76"/>
    <w:next w:val="26"/>
    <w:qFormat/>
    <w:uiPriority w:val="0"/>
    <w:pPr>
      <w:numPr>
        <w:ilvl w:val="5"/>
        <w:numId w:val="5"/>
      </w:numPr>
      <w:tabs>
        <w:tab w:val="left" w:pos="360"/>
      </w:tabs>
      <w:outlineLvl w:val="5"/>
    </w:pPr>
  </w:style>
  <w:style w:type="paragraph" w:customStyle="1" w:styleId="76">
    <w:name w:val="附录三级条标题"/>
    <w:basedOn w:val="71"/>
    <w:next w:val="26"/>
    <w:qFormat/>
    <w:uiPriority w:val="0"/>
    <w:pPr>
      <w:numPr>
        <w:ilvl w:val="4"/>
        <w:numId w:val="5"/>
      </w:numPr>
      <w:outlineLvl w:val="4"/>
    </w:pPr>
  </w:style>
  <w:style w:type="paragraph" w:customStyle="1" w:styleId="77">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78">
    <w:name w:val="附录表标题"/>
    <w:basedOn w:val="1"/>
    <w:next w:val="26"/>
    <w:qFormat/>
    <w:uiPriority w:val="0"/>
    <w:pPr>
      <w:numPr>
        <w:ilvl w:val="1"/>
        <w:numId w:val="8"/>
      </w:numPr>
      <w:tabs>
        <w:tab w:val="left" w:pos="180"/>
      </w:tabs>
      <w:spacing w:before="50" w:beforeLines="50" w:after="50" w:afterLines="50"/>
      <w:ind w:left="0" w:firstLine="0"/>
      <w:jc w:val="center"/>
    </w:pPr>
    <w:rPr>
      <w:rFonts w:ascii="黑体" w:eastAsia="黑体"/>
      <w:szCs w:val="21"/>
    </w:rPr>
  </w:style>
  <w:style w:type="paragraph" w:customStyle="1" w:styleId="79">
    <w:name w:val="标准书眉一"/>
    <w:qFormat/>
    <w:uiPriority w:val="0"/>
    <w:pPr>
      <w:jc w:val="both"/>
    </w:pPr>
    <w:rPr>
      <w:rFonts w:ascii="Times New Roman" w:hAnsi="Times New Roman" w:eastAsia="宋体" w:cs="Times New Roman"/>
      <w:lang w:val="en-US" w:eastAsia="zh-CN" w:bidi="ar-SA"/>
    </w:rPr>
  </w:style>
  <w:style w:type="paragraph" w:customStyle="1" w:styleId="80">
    <w:name w:val="其他发布日期"/>
    <w:basedOn w:val="53"/>
    <w:qFormat/>
    <w:uiPriority w:val="0"/>
    <w:pPr>
      <w:framePr w:vAnchor="page" w:hAnchor="page" w:x="1419"/>
    </w:pPr>
  </w:style>
  <w:style w:type="paragraph" w:customStyle="1" w:styleId="81">
    <w:name w:val="示例"/>
    <w:next w:val="26"/>
    <w:qFormat/>
    <w:uiPriority w:val="0"/>
    <w:pPr>
      <w:widowControl w:val="0"/>
      <w:numPr>
        <w:ilvl w:val="0"/>
        <w:numId w:val="9"/>
      </w:numPr>
      <w:jc w:val="both"/>
    </w:pPr>
    <w:rPr>
      <w:rFonts w:ascii="宋体" w:hAnsi="Times New Roman" w:eastAsia="宋体" w:cs="Times New Roman"/>
      <w:sz w:val="18"/>
      <w:szCs w:val="18"/>
      <w:lang w:val="en-US" w:eastAsia="zh-CN" w:bidi="ar-SA"/>
    </w:rPr>
  </w:style>
  <w:style w:type="paragraph" w:customStyle="1" w:styleId="82">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3">
    <w:name w:val="其他发布部门"/>
    <w:basedOn w:val="84"/>
    <w:qFormat/>
    <w:uiPriority w:val="0"/>
    <w:pPr>
      <w:framePr w:y="15310"/>
      <w:spacing w:line="0" w:lineRule="atLeast"/>
    </w:pPr>
    <w:rPr>
      <w:rFonts w:ascii="黑体" w:eastAsia="黑体"/>
      <w:b w:val="0"/>
    </w:rPr>
  </w:style>
  <w:style w:type="paragraph" w:customStyle="1" w:styleId="84">
    <w:name w:val="发布部门"/>
    <w:next w:val="2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86">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87">
    <w:name w:val="终结线"/>
    <w:basedOn w:val="1"/>
    <w:qFormat/>
    <w:uiPriority w:val="0"/>
    <w:pPr>
      <w:framePr w:hSpace="181" w:vSpace="181" w:wrap="around" w:vAnchor="text" w:hAnchor="margin" w:xAlign="center" w:y="285"/>
    </w:pPr>
  </w:style>
  <w:style w:type="paragraph" w:customStyle="1" w:styleId="88">
    <w:name w:val="封面标准英文名称2"/>
    <w:basedOn w:val="54"/>
    <w:qFormat/>
    <w:uiPriority w:val="0"/>
    <w:pPr>
      <w:framePr w:y="4469"/>
    </w:pPr>
  </w:style>
  <w:style w:type="paragraph" w:customStyle="1" w:styleId="89">
    <w:name w:val="附录三级无"/>
    <w:basedOn w:val="76"/>
    <w:qFormat/>
    <w:uiPriority w:val="0"/>
    <w:pPr>
      <w:tabs>
        <w:tab w:val="clear" w:pos="360"/>
      </w:tabs>
      <w:spacing w:before="0" w:beforeLines="0" w:after="0" w:afterLines="0"/>
    </w:pPr>
    <w:rPr>
      <w:rFonts w:ascii="宋体" w:eastAsia="宋体"/>
      <w:szCs w:val="21"/>
    </w:rPr>
  </w:style>
  <w:style w:type="paragraph" w:customStyle="1" w:styleId="90">
    <w:name w:val="首示例"/>
    <w:next w:val="26"/>
    <w:link w:val="152"/>
    <w:qFormat/>
    <w:uiPriority w:val="0"/>
    <w:pPr>
      <w:numPr>
        <w:ilvl w:val="0"/>
        <w:numId w:val="10"/>
      </w:numPr>
      <w:tabs>
        <w:tab w:val="left" w:pos="360"/>
      </w:tabs>
      <w:ind w:firstLine="0"/>
    </w:pPr>
    <w:rPr>
      <w:rFonts w:ascii="宋体" w:hAnsi="宋体" w:eastAsia="宋体" w:cs="Times New Roman"/>
      <w:kern w:val="2"/>
      <w:sz w:val="18"/>
      <w:szCs w:val="18"/>
      <w:lang w:val="en-US" w:eastAsia="zh-CN" w:bidi="ar-SA"/>
    </w:rPr>
  </w:style>
  <w:style w:type="paragraph" w:customStyle="1" w:styleId="91">
    <w:name w:val="附录四级无"/>
    <w:basedOn w:val="75"/>
    <w:qFormat/>
    <w:uiPriority w:val="0"/>
    <w:pPr>
      <w:tabs>
        <w:tab w:val="clear" w:pos="360"/>
      </w:tabs>
      <w:spacing w:before="0" w:beforeLines="0" w:after="0" w:afterLines="0"/>
    </w:pPr>
    <w:rPr>
      <w:rFonts w:ascii="宋体" w:eastAsia="宋体"/>
      <w:szCs w:val="21"/>
    </w:rPr>
  </w:style>
  <w:style w:type="paragraph" w:customStyle="1" w:styleId="92">
    <w:name w:val="列项●（二级）"/>
    <w:qFormat/>
    <w:uiPriority w:val="0"/>
    <w:pPr>
      <w:numPr>
        <w:ilvl w:val="1"/>
        <w:numId w:val="6"/>
      </w:numPr>
      <w:tabs>
        <w:tab w:val="left" w:pos="840"/>
      </w:tabs>
      <w:jc w:val="both"/>
    </w:pPr>
    <w:rPr>
      <w:rFonts w:ascii="宋体" w:hAnsi="Times New Roman" w:eastAsia="宋体" w:cs="Times New Roman"/>
      <w:sz w:val="21"/>
      <w:lang w:val="en-US" w:eastAsia="zh-CN" w:bidi="ar-SA"/>
    </w:rPr>
  </w:style>
  <w:style w:type="paragraph" w:customStyle="1" w:styleId="9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9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95">
    <w:name w:val="附录标识"/>
    <w:basedOn w:val="1"/>
    <w:next w:val="26"/>
    <w:qFormat/>
    <w:uiPriority w:val="0"/>
    <w:pPr>
      <w:keepNext/>
      <w:widowControl/>
      <w:numPr>
        <w:ilvl w:val="0"/>
        <w:numId w:val="5"/>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6">
    <w:name w:val="附录五级条标题"/>
    <w:basedOn w:val="75"/>
    <w:next w:val="26"/>
    <w:qFormat/>
    <w:uiPriority w:val="0"/>
    <w:pPr>
      <w:numPr>
        <w:ilvl w:val="6"/>
        <w:numId w:val="5"/>
      </w:numPr>
      <w:outlineLvl w:val="6"/>
    </w:pPr>
  </w:style>
  <w:style w:type="paragraph" w:customStyle="1" w:styleId="97">
    <w:name w:val="字母编号列项（一级）"/>
    <w:qFormat/>
    <w:uiPriority w:val="0"/>
    <w:pPr>
      <w:numPr>
        <w:ilvl w:val="0"/>
        <w:numId w:val="11"/>
      </w:numPr>
      <w:jc w:val="both"/>
    </w:pPr>
    <w:rPr>
      <w:rFonts w:ascii="宋体" w:hAnsi="Times New Roman" w:eastAsia="宋体" w:cs="Times New Roman"/>
      <w:sz w:val="21"/>
      <w:lang w:val="en-US" w:eastAsia="zh-CN" w:bidi="ar-SA"/>
    </w:rPr>
  </w:style>
  <w:style w:type="paragraph" w:customStyle="1" w:styleId="98">
    <w:name w:val="三级无"/>
    <w:basedOn w:val="99"/>
    <w:qFormat/>
    <w:uiPriority w:val="0"/>
    <w:pPr>
      <w:spacing w:before="0" w:beforeLines="0" w:after="0" w:afterLines="0"/>
    </w:pPr>
    <w:rPr>
      <w:rFonts w:ascii="宋体" w:eastAsia="宋体"/>
    </w:rPr>
  </w:style>
  <w:style w:type="paragraph" w:customStyle="1" w:styleId="99">
    <w:name w:val="三级条标题"/>
    <w:basedOn w:val="73"/>
    <w:next w:val="26"/>
    <w:qFormat/>
    <w:uiPriority w:val="0"/>
    <w:pPr>
      <w:numPr>
        <w:ilvl w:val="3"/>
        <w:numId w:val="1"/>
      </w:numPr>
      <w:outlineLvl w:val="4"/>
    </w:pPr>
  </w:style>
  <w:style w:type="paragraph" w:customStyle="1" w:styleId="100">
    <w:name w:val="目次、标准名称标题"/>
    <w:basedOn w:val="101"/>
    <w:next w:val="26"/>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01">
    <w:name w:val="前言、引言标题"/>
    <w:next w:val="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02">
    <w:name w:val="正文图标题"/>
    <w:next w:val="26"/>
    <w:qFormat/>
    <w:uiPriority w:val="0"/>
    <w:pPr>
      <w:numPr>
        <w:ilvl w:val="0"/>
        <w:numId w:val="12"/>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03">
    <w:name w:val="附录数字编号列项（二级）"/>
    <w:qFormat/>
    <w:uiPriority w:val="0"/>
    <w:pPr>
      <w:numPr>
        <w:ilvl w:val="1"/>
        <w:numId w:val="7"/>
      </w:numPr>
    </w:pPr>
    <w:rPr>
      <w:rFonts w:ascii="宋体" w:hAnsi="Times New Roman" w:eastAsia="宋体" w:cs="Times New Roman"/>
      <w:sz w:val="21"/>
      <w:lang w:val="en-US" w:eastAsia="zh-CN" w:bidi="ar-SA"/>
    </w:rPr>
  </w:style>
  <w:style w:type="paragraph" w:customStyle="1" w:styleId="104">
    <w:name w:val="列项——（一级）"/>
    <w:qFormat/>
    <w:uiPriority w:val="0"/>
    <w:pPr>
      <w:widowControl w:val="0"/>
      <w:numPr>
        <w:ilvl w:val="0"/>
        <w:numId w:val="6"/>
      </w:numPr>
      <w:jc w:val="both"/>
    </w:pPr>
    <w:rPr>
      <w:rFonts w:ascii="宋体" w:hAnsi="Times New Roman" w:eastAsia="宋体" w:cs="Times New Roman"/>
      <w:sz w:val="21"/>
      <w:lang w:val="en-US" w:eastAsia="zh-CN" w:bidi="ar-SA"/>
    </w:rPr>
  </w:style>
  <w:style w:type="paragraph" w:customStyle="1" w:styleId="105">
    <w:name w:val="附录表标号"/>
    <w:basedOn w:val="1"/>
    <w:next w:val="26"/>
    <w:qFormat/>
    <w:uiPriority w:val="0"/>
    <w:pPr>
      <w:numPr>
        <w:ilvl w:val="0"/>
        <w:numId w:val="8"/>
      </w:numPr>
      <w:tabs>
        <w:tab w:val="clear" w:pos="0"/>
      </w:tabs>
      <w:spacing w:line="14" w:lineRule="exact"/>
      <w:ind w:left="811" w:hanging="448"/>
      <w:jc w:val="center"/>
      <w:outlineLvl w:val="0"/>
    </w:pPr>
    <w:rPr>
      <w:color w:val="FFFFFF"/>
    </w:rPr>
  </w:style>
  <w:style w:type="paragraph" w:customStyle="1" w:styleId="106">
    <w:name w:val="附录二级无"/>
    <w:basedOn w:val="71"/>
    <w:qFormat/>
    <w:uiPriority w:val="0"/>
    <w:pPr>
      <w:tabs>
        <w:tab w:val="clear" w:pos="360"/>
      </w:tabs>
      <w:spacing w:before="0" w:beforeLines="0" w:after="0" w:afterLines="0"/>
    </w:pPr>
    <w:rPr>
      <w:rFonts w:ascii="宋体" w:eastAsia="宋体"/>
      <w:szCs w:val="21"/>
    </w:rPr>
  </w:style>
  <w:style w:type="paragraph" w:customStyle="1" w:styleId="107">
    <w:name w:val="封面标准文稿类别2"/>
    <w:basedOn w:val="65"/>
    <w:qFormat/>
    <w:uiPriority w:val="0"/>
    <w:pPr>
      <w:framePr w:y="4469"/>
    </w:pPr>
  </w:style>
  <w:style w:type="paragraph" w:customStyle="1" w:styleId="108">
    <w:name w:val="附录标题"/>
    <w:basedOn w:val="26"/>
    <w:next w:val="26"/>
    <w:qFormat/>
    <w:uiPriority w:val="0"/>
    <w:pPr>
      <w:ind w:firstLine="0" w:firstLineChars="0"/>
      <w:jc w:val="center"/>
    </w:pPr>
    <w:rPr>
      <w:rFonts w:ascii="黑体" w:eastAsia="黑体"/>
    </w:rPr>
  </w:style>
  <w:style w:type="paragraph" w:customStyle="1" w:styleId="109">
    <w:name w:val="正文表标题"/>
    <w:next w:val="26"/>
    <w:qFormat/>
    <w:uiPriority w:val="0"/>
    <w:pPr>
      <w:numPr>
        <w:ilvl w:val="0"/>
        <w:numId w:val="13"/>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10">
    <w:name w:val="注："/>
    <w:next w:val="26"/>
    <w:qFormat/>
    <w:uiPriority w:val="0"/>
    <w:pPr>
      <w:widowControl w:val="0"/>
      <w:numPr>
        <w:ilvl w:val="0"/>
        <w:numId w:val="14"/>
      </w:numPr>
      <w:autoSpaceDE w:val="0"/>
      <w:autoSpaceDN w:val="0"/>
      <w:jc w:val="both"/>
    </w:pPr>
    <w:rPr>
      <w:rFonts w:ascii="宋体" w:hAnsi="Times New Roman" w:eastAsia="宋体" w:cs="Times New Roman"/>
      <w:sz w:val="18"/>
      <w:szCs w:val="18"/>
      <w:lang w:val="en-US" w:eastAsia="zh-CN" w:bidi="ar-SA"/>
    </w:rPr>
  </w:style>
  <w:style w:type="paragraph" w:customStyle="1" w:styleId="111">
    <w:name w:val="图表脚注说明"/>
    <w:basedOn w:val="1"/>
    <w:qFormat/>
    <w:uiPriority w:val="0"/>
    <w:pPr>
      <w:numPr>
        <w:ilvl w:val="0"/>
        <w:numId w:val="15"/>
      </w:numPr>
    </w:pPr>
    <w:rPr>
      <w:rFonts w:ascii="宋体"/>
      <w:sz w:val="18"/>
      <w:szCs w:val="18"/>
    </w:rPr>
  </w:style>
  <w:style w:type="paragraph" w:customStyle="1" w:styleId="112">
    <w:name w:val="附录五级无"/>
    <w:basedOn w:val="96"/>
    <w:qFormat/>
    <w:uiPriority w:val="0"/>
    <w:pPr>
      <w:tabs>
        <w:tab w:val="clear" w:pos="360"/>
      </w:tabs>
      <w:spacing w:before="0" w:beforeLines="0" w:after="0" w:afterLines="0"/>
    </w:pPr>
    <w:rPr>
      <w:rFonts w:ascii="宋体" w:eastAsia="宋体"/>
      <w:szCs w:val="21"/>
    </w:rPr>
  </w:style>
  <w:style w:type="paragraph" w:customStyle="1" w:styleId="113">
    <w:name w:val="编号列项（三级）"/>
    <w:qFormat/>
    <w:uiPriority w:val="0"/>
    <w:pPr>
      <w:numPr>
        <w:ilvl w:val="2"/>
        <w:numId w:val="11"/>
      </w:numPr>
    </w:pPr>
    <w:rPr>
      <w:rFonts w:ascii="宋体" w:hAnsi="Times New Roman" w:eastAsia="宋体" w:cs="Times New Roman"/>
      <w:sz w:val="21"/>
      <w:lang w:val="en-US" w:eastAsia="zh-CN" w:bidi="ar-SA"/>
    </w:rPr>
  </w:style>
  <w:style w:type="paragraph" w:customStyle="1" w:styleId="114">
    <w:name w:val="四级无"/>
    <w:basedOn w:val="115"/>
    <w:qFormat/>
    <w:uiPriority w:val="0"/>
    <w:pPr>
      <w:spacing w:before="0" w:beforeLines="0" w:after="0" w:afterLines="0"/>
    </w:pPr>
    <w:rPr>
      <w:rFonts w:ascii="宋体" w:eastAsia="宋体"/>
    </w:rPr>
  </w:style>
  <w:style w:type="paragraph" w:customStyle="1" w:styleId="115">
    <w:name w:val="四级条标题"/>
    <w:basedOn w:val="99"/>
    <w:next w:val="26"/>
    <w:qFormat/>
    <w:uiPriority w:val="0"/>
    <w:pPr>
      <w:numPr>
        <w:ilvl w:val="4"/>
        <w:numId w:val="1"/>
      </w:numPr>
      <w:outlineLvl w:val="5"/>
    </w:pPr>
  </w:style>
  <w:style w:type="paragraph" w:customStyle="1" w:styleId="116">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11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18">
    <w:name w:val="其他标准标志"/>
    <w:basedOn w:val="116"/>
    <w:qFormat/>
    <w:uiPriority w:val="0"/>
    <w:pPr>
      <w:framePr w:w="6101" w:vAnchor="page" w:hAnchor="page" w:x="4673" w:y="942"/>
    </w:pPr>
    <w:rPr>
      <w:w w:val="130"/>
    </w:rPr>
  </w:style>
  <w:style w:type="paragraph" w:customStyle="1" w:styleId="119">
    <w:name w:val="一级无"/>
    <w:basedOn w:val="74"/>
    <w:qFormat/>
    <w:uiPriority w:val="0"/>
    <w:pPr>
      <w:spacing w:before="0" w:beforeLines="0" w:after="0" w:afterLines="0"/>
    </w:pPr>
    <w:rPr>
      <w:rFonts w:ascii="宋体" w:eastAsia="宋体"/>
    </w:rPr>
  </w:style>
  <w:style w:type="paragraph" w:customStyle="1" w:styleId="120">
    <w:name w:val="数字编号列项（二级）"/>
    <w:qFormat/>
    <w:uiPriority w:val="0"/>
    <w:pPr>
      <w:numPr>
        <w:ilvl w:val="1"/>
        <w:numId w:val="11"/>
      </w:numPr>
      <w:jc w:val="both"/>
    </w:pPr>
    <w:rPr>
      <w:rFonts w:ascii="宋体" w:hAnsi="Times New Roman" w:eastAsia="宋体" w:cs="Times New Roman"/>
      <w:sz w:val="21"/>
      <w:lang w:val="en-US" w:eastAsia="zh-CN" w:bidi="ar-SA"/>
    </w:rPr>
  </w:style>
  <w:style w:type="paragraph" w:customStyle="1" w:styleId="121">
    <w:name w:val="Body text|1"/>
    <w:basedOn w:val="1"/>
    <w:qFormat/>
    <w:uiPriority w:val="0"/>
    <w:pPr>
      <w:spacing w:line="346" w:lineRule="auto"/>
      <w:ind w:firstLine="400"/>
    </w:pPr>
    <w:rPr>
      <w:rFonts w:ascii="宋体" w:hAnsi="宋体" w:cs="宋体"/>
      <w:sz w:val="19"/>
      <w:szCs w:val="19"/>
      <w:lang w:val="zh-TW" w:eastAsia="zh-TW" w:bidi="zh-TW"/>
    </w:rPr>
  </w:style>
  <w:style w:type="paragraph" w:customStyle="1" w:styleId="122">
    <w:name w:val="五级无"/>
    <w:basedOn w:val="123"/>
    <w:qFormat/>
    <w:uiPriority w:val="0"/>
    <w:pPr>
      <w:spacing w:before="0" w:beforeLines="0" w:after="0" w:afterLines="0"/>
    </w:pPr>
    <w:rPr>
      <w:rFonts w:ascii="宋体" w:eastAsia="宋体"/>
    </w:rPr>
  </w:style>
  <w:style w:type="paragraph" w:customStyle="1" w:styleId="123">
    <w:name w:val="五级条标题"/>
    <w:basedOn w:val="115"/>
    <w:next w:val="26"/>
    <w:qFormat/>
    <w:uiPriority w:val="0"/>
    <w:pPr>
      <w:numPr>
        <w:ilvl w:val="5"/>
        <w:numId w:val="1"/>
      </w:numPr>
      <w:outlineLvl w:val="6"/>
    </w:pPr>
  </w:style>
  <w:style w:type="paragraph" w:customStyle="1" w:styleId="124">
    <w:name w:val="附录一级无"/>
    <w:basedOn w:val="125"/>
    <w:qFormat/>
    <w:uiPriority w:val="0"/>
    <w:pPr>
      <w:tabs>
        <w:tab w:val="left" w:pos="360"/>
      </w:tabs>
      <w:spacing w:before="0" w:beforeLines="0" w:after="0" w:afterLines="0"/>
    </w:pPr>
    <w:rPr>
      <w:rFonts w:ascii="宋体" w:eastAsia="宋体"/>
      <w:szCs w:val="21"/>
    </w:rPr>
  </w:style>
  <w:style w:type="paragraph" w:customStyle="1" w:styleId="125">
    <w:name w:val="附录一级条标题"/>
    <w:basedOn w:val="52"/>
    <w:next w:val="26"/>
    <w:qFormat/>
    <w:uiPriority w:val="0"/>
    <w:pPr>
      <w:numPr>
        <w:ilvl w:val="2"/>
        <w:numId w:val="5"/>
      </w:numPr>
      <w:autoSpaceDN w:val="0"/>
      <w:spacing w:before="50" w:beforeLines="50" w:after="50" w:afterLines="50"/>
      <w:outlineLvl w:val="2"/>
    </w:pPr>
  </w:style>
  <w:style w:type="paragraph" w:customStyle="1" w:styleId="126">
    <w:name w:val="附录公式编号制表符"/>
    <w:basedOn w:val="1"/>
    <w:next w:val="26"/>
    <w:qFormat/>
    <w:uiPriority w:val="0"/>
    <w:pPr>
      <w:widowControl/>
      <w:tabs>
        <w:tab w:val="center" w:pos="4201"/>
        <w:tab w:val="right" w:leader="dot" w:pos="9298"/>
      </w:tabs>
      <w:autoSpaceDE w:val="0"/>
      <w:autoSpaceDN w:val="0"/>
    </w:pPr>
    <w:rPr>
      <w:rFonts w:ascii="宋体"/>
      <w:kern w:val="0"/>
      <w:szCs w:val="20"/>
    </w:rPr>
  </w:style>
  <w:style w:type="paragraph" w:customStyle="1" w:styleId="12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28">
    <w:name w:val="参考文献、索引标题"/>
    <w:basedOn w:val="1"/>
    <w:next w:val="2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29">
    <w:name w:val="参考文献"/>
    <w:basedOn w:val="1"/>
    <w:next w:val="2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30">
    <w:name w:val="封面标准名称2"/>
    <w:basedOn w:val="55"/>
    <w:qFormat/>
    <w:uiPriority w:val="0"/>
    <w:pPr>
      <w:framePr w:y="4469"/>
      <w:spacing w:before="630" w:beforeLines="630"/>
    </w:pPr>
  </w:style>
  <w:style w:type="paragraph" w:customStyle="1" w:styleId="131">
    <w:name w:val="封面一致性程度标识2"/>
    <w:basedOn w:val="66"/>
    <w:qFormat/>
    <w:uiPriority w:val="0"/>
    <w:pPr>
      <w:framePr w:y="4469"/>
    </w:pPr>
  </w:style>
  <w:style w:type="paragraph" w:customStyle="1" w:styleId="132">
    <w:name w:val="注×："/>
    <w:qFormat/>
    <w:uiPriority w:val="0"/>
    <w:pPr>
      <w:widowControl w:val="0"/>
      <w:numPr>
        <w:ilvl w:val="0"/>
        <w:numId w:val="16"/>
      </w:numPr>
      <w:autoSpaceDE w:val="0"/>
      <w:autoSpaceDN w:val="0"/>
      <w:jc w:val="both"/>
    </w:pPr>
    <w:rPr>
      <w:rFonts w:ascii="宋体" w:hAnsi="Times New Roman" w:eastAsia="宋体" w:cs="Times New Roman"/>
      <w:sz w:val="18"/>
      <w:szCs w:val="18"/>
      <w:lang w:val="en-US" w:eastAsia="zh-CN" w:bidi="ar-SA"/>
    </w:rPr>
  </w:style>
  <w:style w:type="paragraph" w:customStyle="1" w:styleId="13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34">
    <w:name w:val="附录图标号"/>
    <w:basedOn w:val="1"/>
    <w:qFormat/>
    <w:uiPriority w:val="0"/>
    <w:pPr>
      <w:keepNext/>
      <w:pageBreakBefore/>
      <w:widowControl/>
      <w:numPr>
        <w:ilvl w:val="0"/>
        <w:numId w:val="17"/>
      </w:numPr>
      <w:spacing w:line="14" w:lineRule="exact"/>
      <w:ind w:left="0" w:firstLine="363"/>
      <w:jc w:val="center"/>
      <w:outlineLvl w:val="0"/>
    </w:pPr>
    <w:rPr>
      <w:color w:val="FFFFFF"/>
    </w:rPr>
  </w:style>
  <w:style w:type="paragraph" w:customStyle="1" w:styleId="135">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136">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37">
    <w:name w:val="注：（正文）"/>
    <w:basedOn w:val="110"/>
    <w:next w:val="26"/>
    <w:qFormat/>
    <w:uiPriority w:val="0"/>
  </w:style>
  <w:style w:type="paragraph" w:customStyle="1" w:styleId="13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39">
    <w:name w:val="修订"/>
    <w:unhideWhenUsed/>
    <w:qFormat/>
    <w:uiPriority w:val="0"/>
    <w:rPr>
      <w:rFonts w:ascii="Times New Roman" w:hAnsi="Times New Roman" w:eastAsia="宋体" w:cs="Times New Roman"/>
      <w:kern w:val="2"/>
      <w:sz w:val="21"/>
      <w:szCs w:val="24"/>
      <w:lang w:val="en-US" w:eastAsia="zh-CN" w:bidi="ar-SA"/>
    </w:rPr>
  </w:style>
  <w:style w:type="paragraph" w:customStyle="1" w:styleId="140">
    <w:name w:val="图标脚注说明"/>
    <w:basedOn w:val="26"/>
    <w:qFormat/>
    <w:uiPriority w:val="0"/>
    <w:pPr>
      <w:ind w:left="840" w:hanging="420" w:firstLineChars="0"/>
    </w:pPr>
    <w:rPr>
      <w:sz w:val="18"/>
      <w:szCs w:val="18"/>
    </w:rPr>
  </w:style>
  <w:style w:type="paragraph" w:customStyle="1" w:styleId="141">
    <w:name w:val="WPSOffice手动目录 1"/>
    <w:qFormat/>
    <w:uiPriority w:val="0"/>
    <w:rPr>
      <w:rFonts w:ascii="Times New Roman" w:hAnsi="Times New Roman" w:eastAsia="宋体" w:cs="Times New Roman"/>
      <w:lang w:val="en-US" w:eastAsia="zh-CN" w:bidi="ar-SA"/>
    </w:rPr>
  </w:style>
  <w:style w:type="paragraph" w:customStyle="1" w:styleId="142">
    <w:name w:val="附录图标题"/>
    <w:basedOn w:val="1"/>
    <w:next w:val="26"/>
    <w:qFormat/>
    <w:uiPriority w:val="0"/>
    <w:pPr>
      <w:numPr>
        <w:ilvl w:val="1"/>
        <w:numId w:val="17"/>
      </w:numPr>
      <w:tabs>
        <w:tab w:val="left" w:pos="363"/>
      </w:tabs>
      <w:spacing w:before="50" w:beforeLines="50" w:after="50" w:afterLines="50"/>
      <w:ind w:left="0" w:firstLine="0"/>
      <w:jc w:val="center"/>
    </w:pPr>
    <w:rPr>
      <w:rFonts w:ascii="黑体" w:eastAsia="黑体"/>
      <w:szCs w:val="21"/>
    </w:rPr>
  </w:style>
  <w:style w:type="character" w:customStyle="1" w:styleId="143">
    <w:name w:val="批注框文本 Char"/>
    <w:link w:val="19"/>
    <w:semiHidden/>
    <w:qFormat/>
    <w:uiPriority w:val="0"/>
    <w:rPr>
      <w:rFonts w:eastAsia="宋体"/>
      <w:kern w:val="2"/>
      <w:sz w:val="18"/>
      <w:szCs w:val="18"/>
      <w:lang w:val="en-US" w:eastAsia="zh-CN" w:bidi="ar-SA"/>
    </w:rPr>
  </w:style>
  <w:style w:type="character" w:customStyle="1" w:styleId="144">
    <w:name w:val="标题 1 Char"/>
    <w:link w:val="2"/>
    <w:qFormat/>
    <w:uiPriority w:val="0"/>
    <w:rPr>
      <w:rFonts w:eastAsia="宋体"/>
      <w:b/>
      <w:bCs/>
      <w:kern w:val="44"/>
      <w:sz w:val="44"/>
      <w:szCs w:val="44"/>
      <w:lang w:val="en-US" w:eastAsia="zh-CN" w:bidi="ar-SA"/>
    </w:rPr>
  </w:style>
  <w:style w:type="character" w:customStyle="1" w:styleId="145">
    <w:name w:val="页眉 Char"/>
    <w:link w:val="21"/>
    <w:qFormat/>
    <w:uiPriority w:val="0"/>
    <w:rPr>
      <w:rFonts w:eastAsia="宋体"/>
      <w:kern w:val="2"/>
      <w:sz w:val="18"/>
      <w:szCs w:val="18"/>
      <w:lang w:val="en-US" w:eastAsia="zh-CN" w:bidi="ar-SA"/>
    </w:rPr>
  </w:style>
  <w:style w:type="character" w:customStyle="1" w:styleId="146">
    <w:name w:val="文档结构图 Char"/>
    <w:link w:val="9"/>
    <w:semiHidden/>
    <w:qFormat/>
    <w:uiPriority w:val="0"/>
    <w:rPr>
      <w:rFonts w:eastAsia="宋体"/>
      <w:kern w:val="2"/>
      <w:sz w:val="21"/>
      <w:szCs w:val="24"/>
      <w:lang w:val="en-US" w:eastAsia="zh-CN" w:bidi="ar-SA"/>
    </w:rPr>
  </w:style>
  <w:style w:type="character" w:customStyle="1" w:styleId="147">
    <w:name w:val="页脚 字符"/>
    <w:qFormat/>
    <w:uiPriority w:val="0"/>
  </w:style>
  <w:style w:type="character" w:customStyle="1" w:styleId="148">
    <w:name w:val="段 Char"/>
    <w:link w:val="26"/>
    <w:qFormat/>
    <w:uiPriority w:val="0"/>
    <w:rPr>
      <w:rFonts w:ascii="宋体"/>
      <w:sz w:val="21"/>
      <w:lang w:val="en-US" w:eastAsia="zh-CN" w:bidi="ar-SA"/>
    </w:rPr>
  </w:style>
  <w:style w:type="character" w:customStyle="1" w:styleId="149">
    <w:name w:val="正文文本缩进 Char"/>
    <w:link w:val="12"/>
    <w:qFormat/>
    <w:uiPriority w:val="0"/>
    <w:rPr>
      <w:rFonts w:eastAsia="宋体"/>
      <w:kern w:val="2"/>
      <w:sz w:val="21"/>
      <w:szCs w:val="24"/>
      <w:lang w:val="en-US" w:eastAsia="zh-CN" w:bidi="ar-SA"/>
    </w:rPr>
  </w:style>
  <w:style w:type="character" w:customStyle="1" w:styleId="150">
    <w:name w:val="批注文字 Char"/>
    <w:link w:val="10"/>
    <w:qFormat/>
    <w:uiPriority w:val="0"/>
    <w:rPr>
      <w:rFonts w:ascii="Calibri" w:hAnsi="Calibri" w:eastAsia="宋体"/>
      <w:kern w:val="2"/>
      <w:sz w:val="21"/>
      <w:szCs w:val="22"/>
      <w:lang w:val="en-US" w:eastAsia="zh-CN" w:bidi="ar-SA"/>
    </w:rPr>
  </w:style>
  <w:style w:type="character" w:customStyle="1" w:styleId="151">
    <w:name w:val="正文首行缩进 2 Char"/>
    <w:link w:val="36"/>
    <w:qFormat/>
    <w:uiPriority w:val="0"/>
    <w:rPr>
      <w:rFonts w:ascii="Calibri" w:hAnsi="Calibri" w:eastAsia="宋体"/>
      <w:kern w:val="2"/>
      <w:sz w:val="28"/>
      <w:lang w:val="en-US" w:eastAsia="zh-CN" w:bidi="ar-SA"/>
    </w:rPr>
  </w:style>
  <w:style w:type="character" w:customStyle="1" w:styleId="152">
    <w:name w:val="首示例 Char"/>
    <w:link w:val="90"/>
    <w:qFormat/>
    <w:uiPriority w:val="0"/>
    <w:rPr>
      <w:rFonts w:ascii="宋体" w:hAnsi="宋体" w:eastAsia="宋体"/>
      <w:kern w:val="2"/>
      <w:sz w:val="18"/>
      <w:szCs w:val="18"/>
      <w:lang w:val="en-US" w:eastAsia="zh-CN" w:bidi="ar-SA"/>
    </w:rPr>
  </w:style>
  <w:style w:type="character" w:customStyle="1" w:styleId="153">
    <w:name w:val="尾注文本 Char"/>
    <w:link w:val="18"/>
    <w:semiHidden/>
    <w:qFormat/>
    <w:uiPriority w:val="0"/>
    <w:rPr>
      <w:rFonts w:eastAsia="宋体"/>
      <w:kern w:val="2"/>
      <w:sz w:val="21"/>
      <w:szCs w:val="24"/>
      <w:lang w:val="en-US" w:eastAsia="zh-CN" w:bidi="ar-SA"/>
    </w:rPr>
  </w:style>
  <w:style w:type="character" w:customStyle="1" w:styleId="154">
    <w:name w:val="页脚 Char"/>
    <w:link w:val="20"/>
    <w:qFormat/>
    <w:uiPriority w:val="0"/>
    <w:rPr>
      <w:rFonts w:eastAsia="宋体"/>
      <w:kern w:val="2"/>
      <w:sz w:val="18"/>
      <w:szCs w:val="18"/>
      <w:lang w:val="en-US" w:eastAsia="zh-CN" w:bidi="ar-SA"/>
    </w:rPr>
  </w:style>
  <w:style w:type="character" w:customStyle="1" w:styleId="155">
    <w:name w:val="脚注文本 Char"/>
    <w:link w:val="27"/>
    <w:qFormat/>
    <w:uiPriority w:val="0"/>
    <w:rPr>
      <w:rFonts w:ascii="宋体" w:eastAsia="宋体"/>
      <w:kern w:val="2"/>
      <w:sz w:val="18"/>
      <w:szCs w:val="18"/>
      <w:lang w:val="en-US" w:eastAsia="zh-CN" w:bidi="ar-SA"/>
    </w:rPr>
  </w:style>
  <w:style w:type="character" w:customStyle="1" w:styleId="156">
    <w:name w:val="发布"/>
    <w:qFormat/>
    <w:uiPriority w:val="0"/>
    <w:rPr>
      <w:rFonts w:ascii="黑体" w:eastAsia="黑体"/>
      <w:spacing w:val="85"/>
      <w:w w:val="100"/>
      <w:position w:val="3"/>
      <w:sz w:val="28"/>
      <w:szCs w:val="28"/>
    </w:rPr>
  </w:style>
  <w:style w:type="character" w:customStyle="1" w:styleId="157">
    <w:name w:val="附录公式 Char"/>
    <w:basedOn w:val="148"/>
    <w:link w:val="60"/>
    <w:qFormat/>
    <w:uiPriority w:val="0"/>
  </w:style>
  <w:style w:type="paragraph" w:styleId="158">
    <w:name w:val="List Paragraph"/>
    <w:basedOn w:val="1"/>
    <w:qFormat/>
    <w:uiPriority w:val="34"/>
    <w:pPr>
      <w:ind w:firstLine="420" w:firstLineChars="200"/>
    </w:pPr>
    <w:rPr>
      <w:rFonts w:eastAsia="宋体"/>
      <w:sz w:val="21"/>
      <w:szCs w:val="20"/>
      <w:lang w:val="en-US"/>
    </w:rPr>
  </w:style>
  <w:style w:type="character" w:customStyle="1" w:styleId="159">
    <w:name w:val="fontstyle01"/>
    <w:basedOn w:val="39"/>
    <w:qFormat/>
    <w:uiPriority w:val="0"/>
    <w:rPr>
      <w:rFonts w:ascii="仿宋_GB2312" w:hAnsi="仿宋_GB2312" w:eastAsia="仿宋_GB2312" w:cs="仿宋_GB2312"/>
      <w:color w:val="000000"/>
      <w:sz w:val="30"/>
      <w:szCs w:val="30"/>
    </w:rPr>
  </w:style>
  <w:style w:type="character" w:customStyle="1" w:styleId="160">
    <w:name w:val="fontstyle11"/>
    <w:basedOn w:val="39"/>
    <w:qFormat/>
    <w:uiPriority w:val="0"/>
    <w:rPr>
      <w:rFonts w:ascii="FZFSK--GBK1-0" w:hAnsi="FZFSK--GBK1-0" w:eastAsia="FZFSK--GBK1-0" w:cs="FZFSK--GBK1-0"/>
      <w:color w:val="000000"/>
      <w:sz w:val="30"/>
      <w:szCs w:val="30"/>
    </w:rPr>
  </w:style>
  <w:style w:type="character" w:customStyle="1" w:styleId="161">
    <w:name w:val="fontstyle31"/>
    <w:basedOn w:val="39"/>
    <w:qFormat/>
    <w:uiPriority w:val="0"/>
    <w:rPr>
      <w:rFonts w:ascii="宋体" w:hAnsi="宋体" w:eastAsia="宋体" w:cs="宋体"/>
      <w:color w:val="000000"/>
      <w:sz w:val="26"/>
      <w:szCs w:val="26"/>
    </w:rPr>
  </w:style>
  <w:style w:type="character" w:customStyle="1" w:styleId="162">
    <w:name w:val="fontstyle21"/>
    <w:basedOn w:val="39"/>
    <w:qFormat/>
    <w:uiPriority w:val="0"/>
    <w:rPr>
      <w:rFonts w:ascii="FZFSK--GBK1-0" w:hAnsi="FZFSK--GBK1-0" w:eastAsia="FZFSK--GBK1-0" w:cs="FZFSK--GBK1-0"/>
      <w:color w:val="000000"/>
      <w:sz w:val="22"/>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J\Desktop\&#12298;&#25991;&#29289;&#24314;&#31569;&#28040;&#38450;&#23433;&#20840;&#35780;&#20272;&#35268;&#33539;&#12299;&#25253;&#25209;&#31295;-2023&#24180;1&#26376;11&#26085;&#22812;&#26368;&#32456;&#20462;&#25913;&#31295;&#65288;&#21152;&#34920;&#32493;&#23436;&#21892;&#65289;.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《文物建筑消防安全评估规范》报批稿-2023年1月11日夜最终修改稿（加表续完善）.dot</Template>
  <Pages>19</Pages>
  <Words>14337</Words>
  <Characters>14540</Characters>
  <Lines>361</Lines>
  <Paragraphs>101</Paragraphs>
  <TotalTime>24</TotalTime>
  <ScaleCrop>false</ScaleCrop>
  <LinksUpToDate>false</LinksUpToDate>
  <CharactersWithSpaces>15389</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2023-01-12T07:44:00Z</dcterms:created>
  <cp:lastPrinted>2024-08-12T03:54:00Z</cp:lastPrinted>
  <dcterms:modified xsi:type="dcterms:W3CDTF">2025-01-02T03:02:17Z</dcterms:modified>
  <dc:title>标准名称</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1003386680BB44A0B77F245FB2FDF452</vt:lpwstr>
  </property>
  <property fmtid="{D5CDD505-2E9C-101B-9397-08002B2CF9AE}" pid="4" name="KSOTemplateDocerSaveRecord">
    <vt:lpwstr>eyJoZGlkIjoiZmUwOWY3YmY5MTU0MTVjZmYwNDdmNGIyYjVmMWYzOWMiLCJ1c2VySWQiOiI0NzIyMTk0NTIifQ==</vt:lpwstr>
  </property>
</Properties>
</file>