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6E45D3">
      <w:pPr>
        <w:jc w:val="center"/>
        <w:rPr>
          <w:rFonts w:hint="eastAsia" w:ascii="黑体" w:hAnsi="黑体" w:eastAsia="黑体"/>
          <w:sz w:val="52"/>
          <w:szCs w:val="52"/>
          <w:lang w:val="en-US" w:eastAsia="zh-CN"/>
        </w:rPr>
      </w:pPr>
    </w:p>
    <w:p w14:paraId="21C73CF6">
      <w:pPr>
        <w:jc w:val="center"/>
        <w:rPr>
          <w:rFonts w:hint="eastAsia" w:ascii="黑体" w:hAnsi="黑体" w:eastAsia="黑体"/>
          <w:sz w:val="52"/>
          <w:szCs w:val="52"/>
        </w:rPr>
      </w:pPr>
      <w:r>
        <w:rPr>
          <w:rFonts w:hint="eastAsia" w:ascii="黑体" w:hAnsi="黑体" w:eastAsia="黑体"/>
          <w:sz w:val="52"/>
          <w:szCs w:val="52"/>
          <w:lang w:val="en-US" w:eastAsia="zh-CN"/>
        </w:rPr>
        <w:t>陕西省地方标准</w:t>
      </w:r>
    </w:p>
    <w:p w14:paraId="7F9236F6">
      <w:pPr>
        <w:jc w:val="center"/>
        <w:rPr>
          <w:rFonts w:hint="eastAsia" w:ascii="黑体" w:hAnsi="黑体" w:eastAsia="黑体"/>
          <w:sz w:val="52"/>
          <w:szCs w:val="52"/>
        </w:rPr>
      </w:pPr>
      <w:r>
        <w:rPr>
          <w:rFonts w:hint="eastAsia" w:ascii="黑体" w:hAnsi="黑体" w:eastAsia="黑体"/>
          <w:sz w:val="52"/>
          <w:szCs w:val="52"/>
        </w:rPr>
        <w:t>《</w:t>
      </w:r>
      <w:r>
        <w:rPr>
          <w:rFonts w:hint="eastAsia" w:ascii="黑体" w:hAnsi="黑体" w:eastAsia="黑体"/>
          <w:sz w:val="52"/>
          <w:szCs w:val="52"/>
          <w:lang w:val="en-US" w:eastAsia="zh-CN"/>
        </w:rPr>
        <w:t>地方病患者管理服务标准</w:t>
      </w:r>
      <w:r>
        <w:rPr>
          <w:rFonts w:hint="eastAsia" w:ascii="黑体" w:hAnsi="黑体" w:eastAsia="黑体"/>
          <w:sz w:val="52"/>
          <w:szCs w:val="52"/>
        </w:rPr>
        <w:t>》</w:t>
      </w:r>
    </w:p>
    <w:p w14:paraId="425903D3">
      <w:pPr>
        <w:jc w:val="center"/>
        <w:rPr>
          <w:rFonts w:hint="eastAsia" w:ascii="黑体" w:hAnsi="黑体" w:eastAsia="黑体"/>
          <w:sz w:val="52"/>
          <w:szCs w:val="52"/>
          <w:lang w:val="en-US" w:eastAsia="zh-CN"/>
        </w:rPr>
      </w:pPr>
    </w:p>
    <w:p w14:paraId="420E3BA9">
      <w:pPr>
        <w:jc w:val="center"/>
        <w:rPr>
          <w:rFonts w:ascii="黑体" w:hAnsi="黑体" w:eastAsia="黑体"/>
          <w:sz w:val="52"/>
          <w:szCs w:val="52"/>
        </w:rPr>
      </w:pPr>
      <w:r>
        <w:rPr>
          <w:rFonts w:hint="eastAsia" w:ascii="黑体" w:hAnsi="黑体" w:eastAsia="黑体"/>
          <w:sz w:val="52"/>
          <w:szCs w:val="52"/>
        </w:rPr>
        <w:t>（征求意见</w:t>
      </w:r>
      <w:r>
        <w:rPr>
          <w:rFonts w:ascii="黑体" w:hAnsi="黑体" w:eastAsia="黑体"/>
          <w:sz w:val="52"/>
          <w:szCs w:val="52"/>
        </w:rPr>
        <w:t>稿</w:t>
      </w:r>
      <w:r>
        <w:rPr>
          <w:rFonts w:hint="eastAsia" w:ascii="黑体" w:hAnsi="黑体" w:eastAsia="黑体"/>
          <w:sz w:val="52"/>
          <w:szCs w:val="52"/>
        </w:rPr>
        <w:t>）</w:t>
      </w:r>
    </w:p>
    <w:p w14:paraId="48D9AF5E">
      <w:pPr>
        <w:jc w:val="center"/>
        <w:rPr>
          <w:rFonts w:ascii="黑体" w:hAnsi="黑体" w:eastAsia="黑体"/>
          <w:sz w:val="52"/>
          <w:szCs w:val="52"/>
        </w:rPr>
      </w:pPr>
      <w:bookmarkStart w:id="17" w:name="_GoBack"/>
      <w:bookmarkEnd w:id="17"/>
    </w:p>
    <w:p w14:paraId="0FA122EF">
      <w:pPr>
        <w:jc w:val="center"/>
        <w:rPr>
          <w:rFonts w:ascii="黑体" w:hAnsi="黑体" w:eastAsia="黑体"/>
          <w:sz w:val="96"/>
          <w:szCs w:val="52"/>
        </w:rPr>
      </w:pPr>
      <w:r>
        <w:rPr>
          <w:rFonts w:hint="eastAsia" w:ascii="黑体" w:hAnsi="黑体" w:eastAsia="黑体"/>
          <w:sz w:val="96"/>
          <w:szCs w:val="52"/>
        </w:rPr>
        <w:t>编</w:t>
      </w:r>
    </w:p>
    <w:p w14:paraId="6AE030B1">
      <w:pPr>
        <w:jc w:val="center"/>
        <w:rPr>
          <w:rFonts w:ascii="黑体" w:hAnsi="黑体" w:eastAsia="黑体"/>
          <w:sz w:val="96"/>
          <w:szCs w:val="52"/>
        </w:rPr>
      </w:pPr>
      <w:r>
        <w:rPr>
          <w:rFonts w:hint="eastAsia" w:ascii="黑体" w:hAnsi="黑体" w:eastAsia="黑体"/>
          <w:sz w:val="96"/>
          <w:szCs w:val="52"/>
        </w:rPr>
        <w:t>制</w:t>
      </w:r>
    </w:p>
    <w:p w14:paraId="224A4B55">
      <w:pPr>
        <w:jc w:val="center"/>
        <w:rPr>
          <w:rFonts w:ascii="黑体" w:hAnsi="黑体" w:eastAsia="黑体"/>
          <w:sz w:val="96"/>
          <w:szCs w:val="52"/>
        </w:rPr>
      </w:pPr>
      <w:r>
        <w:rPr>
          <w:rFonts w:hint="eastAsia" w:ascii="黑体" w:hAnsi="黑体" w:eastAsia="黑体"/>
          <w:sz w:val="96"/>
          <w:szCs w:val="52"/>
        </w:rPr>
        <w:t>说</w:t>
      </w:r>
    </w:p>
    <w:p w14:paraId="603F4A12">
      <w:pPr>
        <w:jc w:val="center"/>
        <w:rPr>
          <w:rFonts w:ascii="黑体" w:hAnsi="黑体" w:eastAsia="黑体"/>
          <w:sz w:val="96"/>
          <w:szCs w:val="52"/>
        </w:rPr>
      </w:pPr>
      <w:r>
        <w:rPr>
          <w:rFonts w:hint="eastAsia" w:ascii="黑体" w:hAnsi="黑体" w:eastAsia="黑体"/>
          <w:sz w:val="96"/>
          <w:szCs w:val="52"/>
        </w:rPr>
        <w:t>明</w:t>
      </w:r>
    </w:p>
    <w:p w14:paraId="06E6C9F3">
      <w:pPr>
        <w:jc w:val="center"/>
        <w:rPr>
          <w:rFonts w:ascii="黑体" w:hAnsi="黑体" w:eastAsia="黑体"/>
          <w:sz w:val="52"/>
          <w:szCs w:val="52"/>
        </w:rPr>
      </w:pPr>
    </w:p>
    <w:p w14:paraId="31328C04">
      <w:pPr>
        <w:jc w:val="center"/>
        <w:rPr>
          <w:rFonts w:ascii="黑体" w:hAnsi="黑体" w:eastAsia="黑体"/>
          <w:sz w:val="52"/>
          <w:szCs w:val="52"/>
        </w:rPr>
      </w:pPr>
    </w:p>
    <w:p w14:paraId="13E93712">
      <w:pPr>
        <w:jc w:val="center"/>
        <w:rPr>
          <w:rFonts w:ascii="黑体" w:hAnsi="黑体" w:eastAsia="黑体"/>
          <w:sz w:val="32"/>
          <w:szCs w:val="32"/>
        </w:rPr>
      </w:pPr>
      <w:r>
        <w:rPr>
          <w:rFonts w:hint="eastAsia" w:ascii="黑体" w:hAnsi="黑体" w:eastAsia="黑体"/>
          <w:sz w:val="32"/>
          <w:szCs w:val="32"/>
        </w:rPr>
        <w:t>标准编制工作组</w:t>
      </w:r>
    </w:p>
    <w:p w14:paraId="052BFD32">
      <w:pPr>
        <w:jc w:val="center"/>
        <w:rPr>
          <w:rFonts w:ascii="黑体" w:hAnsi="黑体" w:eastAsia="黑体"/>
          <w:sz w:val="32"/>
          <w:szCs w:val="32"/>
        </w:rPr>
      </w:pPr>
      <w:r>
        <w:rPr>
          <w:rFonts w:hint="eastAsia" w:ascii="黑体" w:hAnsi="黑体" w:eastAsia="黑体"/>
          <w:sz w:val="32"/>
          <w:szCs w:val="32"/>
        </w:rPr>
        <w:t>202</w:t>
      </w:r>
      <w:r>
        <w:rPr>
          <w:rFonts w:hint="eastAsia" w:ascii="黑体" w:hAnsi="黑体" w:eastAsia="黑体"/>
          <w:sz w:val="32"/>
          <w:szCs w:val="32"/>
          <w:lang w:val="en-US" w:eastAsia="zh-CN"/>
        </w:rPr>
        <w:t>4</w:t>
      </w:r>
      <w:r>
        <w:rPr>
          <w:rFonts w:hint="eastAsia" w:ascii="黑体" w:hAnsi="黑体" w:eastAsia="黑体"/>
          <w:sz w:val="32"/>
          <w:szCs w:val="32"/>
        </w:rPr>
        <w:t xml:space="preserve">年 </w:t>
      </w:r>
      <w:r>
        <w:rPr>
          <w:rFonts w:hint="eastAsia" w:ascii="黑体" w:hAnsi="黑体" w:eastAsia="黑体"/>
          <w:sz w:val="32"/>
          <w:szCs w:val="32"/>
          <w:lang w:val="en-US" w:eastAsia="zh-CN"/>
        </w:rPr>
        <w:t>12</w:t>
      </w:r>
      <w:r>
        <w:rPr>
          <w:rFonts w:hint="eastAsia" w:ascii="黑体" w:hAnsi="黑体" w:eastAsia="黑体"/>
          <w:sz w:val="32"/>
          <w:szCs w:val="32"/>
        </w:rPr>
        <w:t>月</w:t>
      </w:r>
    </w:p>
    <w:p w14:paraId="7077B461">
      <w:r>
        <w:t xml:space="preserve"> </w:t>
      </w:r>
    </w:p>
    <w:p w14:paraId="2C3B8409"/>
    <w:p w14:paraId="3B986742"/>
    <w:p w14:paraId="1054B1FA">
      <w:pPr>
        <w:jc w:val="center"/>
        <w:rPr>
          <w:sz w:val="36"/>
        </w:rPr>
      </w:pPr>
      <w:r>
        <w:rPr>
          <w:rFonts w:hint="eastAsia"/>
          <w:sz w:val="36"/>
        </w:rPr>
        <w:t>目  录</w:t>
      </w:r>
    </w:p>
    <w:p w14:paraId="77EE01F8"/>
    <w:p w14:paraId="13743169">
      <w:pPr>
        <w:pStyle w:val="9"/>
        <w:tabs>
          <w:tab w:val="right" w:leader="dot" w:pos="8306"/>
        </w:tabs>
        <w:spacing w:line="360" w:lineRule="auto"/>
      </w:pPr>
      <w:r>
        <w:fldChar w:fldCharType="begin"/>
      </w:r>
      <w:r>
        <w:instrText xml:space="preserve"> TOC \o "1-2" \h \z \u </w:instrText>
      </w:r>
      <w:r>
        <w:fldChar w:fldCharType="separate"/>
      </w:r>
      <w:r>
        <w:fldChar w:fldCharType="begin"/>
      </w:r>
      <w:r>
        <w:instrText xml:space="preserve"> HYPERLINK \l _Toc20855 </w:instrText>
      </w:r>
      <w:r>
        <w:fldChar w:fldCharType="separate"/>
      </w:r>
      <w:r>
        <w:rPr>
          <w:rFonts w:hint="eastAsia" w:ascii="黑体" w:hAnsi="黑体" w:eastAsia="黑体"/>
          <w:szCs w:val="32"/>
        </w:rPr>
        <w:t>1 项目</w:t>
      </w:r>
      <w:r>
        <w:rPr>
          <w:rFonts w:ascii="黑体" w:hAnsi="黑体" w:eastAsia="黑体"/>
          <w:szCs w:val="32"/>
        </w:rPr>
        <w:t>背景</w:t>
      </w:r>
      <w:r>
        <w:tab/>
      </w:r>
      <w:r>
        <w:fldChar w:fldCharType="begin"/>
      </w:r>
      <w:r>
        <w:instrText xml:space="preserve"> PAGEREF _Toc20855 \h </w:instrText>
      </w:r>
      <w:r>
        <w:fldChar w:fldCharType="separate"/>
      </w:r>
      <w:r>
        <w:t>- 3 -</w:t>
      </w:r>
      <w:r>
        <w:fldChar w:fldCharType="end"/>
      </w:r>
      <w:r>
        <w:fldChar w:fldCharType="end"/>
      </w:r>
    </w:p>
    <w:p w14:paraId="5D1BDE19">
      <w:pPr>
        <w:pStyle w:val="12"/>
        <w:tabs>
          <w:tab w:val="right" w:leader="dot" w:pos="8306"/>
        </w:tabs>
        <w:spacing w:line="360" w:lineRule="auto"/>
      </w:pPr>
      <w:r>
        <w:fldChar w:fldCharType="begin"/>
      </w:r>
      <w:r>
        <w:instrText xml:space="preserve"> HYPERLINK \l _Toc14155 </w:instrText>
      </w:r>
      <w:r>
        <w:fldChar w:fldCharType="separate"/>
      </w:r>
      <w:r>
        <w:rPr>
          <w:rFonts w:hint="default" w:ascii="黑体" w:hAnsi="黑体" w:eastAsia="黑体"/>
          <w:szCs w:val="30"/>
        </w:rPr>
        <w:t xml:space="preserve">1.1 </w:t>
      </w:r>
      <w:r>
        <w:rPr>
          <w:rFonts w:hint="eastAsia" w:ascii="黑体" w:hAnsi="黑体" w:eastAsia="黑体"/>
          <w:szCs w:val="30"/>
        </w:rPr>
        <w:t>任务</w:t>
      </w:r>
      <w:r>
        <w:rPr>
          <w:rFonts w:ascii="黑体" w:hAnsi="黑体" w:eastAsia="黑体"/>
          <w:szCs w:val="30"/>
        </w:rPr>
        <w:t>来源</w:t>
      </w:r>
      <w:r>
        <w:tab/>
      </w:r>
      <w:r>
        <w:fldChar w:fldCharType="begin"/>
      </w:r>
      <w:r>
        <w:instrText xml:space="preserve"> PAGEREF _Toc14155 \h </w:instrText>
      </w:r>
      <w:r>
        <w:fldChar w:fldCharType="separate"/>
      </w:r>
      <w:r>
        <w:t>- 3 -</w:t>
      </w:r>
      <w:r>
        <w:fldChar w:fldCharType="end"/>
      </w:r>
      <w:r>
        <w:fldChar w:fldCharType="end"/>
      </w:r>
    </w:p>
    <w:p w14:paraId="2EBDDFBA">
      <w:pPr>
        <w:pStyle w:val="12"/>
        <w:tabs>
          <w:tab w:val="right" w:leader="dot" w:pos="8306"/>
        </w:tabs>
        <w:spacing w:line="360" w:lineRule="auto"/>
      </w:pPr>
      <w:r>
        <w:fldChar w:fldCharType="begin"/>
      </w:r>
      <w:r>
        <w:instrText xml:space="preserve"> HYPERLINK \l _Toc11762 </w:instrText>
      </w:r>
      <w:r>
        <w:fldChar w:fldCharType="separate"/>
      </w:r>
      <w:r>
        <w:rPr>
          <w:rFonts w:hint="default" w:ascii="黑体" w:hAnsi="黑体" w:eastAsia="黑体"/>
          <w:szCs w:val="30"/>
        </w:rPr>
        <w:t xml:space="preserve">1.2 </w:t>
      </w:r>
      <w:r>
        <w:rPr>
          <w:rFonts w:hint="eastAsia" w:ascii="黑体" w:hAnsi="黑体" w:eastAsia="黑体"/>
          <w:szCs w:val="30"/>
        </w:rPr>
        <w:t>承担</w:t>
      </w:r>
      <w:r>
        <w:rPr>
          <w:rFonts w:ascii="黑体" w:hAnsi="黑体" w:eastAsia="黑体"/>
          <w:szCs w:val="30"/>
        </w:rPr>
        <w:t>单位</w:t>
      </w:r>
      <w:r>
        <w:tab/>
      </w:r>
      <w:r>
        <w:fldChar w:fldCharType="begin"/>
      </w:r>
      <w:r>
        <w:instrText xml:space="preserve"> PAGEREF _Toc11762 \h </w:instrText>
      </w:r>
      <w:r>
        <w:fldChar w:fldCharType="separate"/>
      </w:r>
      <w:r>
        <w:t>- 3 -</w:t>
      </w:r>
      <w:r>
        <w:fldChar w:fldCharType="end"/>
      </w:r>
      <w:r>
        <w:fldChar w:fldCharType="end"/>
      </w:r>
    </w:p>
    <w:p w14:paraId="14D53505">
      <w:pPr>
        <w:pStyle w:val="12"/>
        <w:tabs>
          <w:tab w:val="right" w:leader="dot" w:pos="8306"/>
        </w:tabs>
        <w:spacing w:line="360" w:lineRule="auto"/>
      </w:pPr>
      <w:r>
        <w:fldChar w:fldCharType="begin"/>
      </w:r>
      <w:r>
        <w:instrText xml:space="preserve"> HYPERLINK \l _Toc23620 </w:instrText>
      </w:r>
      <w:r>
        <w:fldChar w:fldCharType="separate"/>
      </w:r>
      <w:r>
        <w:rPr>
          <w:rFonts w:hint="default" w:ascii="黑体" w:hAnsi="黑体" w:eastAsia="黑体"/>
          <w:szCs w:val="30"/>
        </w:rPr>
        <w:t xml:space="preserve">1.3 </w:t>
      </w:r>
      <w:r>
        <w:rPr>
          <w:rFonts w:hint="eastAsia" w:ascii="黑体" w:hAnsi="黑体" w:eastAsia="黑体"/>
          <w:szCs w:val="30"/>
        </w:rPr>
        <w:t>工作</w:t>
      </w:r>
      <w:r>
        <w:rPr>
          <w:rFonts w:ascii="黑体" w:hAnsi="黑体" w:eastAsia="黑体"/>
          <w:szCs w:val="30"/>
        </w:rPr>
        <w:t>过程</w:t>
      </w:r>
      <w:r>
        <w:tab/>
      </w:r>
      <w:r>
        <w:fldChar w:fldCharType="begin"/>
      </w:r>
      <w:r>
        <w:instrText xml:space="preserve"> PAGEREF _Toc23620 \h </w:instrText>
      </w:r>
      <w:r>
        <w:fldChar w:fldCharType="separate"/>
      </w:r>
      <w:r>
        <w:t>- 3 -</w:t>
      </w:r>
      <w:r>
        <w:fldChar w:fldCharType="end"/>
      </w:r>
      <w:r>
        <w:fldChar w:fldCharType="end"/>
      </w:r>
    </w:p>
    <w:p w14:paraId="1E1C3DB2">
      <w:pPr>
        <w:pStyle w:val="9"/>
        <w:tabs>
          <w:tab w:val="right" w:leader="dot" w:pos="8306"/>
        </w:tabs>
        <w:spacing w:line="360" w:lineRule="auto"/>
      </w:pPr>
      <w:r>
        <w:fldChar w:fldCharType="begin"/>
      </w:r>
      <w:r>
        <w:instrText xml:space="preserve"> HYPERLINK \l _Toc14953 </w:instrText>
      </w:r>
      <w:r>
        <w:fldChar w:fldCharType="separate"/>
      </w:r>
      <w:r>
        <w:rPr>
          <w:rFonts w:hint="eastAsia" w:ascii="黑体" w:hAnsi="黑体" w:eastAsia="黑体"/>
          <w:szCs w:val="32"/>
        </w:rPr>
        <w:t>2 标准制定</w:t>
      </w:r>
      <w:r>
        <w:rPr>
          <w:rFonts w:ascii="黑体" w:hAnsi="黑体" w:eastAsia="黑体"/>
          <w:szCs w:val="32"/>
        </w:rPr>
        <w:t>的</w:t>
      </w:r>
      <w:r>
        <w:rPr>
          <w:rFonts w:hint="eastAsia" w:ascii="黑体" w:hAnsi="黑体" w:eastAsia="黑体"/>
          <w:szCs w:val="32"/>
        </w:rPr>
        <w:t>意义</w:t>
      </w:r>
      <w:r>
        <w:tab/>
      </w:r>
      <w:r>
        <w:fldChar w:fldCharType="begin"/>
      </w:r>
      <w:r>
        <w:instrText xml:space="preserve"> PAGEREF _Toc14953 \h </w:instrText>
      </w:r>
      <w:r>
        <w:fldChar w:fldCharType="separate"/>
      </w:r>
      <w:r>
        <w:t>- 5 -</w:t>
      </w:r>
      <w:r>
        <w:fldChar w:fldCharType="end"/>
      </w:r>
      <w:r>
        <w:fldChar w:fldCharType="end"/>
      </w:r>
    </w:p>
    <w:p w14:paraId="50B7109D">
      <w:pPr>
        <w:pStyle w:val="9"/>
        <w:tabs>
          <w:tab w:val="right" w:leader="dot" w:pos="8306"/>
        </w:tabs>
        <w:spacing w:line="360" w:lineRule="auto"/>
      </w:pPr>
      <w:r>
        <w:fldChar w:fldCharType="begin"/>
      </w:r>
      <w:r>
        <w:instrText xml:space="preserve"> HYPERLINK \l _Toc17629 </w:instrText>
      </w:r>
      <w:r>
        <w:fldChar w:fldCharType="separate"/>
      </w:r>
      <w:r>
        <w:rPr>
          <w:rFonts w:hint="eastAsia" w:ascii="黑体" w:hAnsi="黑体" w:eastAsia="黑体"/>
          <w:szCs w:val="32"/>
        </w:rPr>
        <w:t>3 基本</w:t>
      </w:r>
      <w:r>
        <w:rPr>
          <w:rFonts w:ascii="黑体" w:hAnsi="黑体" w:eastAsia="黑体"/>
          <w:szCs w:val="32"/>
        </w:rPr>
        <w:t>原则</w:t>
      </w:r>
      <w:r>
        <w:rPr>
          <w:rFonts w:hint="eastAsia" w:ascii="黑体" w:hAnsi="黑体" w:eastAsia="黑体"/>
          <w:szCs w:val="32"/>
        </w:rPr>
        <w:t>和</w:t>
      </w:r>
      <w:r>
        <w:rPr>
          <w:rFonts w:ascii="黑体" w:hAnsi="黑体" w:eastAsia="黑体"/>
          <w:szCs w:val="32"/>
        </w:rPr>
        <w:t>技术路线</w:t>
      </w:r>
      <w:r>
        <w:tab/>
      </w:r>
      <w:r>
        <w:fldChar w:fldCharType="begin"/>
      </w:r>
      <w:r>
        <w:instrText xml:space="preserve"> PAGEREF _Toc17629 \h </w:instrText>
      </w:r>
      <w:r>
        <w:fldChar w:fldCharType="separate"/>
      </w:r>
      <w:r>
        <w:t>- 5 -</w:t>
      </w:r>
      <w:r>
        <w:fldChar w:fldCharType="end"/>
      </w:r>
      <w:r>
        <w:fldChar w:fldCharType="end"/>
      </w:r>
    </w:p>
    <w:p w14:paraId="222C0CDE">
      <w:pPr>
        <w:pStyle w:val="12"/>
        <w:tabs>
          <w:tab w:val="right" w:leader="dot" w:pos="8306"/>
        </w:tabs>
        <w:spacing w:line="360" w:lineRule="auto"/>
      </w:pPr>
      <w:r>
        <w:fldChar w:fldCharType="begin"/>
      </w:r>
      <w:r>
        <w:instrText xml:space="preserve"> HYPERLINK \l _Toc22092 </w:instrText>
      </w:r>
      <w:r>
        <w:fldChar w:fldCharType="separate"/>
      </w:r>
      <w:r>
        <w:rPr>
          <w:rFonts w:hint="eastAsia" w:ascii="黑体" w:hAnsi="黑体" w:eastAsia="黑体"/>
          <w:szCs w:val="30"/>
        </w:rPr>
        <w:t>3.1  基本原则</w:t>
      </w:r>
      <w:r>
        <w:tab/>
      </w:r>
      <w:r>
        <w:fldChar w:fldCharType="begin"/>
      </w:r>
      <w:r>
        <w:instrText xml:space="preserve"> PAGEREF _Toc22092 \h </w:instrText>
      </w:r>
      <w:r>
        <w:fldChar w:fldCharType="separate"/>
      </w:r>
      <w:r>
        <w:t>- 5 -</w:t>
      </w:r>
      <w:r>
        <w:fldChar w:fldCharType="end"/>
      </w:r>
      <w:r>
        <w:fldChar w:fldCharType="end"/>
      </w:r>
    </w:p>
    <w:p w14:paraId="69B2EDAF">
      <w:pPr>
        <w:pStyle w:val="12"/>
        <w:tabs>
          <w:tab w:val="right" w:leader="dot" w:pos="8306"/>
        </w:tabs>
        <w:spacing w:line="360" w:lineRule="auto"/>
      </w:pPr>
      <w:r>
        <w:fldChar w:fldCharType="begin"/>
      </w:r>
      <w:r>
        <w:instrText xml:space="preserve"> HYPERLINK \l _Toc29001 </w:instrText>
      </w:r>
      <w:r>
        <w:fldChar w:fldCharType="separate"/>
      </w:r>
      <w:r>
        <w:rPr>
          <w:rFonts w:hint="eastAsia" w:ascii="黑体" w:hAnsi="黑体" w:eastAsia="黑体"/>
          <w:szCs w:val="30"/>
        </w:rPr>
        <w:t>3.2  技术路线</w:t>
      </w:r>
      <w:r>
        <w:tab/>
      </w:r>
      <w:r>
        <w:fldChar w:fldCharType="begin"/>
      </w:r>
      <w:r>
        <w:instrText xml:space="preserve"> PAGEREF _Toc29001 \h </w:instrText>
      </w:r>
      <w:r>
        <w:fldChar w:fldCharType="separate"/>
      </w:r>
      <w:r>
        <w:t>- 6 -</w:t>
      </w:r>
      <w:r>
        <w:fldChar w:fldCharType="end"/>
      </w:r>
      <w:r>
        <w:fldChar w:fldCharType="end"/>
      </w:r>
    </w:p>
    <w:p w14:paraId="010674F7">
      <w:pPr>
        <w:pStyle w:val="9"/>
        <w:tabs>
          <w:tab w:val="right" w:leader="dot" w:pos="8306"/>
        </w:tabs>
        <w:spacing w:line="360" w:lineRule="auto"/>
      </w:pPr>
      <w:r>
        <w:fldChar w:fldCharType="begin"/>
      </w:r>
      <w:r>
        <w:instrText xml:space="preserve"> HYPERLINK \l _Toc19812 </w:instrText>
      </w:r>
      <w:r>
        <w:fldChar w:fldCharType="separate"/>
      </w:r>
      <w:r>
        <w:rPr>
          <w:rFonts w:hint="eastAsia" w:ascii="黑体" w:hAnsi="黑体" w:eastAsia="黑体"/>
          <w:szCs w:val="32"/>
        </w:rPr>
        <w:t xml:space="preserve">4 </w:t>
      </w:r>
      <w:r>
        <w:rPr>
          <w:rFonts w:hint="eastAsia" w:ascii="黑体" w:hAnsi="黑体" w:eastAsia="黑体"/>
          <w:szCs w:val="32"/>
          <w:lang w:val="en-US" w:eastAsia="zh-CN"/>
        </w:rPr>
        <w:t>省内市区调研情况</w:t>
      </w:r>
      <w:r>
        <w:tab/>
      </w:r>
      <w:r>
        <w:fldChar w:fldCharType="begin"/>
      </w:r>
      <w:r>
        <w:instrText xml:space="preserve"> PAGEREF _Toc19812 \h </w:instrText>
      </w:r>
      <w:r>
        <w:fldChar w:fldCharType="separate"/>
      </w:r>
      <w:r>
        <w:t>- 6 -</w:t>
      </w:r>
      <w:r>
        <w:fldChar w:fldCharType="end"/>
      </w:r>
      <w:r>
        <w:fldChar w:fldCharType="end"/>
      </w:r>
    </w:p>
    <w:p w14:paraId="0B6E7786">
      <w:pPr>
        <w:pStyle w:val="9"/>
        <w:tabs>
          <w:tab w:val="right" w:leader="dot" w:pos="8306"/>
        </w:tabs>
        <w:spacing w:line="360" w:lineRule="auto"/>
      </w:pPr>
      <w:r>
        <w:fldChar w:fldCharType="begin"/>
      </w:r>
      <w:r>
        <w:instrText xml:space="preserve"> HYPERLINK \l _Toc8462 </w:instrText>
      </w:r>
      <w:r>
        <w:fldChar w:fldCharType="separate"/>
      </w:r>
      <w:r>
        <w:rPr>
          <w:rFonts w:hint="eastAsia" w:ascii="黑体" w:hAnsi="黑体" w:eastAsia="黑体"/>
          <w:szCs w:val="32"/>
        </w:rPr>
        <w:t xml:space="preserve">5 </w:t>
      </w:r>
      <w:r>
        <w:rPr>
          <w:rFonts w:hint="eastAsia" w:ascii="黑体" w:hAnsi="黑体" w:eastAsia="黑体"/>
          <w:szCs w:val="32"/>
          <w:lang w:val="en-US" w:eastAsia="zh-CN"/>
        </w:rPr>
        <w:t>标准中相关内容的解释说明</w:t>
      </w:r>
      <w:r>
        <w:tab/>
      </w:r>
      <w:r>
        <w:fldChar w:fldCharType="begin"/>
      </w:r>
      <w:r>
        <w:instrText xml:space="preserve"> PAGEREF _Toc8462 \h </w:instrText>
      </w:r>
      <w:r>
        <w:fldChar w:fldCharType="separate"/>
      </w:r>
      <w:r>
        <w:t>- 6 -</w:t>
      </w:r>
      <w:r>
        <w:fldChar w:fldCharType="end"/>
      </w:r>
      <w:r>
        <w:fldChar w:fldCharType="end"/>
      </w:r>
    </w:p>
    <w:p w14:paraId="10E3BF4B">
      <w:pPr>
        <w:pStyle w:val="12"/>
        <w:tabs>
          <w:tab w:val="right" w:leader="dot" w:pos="8306"/>
        </w:tabs>
        <w:spacing w:line="360" w:lineRule="auto"/>
      </w:pPr>
      <w:r>
        <w:fldChar w:fldCharType="begin"/>
      </w:r>
      <w:r>
        <w:instrText xml:space="preserve"> HYPERLINK \l _Toc24722 </w:instrText>
      </w:r>
      <w:r>
        <w:fldChar w:fldCharType="separate"/>
      </w:r>
      <w:r>
        <w:rPr>
          <w:rFonts w:hint="eastAsia" w:ascii="黑体" w:hAnsi="黑体" w:eastAsia="黑体"/>
          <w:szCs w:val="30"/>
          <w:lang w:val="en-US" w:eastAsia="zh-CN"/>
        </w:rPr>
        <w:t>5.1  术语定义</w:t>
      </w:r>
      <w:r>
        <w:tab/>
      </w:r>
      <w:r>
        <w:fldChar w:fldCharType="begin"/>
      </w:r>
      <w:r>
        <w:instrText xml:space="preserve"> PAGEREF _Toc24722 \h </w:instrText>
      </w:r>
      <w:r>
        <w:fldChar w:fldCharType="separate"/>
      </w:r>
      <w:r>
        <w:t>- 7 -</w:t>
      </w:r>
      <w:r>
        <w:fldChar w:fldCharType="end"/>
      </w:r>
      <w:r>
        <w:fldChar w:fldCharType="end"/>
      </w:r>
    </w:p>
    <w:p w14:paraId="5EB705DE">
      <w:pPr>
        <w:pStyle w:val="12"/>
        <w:tabs>
          <w:tab w:val="right" w:leader="dot" w:pos="8306"/>
        </w:tabs>
        <w:spacing w:line="360" w:lineRule="auto"/>
      </w:pPr>
      <w:r>
        <w:fldChar w:fldCharType="begin"/>
      </w:r>
      <w:r>
        <w:instrText xml:space="preserve"> HYPERLINK \l _Toc23342 </w:instrText>
      </w:r>
      <w:r>
        <w:fldChar w:fldCharType="separate"/>
      </w:r>
      <w:r>
        <w:rPr>
          <w:rFonts w:hint="eastAsia" w:ascii="黑体" w:hAnsi="黑体" w:eastAsia="黑体"/>
          <w:szCs w:val="30"/>
          <w:lang w:val="en-US" w:eastAsia="zh-CN"/>
        </w:rPr>
        <w:t>5.2  服务对象</w:t>
      </w:r>
      <w:r>
        <w:tab/>
      </w:r>
      <w:r>
        <w:fldChar w:fldCharType="begin"/>
      </w:r>
      <w:r>
        <w:instrText xml:space="preserve"> PAGEREF _Toc23342 \h </w:instrText>
      </w:r>
      <w:r>
        <w:fldChar w:fldCharType="separate"/>
      </w:r>
      <w:r>
        <w:t>- 7 -</w:t>
      </w:r>
      <w:r>
        <w:fldChar w:fldCharType="end"/>
      </w:r>
      <w:r>
        <w:fldChar w:fldCharType="end"/>
      </w:r>
    </w:p>
    <w:p w14:paraId="2D2A3CAE">
      <w:pPr>
        <w:pStyle w:val="12"/>
        <w:tabs>
          <w:tab w:val="right" w:leader="dot" w:pos="8306"/>
        </w:tabs>
        <w:spacing w:line="360" w:lineRule="auto"/>
      </w:pPr>
      <w:r>
        <w:fldChar w:fldCharType="begin"/>
      </w:r>
      <w:r>
        <w:instrText xml:space="preserve"> HYPERLINK \l _Toc17873 </w:instrText>
      </w:r>
      <w:r>
        <w:fldChar w:fldCharType="separate"/>
      </w:r>
      <w:r>
        <w:rPr>
          <w:rFonts w:hint="eastAsia" w:ascii="黑体" w:hAnsi="黑体" w:eastAsia="黑体"/>
          <w:szCs w:val="30"/>
          <w:lang w:val="en-US" w:eastAsia="zh-CN"/>
        </w:rPr>
        <w:t>5.3  基本要求</w:t>
      </w:r>
      <w:r>
        <w:tab/>
      </w:r>
      <w:r>
        <w:fldChar w:fldCharType="begin"/>
      </w:r>
      <w:r>
        <w:instrText xml:space="preserve"> PAGEREF _Toc17873 \h </w:instrText>
      </w:r>
      <w:r>
        <w:fldChar w:fldCharType="separate"/>
      </w:r>
      <w:r>
        <w:t>- 7 -</w:t>
      </w:r>
      <w:r>
        <w:fldChar w:fldCharType="end"/>
      </w:r>
      <w:r>
        <w:fldChar w:fldCharType="end"/>
      </w:r>
    </w:p>
    <w:p w14:paraId="5B5BDDEF">
      <w:pPr>
        <w:pStyle w:val="12"/>
        <w:tabs>
          <w:tab w:val="right" w:leader="dot" w:pos="8306"/>
        </w:tabs>
        <w:spacing w:line="360" w:lineRule="auto"/>
      </w:pPr>
      <w:r>
        <w:fldChar w:fldCharType="begin"/>
      </w:r>
      <w:r>
        <w:instrText xml:space="preserve"> HYPERLINK \l _Toc9399 </w:instrText>
      </w:r>
      <w:r>
        <w:fldChar w:fldCharType="separate"/>
      </w:r>
      <w:r>
        <w:rPr>
          <w:rFonts w:hint="eastAsia" w:ascii="黑体" w:hAnsi="黑体" w:eastAsia="黑体"/>
          <w:szCs w:val="30"/>
          <w:lang w:val="en-US" w:eastAsia="zh-CN"/>
        </w:rPr>
        <w:t>5.4  服务要求</w:t>
      </w:r>
      <w:r>
        <w:tab/>
      </w:r>
      <w:r>
        <w:fldChar w:fldCharType="begin"/>
      </w:r>
      <w:r>
        <w:instrText xml:space="preserve"> PAGEREF _Toc9399 \h </w:instrText>
      </w:r>
      <w:r>
        <w:fldChar w:fldCharType="separate"/>
      </w:r>
      <w:r>
        <w:t>- 7 -</w:t>
      </w:r>
      <w:r>
        <w:fldChar w:fldCharType="end"/>
      </w:r>
      <w:r>
        <w:fldChar w:fldCharType="end"/>
      </w:r>
    </w:p>
    <w:p w14:paraId="64D7B451">
      <w:pPr>
        <w:pStyle w:val="12"/>
        <w:tabs>
          <w:tab w:val="right" w:leader="dot" w:pos="8306"/>
        </w:tabs>
        <w:spacing w:line="360" w:lineRule="auto"/>
      </w:pPr>
      <w:r>
        <w:fldChar w:fldCharType="begin"/>
      </w:r>
      <w:r>
        <w:instrText xml:space="preserve"> HYPERLINK \l _Toc24840 </w:instrText>
      </w:r>
      <w:r>
        <w:fldChar w:fldCharType="separate"/>
      </w:r>
      <w:r>
        <w:rPr>
          <w:rFonts w:hint="eastAsia" w:ascii="黑体" w:hAnsi="黑体" w:eastAsia="黑体"/>
          <w:szCs w:val="30"/>
          <w:lang w:val="en-US" w:eastAsia="zh-CN"/>
        </w:rPr>
        <w:t>5.5  监督与评价</w:t>
      </w:r>
      <w:r>
        <w:tab/>
      </w:r>
      <w:r>
        <w:fldChar w:fldCharType="begin"/>
      </w:r>
      <w:r>
        <w:instrText xml:space="preserve"> PAGEREF _Toc24840 \h </w:instrText>
      </w:r>
      <w:r>
        <w:fldChar w:fldCharType="separate"/>
      </w:r>
      <w:r>
        <w:t>- 7 -</w:t>
      </w:r>
      <w:r>
        <w:fldChar w:fldCharType="end"/>
      </w:r>
      <w:r>
        <w:fldChar w:fldCharType="end"/>
      </w:r>
    </w:p>
    <w:p w14:paraId="76C1E4D3">
      <w:pPr>
        <w:pStyle w:val="9"/>
        <w:tabs>
          <w:tab w:val="right" w:leader="dot" w:pos="8306"/>
        </w:tabs>
        <w:spacing w:line="360" w:lineRule="auto"/>
      </w:pPr>
      <w:r>
        <w:fldChar w:fldCharType="begin"/>
      </w:r>
      <w:r>
        <w:instrText xml:space="preserve"> HYPERLINK \l _Toc16567 </w:instrText>
      </w:r>
      <w:r>
        <w:fldChar w:fldCharType="separate"/>
      </w:r>
      <w:r>
        <w:rPr>
          <w:rFonts w:hint="eastAsia" w:ascii="黑体" w:hAnsi="黑体" w:eastAsia="黑体"/>
          <w:szCs w:val="32"/>
        </w:rPr>
        <w:t>6 其它与有关的现行法律、法规和强制性国家标准的关系</w:t>
      </w:r>
      <w:r>
        <w:tab/>
      </w:r>
      <w:r>
        <w:fldChar w:fldCharType="begin"/>
      </w:r>
      <w:r>
        <w:instrText xml:space="preserve"> PAGEREF _Toc16567 \h </w:instrText>
      </w:r>
      <w:r>
        <w:fldChar w:fldCharType="separate"/>
      </w:r>
      <w:r>
        <w:t>- 8 -</w:t>
      </w:r>
      <w:r>
        <w:fldChar w:fldCharType="end"/>
      </w:r>
      <w:r>
        <w:fldChar w:fldCharType="end"/>
      </w:r>
    </w:p>
    <w:p w14:paraId="28F485E9">
      <w:pPr>
        <w:pStyle w:val="9"/>
        <w:tabs>
          <w:tab w:val="right" w:leader="dot" w:pos="8306"/>
        </w:tabs>
        <w:spacing w:line="360" w:lineRule="auto"/>
      </w:pPr>
      <w:r>
        <w:fldChar w:fldCharType="begin"/>
      </w:r>
      <w:r>
        <w:instrText xml:space="preserve"> HYPERLINK \l _Toc17584 </w:instrText>
      </w:r>
      <w:r>
        <w:fldChar w:fldCharType="separate"/>
      </w:r>
      <w:r>
        <w:rPr>
          <w:rFonts w:hint="eastAsia" w:ascii="黑体" w:hAnsi="黑体" w:eastAsia="黑体"/>
          <w:szCs w:val="32"/>
        </w:rPr>
        <w:t>7 参考资料</w:t>
      </w:r>
      <w:r>
        <w:tab/>
      </w:r>
      <w:r>
        <w:fldChar w:fldCharType="begin"/>
      </w:r>
      <w:r>
        <w:instrText xml:space="preserve"> PAGEREF _Toc17584 \h </w:instrText>
      </w:r>
      <w:r>
        <w:fldChar w:fldCharType="separate"/>
      </w:r>
      <w:r>
        <w:t>- 8 -</w:t>
      </w:r>
      <w:r>
        <w:fldChar w:fldCharType="end"/>
      </w:r>
      <w:r>
        <w:fldChar w:fldCharType="end"/>
      </w:r>
    </w:p>
    <w:p w14:paraId="59DCE414">
      <w:r>
        <w:fldChar w:fldCharType="end"/>
      </w:r>
    </w:p>
    <w:p w14:paraId="5F526BE9">
      <w:pPr>
        <w:sectPr>
          <w:footerReference r:id="rId3" w:type="default"/>
          <w:pgSz w:w="11906" w:h="16838"/>
          <w:pgMar w:top="1440" w:right="1800" w:bottom="1440" w:left="1800" w:header="851" w:footer="992" w:gutter="0"/>
          <w:pgNumType w:fmt="numberInDash"/>
          <w:cols w:space="425" w:num="1"/>
          <w:docGrid w:type="lines" w:linePitch="312" w:charSpace="0"/>
        </w:sectPr>
      </w:pPr>
    </w:p>
    <w:p w14:paraId="495BD6EE">
      <w:pPr>
        <w:pStyle w:val="19"/>
        <w:numPr>
          <w:ilvl w:val="0"/>
          <w:numId w:val="4"/>
        </w:numPr>
        <w:ind w:left="640" w:hanging="640" w:hangingChars="200"/>
        <w:outlineLvl w:val="0"/>
        <w:rPr>
          <w:rFonts w:ascii="黑体" w:hAnsi="黑体" w:eastAsia="黑体"/>
          <w:sz w:val="32"/>
          <w:szCs w:val="32"/>
        </w:rPr>
      </w:pPr>
      <w:bookmarkStart w:id="0" w:name="_Toc20855"/>
      <w:r>
        <w:rPr>
          <w:rFonts w:hint="eastAsia" w:ascii="黑体" w:hAnsi="黑体" w:eastAsia="黑体"/>
          <w:sz w:val="32"/>
          <w:szCs w:val="32"/>
        </w:rPr>
        <w:t>项目</w:t>
      </w:r>
      <w:r>
        <w:rPr>
          <w:rFonts w:ascii="黑体" w:hAnsi="黑体" w:eastAsia="黑体"/>
          <w:sz w:val="32"/>
          <w:szCs w:val="32"/>
        </w:rPr>
        <w:t>背景</w:t>
      </w:r>
      <w:bookmarkEnd w:id="0"/>
    </w:p>
    <w:p w14:paraId="3F5217BB">
      <w:pPr>
        <w:pStyle w:val="19"/>
        <w:numPr>
          <w:ilvl w:val="1"/>
          <w:numId w:val="5"/>
        </w:numPr>
        <w:ind w:firstLineChars="0"/>
        <w:outlineLvl w:val="1"/>
        <w:rPr>
          <w:rFonts w:ascii="黑体" w:hAnsi="黑体" w:eastAsia="黑体"/>
          <w:sz w:val="30"/>
          <w:szCs w:val="30"/>
        </w:rPr>
      </w:pPr>
      <w:r>
        <w:rPr>
          <w:rFonts w:hint="eastAsia" w:ascii="黑体" w:hAnsi="黑体" w:eastAsia="黑体"/>
          <w:sz w:val="30"/>
          <w:szCs w:val="30"/>
        </w:rPr>
        <w:t xml:space="preserve">  </w:t>
      </w:r>
      <w:bookmarkStart w:id="1" w:name="_Toc14155"/>
      <w:r>
        <w:rPr>
          <w:rFonts w:hint="eastAsia" w:ascii="黑体" w:hAnsi="黑体" w:eastAsia="黑体"/>
          <w:sz w:val="30"/>
          <w:szCs w:val="30"/>
        </w:rPr>
        <w:t>任务</w:t>
      </w:r>
      <w:r>
        <w:rPr>
          <w:rFonts w:ascii="黑体" w:hAnsi="黑体" w:eastAsia="黑体"/>
          <w:sz w:val="30"/>
          <w:szCs w:val="30"/>
        </w:rPr>
        <w:t>来源</w:t>
      </w:r>
      <w:bookmarkEnd w:id="1"/>
    </w:p>
    <w:p w14:paraId="1CB55BF5">
      <w:pPr>
        <w:ind w:firstLine="560" w:firstLineChars="200"/>
        <w:rPr>
          <w:rFonts w:asciiTheme="minorEastAsia" w:hAnsiTheme="minorEastAsia"/>
          <w:sz w:val="28"/>
          <w:szCs w:val="28"/>
        </w:rPr>
      </w:pPr>
      <w:r>
        <w:rPr>
          <w:rFonts w:hint="eastAsia" w:asciiTheme="minorEastAsia" w:hAnsiTheme="minorEastAsia"/>
          <w:sz w:val="28"/>
          <w:szCs w:val="28"/>
        </w:rPr>
        <w:t>本项目由陕西省</w:t>
      </w:r>
      <w:r>
        <w:rPr>
          <w:rFonts w:hint="eastAsia" w:asciiTheme="minorEastAsia" w:hAnsiTheme="minorEastAsia"/>
          <w:sz w:val="28"/>
          <w:szCs w:val="28"/>
          <w:lang w:eastAsia="zh-CN"/>
        </w:rPr>
        <w:t>疾病预防控制中心（原陕西省</w:t>
      </w:r>
      <w:r>
        <w:rPr>
          <w:rFonts w:hint="eastAsia" w:asciiTheme="minorEastAsia" w:hAnsiTheme="minorEastAsia"/>
          <w:sz w:val="28"/>
          <w:szCs w:val="28"/>
        </w:rPr>
        <w:t>地方病防治研究所</w:t>
      </w:r>
      <w:r>
        <w:rPr>
          <w:rFonts w:hint="eastAsia" w:asciiTheme="minorEastAsia" w:hAnsiTheme="minorEastAsia"/>
          <w:sz w:val="28"/>
          <w:szCs w:val="28"/>
          <w:lang w:eastAsia="zh-CN"/>
        </w:rPr>
        <w:t>）</w:t>
      </w:r>
      <w:r>
        <w:rPr>
          <w:rFonts w:hint="eastAsia" w:asciiTheme="minorEastAsia" w:hAnsiTheme="minorEastAsia"/>
          <w:sz w:val="28"/>
          <w:szCs w:val="28"/>
        </w:rPr>
        <w:t>202</w:t>
      </w:r>
      <w:r>
        <w:rPr>
          <w:rFonts w:hint="eastAsia" w:asciiTheme="minorEastAsia" w:hAnsiTheme="minorEastAsia"/>
          <w:sz w:val="28"/>
          <w:szCs w:val="28"/>
          <w:lang w:eastAsia="zh-CN"/>
        </w:rPr>
        <w:t>3</w:t>
      </w:r>
      <w:r>
        <w:rPr>
          <w:rFonts w:hint="eastAsia" w:asciiTheme="minorEastAsia" w:hAnsiTheme="minorEastAsia"/>
          <w:sz w:val="28"/>
          <w:szCs w:val="28"/>
        </w:rPr>
        <w:t>年</w:t>
      </w:r>
      <w:r>
        <w:rPr>
          <w:rFonts w:hint="eastAsia" w:asciiTheme="minorEastAsia" w:hAnsiTheme="minorEastAsia"/>
          <w:sz w:val="28"/>
          <w:szCs w:val="28"/>
          <w:lang w:eastAsia="zh-CN"/>
        </w:rPr>
        <w:t>3</w:t>
      </w:r>
      <w:r>
        <w:rPr>
          <w:rFonts w:hint="eastAsia" w:asciiTheme="minorEastAsia" w:hAnsiTheme="minorEastAsia"/>
          <w:sz w:val="28"/>
          <w:szCs w:val="28"/>
        </w:rPr>
        <w:t>月提出，报陕西省市场监督管理局申请立项。</w:t>
      </w:r>
      <w:r>
        <w:rPr>
          <w:rFonts w:asciiTheme="minorEastAsia" w:hAnsiTheme="minorEastAsia"/>
          <w:sz w:val="28"/>
          <w:szCs w:val="28"/>
        </w:rPr>
        <w:t>202</w:t>
      </w:r>
      <w:r>
        <w:rPr>
          <w:rFonts w:hint="eastAsia" w:asciiTheme="minorEastAsia" w:hAnsiTheme="minorEastAsia"/>
          <w:sz w:val="28"/>
          <w:szCs w:val="28"/>
          <w:lang w:eastAsia="zh-CN"/>
        </w:rPr>
        <w:t>3</w:t>
      </w:r>
      <w:r>
        <w:rPr>
          <w:rFonts w:hint="eastAsia" w:asciiTheme="minorEastAsia" w:hAnsiTheme="minorEastAsia"/>
          <w:sz w:val="28"/>
          <w:szCs w:val="28"/>
        </w:rPr>
        <w:t>年</w:t>
      </w:r>
      <w:r>
        <w:rPr>
          <w:rFonts w:hint="eastAsia" w:asciiTheme="minorEastAsia" w:hAnsiTheme="minorEastAsia"/>
          <w:sz w:val="28"/>
          <w:szCs w:val="28"/>
          <w:lang w:eastAsia="zh-CN"/>
        </w:rPr>
        <w:t>5</w:t>
      </w:r>
      <w:r>
        <w:rPr>
          <w:rFonts w:hint="eastAsia" w:asciiTheme="minorEastAsia" w:hAnsiTheme="minorEastAsia"/>
          <w:sz w:val="28"/>
          <w:szCs w:val="28"/>
        </w:rPr>
        <w:t>月陕西省市场监督管理局《陕西省市场监督管理局关于下达2023年度陕西省地方标准制修订项目计划的通知》（陕市监函〔2023〕410号）文件批复立项，项目编号：SDBXM183-2023。</w:t>
      </w:r>
    </w:p>
    <w:p w14:paraId="58DF3126">
      <w:pPr>
        <w:pStyle w:val="19"/>
        <w:numPr>
          <w:ilvl w:val="1"/>
          <w:numId w:val="4"/>
        </w:numPr>
        <w:ind w:firstLineChars="0"/>
        <w:outlineLvl w:val="1"/>
        <w:rPr>
          <w:rFonts w:ascii="黑体" w:hAnsi="黑体" w:eastAsia="黑体"/>
          <w:sz w:val="30"/>
          <w:szCs w:val="30"/>
        </w:rPr>
      </w:pPr>
      <w:r>
        <w:rPr>
          <w:rFonts w:hint="eastAsia" w:ascii="黑体" w:hAnsi="黑体" w:eastAsia="黑体"/>
          <w:sz w:val="30"/>
          <w:szCs w:val="30"/>
        </w:rPr>
        <w:t xml:space="preserve">  </w:t>
      </w:r>
      <w:bookmarkStart w:id="2" w:name="_Toc11762"/>
      <w:r>
        <w:rPr>
          <w:rFonts w:hint="eastAsia" w:ascii="黑体" w:hAnsi="黑体" w:eastAsia="黑体"/>
          <w:sz w:val="30"/>
          <w:szCs w:val="30"/>
        </w:rPr>
        <w:t>承担</w:t>
      </w:r>
      <w:r>
        <w:rPr>
          <w:rFonts w:ascii="黑体" w:hAnsi="黑体" w:eastAsia="黑体"/>
          <w:sz w:val="30"/>
          <w:szCs w:val="30"/>
        </w:rPr>
        <w:t>单位</w:t>
      </w:r>
      <w:bookmarkEnd w:id="2"/>
    </w:p>
    <w:p w14:paraId="6F817EC9">
      <w:pPr>
        <w:pStyle w:val="23"/>
        <w:ind w:firstLine="420"/>
        <w:rPr>
          <w:rFonts w:asciiTheme="minorEastAsia" w:hAnsiTheme="minorEastAsia"/>
          <w:sz w:val="28"/>
          <w:szCs w:val="28"/>
        </w:rPr>
      </w:pPr>
      <w:r>
        <w:rPr>
          <w:rFonts w:hint="eastAsia" w:asciiTheme="minorEastAsia" w:hAnsiTheme="minorEastAsia"/>
          <w:sz w:val="28"/>
          <w:szCs w:val="28"/>
        </w:rPr>
        <w:t>由陕西省</w:t>
      </w:r>
      <w:r>
        <w:rPr>
          <w:rFonts w:hint="eastAsia" w:asciiTheme="minorEastAsia" w:hAnsiTheme="minorEastAsia"/>
          <w:sz w:val="28"/>
          <w:szCs w:val="28"/>
          <w:lang w:eastAsia="zh-CN"/>
        </w:rPr>
        <w:t>疾病预防控制中心（原陕西省</w:t>
      </w:r>
      <w:r>
        <w:rPr>
          <w:rFonts w:hint="eastAsia" w:asciiTheme="minorEastAsia" w:hAnsiTheme="minorEastAsia"/>
          <w:sz w:val="28"/>
          <w:szCs w:val="28"/>
        </w:rPr>
        <w:t>地方病防治研究所</w:t>
      </w:r>
      <w:r>
        <w:rPr>
          <w:rFonts w:hint="eastAsia" w:asciiTheme="minorEastAsia" w:hAnsiTheme="minorEastAsia"/>
          <w:sz w:val="28"/>
          <w:szCs w:val="28"/>
          <w:lang w:eastAsia="zh-CN"/>
        </w:rPr>
        <w:t>）</w:t>
      </w:r>
      <w:r>
        <w:rPr>
          <w:rFonts w:hint="eastAsia" w:asciiTheme="minorEastAsia" w:hAnsiTheme="minorEastAsia"/>
          <w:sz w:val="28"/>
          <w:szCs w:val="28"/>
        </w:rPr>
        <w:t>作为</w:t>
      </w:r>
      <w:r>
        <w:rPr>
          <w:rFonts w:asciiTheme="minorEastAsia" w:hAnsiTheme="minorEastAsia"/>
          <w:sz w:val="28"/>
          <w:szCs w:val="28"/>
        </w:rPr>
        <w:t>本项目的承担单位</w:t>
      </w:r>
      <w:r>
        <w:rPr>
          <w:rFonts w:hint="eastAsia" w:asciiTheme="minorEastAsia" w:hAnsiTheme="minorEastAsia"/>
          <w:sz w:val="28"/>
          <w:szCs w:val="28"/>
        </w:rPr>
        <w:t>，</w:t>
      </w:r>
      <w:r>
        <w:rPr>
          <w:rFonts w:asciiTheme="minorEastAsia" w:hAnsiTheme="minorEastAsia"/>
          <w:sz w:val="28"/>
          <w:szCs w:val="28"/>
        </w:rPr>
        <w:t>项目负责人为</w:t>
      </w:r>
      <w:r>
        <w:rPr>
          <w:rFonts w:hint="eastAsia" w:asciiTheme="minorEastAsia" w:hAnsiTheme="minorEastAsia"/>
          <w:sz w:val="28"/>
          <w:szCs w:val="28"/>
          <w:lang w:eastAsia="zh-CN"/>
        </w:rPr>
        <w:t>程永兵</w:t>
      </w:r>
      <w:r>
        <w:rPr>
          <w:rFonts w:hint="eastAsia" w:asciiTheme="minorEastAsia" w:hAnsiTheme="minorEastAsia"/>
          <w:sz w:val="28"/>
          <w:szCs w:val="28"/>
        </w:rPr>
        <w:t>。由陕西省</w:t>
      </w:r>
      <w:r>
        <w:rPr>
          <w:rFonts w:hint="eastAsia" w:asciiTheme="minorEastAsia" w:hAnsiTheme="minorEastAsia"/>
          <w:sz w:val="28"/>
          <w:szCs w:val="28"/>
          <w:lang w:eastAsia="zh-CN"/>
        </w:rPr>
        <w:t>疾病预防控制中心（原陕西省</w:t>
      </w:r>
      <w:r>
        <w:rPr>
          <w:rFonts w:hint="eastAsia" w:asciiTheme="minorEastAsia" w:hAnsiTheme="minorEastAsia"/>
          <w:sz w:val="28"/>
          <w:szCs w:val="28"/>
        </w:rPr>
        <w:t>地方病防治研究所</w:t>
      </w:r>
      <w:r>
        <w:rPr>
          <w:rFonts w:hint="eastAsia" w:asciiTheme="minorEastAsia" w:hAnsiTheme="minorEastAsia"/>
          <w:sz w:val="28"/>
          <w:szCs w:val="28"/>
          <w:lang w:eastAsia="zh-CN"/>
        </w:rPr>
        <w:t>）</w:t>
      </w:r>
      <w:r>
        <w:rPr>
          <w:rFonts w:asciiTheme="minorEastAsia" w:hAnsiTheme="minorEastAsia"/>
          <w:sz w:val="28"/>
          <w:szCs w:val="28"/>
        </w:rPr>
        <w:t>主要</w:t>
      </w:r>
      <w:r>
        <w:rPr>
          <w:rFonts w:hint="eastAsia" w:asciiTheme="minorEastAsia" w:hAnsiTheme="minorEastAsia"/>
          <w:sz w:val="28"/>
          <w:szCs w:val="28"/>
        </w:rPr>
        <w:t>负责《地方病患者管理服务标准》地方标准的制定起草工作</w:t>
      </w:r>
      <w:r>
        <w:rPr>
          <w:rFonts w:hint="eastAsia" w:asciiTheme="minorEastAsia" w:hAnsiTheme="minorEastAsia"/>
          <w:sz w:val="28"/>
          <w:szCs w:val="28"/>
          <w:lang w:eastAsia="zh-CN"/>
        </w:rPr>
        <w:t>，</w:t>
      </w:r>
      <w:r>
        <w:rPr>
          <w:rFonts w:hint="eastAsia" w:asciiTheme="minorEastAsia" w:hAnsiTheme="minorEastAsia"/>
          <w:sz w:val="28"/>
          <w:szCs w:val="28"/>
        </w:rPr>
        <w:t>宝鸡市疾病预防控制中心、西安市疾病预防控制中心</w:t>
      </w:r>
      <w:r>
        <w:rPr>
          <w:rFonts w:hint="eastAsia" w:asciiTheme="minorEastAsia" w:hAnsiTheme="minorEastAsia"/>
          <w:sz w:val="28"/>
          <w:szCs w:val="28"/>
          <w:lang w:eastAsia="zh-CN"/>
        </w:rPr>
        <w:t>参</w:t>
      </w:r>
      <w:r>
        <w:rPr>
          <w:rFonts w:hint="eastAsia" w:asciiTheme="minorEastAsia" w:hAnsiTheme="minorEastAsia"/>
          <w:sz w:val="28"/>
          <w:szCs w:val="28"/>
        </w:rPr>
        <w:t>加编写。主要</w:t>
      </w:r>
      <w:r>
        <w:rPr>
          <w:rFonts w:asciiTheme="minorEastAsia" w:hAnsiTheme="minorEastAsia"/>
          <w:sz w:val="28"/>
          <w:szCs w:val="28"/>
        </w:rPr>
        <w:t>起草人有：</w:t>
      </w:r>
      <w:r>
        <w:rPr>
          <w:rFonts w:hint="eastAsia" w:asciiTheme="minorEastAsia" w:hAnsiTheme="minorEastAsia"/>
          <w:sz w:val="28"/>
          <w:szCs w:val="28"/>
          <w:lang w:eastAsia="zh-CN"/>
        </w:rPr>
        <w:t>程永兵、宋运龙、蔺兆星、王林江、</w:t>
      </w:r>
      <w:r>
        <w:rPr>
          <w:rFonts w:hint="eastAsia" w:asciiTheme="minorEastAsia" w:hAnsiTheme="minorEastAsia"/>
          <w:sz w:val="28"/>
          <w:szCs w:val="28"/>
        </w:rPr>
        <w:t>杨晓栋</w:t>
      </w:r>
      <w:r>
        <w:rPr>
          <w:rFonts w:hint="eastAsia" w:asciiTheme="minorEastAsia" w:hAnsiTheme="minorEastAsia"/>
          <w:sz w:val="28"/>
          <w:szCs w:val="28"/>
          <w:lang w:eastAsia="zh-CN"/>
        </w:rPr>
        <w:t>、杨培荣、李平、杨正军、李晓茜、段刚。</w:t>
      </w:r>
    </w:p>
    <w:p w14:paraId="51C406A1">
      <w:pPr>
        <w:pStyle w:val="19"/>
        <w:numPr>
          <w:ilvl w:val="1"/>
          <w:numId w:val="4"/>
        </w:numPr>
        <w:ind w:firstLineChars="0"/>
        <w:outlineLvl w:val="1"/>
        <w:rPr>
          <w:rFonts w:ascii="黑体" w:hAnsi="黑体" w:eastAsia="黑体"/>
          <w:sz w:val="30"/>
          <w:szCs w:val="30"/>
        </w:rPr>
      </w:pPr>
      <w:r>
        <w:rPr>
          <w:rFonts w:hint="eastAsia" w:ascii="黑体" w:hAnsi="黑体" w:eastAsia="黑体"/>
          <w:sz w:val="30"/>
          <w:szCs w:val="30"/>
        </w:rPr>
        <w:t xml:space="preserve">  </w:t>
      </w:r>
      <w:bookmarkStart w:id="3" w:name="_Toc23620"/>
      <w:r>
        <w:rPr>
          <w:rFonts w:hint="eastAsia" w:ascii="黑体" w:hAnsi="黑体" w:eastAsia="黑体"/>
          <w:sz w:val="30"/>
          <w:szCs w:val="30"/>
        </w:rPr>
        <w:t>工作</w:t>
      </w:r>
      <w:r>
        <w:rPr>
          <w:rFonts w:ascii="黑体" w:hAnsi="黑体" w:eastAsia="黑体"/>
          <w:sz w:val="30"/>
          <w:szCs w:val="30"/>
        </w:rPr>
        <w:t>过程</w:t>
      </w:r>
      <w:bookmarkEnd w:id="3"/>
    </w:p>
    <w:p w14:paraId="45130CEE">
      <w:pPr>
        <w:rPr>
          <w:rFonts w:ascii="楷体" w:hAnsi="楷体" w:eastAsia="楷体"/>
          <w:b/>
          <w:sz w:val="30"/>
          <w:szCs w:val="30"/>
        </w:rPr>
      </w:pPr>
      <w:r>
        <w:rPr>
          <w:rFonts w:hint="eastAsia" w:ascii="楷体" w:hAnsi="楷体" w:eastAsia="楷体"/>
          <w:b/>
          <w:sz w:val="30"/>
          <w:szCs w:val="30"/>
        </w:rPr>
        <w:t>1</w:t>
      </w:r>
      <w:r>
        <w:rPr>
          <w:rFonts w:ascii="楷体" w:hAnsi="楷体" w:eastAsia="楷体"/>
          <w:b/>
          <w:sz w:val="30"/>
          <w:szCs w:val="30"/>
        </w:rPr>
        <w:t xml:space="preserve">.3.1  </w:t>
      </w:r>
      <w:r>
        <w:rPr>
          <w:rFonts w:hint="eastAsia" w:ascii="楷体" w:hAnsi="楷体" w:eastAsia="楷体"/>
          <w:b/>
          <w:sz w:val="30"/>
          <w:szCs w:val="30"/>
        </w:rPr>
        <w:t>前期</w:t>
      </w:r>
      <w:r>
        <w:rPr>
          <w:rFonts w:ascii="楷体" w:hAnsi="楷体" w:eastAsia="楷体"/>
          <w:b/>
          <w:sz w:val="30"/>
          <w:szCs w:val="30"/>
        </w:rPr>
        <w:t>工作</w:t>
      </w:r>
    </w:p>
    <w:p w14:paraId="6F5F2F7C">
      <w:pPr>
        <w:ind w:firstLine="560" w:firstLineChars="200"/>
        <w:rPr>
          <w:rFonts w:asciiTheme="minorEastAsia" w:hAnsiTheme="minorEastAsia"/>
          <w:sz w:val="28"/>
          <w:szCs w:val="28"/>
        </w:rPr>
      </w:pPr>
      <w:r>
        <w:rPr>
          <w:rFonts w:hint="eastAsia" w:asciiTheme="minorEastAsia" w:hAnsiTheme="minorEastAsia"/>
          <w:sz w:val="28"/>
          <w:szCs w:val="28"/>
        </w:rPr>
        <w:t>20</w:t>
      </w:r>
      <w:r>
        <w:rPr>
          <w:rFonts w:asciiTheme="minorEastAsia" w:hAnsiTheme="minorEastAsia"/>
          <w:sz w:val="28"/>
          <w:szCs w:val="28"/>
        </w:rPr>
        <w:t>2</w:t>
      </w:r>
      <w:r>
        <w:rPr>
          <w:rFonts w:hint="eastAsia" w:asciiTheme="minorEastAsia" w:hAnsiTheme="minorEastAsia"/>
          <w:sz w:val="28"/>
          <w:szCs w:val="28"/>
          <w:lang w:eastAsia="zh-CN"/>
        </w:rPr>
        <w:t>3</w:t>
      </w:r>
      <w:r>
        <w:rPr>
          <w:rFonts w:hint="eastAsia" w:asciiTheme="minorEastAsia" w:hAnsiTheme="minorEastAsia"/>
          <w:sz w:val="28"/>
          <w:szCs w:val="28"/>
        </w:rPr>
        <w:t>年</w:t>
      </w:r>
      <w:r>
        <w:rPr>
          <w:rFonts w:hint="eastAsia" w:asciiTheme="minorEastAsia" w:hAnsiTheme="minorEastAsia"/>
          <w:sz w:val="28"/>
          <w:szCs w:val="28"/>
          <w:lang w:val="en-US" w:eastAsia="zh-CN"/>
        </w:rPr>
        <w:t>6</w:t>
      </w:r>
      <w:r>
        <w:rPr>
          <w:rFonts w:hint="eastAsia" w:asciiTheme="minorEastAsia" w:hAnsiTheme="minorEastAsia"/>
          <w:sz w:val="28"/>
          <w:szCs w:val="28"/>
        </w:rPr>
        <w:t>月</w:t>
      </w:r>
      <w:r>
        <w:rPr>
          <w:rFonts w:hint="eastAsia" w:asciiTheme="minorEastAsia" w:hAnsiTheme="minorEastAsia"/>
          <w:sz w:val="28"/>
          <w:szCs w:val="28"/>
          <w:lang w:eastAsia="zh-CN"/>
        </w:rPr>
        <w:t>，《</w:t>
      </w:r>
      <w:r>
        <w:rPr>
          <w:rFonts w:hint="eastAsia" w:asciiTheme="minorEastAsia" w:hAnsiTheme="minorEastAsia"/>
          <w:sz w:val="28"/>
          <w:szCs w:val="28"/>
        </w:rPr>
        <w:t>地方病患者管理服务标准》标准项目任务下达后，陕西省</w:t>
      </w:r>
      <w:r>
        <w:rPr>
          <w:rFonts w:hint="eastAsia" w:asciiTheme="minorEastAsia" w:hAnsiTheme="minorEastAsia"/>
          <w:sz w:val="28"/>
          <w:szCs w:val="28"/>
          <w:lang w:eastAsia="zh-CN"/>
        </w:rPr>
        <w:t>疾病预防控制中心</w:t>
      </w:r>
      <w:r>
        <w:rPr>
          <w:rFonts w:hint="eastAsia" w:asciiTheme="minorEastAsia" w:hAnsiTheme="minorEastAsia"/>
          <w:sz w:val="28"/>
          <w:szCs w:val="28"/>
        </w:rPr>
        <w:t>立即启动本标准的制定工作，在</w:t>
      </w:r>
      <w:r>
        <w:rPr>
          <w:rFonts w:asciiTheme="minorEastAsia" w:hAnsiTheme="minorEastAsia"/>
          <w:sz w:val="28"/>
          <w:szCs w:val="28"/>
        </w:rPr>
        <w:t>前期</w:t>
      </w:r>
      <w:r>
        <w:rPr>
          <w:rFonts w:hint="eastAsia" w:asciiTheme="minorEastAsia" w:hAnsiTheme="minorEastAsia"/>
          <w:sz w:val="28"/>
          <w:szCs w:val="28"/>
        </w:rPr>
        <w:t>完成了项目任务书和合同的填报签订，项目负责人</w:t>
      </w:r>
      <w:r>
        <w:rPr>
          <w:rFonts w:hint="eastAsia" w:asciiTheme="minorEastAsia" w:hAnsiTheme="minorEastAsia"/>
          <w:sz w:val="28"/>
          <w:szCs w:val="28"/>
          <w:lang w:eastAsia="zh-CN"/>
        </w:rPr>
        <w:t>程永兵</w:t>
      </w:r>
      <w:r>
        <w:rPr>
          <w:rFonts w:hint="eastAsia" w:asciiTheme="minorEastAsia" w:hAnsiTheme="minorEastAsia"/>
          <w:sz w:val="28"/>
          <w:szCs w:val="28"/>
        </w:rPr>
        <w:t>。并于2</w:t>
      </w:r>
      <w:r>
        <w:rPr>
          <w:rFonts w:asciiTheme="minorEastAsia" w:hAnsiTheme="minorEastAsia"/>
          <w:sz w:val="28"/>
          <w:szCs w:val="28"/>
        </w:rPr>
        <w:t>02</w:t>
      </w:r>
      <w:r>
        <w:rPr>
          <w:rFonts w:hint="eastAsia" w:asciiTheme="minorEastAsia" w:hAnsiTheme="minorEastAsia"/>
          <w:sz w:val="28"/>
          <w:szCs w:val="28"/>
          <w:lang w:eastAsia="zh-CN"/>
        </w:rPr>
        <w:t>3</w:t>
      </w:r>
      <w:r>
        <w:rPr>
          <w:rFonts w:hint="eastAsia" w:asciiTheme="minorEastAsia" w:hAnsiTheme="minorEastAsia"/>
          <w:sz w:val="28"/>
          <w:szCs w:val="28"/>
        </w:rPr>
        <w:t>年</w:t>
      </w:r>
      <w:r>
        <w:rPr>
          <w:rFonts w:hint="eastAsia" w:asciiTheme="minorEastAsia" w:hAnsiTheme="minorEastAsia"/>
          <w:sz w:val="28"/>
          <w:szCs w:val="28"/>
          <w:lang w:val="en-US" w:eastAsia="zh-CN"/>
        </w:rPr>
        <w:t>8</w:t>
      </w:r>
      <w:r>
        <w:rPr>
          <w:rFonts w:hint="eastAsia" w:asciiTheme="minorEastAsia" w:hAnsiTheme="minorEastAsia"/>
          <w:sz w:val="28"/>
          <w:szCs w:val="28"/>
        </w:rPr>
        <w:t>月成立了标准编制工作组（以下简称：编制组），承担《地方病患者管理服务标准》项目。</w:t>
      </w:r>
    </w:p>
    <w:p w14:paraId="51306122">
      <w:pPr>
        <w:ind w:firstLine="560" w:firstLineChars="200"/>
        <w:rPr>
          <w:rFonts w:hint="eastAsia" w:asciiTheme="minorEastAsia" w:hAnsiTheme="minorEastAsia"/>
          <w:sz w:val="28"/>
          <w:szCs w:val="28"/>
        </w:rPr>
      </w:pPr>
      <w:r>
        <w:rPr>
          <w:rFonts w:hint="eastAsia" w:asciiTheme="minorEastAsia" w:hAnsiTheme="minorEastAsia"/>
          <w:sz w:val="28"/>
          <w:szCs w:val="28"/>
        </w:rPr>
        <w:t>编制</w:t>
      </w:r>
      <w:r>
        <w:rPr>
          <w:rFonts w:asciiTheme="minorEastAsia" w:hAnsiTheme="minorEastAsia"/>
          <w:sz w:val="28"/>
          <w:szCs w:val="28"/>
        </w:rPr>
        <w:t>组</w:t>
      </w:r>
      <w:r>
        <w:rPr>
          <w:rFonts w:hint="eastAsia" w:asciiTheme="minorEastAsia" w:hAnsiTheme="minorEastAsia"/>
          <w:sz w:val="28"/>
          <w:szCs w:val="28"/>
        </w:rPr>
        <w:t>主要成员单位有：陕西省</w:t>
      </w:r>
      <w:r>
        <w:rPr>
          <w:rFonts w:hint="eastAsia" w:asciiTheme="minorEastAsia" w:hAnsiTheme="minorEastAsia"/>
          <w:sz w:val="28"/>
          <w:szCs w:val="28"/>
          <w:lang w:eastAsia="zh-CN"/>
        </w:rPr>
        <w:t>疾病预防控制中心（原陕西省</w:t>
      </w:r>
      <w:r>
        <w:rPr>
          <w:rFonts w:hint="eastAsia" w:asciiTheme="minorEastAsia" w:hAnsiTheme="minorEastAsia"/>
          <w:sz w:val="28"/>
          <w:szCs w:val="28"/>
        </w:rPr>
        <w:t>地方病防治研究所</w:t>
      </w:r>
      <w:r>
        <w:rPr>
          <w:rFonts w:hint="eastAsia" w:asciiTheme="minorEastAsia" w:hAnsiTheme="minorEastAsia"/>
          <w:sz w:val="28"/>
          <w:szCs w:val="28"/>
          <w:lang w:eastAsia="zh-CN"/>
        </w:rPr>
        <w:t>）</w:t>
      </w:r>
      <w:r>
        <w:rPr>
          <w:rFonts w:hint="eastAsia" w:asciiTheme="minorEastAsia" w:hAnsiTheme="minorEastAsia"/>
          <w:sz w:val="28"/>
          <w:szCs w:val="28"/>
        </w:rPr>
        <w:t>、</w:t>
      </w:r>
      <w:r>
        <w:rPr>
          <w:rFonts w:hint="eastAsia" w:asciiTheme="minorEastAsia" w:hAnsiTheme="minorEastAsia"/>
          <w:sz w:val="28"/>
          <w:szCs w:val="28"/>
          <w:lang w:eastAsia="zh-CN"/>
        </w:rPr>
        <w:t>宝鸡</w:t>
      </w:r>
      <w:r>
        <w:rPr>
          <w:rFonts w:hint="eastAsia" w:asciiTheme="minorEastAsia" w:hAnsiTheme="minorEastAsia"/>
          <w:sz w:val="28"/>
          <w:szCs w:val="28"/>
        </w:rPr>
        <w:t>市疾病预防控制中心</w:t>
      </w:r>
      <w:r>
        <w:rPr>
          <w:rFonts w:hint="eastAsia" w:asciiTheme="minorEastAsia" w:hAnsiTheme="minorEastAsia"/>
          <w:sz w:val="28"/>
          <w:szCs w:val="28"/>
          <w:lang w:eastAsia="zh-CN"/>
        </w:rPr>
        <w:t>、西安市</w:t>
      </w:r>
      <w:r>
        <w:rPr>
          <w:rFonts w:hint="eastAsia" w:asciiTheme="minorEastAsia" w:hAnsiTheme="minorEastAsia"/>
          <w:sz w:val="28"/>
          <w:szCs w:val="28"/>
        </w:rPr>
        <w:t>疾病预防控制中心。</w:t>
      </w:r>
    </w:p>
    <w:p w14:paraId="49E9EC70">
      <w:pPr>
        <w:ind w:firstLine="560" w:firstLineChars="200"/>
        <w:rPr>
          <w:rFonts w:hint="eastAsia" w:asciiTheme="minorEastAsia" w:hAnsiTheme="minorEastAsia"/>
          <w:sz w:val="28"/>
          <w:szCs w:val="28"/>
        </w:rPr>
      </w:pPr>
      <w:r>
        <w:rPr>
          <w:rFonts w:hint="eastAsia" w:asciiTheme="minorEastAsia" w:hAnsiTheme="minorEastAsia"/>
          <w:sz w:val="28"/>
          <w:szCs w:val="28"/>
          <w:lang w:val="en-US" w:eastAsia="zh-CN"/>
        </w:rPr>
        <w:t>2023年9月召开了项目启动会，对项目进行分工。</w:t>
      </w:r>
      <w:r>
        <w:rPr>
          <w:rFonts w:hint="eastAsia" w:asciiTheme="minorEastAsia" w:hAnsiTheme="minorEastAsia"/>
          <w:sz w:val="28"/>
          <w:szCs w:val="28"/>
        </w:rPr>
        <w:t>编制组初步拟定了标准编制的工作目标、工作内容，讨论了在标准制订过程中可能遇到的问题，并按照任务书的要求，制定了详细的标准编制计划与任务分工。编制组的核心成员按计划进行了调研，到陕西省各</w:t>
      </w:r>
      <w:r>
        <w:rPr>
          <w:rFonts w:hint="eastAsia" w:asciiTheme="minorEastAsia" w:hAnsiTheme="minorEastAsia"/>
          <w:sz w:val="28"/>
          <w:szCs w:val="28"/>
          <w:lang w:eastAsia="zh-CN"/>
        </w:rPr>
        <w:t>重点地方病病区</w:t>
      </w:r>
      <w:r>
        <w:rPr>
          <w:rFonts w:asciiTheme="minorEastAsia" w:hAnsiTheme="minorEastAsia"/>
          <w:sz w:val="28"/>
          <w:szCs w:val="28"/>
        </w:rPr>
        <w:t>进行了考察，</w:t>
      </w:r>
      <w:r>
        <w:rPr>
          <w:rFonts w:hint="eastAsia" w:asciiTheme="minorEastAsia" w:hAnsiTheme="minorEastAsia"/>
          <w:sz w:val="28"/>
          <w:szCs w:val="28"/>
        </w:rPr>
        <w:t>在查询国内关于地方病患者管理服务</w:t>
      </w:r>
      <w:r>
        <w:rPr>
          <w:rFonts w:asciiTheme="minorEastAsia" w:hAnsiTheme="minorEastAsia"/>
          <w:sz w:val="28"/>
          <w:szCs w:val="28"/>
        </w:rPr>
        <w:t>的</w:t>
      </w:r>
      <w:r>
        <w:rPr>
          <w:rFonts w:hint="eastAsia" w:asciiTheme="minorEastAsia" w:hAnsiTheme="minorEastAsia"/>
          <w:sz w:val="28"/>
          <w:szCs w:val="28"/>
          <w:lang w:eastAsia="zh-CN"/>
        </w:rPr>
        <w:t>规范</w:t>
      </w:r>
      <w:r>
        <w:rPr>
          <w:rFonts w:hint="eastAsia" w:asciiTheme="minorEastAsia" w:hAnsiTheme="minorEastAsia"/>
          <w:sz w:val="28"/>
          <w:szCs w:val="28"/>
        </w:rPr>
        <w:t>，综合分析及实地考察情况的基础上，开始编制标准初稿。</w:t>
      </w:r>
    </w:p>
    <w:p w14:paraId="5BA1F620">
      <w:pPr>
        <w:rPr>
          <w:rFonts w:hint="eastAsia" w:ascii="楷体" w:hAnsi="楷体" w:eastAsia="楷体"/>
          <w:b/>
          <w:sz w:val="30"/>
          <w:szCs w:val="30"/>
          <w:lang w:val="en-US" w:eastAsia="zh-CN"/>
        </w:rPr>
      </w:pPr>
      <w:r>
        <w:rPr>
          <w:rFonts w:hint="eastAsia" w:ascii="楷体" w:hAnsi="楷体" w:eastAsia="楷体"/>
          <w:b/>
          <w:sz w:val="30"/>
          <w:szCs w:val="30"/>
        </w:rPr>
        <w:t>1.3.2  标准</w:t>
      </w:r>
      <w:r>
        <w:rPr>
          <w:rFonts w:hint="eastAsia" w:ascii="楷体" w:hAnsi="楷体" w:eastAsia="楷体"/>
          <w:b/>
          <w:sz w:val="30"/>
          <w:szCs w:val="30"/>
          <w:lang w:val="en-US" w:eastAsia="zh-CN"/>
        </w:rPr>
        <w:t>初稿</w:t>
      </w:r>
    </w:p>
    <w:p w14:paraId="4A8F57A2">
      <w:pPr>
        <w:ind w:firstLine="560" w:firstLineChars="200"/>
        <w:rPr>
          <w:rFonts w:asciiTheme="minorEastAsia" w:hAnsiTheme="minorEastAsia"/>
          <w:sz w:val="30"/>
          <w:szCs w:val="30"/>
          <w:highlight w:val="yellow"/>
        </w:rPr>
      </w:pPr>
      <w:r>
        <w:rPr>
          <w:rFonts w:hint="eastAsia" w:asciiTheme="minorEastAsia" w:hAnsiTheme="minorEastAsia"/>
          <w:sz w:val="28"/>
          <w:szCs w:val="28"/>
          <w:lang w:val="en-US" w:eastAsia="zh-CN"/>
        </w:rPr>
        <w:t>2023年10月15日，在陕西省地方病防治研究所的组织下，邀请西安市疾控中心、安康市疾病预防控制中心等单位7名专家召开了会，形成标准的初稿，专家们从服务对象、服务内容、服务流程和服务要求等方面对标准初稿提出了意见，随后根据专家意见，编制组对标准初稿及编制说明再次进行了完善和补充。</w:t>
      </w:r>
    </w:p>
    <w:p w14:paraId="0FF774FD">
      <w:pPr>
        <w:rPr>
          <w:rFonts w:hint="default" w:asciiTheme="minorEastAsia" w:hAnsiTheme="minorEastAsia"/>
          <w:color w:val="auto"/>
          <w:sz w:val="28"/>
          <w:szCs w:val="28"/>
          <w:lang w:val="en-US" w:eastAsia="zh-CN"/>
        </w:rPr>
      </w:pPr>
      <w:r>
        <w:rPr>
          <w:rFonts w:hint="eastAsia" w:ascii="楷体" w:hAnsi="楷体" w:eastAsia="楷体"/>
          <w:b/>
          <w:sz w:val="30"/>
          <w:szCs w:val="30"/>
        </w:rPr>
        <w:t>1.3.</w:t>
      </w:r>
      <w:r>
        <w:rPr>
          <w:rFonts w:hint="eastAsia" w:ascii="楷体" w:hAnsi="楷体" w:eastAsia="楷体"/>
          <w:b/>
          <w:sz w:val="30"/>
          <w:szCs w:val="30"/>
          <w:lang w:val="en-US" w:eastAsia="zh-CN"/>
        </w:rPr>
        <w:t>3  调研完善初稿</w:t>
      </w:r>
    </w:p>
    <w:p w14:paraId="1D3CB38D">
      <w:pPr>
        <w:ind w:firstLine="560" w:firstLineChars="200"/>
        <w:rPr>
          <w:rFonts w:hint="eastAsia" w:asciiTheme="minorEastAsia" w:hAnsiTheme="minorEastAsia"/>
          <w:color w:val="auto"/>
          <w:sz w:val="28"/>
          <w:szCs w:val="28"/>
          <w:lang w:val="en-US" w:eastAsia="zh-CN"/>
        </w:rPr>
      </w:pPr>
      <w:r>
        <w:rPr>
          <w:rFonts w:hint="eastAsia" w:asciiTheme="minorEastAsia" w:hAnsiTheme="minorEastAsia"/>
          <w:color w:val="auto"/>
          <w:sz w:val="28"/>
          <w:szCs w:val="28"/>
          <w:lang w:val="en-US" w:eastAsia="zh-CN"/>
        </w:rPr>
        <w:t>2024年3月20至30日，在陕西省岚皋县对克汀病患者和二度以上甲状腺肿大患者开展规范化管理服务实践探索，对照并完善标准。</w:t>
      </w:r>
    </w:p>
    <w:p w14:paraId="460FB45E">
      <w:pPr>
        <w:rPr>
          <w:rFonts w:hint="eastAsia" w:ascii="楷体" w:hAnsi="楷体" w:eastAsia="楷体"/>
          <w:b/>
          <w:color w:val="auto"/>
          <w:sz w:val="30"/>
          <w:szCs w:val="30"/>
        </w:rPr>
      </w:pPr>
      <w:r>
        <w:rPr>
          <w:rFonts w:hint="eastAsia" w:asciiTheme="minorEastAsia" w:hAnsiTheme="minorEastAsia"/>
          <w:color w:val="auto"/>
          <w:sz w:val="28"/>
          <w:szCs w:val="28"/>
          <w:lang w:val="en-US" w:eastAsia="zh-CN"/>
        </w:rPr>
        <w:t>2024年4月27日至5月15日，在陕西省永寿县永平镇对全部地方病患者开展规范化管理服务实践探索，编写组结合实际继续完善该地方标准，并制定了《陕西省地方病患者管理服务工作手册》作为本标准的附件。</w:t>
      </w:r>
    </w:p>
    <w:p w14:paraId="16132DC3">
      <w:pPr>
        <w:rPr>
          <w:rFonts w:hint="eastAsia" w:ascii="楷体" w:hAnsi="楷体" w:eastAsia="楷体"/>
          <w:b/>
          <w:sz w:val="30"/>
          <w:szCs w:val="30"/>
        </w:rPr>
      </w:pPr>
      <w:r>
        <w:rPr>
          <w:rFonts w:hint="eastAsia" w:ascii="楷体" w:hAnsi="楷体" w:eastAsia="楷体"/>
          <w:b/>
          <w:sz w:val="30"/>
          <w:szCs w:val="30"/>
          <w:lang w:val="en-US" w:eastAsia="zh-CN"/>
        </w:rPr>
        <w:t xml:space="preserve">1.3.4  </w:t>
      </w:r>
      <w:r>
        <w:rPr>
          <w:rFonts w:hint="eastAsia" w:ascii="楷体" w:hAnsi="楷体" w:eastAsia="楷体"/>
          <w:b/>
          <w:sz w:val="30"/>
          <w:szCs w:val="30"/>
        </w:rPr>
        <w:t>征求意见稿</w:t>
      </w:r>
    </w:p>
    <w:p w14:paraId="0C02A6D0">
      <w:pPr>
        <w:ind w:firstLine="560" w:firstLineChars="200"/>
        <w:rPr>
          <w:rFonts w:asciiTheme="minorEastAsia" w:hAnsiTheme="minorEastAsia"/>
          <w:sz w:val="28"/>
          <w:szCs w:val="28"/>
          <w:highlight w:val="yellow"/>
        </w:rPr>
      </w:pPr>
      <w:r>
        <w:rPr>
          <w:rFonts w:hint="eastAsia" w:asciiTheme="minorEastAsia" w:hAnsiTheme="minorEastAsia"/>
          <w:sz w:val="28"/>
          <w:szCs w:val="28"/>
          <w:highlight w:val="none"/>
        </w:rPr>
        <w:t>编制组</w:t>
      </w:r>
      <w:r>
        <w:rPr>
          <w:rFonts w:asciiTheme="minorEastAsia" w:hAnsiTheme="minorEastAsia"/>
          <w:sz w:val="28"/>
          <w:szCs w:val="28"/>
          <w:highlight w:val="none"/>
        </w:rPr>
        <w:t>在讨论会的基础上，</w:t>
      </w:r>
      <w:r>
        <w:rPr>
          <w:rFonts w:hint="eastAsia" w:asciiTheme="minorEastAsia" w:hAnsiTheme="minorEastAsia"/>
          <w:sz w:val="28"/>
          <w:szCs w:val="28"/>
          <w:highlight w:val="none"/>
        </w:rPr>
        <w:t>对比</w:t>
      </w:r>
      <w:r>
        <w:rPr>
          <w:rFonts w:asciiTheme="minorEastAsia" w:hAnsiTheme="minorEastAsia"/>
          <w:sz w:val="28"/>
          <w:szCs w:val="28"/>
          <w:highlight w:val="none"/>
        </w:rPr>
        <w:t>专家提出的意见</w:t>
      </w:r>
      <w:r>
        <w:rPr>
          <w:rFonts w:hint="eastAsia" w:asciiTheme="minorEastAsia" w:hAnsiTheme="minorEastAsia"/>
          <w:sz w:val="28"/>
          <w:szCs w:val="28"/>
          <w:highlight w:val="none"/>
        </w:rPr>
        <w:t>，</w:t>
      </w:r>
      <w:r>
        <w:rPr>
          <w:rFonts w:asciiTheme="minorEastAsia" w:hAnsiTheme="minorEastAsia"/>
          <w:sz w:val="28"/>
          <w:szCs w:val="28"/>
          <w:highlight w:val="none"/>
        </w:rPr>
        <w:t>对标准文本进行了详细的修改</w:t>
      </w:r>
      <w:r>
        <w:rPr>
          <w:rFonts w:hint="eastAsia" w:asciiTheme="minorEastAsia" w:hAnsiTheme="minorEastAsia"/>
          <w:sz w:val="28"/>
          <w:szCs w:val="28"/>
          <w:highlight w:val="none"/>
        </w:rPr>
        <w:t>，</w:t>
      </w:r>
      <w:r>
        <w:rPr>
          <w:rFonts w:asciiTheme="minorEastAsia" w:hAnsiTheme="minorEastAsia"/>
          <w:sz w:val="28"/>
          <w:szCs w:val="28"/>
          <w:highlight w:val="none"/>
        </w:rPr>
        <w:t>经过编制组</w:t>
      </w:r>
      <w:r>
        <w:rPr>
          <w:rFonts w:hint="eastAsia" w:asciiTheme="minorEastAsia" w:hAnsiTheme="minorEastAsia"/>
          <w:sz w:val="28"/>
          <w:szCs w:val="28"/>
          <w:highlight w:val="none"/>
          <w:lang w:val="en-US" w:eastAsia="zh-CN"/>
        </w:rPr>
        <w:t>2024年10月15日</w:t>
      </w:r>
      <w:r>
        <w:rPr>
          <w:rFonts w:asciiTheme="minorEastAsia" w:hAnsiTheme="minorEastAsia"/>
          <w:sz w:val="28"/>
          <w:szCs w:val="28"/>
          <w:highlight w:val="none"/>
        </w:rPr>
        <w:t>再次讨论，最终</w:t>
      </w:r>
      <w:r>
        <w:rPr>
          <w:rFonts w:hint="eastAsia" w:asciiTheme="minorEastAsia" w:hAnsiTheme="minorEastAsia"/>
          <w:sz w:val="28"/>
          <w:szCs w:val="28"/>
          <w:highlight w:val="none"/>
        </w:rPr>
        <w:t>确定</w:t>
      </w:r>
      <w:r>
        <w:rPr>
          <w:rFonts w:asciiTheme="minorEastAsia" w:hAnsiTheme="minorEastAsia"/>
          <w:sz w:val="28"/>
          <w:szCs w:val="28"/>
          <w:highlight w:val="none"/>
        </w:rPr>
        <w:t>了</w:t>
      </w:r>
      <w:r>
        <w:rPr>
          <w:rFonts w:hint="eastAsia" w:asciiTheme="minorEastAsia" w:hAnsiTheme="minorEastAsia"/>
          <w:sz w:val="28"/>
          <w:szCs w:val="28"/>
          <w:highlight w:val="none"/>
        </w:rPr>
        <w:t>内容。编制组</w:t>
      </w:r>
      <w:r>
        <w:rPr>
          <w:rFonts w:asciiTheme="minorEastAsia" w:hAnsiTheme="minorEastAsia"/>
          <w:sz w:val="28"/>
          <w:szCs w:val="28"/>
          <w:highlight w:val="none"/>
        </w:rPr>
        <w:t>于</w:t>
      </w:r>
      <w:r>
        <w:rPr>
          <w:rFonts w:hint="eastAsia" w:asciiTheme="minorEastAsia" w:hAnsiTheme="minorEastAsia"/>
          <w:sz w:val="28"/>
          <w:szCs w:val="28"/>
          <w:highlight w:val="none"/>
        </w:rPr>
        <w:t>202</w:t>
      </w:r>
      <w:r>
        <w:rPr>
          <w:rFonts w:hint="eastAsia" w:asciiTheme="minorEastAsia" w:hAnsiTheme="minorEastAsia"/>
          <w:sz w:val="28"/>
          <w:szCs w:val="28"/>
          <w:highlight w:val="none"/>
          <w:lang w:val="en-US" w:eastAsia="zh-CN"/>
        </w:rPr>
        <w:t>4</w:t>
      </w:r>
      <w:r>
        <w:rPr>
          <w:rFonts w:hint="eastAsia" w:asciiTheme="minorEastAsia" w:hAnsiTheme="minorEastAsia"/>
          <w:sz w:val="28"/>
          <w:szCs w:val="28"/>
          <w:highlight w:val="none"/>
        </w:rPr>
        <w:t>年</w:t>
      </w:r>
      <w:r>
        <w:rPr>
          <w:rFonts w:hint="eastAsia" w:asciiTheme="minorEastAsia" w:hAnsiTheme="minorEastAsia"/>
          <w:sz w:val="28"/>
          <w:szCs w:val="28"/>
          <w:highlight w:val="none"/>
          <w:lang w:val="en-US" w:eastAsia="zh-CN"/>
        </w:rPr>
        <w:t>10</w:t>
      </w:r>
      <w:r>
        <w:rPr>
          <w:rFonts w:hint="eastAsia" w:asciiTheme="minorEastAsia" w:hAnsiTheme="minorEastAsia"/>
          <w:sz w:val="28"/>
          <w:szCs w:val="28"/>
          <w:highlight w:val="none"/>
        </w:rPr>
        <w:t>月</w:t>
      </w:r>
      <w:r>
        <w:rPr>
          <w:rFonts w:hint="eastAsia" w:asciiTheme="minorEastAsia" w:hAnsiTheme="minorEastAsia"/>
          <w:sz w:val="28"/>
          <w:szCs w:val="28"/>
          <w:highlight w:val="none"/>
          <w:lang w:val="en-US" w:eastAsia="zh-CN"/>
        </w:rPr>
        <w:t>20</w:t>
      </w:r>
      <w:r>
        <w:rPr>
          <w:rFonts w:hint="eastAsia" w:asciiTheme="minorEastAsia" w:hAnsiTheme="minorEastAsia"/>
          <w:sz w:val="28"/>
          <w:szCs w:val="28"/>
          <w:highlight w:val="none"/>
        </w:rPr>
        <w:t>日</w:t>
      </w:r>
      <w:r>
        <w:rPr>
          <w:rFonts w:asciiTheme="minorEastAsia" w:hAnsiTheme="minorEastAsia"/>
          <w:sz w:val="28"/>
          <w:szCs w:val="28"/>
          <w:highlight w:val="none"/>
        </w:rPr>
        <w:t>完成了</w:t>
      </w:r>
      <w:r>
        <w:rPr>
          <w:rFonts w:hint="eastAsia" w:asciiTheme="minorEastAsia" w:hAnsiTheme="minorEastAsia"/>
          <w:sz w:val="28"/>
          <w:szCs w:val="28"/>
          <w:highlight w:val="none"/>
          <w:lang w:val="en-US" w:eastAsia="zh-CN"/>
        </w:rPr>
        <w:t>本</w:t>
      </w:r>
      <w:r>
        <w:rPr>
          <w:rFonts w:asciiTheme="minorEastAsia" w:hAnsiTheme="minorEastAsia"/>
          <w:sz w:val="28"/>
          <w:szCs w:val="28"/>
          <w:highlight w:val="none"/>
        </w:rPr>
        <w:t>标准的征求意见稿和编制说明</w:t>
      </w:r>
      <w:r>
        <w:rPr>
          <w:rFonts w:hint="eastAsia" w:asciiTheme="minorEastAsia" w:hAnsiTheme="minorEastAsia"/>
          <w:sz w:val="28"/>
          <w:szCs w:val="28"/>
          <w:highlight w:val="none"/>
          <w:lang w:val="en-US" w:eastAsia="zh-CN"/>
        </w:rPr>
        <w:t>，在陕西省咸阳市永寿县、宝鸡市麟游县和安康市岚皋县进行试点，继续完善标准内容；2024年12月10日经过讨论形成标准征求意见稿</w:t>
      </w:r>
      <w:r>
        <w:rPr>
          <w:rFonts w:asciiTheme="minorEastAsia" w:hAnsiTheme="minorEastAsia"/>
          <w:sz w:val="28"/>
          <w:szCs w:val="28"/>
          <w:highlight w:val="none"/>
        </w:rPr>
        <w:t>。</w:t>
      </w:r>
    </w:p>
    <w:p w14:paraId="53C8AA37">
      <w:pPr>
        <w:pStyle w:val="19"/>
        <w:numPr>
          <w:ilvl w:val="0"/>
          <w:numId w:val="4"/>
        </w:numPr>
        <w:ind w:left="640" w:hanging="640" w:hangingChars="200"/>
        <w:outlineLvl w:val="0"/>
        <w:rPr>
          <w:rFonts w:ascii="黑体" w:hAnsi="黑体" w:eastAsia="黑体"/>
          <w:sz w:val="32"/>
          <w:szCs w:val="32"/>
        </w:rPr>
      </w:pPr>
      <w:bookmarkStart w:id="4" w:name="_Toc14953"/>
      <w:r>
        <w:rPr>
          <w:rFonts w:hint="eastAsia" w:ascii="黑体" w:hAnsi="黑体" w:eastAsia="黑体"/>
          <w:sz w:val="32"/>
          <w:szCs w:val="32"/>
        </w:rPr>
        <w:t>标准制定</w:t>
      </w:r>
      <w:r>
        <w:rPr>
          <w:rFonts w:ascii="黑体" w:hAnsi="黑体" w:eastAsia="黑体"/>
          <w:sz w:val="32"/>
          <w:szCs w:val="32"/>
        </w:rPr>
        <w:t>的</w:t>
      </w:r>
      <w:r>
        <w:rPr>
          <w:rFonts w:hint="eastAsia" w:ascii="黑体" w:hAnsi="黑体" w:eastAsia="黑体"/>
          <w:sz w:val="32"/>
          <w:szCs w:val="32"/>
        </w:rPr>
        <w:t>意义</w:t>
      </w:r>
      <w:bookmarkEnd w:id="4"/>
    </w:p>
    <w:p w14:paraId="7AAD01EA">
      <w:pPr>
        <w:ind w:firstLine="560" w:firstLineChars="200"/>
        <w:rPr>
          <w:rFonts w:hint="eastAsia" w:asciiTheme="minorEastAsia" w:hAnsiTheme="minorEastAsia"/>
          <w:sz w:val="28"/>
          <w:szCs w:val="28"/>
          <w:lang w:val="en-US" w:eastAsia="zh-CN"/>
        </w:rPr>
      </w:pPr>
      <w:r>
        <w:rPr>
          <w:rFonts w:hint="eastAsia" w:asciiTheme="minorEastAsia" w:hAnsiTheme="minorEastAsia"/>
          <w:sz w:val="28"/>
          <w:szCs w:val="28"/>
          <w:lang w:val="en-US" w:eastAsia="zh-CN"/>
        </w:rPr>
        <w:t>为认真贯彻落实习近平总书记等中央领导同志关于地方病防治工作的重要指示批示精神，按照国家卫生健康委等10部门《关于印发地方病防治专项三年攻坚行动方案（2018-2020年）的通知》、国家卫生健康委办公厅《关于印发地方病患者管理服务规范和治疗管理办法的通知》及陕西省人民政府办公厅《关于印发大骨节病等地方病防治专项行动方案（2018-2020年）》《关于大骨节病等地方病防治专项行动补充方案》有关要求，更好地保障大骨节病、氟骨症和克山病等地方病患者救治救助，结合我省实际，制定陕西省地方病患者管理服务标准。</w:t>
      </w:r>
      <w:r>
        <w:rPr>
          <w:rFonts w:hint="default" w:asciiTheme="minorEastAsia" w:hAnsiTheme="minorEastAsia"/>
          <w:sz w:val="28"/>
          <w:szCs w:val="28"/>
          <w:lang w:eastAsia="zh-CN"/>
        </w:rPr>
        <w:t>此标准</w:t>
      </w:r>
      <w:r>
        <w:rPr>
          <w:rFonts w:hint="eastAsia" w:asciiTheme="minorEastAsia" w:hAnsiTheme="minorEastAsia"/>
          <w:sz w:val="28"/>
          <w:szCs w:val="28"/>
          <w:lang w:val="en-US" w:eastAsia="zh-CN"/>
        </w:rPr>
        <w:t>出台将</w:t>
      </w:r>
      <w:r>
        <w:rPr>
          <w:rFonts w:hint="default" w:asciiTheme="minorEastAsia" w:hAnsiTheme="minorEastAsia"/>
          <w:sz w:val="28"/>
          <w:szCs w:val="28"/>
          <w:lang w:eastAsia="zh-CN"/>
        </w:rPr>
        <w:t>有力地推动了我省地方病患者的规范管理。</w:t>
      </w:r>
      <w:r>
        <w:rPr>
          <w:rFonts w:hint="eastAsia" w:asciiTheme="minorEastAsia" w:hAnsiTheme="minorEastAsia"/>
          <w:sz w:val="28"/>
          <w:szCs w:val="28"/>
          <w:lang w:val="en-US" w:eastAsia="zh-CN"/>
        </w:rPr>
        <w:t>此标准的出台，必将是我省大骨节病等地方病患者的管理更加规范、高效，为全面提高患者生活质量、造福全省近20万地方病患者、实现乡村振兴和建设健康陕西做出巨大贡献。</w:t>
      </w:r>
    </w:p>
    <w:p w14:paraId="30958705">
      <w:pPr>
        <w:pStyle w:val="19"/>
        <w:numPr>
          <w:ilvl w:val="0"/>
          <w:numId w:val="4"/>
        </w:numPr>
        <w:ind w:left="640" w:hanging="640" w:hangingChars="200"/>
        <w:outlineLvl w:val="0"/>
        <w:rPr>
          <w:rFonts w:ascii="黑体" w:hAnsi="黑体" w:eastAsia="黑体"/>
          <w:sz w:val="32"/>
          <w:szCs w:val="32"/>
        </w:rPr>
      </w:pPr>
      <w:bookmarkStart w:id="5" w:name="_Toc17629"/>
      <w:r>
        <w:rPr>
          <w:rFonts w:hint="eastAsia" w:ascii="黑体" w:hAnsi="黑体" w:eastAsia="黑体"/>
          <w:sz w:val="32"/>
          <w:szCs w:val="32"/>
        </w:rPr>
        <w:t>基本</w:t>
      </w:r>
      <w:r>
        <w:rPr>
          <w:rFonts w:ascii="黑体" w:hAnsi="黑体" w:eastAsia="黑体"/>
          <w:sz w:val="32"/>
          <w:szCs w:val="32"/>
        </w:rPr>
        <w:t>原则</w:t>
      </w:r>
      <w:r>
        <w:rPr>
          <w:rFonts w:hint="eastAsia" w:ascii="黑体" w:hAnsi="黑体" w:eastAsia="黑体"/>
          <w:sz w:val="32"/>
          <w:szCs w:val="32"/>
        </w:rPr>
        <w:t>和</w:t>
      </w:r>
      <w:r>
        <w:rPr>
          <w:rFonts w:ascii="黑体" w:hAnsi="黑体" w:eastAsia="黑体"/>
          <w:sz w:val="32"/>
          <w:szCs w:val="32"/>
        </w:rPr>
        <w:t>技术路线</w:t>
      </w:r>
      <w:bookmarkEnd w:id="5"/>
    </w:p>
    <w:p w14:paraId="4A15A6E8">
      <w:pPr>
        <w:outlineLvl w:val="1"/>
        <w:rPr>
          <w:rFonts w:ascii="黑体" w:hAnsi="黑体" w:eastAsia="黑体"/>
          <w:sz w:val="30"/>
          <w:szCs w:val="30"/>
        </w:rPr>
      </w:pPr>
      <w:bookmarkStart w:id="6" w:name="_Toc22092"/>
      <w:r>
        <w:rPr>
          <w:rFonts w:hint="eastAsia" w:ascii="黑体" w:hAnsi="黑体" w:eastAsia="黑体"/>
          <w:sz w:val="30"/>
          <w:szCs w:val="30"/>
        </w:rPr>
        <w:t>3.1  基本原则</w:t>
      </w:r>
      <w:bookmarkEnd w:id="6"/>
    </w:p>
    <w:p w14:paraId="67C4AF1A">
      <w:pPr>
        <w:ind w:firstLine="560" w:firstLineChars="200"/>
        <w:rPr>
          <w:rFonts w:asciiTheme="minorEastAsia" w:hAnsiTheme="minorEastAsia"/>
          <w:sz w:val="28"/>
          <w:szCs w:val="28"/>
        </w:rPr>
      </w:pPr>
      <w:r>
        <w:rPr>
          <w:rFonts w:hint="eastAsia" w:asciiTheme="minorEastAsia" w:hAnsiTheme="minorEastAsia"/>
          <w:sz w:val="28"/>
          <w:szCs w:val="28"/>
        </w:rPr>
        <w:t>本标准的制定，本着科学性、先进性和可操作性的原则，参考陕西省各地市</w:t>
      </w:r>
      <w:r>
        <w:rPr>
          <w:rFonts w:hint="eastAsia" w:asciiTheme="minorEastAsia" w:hAnsiTheme="minorEastAsia"/>
          <w:sz w:val="28"/>
          <w:szCs w:val="28"/>
          <w:lang w:val="en-US" w:eastAsia="zh-CN"/>
        </w:rPr>
        <w:t>疾控</w:t>
      </w:r>
      <w:r>
        <w:rPr>
          <w:rFonts w:hint="eastAsia" w:asciiTheme="minorEastAsia" w:hAnsiTheme="minorEastAsia"/>
          <w:sz w:val="28"/>
          <w:szCs w:val="28"/>
        </w:rPr>
        <w:t>中心的实际</w:t>
      </w:r>
      <w:r>
        <w:rPr>
          <w:rFonts w:hint="eastAsia" w:asciiTheme="minorEastAsia" w:hAnsiTheme="minorEastAsia"/>
          <w:sz w:val="28"/>
          <w:szCs w:val="28"/>
          <w:lang w:val="en-US" w:eastAsia="zh-CN"/>
        </w:rPr>
        <w:t>管理服务</w:t>
      </w:r>
      <w:r>
        <w:rPr>
          <w:rFonts w:hint="eastAsia" w:asciiTheme="minorEastAsia" w:hAnsiTheme="minorEastAsia"/>
          <w:sz w:val="28"/>
          <w:szCs w:val="28"/>
        </w:rPr>
        <w:t>情况，将</w:t>
      </w:r>
      <w:r>
        <w:rPr>
          <w:rFonts w:hint="eastAsia" w:asciiTheme="minorEastAsia" w:hAnsiTheme="minorEastAsia"/>
          <w:sz w:val="28"/>
          <w:szCs w:val="28"/>
          <w:lang w:val="en-US" w:eastAsia="zh-CN"/>
        </w:rPr>
        <w:t>服务管理</w:t>
      </w:r>
      <w:r>
        <w:rPr>
          <w:rFonts w:hint="eastAsia" w:asciiTheme="minorEastAsia" w:hAnsiTheme="minorEastAsia"/>
          <w:sz w:val="28"/>
          <w:szCs w:val="28"/>
        </w:rPr>
        <w:t>归纳总结并进行</w:t>
      </w:r>
      <w:r>
        <w:rPr>
          <w:rFonts w:hint="eastAsia" w:asciiTheme="minorEastAsia" w:hAnsiTheme="minorEastAsia"/>
          <w:sz w:val="28"/>
          <w:szCs w:val="28"/>
          <w:lang w:val="en-US" w:eastAsia="zh-CN"/>
        </w:rPr>
        <w:t>实践</w:t>
      </w:r>
      <w:r>
        <w:rPr>
          <w:rFonts w:hint="eastAsia" w:asciiTheme="minorEastAsia" w:hAnsiTheme="minorEastAsia"/>
          <w:sz w:val="28"/>
          <w:szCs w:val="28"/>
        </w:rPr>
        <w:t>验证。其基本原则有：</w:t>
      </w:r>
    </w:p>
    <w:p w14:paraId="38B31998">
      <w:pPr>
        <w:ind w:firstLine="560" w:firstLineChars="200"/>
        <w:rPr>
          <w:rFonts w:hint="eastAsia" w:asciiTheme="minorEastAsia" w:hAnsiTheme="minorEastAsia" w:eastAsiaTheme="minorEastAsia"/>
          <w:sz w:val="28"/>
          <w:szCs w:val="28"/>
          <w:lang w:eastAsia="zh-CN"/>
        </w:rPr>
      </w:pPr>
      <w:r>
        <w:rPr>
          <w:rFonts w:hint="eastAsia" w:asciiTheme="minorEastAsia" w:hAnsiTheme="minorEastAsia"/>
          <w:sz w:val="28"/>
          <w:szCs w:val="28"/>
        </w:rPr>
        <w:t>（1）协商一致的原则。本标准经公开对外征求意见和定向市级部门征求意见，综合多方意见，协商一致</w:t>
      </w:r>
      <w:r>
        <w:rPr>
          <w:rFonts w:hint="eastAsia" w:asciiTheme="minorEastAsia" w:hAnsiTheme="minorEastAsia"/>
          <w:sz w:val="28"/>
          <w:szCs w:val="28"/>
          <w:lang w:eastAsia="zh-CN"/>
        </w:rPr>
        <w:t>；</w:t>
      </w:r>
    </w:p>
    <w:p w14:paraId="6B66760A">
      <w:pPr>
        <w:ind w:firstLine="560" w:firstLineChars="200"/>
        <w:rPr>
          <w:rFonts w:asciiTheme="minorEastAsia" w:hAnsiTheme="minorEastAsia"/>
          <w:sz w:val="28"/>
          <w:szCs w:val="28"/>
        </w:rPr>
      </w:pPr>
      <w:r>
        <w:rPr>
          <w:rFonts w:hint="eastAsia" w:asciiTheme="minorEastAsia" w:hAnsiTheme="minorEastAsia"/>
          <w:sz w:val="28"/>
          <w:szCs w:val="28"/>
        </w:rPr>
        <w:t>（2）</w:t>
      </w:r>
      <w:r>
        <w:rPr>
          <w:rFonts w:hint="eastAsia" w:asciiTheme="minorEastAsia" w:hAnsiTheme="minorEastAsia"/>
          <w:sz w:val="28"/>
          <w:szCs w:val="28"/>
          <w:lang w:val="en-US" w:eastAsia="zh-CN"/>
        </w:rPr>
        <w:t>实践</w:t>
      </w:r>
      <w:r>
        <w:rPr>
          <w:rFonts w:hint="eastAsia" w:asciiTheme="minorEastAsia" w:hAnsiTheme="minorEastAsia"/>
          <w:sz w:val="28"/>
          <w:szCs w:val="28"/>
        </w:rPr>
        <w:t>验证原则。本标准经过参编单位的多次验证得出</w:t>
      </w:r>
      <w:r>
        <w:rPr>
          <w:rFonts w:hint="eastAsia" w:asciiTheme="minorEastAsia" w:hAnsiTheme="minorEastAsia"/>
          <w:sz w:val="28"/>
          <w:szCs w:val="28"/>
          <w:lang w:val="en-US" w:eastAsia="zh-CN"/>
        </w:rPr>
        <w:t>结果</w:t>
      </w:r>
      <w:r>
        <w:rPr>
          <w:rFonts w:hint="eastAsia" w:asciiTheme="minorEastAsia" w:hAnsiTheme="minorEastAsia"/>
          <w:sz w:val="28"/>
          <w:szCs w:val="28"/>
        </w:rPr>
        <w:t>；</w:t>
      </w:r>
    </w:p>
    <w:p w14:paraId="54E8F3A9">
      <w:pPr>
        <w:ind w:firstLine="560" w:firstLineChars="200"/>
        <w:rPr>
          <w:rFonts w:asciiTheme="minorEastAsia" w:hAnsiTheme="minorEastAsia"/>
          <w:sz w:val="28"/>
          <w:szCs w:val="28"/>
        </w:rPr>
      </w:pPr>
      <w:r>
        <w:rPr>
          <w:rFonts w:hint="eastAsia" w:asciiTheme="minorEastAsia" w:hAnsiTheme="minorEastAsia"/>
          <w:sz w:val="28"/>
          <w:szCs w:val="28"/>
        </w:rPr>
        <w:t>（3）不歧视、不排他原则。对各地市科学合理的优秀经验都可采纳，本着实事求是的态度不歧视、不排他。</w:t>
      </w:r>
    </w:p>
    <w:p w14:paraId="4AFC8683">
      <w:pPr>
        <w:outlineLvl w:val="1"/>
        <w:rPr>
          <w:rFonts w:ascii="黑体" w:hAnsi="黑体" w:eastAsia="黑体"/>
          <w:sz w:val="30"/>
          <w:szCs w:val="30"/>
        </w:rPr>
      </w:pPr>
      <w:bookmarkStart w:id="7" w:name="_Toc29001"/>
      <w:r>
        <w:rPr>
          <w:rFonts w:hint="eastAsia" w:ascii="黑体" w:hAnsi="黑体" w:eastAsia="黑体"/>
          <w:sz w:val="30"/>
          <w:szCs w:val="30"/>
        </w:rPr>
        <w:t>3.2  技术路线</w:t>
      </w:r>
      <w:bookmarkEnd w:id="7"/>
    </w:p>
    <w:p w14:paraId="58A60BD3">
      <w:pPr>
        <w:ind w:firstLine="560" w:firstLineChars="200"/>
        <w:rPr>
          <w:rFonts w:asciiTheme="minorEastAsia" w:hAnsiTheme="minorEastAsia"/>
          <w:sz w:val="28"/>
          <w:szCs w:val="28"/>
        </w:rPr>
      </w:pPr>
      <w:r>
        <w:rPr>
          <w:rFonts w:hint="eastAsia" w:asciiTheme="minorEastAsia" w:hAnsiTheme="minorEastAsia"/>
          <w:sz w:val="28"/>
          <w:szCs w:val="28"/>
        </w:rPr>
        <w:t>本标准的技术路线是在查询各项制度文件、期刊文献、国内相关标准规范和实地研究结果的基础上，结合我省当前的管理现状，完成研究报告，召开专家论证会，确定标准的主题框架。参照有关规范要求，编制该标准文本草案，提交了标准征求意见稿，征求意见稿上报标准化主管部门公开征求意见，向我省各市级机构部门定向征求意见，修改完善后提交标准送审稿，重新完善后再提交报批稿。</w:t>
      </w:r>
    </w:p>
    <w:p w14:paraId="5AEF028B">
      <w:pPr>
        <w:pStyle w:val="19"/>
        <w:numPr>
          <w:ilvl w:val="0"/>
          <w:numId w:val="4"/>
        </w:numPr>
        <w:ind w:left="640" w:hanging="640" w:hangingChars="200"/>
        <w:outlineLvl w:val="0"/>
        <w:rPr>
          <w:rFonts w:ascii="黑体" w:hAnsi="黑体" w:eastAsia="黑体"/>
          <w:color w:val="auto"/>
          <w:sz w:val="32"/>
          <w:szCs w:val="32"/>
        </w:rPr>
      </w:pPr>
      <w:bookmarkStart w:id="8" w:name="_Toc19812"/>
      <w:r>
        <w:rPr>
          <w:rFonts w:hint="eastAsia" w:ascii="黑体" w:hAnsi="黑体" w:eastAsia="黑体"/>
          <w:color w:val="auto"/>
          <w:sz w:val="32"/>
          <w:szCs w:val="32"/>
          <w:lang w:val="en-US" w:eastAsia="zh-CN"/>
        </w:rPr>
        <w:t>省内市区调研情况</w:t>
      </w:r>
      <w:bookmarkEnd w:id="8"/>
    </w:p>
    <w:p w14:paraId="24FB7086">
      <w:pPr>
        <w:pStyle w:val="19"/>
        <w:numPr>
          <w:ilvl w:val="0"/>
          <w:numId w:val="0"/>
        </w:numPr>
        <w:ind w:left="0" w:leftChars="0" w:firstLine="560" w:firstLineChars="200"/>
        <w:outlineLvl w:val="9"/>
        <w:rPr>
          <w:rFonts w:hint="default" w:asciiTheme="minorEastAsia" w:hAnsiTheme="minorEastAsia" w:eastAsiaTheme="minorEastAsia" w:cstheme="minorBidi"/>
          <w:kern w:val="2"/>
          <w:sz w:val="28"/>
          <w:szCs w:val="28"/>
          <w:lang w:val="en-US" w:eastAsia="zh-CN" w:bidi="ar-SA"/>
        </w:rPr>
      </w:pPr>
      <w:r>
        <w:rPr>
          <w:rFonts w:hint="eastAsia" w:asciiTheme="minorEastAsia" w:hAnsiTheme="minorEastAsia" w:eastAsiaTheme="minorEastAsia" w:cstheme="minorBidi"/>
          <w:kern w:val="2"/>
          <w:sz w:val="28"/>
          <w:szCs w:val="28"/>
          <w:lang w:val="en-US" w:eastAsia="zh-CN" w:bidi="ar-SA"/>
        </w:rPr>
        <w:t>标准起草组</w:t>
      </w:r>
      <w:r>
        <w:rPr>
          <w:rFonts w:hint="eastAsia" w:asciiTheme="minorEastAsia" w:hAnsiTheme="minorEastAsia" w:cstheme="minorBidi"/>
          <w:kern w:val="2"/>
          <w:sz w:val="28"/>
          <w:szCs w:val="28"/>
          <w:lang w:val="en-US" w:eastAsia="zh-CN" w:bidi="ar-SA"/>
        </w:rPr>
        <w:t>于2024年5月至10月先后</w:t>
      </w:r>
      <w:r>
        <w:rPr>
          <w:rFonts w:hint="eastAsia" w:asciiTheme="minorEastAsia" w:hAnsiTheme="minorEastAsia" w:eastAsiaTheme="minorEastAsia" w:cstheme="minorBidi"/>
          <w:kern w:val="2"/>
          <w:sz w:val="28"/>
          <w:szCs w:val="28"/>
          <w:lang w:val="en-US" w:eastAsia="zh-CN" w:bidi="ar-SA"/>
        </w:rPr>
        <w:t>在咸阳市永寿县永平卫生院</w:t>
      </w:r>
      <w:r>
        <w:rPr>
          <w:rFonts w:hint="eastAsia" w:asciiTheme="minorEastAsia" w:hAnsiTheme="minorEastAsia" w:cstheme="minorBidi"/>
          <w:kern w:val="2"/>
          <w:sz w:val="28"/>
          <w:szCs w:val="28"/>
          <w:lang w:val="en-US" w:eastAsia="zh-CN" w:bidi="ar-SA"/>
        </w:rPr>
        <w:t>、</w:t>
      </w:r>
      <w:r>
        <w:rPr>
          <w:rFonts w:hint="eastAsia" w:asciiTheme="minorEastAsia" w:hAnsiTheme="minorEastAsia" w:eastAsiaTheme="minorEastAsia" w:cstheme="minorBidi"/>
          <w:kern w:val="2"/>
          <w:sz w:val="28"/>
          <w:szCs w:val="28"/>
          <w:lang w:val="en-US" w:eastAsia="zh-CN" w:bidi="ar-SA"/>
        </w:rPr>
        <w:t>宝鸡市麟游县崔木镇卫生院</w:t>
      </w:r>
      <w:r>
        <w:rPr>
          <w:rFonts w:hint="eastAsia" w:asciiTheme="minorEastAsia" w:hAnsiTheme="minorEastAsia" w:cstheme="minorBidi"/>
          <w:kern w:val="2"/>
          <w:sz w:val="28"/>
          <w:szCs w:val="28"/>
          <w:lang w:val="en-US" w:eastAsia="zh-CN" w:bidi="ar-SA"/>
        </w:rPr>
        <w:t>、安康市岚皋县四季卫生院、黄陵县疾病预防控制中心等地</w:t>
      </w:r>
      <w:r>
        <w:rPr>
          <w:rFonts w:hint="eastAsia" w:asciiTheme="minorEastAsia" w:hAnsiTheme="minorEastAsia" w:eastAsiaTheme="minorEastAsia" w:cstheme="minorBidi"/>
          <w:kern w:val="2"/>
          <w:sz w:val="28"/>
          <w:szCs w:val="28"/>
          <w:lang w:val="en-US" w:eastAsia="zh-CN" w:bidi="ar-SA"/>
        </w:rPr>
        <w:t>对大骨节病患者</w:t>
      </w:r>
      <w:r>
        <w:rPr>
          <w:rFonts w:hint="eastAsia" w:asciiTheme="minorEastAsia" w:hAnsiTheme="minorEastAsia" w:cstheme="minorBidi"/>
          <w:kern w:val="2"/>
          <w:sz w:val="28"/>
          <w:szCs w:val="28"/>
          <w:lang w:val="en-US" w:eastAsia="zh-CN" w:bidi="ar-SA"/>
        </w:rPr>
        <w:t>、氟骨症患者、克山病患者、砷中毒患者、甲状腺肿大患者及克汀病患者</w:t>
      </w:r>
      <w:r>
        <w:rPr>
          <w:rFonts w:hint="eastAsia" w:asciiTheme="minorEastAsia" w:hAnsiTheme="minorEastAsia" w:eastAsiaTheme="minorEastAsia" w:cstheme="minorBidi"/>
          <w:kern w:val="2"/>
          <w:sz w:val="28"/>
          <w:szCs w:val="28"/>
          <w:lang w:val="en-US" w:eastAsia="zh-CN" w:bidi="ar-SA"/>
        </w:rPr>
        <w:t>进行了规范化管理的试点，</w:t>
      </w:r>
      <w:r>
        <w:rPr>
          <w:rFonts w:hint="eastAsia" w:asciiTheme="minorEastAsia" w:hAnsiTheme="minorEastAsia" w:cstheme="minorBidi"/>
          <w:kern w:val="2"/>
          <w:sz w:val="28"/>
          <w:szCs w:val="28"/>
          <w:lang w:val="en-US" w:eastAsia="zh-CN" w:bidi="ar-SA"/>
        </w:rPr>
        <w:t>实际调研基层对于地方病患者管理的情况及存在问题，对普遍存在的共性问题进行了梳理并在标准起草过程中加以规范。</w:t>
      </w:r>
    </w:p>
    <w:p w14:paraId="12FB2458">
      <w:pPr>
        <w:pStyle w:val="19"/>
        <w:numPr>
          <w:ilvl w:val="0"/>
          <w:numId w:val="4"/>
        </w:numPr>
        <w:ind w:left="640" w:hanging="640" w:hangingChars="200"/>
        <w:outlineLvl w:val="0"/>
        <w:rPr>
          <w:rFonts w:ascii="黑体" w:hAnsi="黑体" w:eastAsia="黑体"/>
          <w:color w:val="auto"/>
          <w:sz w:val="32"/>
          <w:szCs w:val="32"/>
        </w:rPr>
      </w:pPr>
      <w:bookmarkStart w:id="9" w:name="_Toc8462"/>
      <w:r>
        <w:rPr>
          <w:rFonts w:hint="eastAsia" w:ascii="黑体" w:hAnsi="黑体" w:eastAsia="黑体"/>
          <w:color w:val="auto"/>
          <w:sz w:val="32"/>
          <w:szCs w:val="32"/>
          <w:lang w:val="en-US" w:eastAsia="zh-CN"/>
        </w:rPr>
        <w:t>标准中相关内容的解释说明</w:t>
      </w:r>
      <w:bookmarkEnd w:id="9"/>
    </w:p>
    <w:p w14:paraId="6BEDC3EF">
      <w:pPr>
        <w:outlineLvl w:val="1"/>
        <w:rPr>
          <w:rFonts w:hint="default" w:ascii="黑体" w:hAnsi="黑体" w:eastAsia="黑体"/>
          <w:sz w:val="30"/>
          <w:szCs w:val="30"/>
          <w:lang w:val="en-US" w:eastAsia="zh-CN"/>
        </w:rPr>
      </w:pPr>
      <w:bookmarkStart w:id="10" w:name="_Toc24722"/>
      <w:r>
        <w:rPr>
          <w:rFonts w:hint="eastAsia" w:ascii="黑体" w:hAnsi="黑体" w:eastAsia="黑体"/>
          <w:sz w:val="30"/>
          <w:szCs w:val="30"/>
          <w:lang w:val="en-US" w:eastAsia="zh-CN"/>
        </w:rPr>
        <w:t>5.1  术语定义</w:t>
      </w:r>
      <w:bookmarkEnd w:id="10"/>
    </w:p>
    <w:p w14:paraId="74E16CEE">
      <w:pPr>
        <w:pStyle w:val="19"/>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outlineLvl w:val="9"/>
        <w:rPr>
          <w:rFonts w:hint="eastAsia" w:asciiTheme="minorEastAsia" w:hAnsiTheme="minorEastAsia" w:eastAsiaTheme="minorEastAsia" w:cstheme="minorBidi"/>
          <w:color w:val="auto"/>
          <w:kern w:val="2"/>
          <w:sz w:val="28"/>
          <w:szCs w:val="28"/>
          <w:lang w:val="en-US" w:eastAsia="zh-CN" w:bidi="ar-SA"/>
        </w:rPr>
      </w:pPr>
      <w:r>
        <w:rPr>
          <w:rFonts w:hint="eastAsia" w:asciiTheme="minorEastAsia" w:hAnsiTheme="minorEastAsia" w:eastAsiaTheme="minorEastAsia" w:cstheme="minorBidi"/>
          <w:color w:val="auto"/>
          <w:kern w:val="2"/>
          <w:sz w:val="28"/>
          <w:szCs w:val="28"/>
          <w:lang w:val="en-US" w:eastAsia="zh-CN" w:bidi="ar-SA"/>
        </w:rPr>
        <w:t>目前，行业没有相关地方病服务管理的国家标准、行业标准，</w:t>
      </w:r>
      <w:r>
        <w:rPr>
          <w:rFonts w:hint="eastAsia" w:asciiTheme="minorEastAsia" w:hAnsiTheme="minorEastAsia" w:cstheme="minorBidi"/>
          <w:color w:val="auto"/>
          <w:kern w:val="2"/>
          <w:sz w:val="28"/>
          <w:szCs w:val="28"/>
          <w:lang w:val="en-US" w:eastAsia="zh-CN" w:bidi="ar-SA"/>
        </w:rPr>
        <w:t>也未查到有关术语定义。根据实际情况，明确：</w:t>
      </w:r>
      <w:r>
        <w:rPr>
          <w:rFonts w:hint="eastAsia" w:asciiTheme="minorEastAsia" w:hAnsiTheme="minorEastAsia" w:eastAsiaTheme="minorEastAsia" w:cstheme="minorBidi"/>
          <w:color w:val="auto"/>
          <w:kern w:val="2"/>
          <w:sz w:val="28"/>
          <w:szCs w:val="28"/>
          <w:lang w:val="en-US" w:eastAsia="zh-CN" w:bidi="ar-SA"/>
        </w:rPr>
        <w:t>服务机构</w:t>
      </w:r>
      <w:r>
        <w:rPr>
          <w:rFonts w:hint="eastAsia" w:asciiTheme="minorEastAsia" w:hAnsiTheme="minorEastAsia" w:cstheme="minorBidi"/>
          <w:color w:val="auto"/>
          <w:kern w:val="2"/>
          <w:sz w:val="28"/>
          <w:szCs w:val="28"/>
          <w:lang w:val="en-US" w:eastAsia="zh-CN" w:bidi="ar-SA"/>
        </w:rPr>
        <w:t>（</w:t>
      </w:r>
      <w:r>
        <w:rPr>
          <w:rFonts w:hint="eastAsia" w:asciiTheme="minorEastAsia" w:hAnsiTheme="minorEastAsia" w:eastAsiaTheme="minorEastAsia" w:cstheme="minorBidi"/>
          <w:color w:val="auto"/>
          <w:kern w:val="2"/>
          <w:sz w:val="28"/>
          <w:szCs w:val="28"/>
          <w:lang w:val="en-US" w:eastAsia="zh-CN" w:bidi="ar-SA"/>
        </w:rPr>
        <w:t>service  body</w:t>
      </w:r>
      <w:r>
        <w:rPr>
          <w:rFonts w:hint="eastAsia" w:asciiTheme="minorEastAsia" w:hAnsiTheme="minorEastAsia" w:cstheme="minorBidi"/>
          <w:color w:val="auto"/>
          <w:kern w:val="2"/>
          <w:sz w:val="28"/>
          <w:szCs w:val="28"/>
          <w:lang w:val="en-US" w:eastAsia="zh-CN" w:bidi="ar-SA"/>
        </w:rPr>
        <w:t>），</w:t>
      </w:r>
      <w:r>
        <w:rPr>
          <w:rFonts w:hint="eastAsia" w:asciiTheme="minorEastAsia" w:hAnsiTheme="minorEastAsia" w:eastAsiaTheme="minorEastAsia" w:cstheme="minorBidi"/>
          <w:color w:val="auto"/>
          <w:kern w:val="2"/>
          <w:sz w:val="28"/>
          <w:szCs w:val="28"/>
          <w:lang w:val="en-US" w:eastAsia="zh-CN" w:bidi="ar-SA"/>
        </w:rPr>
        <w:t>为地方病患者提供登记、建档、随访和治疗的组织，包括：疾控机构和医疗机构。</w:t>
      </w:r>
    </w:p>
    <w:p w14:paraId="758C8309">
      <w:pPr>
        <w:pStyle w:val="23"/>
        <w:outlineLvl w:val="9"/>
        <w:rPr>
          <w:rFonts w:hint="eastAsia" w:asciiTheme="minorEastAsia" w:hAnsiTheme="minorEastAsia" w:eastAsiaTheme="minorEastAsia" w:cstheme="minorBidi"/>
          <w:color w:val="auto"/>
          <w:kern w:val="2"/>
          <w:sz w:val="28"/>
          <w:szCs w:val="28"/>
          <w:lang w:val="en-US" w:eastAsia="zh-CN" w:bidi="ar-SA"/>
        </w:rPr>
      </w:pPr>
      <w:r>
        <w:rPr>
          <w:rFonts w:hint="eastAsia" w:asciiTheme="minorEastAsia" w:hAnsiTheme="minorEastAsia" w:eastAsiaTheme="minorEastAsia" w:cstheme="minorBidi"/>
          <w:color w:val="auto"/>
          <w:kern w:val="2"/>
          <w:sz w:val="28"/>
          <w:szCs w:val="28"/>
          <w:lang w:val="en-US" w:eastAsia="zh-CN" w:bidi="ar-SA"/>
        </w:rPr>
        <w:t>随访评估（random visit and evaluation）：以面访、通讯或其他方式，了解患者病情变化，评估患者状况，对患者开展健康教育和疗效判定的方法。</w:t>
      </w:r>
    </w:p>
    <w:p w14:paraId="33778D35">
      <w:pPr>
        <w:pStyle w:val="23"/>
        <w:outlineLvl w:val="9"/>
        <w:rPr>
          <w:rFonts w:hint="eastAsia" w:asciiTheme="minorEastAsia" w:hAnsiTheme="minorEastAsia" w:eastAsiaTheme="minorEastAsia" w:cstheme="minorBidi"/>
          <w:color w:val="auto"/>
          <w:kern w:val="2"/>
          <w:sz w:val="28"/>
          <w:szCs w:val="28"/>
          <w:lang w:val="en-US" w:eastAsia="zh-CN" w:bidi="ar-SA"/>
        </w:rPr>
      </w:pPr>
      <w:r>
        <w:rPr>
          <w:rFonts w:hint="eastAsia" w:asciiTheme="minorEastAsia" w:hAnsiTheme="minorEastAsia" w:eastAsiaTheme="minorEastAsia" w:cstheme="minorBidi"/>
          <w:color w:val="auto"/>
          <w:kern w:val="2"/>
          <w:sz w:val="28"/>
          <w:szCs w:val="28"/>
          <w:lang w:val="en-US" w:eastAsia="zh-CN" w:bidi="ar-SA"/>
        </w:rPr>
        <w:t>规范管理（regulate management）：指规范化管理，对地方病患者建立的健康档案资料完整、内容详实，且每年能定期开展一次健康体检，每年至少进行一次随访评估。</w:t>
      </w:r>
    </w:p>
    <w:p w14:paraId="7D91A092">
      <w:pPr>
        <w:outlineLvl w:val="1"/>
        <w:rPr>
          <w:rFonts w:hint="eastAsia" w:ascii="黑体" w:hAnsi="黑体" w:eastAsia="黑体"/>
          <w:sz w:val="30"/>
          <w:szCs w:val="30"/>
          <w:lang w:val="en-US" w:eastAsia="zh-CN"/>
        </w:rPr>
      </w:pPr>
      <w:bookmarkStart w:id="11" w:name="_Toc23342"/>
      <w:r>
        <w:rPr>
          <w:rFonts w:hint="eastAsia" w:ascii="黑体" w:hAnsi="黑体" w:eastAsia="黑体"/>
          <w:sz w:val="30"/>
          <w:szCs w:val="30"/>
          <w:lang w:val="en-US" w:eastAsia="zh-CN"/>
        </w:rPr>
        <w:t>5.2  服务对象</w:t>
      </w:r>
      <w:bookmarkEnd w:id="11"/>
    </w:p>
    <w:p w14:paraId="412B04EF">
      <w:pPr>
        <w:pStyle w:val="23"/>
        <w:rPr>
          <w:rFonts w:hint="eastAsia" w:asciiTheme="minorEastAsia" w:hAnsiTheme="minorEastAsia" w:eastAsiaTheme="minorEastAsia" w:cstheme="minorBidi"/>
          <w:color w:val="auto"/>
          <w:kern w:val="2"/>
          <w:sz w:val="28"/>
          <w:szCs w:val="28"/>
          <w:lang w:val="en-US" w:eastAsia="zh-CN" w:bidi="ar-SA"/>
        </w:rPr>
      </w:pPr>
      <w:r>
        <w:rPr>
          <w:rFonts w:hint="eastAsia" w:asciiTheme="minorEastAsia" w:hAnsiTheme="minorEastAsia" w:eastAsiaTheme="minorEastAsia" w:cstheme="minorBidi"/>
          <w:color w:val="auto"/>
          <w:kern w:val="2"/>
          <w:sz w:val="28"/>
          <w:szCs w:val="28"/>
          <w:lang w:val="en-US" w:eastAsia="zh-CN" w:bidi="ar-SA"/>
        </w:rPr>
        <w:t>将常见的6种病患列为服务对象，且满足辖区内居住6个月以上的常住居民中确诊且居家的要求。</w:t>
      </w:r>
    </w:p>
    <w:p w14:paraId="4A4DA407">
      <w:pPr>
        <w:outlineLvl w:val="1"/>
        <w:rPr>
          <w:rFonts w:hint="eastAsia" w:ascii="黑体" w:hAnsi="黑体" w:eastAsia="黑体"/>
          <w:sz w:val="30"/>
          <w:szCs w:val="30"/>
          <w:lang w:val="en-US" w:eastAsia="zh-CN"/>
        </w:rPr>
      </w:pPr>
      <w:bookmarkStart w:id="12" w:name="_Toc17873"/>
      <w:r>
        <w:rPr>
          <w:rFonts w:hint="eastAsia" w:ascii="黑体" w:hAnsi="黑体" w:eastAsia="黑体"/>
          <w:sz w:val="30"/>
          <w:szCs w:val="30"/>
          <w:lang w:val="en-US" w:eastAsia="zh-CN"/>
        </w:rPr>
        <w:t>5.3  基本要求</w:t>
      </w:r>
      <w:bookmarkEnd w:id="12"/>
    </w:p>
    <w:p w14:paraId="0B3A5128">
      <w:pPr>
        <w:pStyle w:val="23"/>
        <w:rPr>
          <w:rFonts w:hint="eastAsia" w:asciiTheme="minorEastAsia" w:hAnsiTheme="minorEastAsia" w:eastAsiaTheme="minorEastAsia" w:cstheme="minorBidi"/>
          <w:color w:val="auto"/>
          <w:kern w:val="2"/>
          <w:sz w:val="28"/>
          <w:szCs w:val="28"/>
          <w:lang w:val="en-US" w:eastAsia="zh-CN" w:bidi="ar-SA"/>
        </w:rPr>
      </w:pPr>
      <w:r>
        <w:rPr>
          <w:rFonts w:hint="eastAsia" w:asciiTheme="minorEastAsia" w:hAnsiTheme="minorEastAsia" w:eastAsiaTheme="minorEastAsia" w:cstheme="minorBidi"/>
          <w:color w:val="auto"/>
          <w:kern w:val="2"/>
          <w:sz w:val="28"/>
          <w:szCs w:val="28"/>
          <w:lang w:val="en-US" w:eastAsia="zh-CN" w:bidi="ar-SA"/>
        </w:rPr>
        <w:t>本文件提出为地方病患者服务管理的4个方面要求，包括：人员指导、病情监测、有效干预、普及教育等。</w:t>
      </w:r>
    </w:p>
    <w:p w14:paraId="2B75640A">
      <w:pPr>
        <w:outlineLvl w:val="1"/>
        <w:rPr>
          <w:rFonts w:hint="eastAsia" w:ascii="黑体" w:hAnsi="黑体" w:eastAsia="黑体"/>
          <w:sz w:val="30"/>
          <w:szCs w:val="30"/>
          <w:lang w:val="en-US" w:eastAsia="zh-CN"/>
        </w:rPr>
      </w:pPr>
      <w:bookmarkStart w:id="13" w:name="_Toc9399"/>
      <w:r>
        <w:rPr>
          <w:rFonts w:hint="eastAsia" w:ascii="黑体" w:hAnsi="黑体" w:eastAsia="黑体"/>
          <w:sz w:val="30"/>
          <w:szCs w:val="30"/>
          <w:lang w:val="en-US" w:eastAsia="zh-CN"/>
        </w:rPr>
        <w:t>5.4  服务要求</w:t>
      </w:r>
      <w:bookmarkEnd w:id="13"/>
    </w:p>
    <w:p w14:paraId="46D83781">
      <w:pPr>
        <w:pStyle w:val="23"/>
        <w:rPr>
          <w:rFonts w:hint="eastAsia" w:asciiTheme="minorEastAsia" w:hAnsiTheme="minorEastAsia" w:eastAsiaTheme="minorEastAsia" w:cstheme="minorBidi"/>
          <w:color w:val="auto"/>
          <w:kern w:val="2"/>
          <w:sz w:val="28"/>
          <w:szCs w:val="28"/>
          <w:lang w:val="en-US" w:eastAsia="zh-CN" w:bidi="ar-SA"/>
        </w:rPr>
      </w:pPr>
      <w:r>
        <w:rPr>
          <w:rFonts w:hint="eastAsia" w:asciiTheme="minorEastAsia" w:hAnsiTheme="minorEastAsia" w:eastAsiaTheme="minorEastAsia" w:cstheme="minorBidi"/>
          <w:color w:val="auto"/>
          <w:kern w:val="2"/>
          <w:sz w:val="28"/>
          <w:szCs w:val="28"/>
          <w:lang w:val="en-US" w:eastAsia="zh-CN" w:bidi="ar-SA"/>
        </w:rPr>
        <w:t>按照对地方病患者服务管理的流程，分为：筛查确诊、建档立卡、随访评估、健康体检、干预与管理和健康教育6个方面，覆盖了服务的全部过程。</w:t>
      </w:r>
    </w:p>
    <w:p w14:paraId="5034D5AE">
      <w:pPr>
        <w:outlineLvl w:val="1"/>
        <w:rPr>
          <w:rFonts w:hint="eastAsia" w:ascii="黑体" w:hAnsi="黑体" w:eastAsia="黑体"/>
          <w:sz w:val="30"/>
          <w:szCs w:val="30"/>
          <w:lang w:val="en-US" w:eastAsia="zh-CN"/>
        </w:rPr>
      </w:pPr>
      <w:bookmarkStart w:id="14" w:name="_Toc24840"/>
      <w:r>
        <w:rPr>
          <w:rFonts w:hint="eastAsia" w:ascii="黑体" w:hAnsi="黑体" w:eastAsia="黑体"/>
          <w:sz w:val="30"/>
          <w:szCs w:val="30"/>
          <w:lang w:val="en-US" w:eastAsia="zh-CN"/>
        </w:rPr>
        <w:t>5.5  监督与评价</w:t>
      </w:r>
      <w:bookmarkEnd w:id="14"/>
    </w:p>
    <w:p w14:paraId="0F5649EA">
      <w:pPr>
        <w:pStyle w:val="23"/>
        <w:rPr>
          <w:rFonts w:hint="default" w:asciiTheme="minorEastAsia" w:hAnsiTheme="minorEastAsia" w:eastAsiaTheme="minorEastAsia" w:cstheme="minorBidi"/>
          <w:color w:val="auto"/>
          <w:kern w:val="2"/>
          <w:sz w:val="28"/>
          <w:szCs w:val="28"/>
          <w:lang w:val="en-US" w:eastAsia="zh-CN" w:bidi="ar-SA"/>
        </w:rPr>
      </w:pPr>
      <w:r>
        <w:rPr>
          <w:rFonts w:hint="eastAsia" w:asciiTheme="minorEastAsia" w:hAnsiTheme="minorEastAsia" w:eastAsiaTheme="minorEastAsia" w:cstheme="minorBidi"/>
          <w:color w:val="auto"/>
          <w:kern w:val="2"/>
          <w:sz w:val="28"/>
          <w:szCs w:val="28"/>
          <w:lang w:val="en-US" w:eastAsia="zh-CN" w:bidi="ar-SA"/>
        </w:rPr>
        <w:t>定期监督抽查地方病患者档案和实地调研走访，地方病基层管理部门应定期走访调研，对病区地方病患者是否纳入管理情况进行监督和统计。地方病基层管理部门应定期监督抽查地方病患者档案。从对地方病患者管理的数量（管理率）和管理的规范性（规范率），两个方面提出考核指标，定期对服务机构的服务管理质量进行证实与评价，也符合规范类标准编写的要求。</w:t>
      </w:r>
    </w:p>
    <w:p w14:paraId="58C77B0B">
      <w:pPr>
        <w:pStyle w:val="19"/>
        <w:numPr>
          <w:ilvl w:val="0"/>
          <w:numId w:val="4"/>
        </w:numPr>
        <w:ind w:left="640" w:hanging="640" w:hangingChars="200"/>
        <w:outlineLvl w:val="0"/>
        <w:rPr>
          <w:rFonts w:ascii="黑体" w:hAnsi="黑体" w:eastAsia="黑体"/>
          <w:color w:val="auto"/>
          <w:sz w:val="32"/>
          <w:szCs w:val="32"/>
        </w:rPr>
      </w:pPr>
      <w:bookmarkStart w:id="15" w:name="_Toc16567"/>
      <w:r>
        <w:rPr>
          <w:rFonts w:hint="eastAsia" w:ascii="黑体" w:hAnsi="黑体" w:eastAsia="黑体"/>
          <w:color w:val="auto"/>
          <w:sz w:val="32"/>
          <w:szCs w:val="32"/>
        </w:rPr>
        <w:t>其它与有关的现行法律、法规和强制性国家标准的关系</w:t>
      </w:r>
      <w:bookmarkEnd w:id="15"/>
    </w:p>
    <w:p w14:paraId="48EAB9BA">
      <w:pPr>
        <w:ind w:firstLine="560" w:firstLineChars="200"/>
        <w:rPr>
          <w:rFonts w:asciiTheme="minorEastAsia" w:hAnsiTheme="minorEastAsia"/>
          <w:color w:val="auto"/>
          <w:sz w:val="28"/>
          <w:szCs w:val="28"/>
        </w:rPr>
      </w:pPr>
      <w:r>
        <w:rPr>
          <w:rFonts w:hint="eastAsia" w:asciiTheme="minorEastAsia" w:hAnsiTheme="minorEastAsia"/>
          <w:color w:val="auto"/>
          <w:sz w:val="28"/>
          <w:szCs w:val="28"/>
        </w:rPr>
        <w:t>本标准目前尚未有国家标准和行业标准，为新制定标准</w:t>
      </w:r>
      <w:r>
        <w:rPr>
          <w:rFonts w:hint="eastAsia" w:asciiTheme="minorEastAsia" w:hAnsiTheme="minorEastAsia"/>
          <w:color w:val="auto"/>
          <w:sz w:val="28"/>
          <w:szCs w:val="28"/>
          <w:lang w:eastAsia="zh-CN"/>
        </w:rPr>
        <w:t>，</w:t>
      </w:r>
      <w:r>
        <w:rPr>
          <w:rFonts w:hint="eastAsia" w:asciiTheme="minorEastAsia" w:hAnsiTheme="minorEastAsia"/>
          <w:color w:val="auto"/>
          <w:sz w:val="28"/>
          <w:szCs w:val="28"/>
        </w:rPr>
        <w:t>并且该标准符合国家的法律、法规。</w:t>
      </w:r>
    </w:p>
    <w:p w14:paraId="07ADA0A3">
      <w:pPr>
        <w:pStyle w:val="19"/>
        <w:numPr>
          <w:ilvl w:val="0"/>
          <w:numId w:val="4"/>
        </w:numPr>
        <w:ind w:left="640" w:hanging="640" w:hangingChars="200"/>
        <w:outlineLvl w:val="0"/>
        <w:rPr>
          <w:rFonts w:ascii="黑体" w:hAnsi="黑体" w:eastAsia="黑体"/>
          <w:color w:val="auto"/>
          <w:sz w:val="32"/>
          <w:szCs w:val="32"/>
        </w:rPr>
      </w:pPr>
      <w:bookmarkStart w:id="16" w:name="_Toc17584"/>
      <w:r>
        <w:rPr>
          <w:rFonts w:hint="eastAsia" w:ascii="黑体" w:hAnsi="黑体" w:eastAsia="黑体"/>
          <w:color w:val="auto"/>
          <w:sz w:val="32"/>
          <w:szCs w:val="32"/>
        </w:rPr>
        <w:t>参考资料</w:t>
      </w:r>
      <w:bookmarkEnd w:id="16"/>
    </w:p>
    <w:p w14:paraId="6300BE85">
      <w:pPr>
        <w:ind w:firstLine="560" w:firstLineChars="200"/>
        <w:rPr>
          <w:rFonts w:hint="eastAsia" w:asciiTheme="minorEastAsia" w:hAnsiTheme="minorEastAsia"/>
          <w:color w:val="auto"/>
          <w:sz w:val="28"/>
          <w:szCs w:val="28"/>
          <w:lang w:val="en-US" w:eastAsia="zh-CN"/>
        </w:rPr>
      </w:pPr>
      <w:r>
        <w:rPr>
          <w:rFonts w:hint="eastAsia" w:asciiTheme="minorEastAsia" w:hAnsiTheme="minorEastAsia"/>
          <w:color w:val="auto"/>
          <w:sz w:val="28"/>
          <w:szCs w:val="28"/>
          <w:lang w:val="en-US" w:eastAsia="zh-CN"/>
        </w:rPr>
        <w:t>国家卫生健康委等10部门《关于印发地方病防治专项三年攻坚行动方案（2018-2020年）的通知》（国卫疾控发〔2018〕47号）</w:t>
      </w:r>
    </w:p>
    <w:p w14:paraId="0DCB58A6">
      <w:pPr>
        <w:ind w:firstLine="560" w:firstLineChars="200"/>
        <w:rPr>
          <w:rFonts w:hint="eastAsia" w:asciiTheme="minorEastAsia" w:hAnsiTheme="minorEastAsia"/>
          <w:color w:val="auto"/>
          <w:sz w:val="28"/>
          <w:szCs w:val="28"/>
          <w:lang w:val="en-US" w:eastAsia="zh-CN"/>
        </w:rPr>
      </w:pPr>
      <w:r>
        <w:rPr>
          <w:rFonts w:hint="eastAsia" w:asciiTheme="minorEastAsia" w:hAnsiTheme="minorEastAsia"/>
          <w:color w:val="auto"/>
          <w:sz w:val="28"/>
          <w:szCs w:val="28"/>
          <w:lang w:val="en-US" w:eastAsia="zh-CN"/>
        </w:rPr>
        <w:t>国家卫生健康委办公厅《关于印发地方病患者管理服务规范和治疗管理办法的通知》（国卫办疾控函〔2019〕873号）</w:t>
      </w:r>
    </w:p>
    <w:p w14:paraId="6EE35B29">
      <w:pPr>
        <w:ind w:firstLine="560" w:firstLineChars="200"/>
        <w:rPr>
          <w:rFonts w:hint="default" w:asciiTheme="minorEastAsia" w:hAnsiTheme="minorEastAsia"/>
          <w:color w:val="auto"/>
          <w:sz w:val="28"/>
          <w:szCs w:val="28"/>
          <w:lang w:val="en-US" w:eastAsia="zh-CN"/>
        </w:rPr>
      </w:pPr>
      <w:r>
        <w:rPr>
          <w:rFonts w:hint="eastAsia" w:asciiTheme="minorEastAsia" w:hAnsiTheme="minorEastAsia"/>
          <w:color w:val="auto"/>
          <w:sz w:val="28"/>
          <w:szCs w:val="28"/>
          <w:lang w:val="en-US" w:eastAsia="zh-CN"/>
        </w:rPr>
        <w:t>陕西省人民政府办公厅《关于印发大骨节病等地方病防治专项行动方案（2018-2020年）》《关于大骨节病等地方病防治专项行动补充方案》等。</w:t>
      </w:r>
    </w:p>
    <w:p w14:paraId="33C40E0E">
      <w:pPr>
        <w:ind w:firstLine="560" w:firstLineChars="200"/>
        <w:rPr>
          <w:rFonts w:asciiTheme="minorEastAsia" w:hAnsiTheme="minorEastAsia"/>
          <w:sz w:val="28"/>
          <w:szCs w:val="28"/>
        </w:rPr>
      </w:pPr>
    </w:p>
    <w:p w14:paraId="376DEE11">
      <w:pPr>
        <w:ind w:firstLine="560" w:firstLineChars="200"/>
        <w:rPr>
          <w:rFonts w:hint="eastAsia" w:asciiTheme="minorEastAsia" w:hAnsiTheme="minorEastAsia"/>
          <w:sz w:val="28"/>
          <w:szCs w:val="28"/>
        </w:rPr>
      </w:pPr>
    </w:p>
    <w:sectPr>
      <w:pgSz w:w="11906" w:h="16838"/>
      <w:pgMar w:top="1440" w:right="1800" w:bottom="1440" w:left="1800" w:header="851" w:footer="992" w:gutter="0"/>
      <w:pgNumType w:fmt="numberInDash"/>
      <w:cols w:space="425" w:num="1"/>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5619412"/>
    </w:sdtPr>
    <w:sdtContent>
      <w:p w14:paraId="05754B70">
        <w:pPr>
          <w:pStyle w:val="7"/>
          <w:jc w:val="center"/>
        </w:pPr>
        <w:r>
          <w:fldChar w:fldCharType="begin"/>
        </w:r>
        <w:r>
          <w:instrText xml:space="preserve">PAGE   \* MERGEFORMAT</w:instrText>
        </w:r>
        <w:r>
          <w:fldChar w:fldCharType="separate"/>
        </w:r>
        <w:r>
          <w:rPr>
            <w:lang w:val="zh-CN"/>
          </w:rPr>
          <w:t>-</w:t>
        </w:r>
        <w:r>
          <w:t xml:space="preserve"> 1 -</w:t>
        </w:r>
        <w:r>
          <w:fldChar w:fldCharType="end"/>
        </w:r>
      </w:p>
    </w:sdtContent>
  </w:sdt>
  <w:p w14:paraId="54F90965">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A6342B"/>
    <w:multiLevelType w:val="multilevel"/>
    <w:tmpl w:val="03A6342B"/>
    <w:lvl w:ilvl="0" w:tentative="0">
      <w:start w:val="1"/>
      <w:numFmt w:val="decimal"/>
      <w:lvlText w:val="%1"/>
      <w:lvlJc w:val="left"/>
      <w:pPr>
        <w:ind w:left="420" w:hanging="420"/>
      </w:pPr>
      <w:rPr>
        <w:rFonts w:hint="eastAsia"/>
      </w:rPr>
    </w:lvl>
    <w:lvl w:ilvl="1" w:tentative="0">
      <w:start w:val="1"/>
      <w:numFmt w:val="decimal"/>
      <w:isLgl/>
      <w:lvlText w:val="%1.%2"/>
      <w:lvlJc w:val="left"/>
      <w:pPr>
        <w:ind w:left="480" w:hanging="48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1">
    <w:nsid w:val="2C5917C3"/>
    <w:multiLevelType w:val="multilevel"/>
    <w:tmpl w:val="2C5917C3"/>
    <w:lvl w:ilvl="0" w:tentative="0">
      <w:start w:val="1"/>
      <w:numFmt w:val="none"/>
      <w:pStyle w:val="30"/>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35"/>
      <w:lvlText w:val=""/>
      <w:lvlJc w:val="left"/>
      <w:pPr>
        <w:ind w:left="851" w:hanging="431"/>
      </w:pPr>
      <w:rPr>
        <w:rFonts w:hint="default" w:ascii="Symbol" w:hAnsi="Symbol"/>
        <w:sz w:val="21"/>
      </w:rPr>
    </w:lvl>
    <w:lvl w:ilvl="2" w:tentative="0">
      <w:start w:val="1"/>
      <w:numFmt w:val="bullet"/>
      <w:pStyle w:val="3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2">
    <w:nsid w:val="341A00D6"/>
    <w:multiLevelType w:val="multilevel"/>
    <w:tmpl w:val="341A00D6"/>
    <w:lvl w:ilvl="0" w:tentative="0">
      <w:start w:val="1"/>
      <w:numFmt w:val="decimal"/>
      <w:lvlText w:val="%1"/>
      <w:lvlJc w:val="left"/>
      <w:pPr>
        <w:ind w:left="420" w:hanging="420"/>
      </w:pPr>
      <w:rPr>
        <w:rFonts w:hint="eastAsia" w:eastAsia="黑体"/>
        <w:sz w:val="32"/>
      </w:rPr>
    </w:lvl>
    <w:lvl w:ilvl="1" w:tentative="0">
      <w:start w:val="2"/>
      <w:numFmt w:val="decimal"/>
      <w:isLgl/>
      <w:lvlText w:val="%1.%2"/>
      <w:lvlJc w:val="left"/>
      <w:pPr>
        <w:ind w:left="480" w:hanging="48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3">
    <w:nsid w:val="6CEA2025"/>
    <w:multiLevelType w:val="multilevel"/>
    <w:tmpl w:val="6CEA2025"/>
    <w:lvl w:ilvl="0" w:tentative="0">
      <w:start w:val="1"/>
      <w:numFmt w:val="none"/>
      <w:pStyle w:val="31"/>
      <w:suff w:val="nothing"/>
      <w:lvlText w:val="%1"/>
      <w:lvlJc w:val="left"/>
      <w:pPr>
        <w:ind w:left="0" w:firstLine="0"/>
      </w:pPr>
      <w:rPr>
        <w:rFonts w:hint="eastAsia"/>
      </w:rPr>
    </w:lvl>
    <w:lvl w:ilvl="1" w:tentative="0">
      <w:start w:val="1"/>
      <w:numFmt w:val="decimal"/>
      <w:pStyle w:val="28"/>
      <w:suff w:val="nothing"/>
      <w:lvlText w:val="%1%2　"/>
      <w:lvlJc w:val="left"/>
      <w:pPr>
        <w:ind w:left="0" w:firstLine="0"/>
      </w:pPr>
      <w:rPr>
        <w:rFonts w:hint="eastAsia" w:ascii="黑体" w:eastAsia="黑体"/>
        <w:b w:val="0"/>
        <w:i w:val="0"/>
        <w:sz w:val="21"/>
      </w:rPr>
    </w:lvl>
    <w:lvl w:ilvl="2" w:tentative="0">
      <w:start w:val="1"/>
      <w:numFmt w:val="decimal"/>
      <w:pStyle w:val="29"/>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24"/>
      <w:suff w:val="nothing"/>
      <w:lvlText w:val="%1%2.%3.%4　"/>
      <w:lvlJc w:val="left"/>
      <w:pPr>
        <w:ind w:left="0" w:firstLine="0"/>
      </w:pPr>
      <w:rPr>
        <w:rFonts w:hint="eastAsia" w:ascii="黑体" w:eastAsia="黑体"/>
        <w:b w:val="0"/>
        <w:i w:val="0"/>
        <w:sz w:val="21"/>
      </w:rPr>
    </w:lvl>
    <w:lvl w:ilvl="4" w:tentative="0">
      <w:start w:val="1"/>
      <w:numFmt w:val="decimal"/>
      <w:pStyle w:val="25"/>
      <w:suff w:val="nothing"/>
      <w:lvlText w:val="%1%2.%3.%4.%5　"/>
      <w:lvlJc w:val="left"/>
      <w:pPr>
        <w:ind w:left="0" w:firstLine="0"/>
      </w:pPr>
      <w:rPr>
        <w:rFonts w:hint="eastAsia" w:ascii="黑体" w:eastAsia="黑体"/>
        <w:b w:val="0"/>
        <w:i w:val="0"/>
        <w:sz w:val="21"/>
      </w:rPr>
    </w:lvl>
    <w:lvl w:ilvl="5" w:tentative="0">
      <w:start w:val="1"/>
      <w:numFmt w:val="decimal"/>
      <w:pStyle w:val="26"/>
      <w:suff w:val="nothing"/>
      <w:lvlText w:val="%1%2.%3.%4.%5.%6　"/>
      <w:lvlJc w:val="left"/>
      <w:pPr>
        <w:ind w:left="0" w:firstLine="0"/>
      </w:pPr>
      <w:rPr>
        <w:rFonts w:hint="eastAsia" w:ascii="黑体" w:eastAsia="黑体"/>
        <w:b w:val="0"/>
        <w:i w:val="0"/>
        <w:sz w:val="21"/>
      </w:rPr>
    </w:lvl>
    <w:lvl w:ilvl="6" w:tentative="0">
      <w:start w:val="1"/>
      <w:numFmt w:val="decimal"/>
      <w:pStyle w:val="27"/>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4">
    <w:nsid w:val="6DBF04F4"/>
    <w:multiLevelType w:val="multilevel"/>
    <w:tmpl w:val="6DBF04F4"/>
    <w:lvl w:ilvl="0" w:tentative="0">
      <w:start w:val="1"/>
      <w:numFmt w:val="none"/>
      <w:pStyle w:val="43"/>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num w:numId="1">
    <w:abstractNumId w:val="3"/>
  </w:num>
  <w:num w:numId="2">
    <w:abstractNumId w:val="1"/>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2ZGZiNzZiNDVlOGViOWVmM2JhOTY0NGJkNjUyYzgifQ=="/>
  </w:docVars>
  <w:rsids>
    <w:rsidRoot w:val="00442A84"/>
    <w:rsid w:val="00004F9D"/>
    <w:rsid w:val="000113E0"/>
    <w:rsid w:val="0001173D"/>
    <w:rsid w:val="00024EBF"/>
    <w:rsid w:val="00025728"/>
    <w:rsid w:val="00026720"/>
    <w:rsid w:val="00031005"/>
    <w:rsid w:val="000340DF"/>
    <w:rsid w:val="0005011B"/>
    <w:rsid w:val="00056671"/>
    <w:rsid w:val="0005742B"/>
    <w:rsid w:val="00067A22"/>
    <w:rsid w:val="00070AC1"/>
    <w:rsid w:val="00086FF7"/>
    <w:rsid w:val="000A4F15"/>
    <w:rsid w:val="000A5C6A"/>
    <w:rsid w:val="000A5EA1"/>
    <w:rsid w:val="000B7ECE"/>
    <w:rsid w:val="000C0718"/>
    <w:rsid w:val="000C1ECE"/>
    <w:rsid w:val="000C6FCB"/>
    <w:rsid w:val="000D184F"/>
    <w:rsid w:val="000E3B86"/>
    <w:rsid w:val="000E62E9"/>
    <w:rsid w:val="000F64C2"/>
    <w:rsid w:val="000F6AE7"/>
    <w:rsid w:val="000F779C"/>
    <w:rsid w:val="0010740F"/>
    <w:rsid w:val="001178F8"/>
    <w:rsid w:val="0013268F"/>
    <w:rsid w:val="00140BEC"/>
    <w:rsid w:val="00141B52"/>
    <w:rsid w:val="00142A18"/>
    <w:rsid w:val="00143977"/>
    <w:rsid w:val="00144EF0"/>
    <w:rsid w:val="001530CA"/>
    <w:rsid w:val="00153D5E"/>
    <w:rsid w:val="00154C5F"/>
    <w:rsid w:val="001551BD"/>
    <w:rsid w:val="001801AE"/>
    <w:rsid w:val="001910B7"/>
    <w:rsid w:val="001B056B"/>
    <w:rsid w:val="001B40C9"/>
    <w:rsid w:val="001C1F8D"/>
    <w:rsid w:val="001C3421"/>
    <w:rsid w:val="001E59A2"/>
    <w:rsid w:val="001F2A92"/>
    <w:rsid w:val="001F5D91"/>
    <w:rsid w:val="001F745E"/>
    <w:rsid w:val="002048BD"/>
    <w:rsid w:val="00213BFD"/>
    <w:rsid w:val="00216E8B"/>
    <w:rsid w:val="002207E3"/>
    <w:rsid w:val="002220E8"/>
    <w:rsid w:val="002278CE"/>
    <w:rsid w:val="00234705"/>
    <w:rsid w:val="00246EC4"/>
    <w:rsid w:val="00254B1B"/>
    <w:rsid w:val="00256890"/>
    <w:rsid w:val="00261241"/>
    <w:rsid w:val="0026247C"/>
    <w:rsid w:val="00266265"/>
    <w:rsid w:val="002751F8"/>
    <w:rsid w:val="00277B42"/>
    <w:rsid w:val="00282469"/>
    <w:rsid w:val="002950B3"/>
    <w:rsid w:val="0029715A"/>
    <w:rsid w:val="002A093A"/>
    <w:rsid w:val="002A473B"/>
    <w:rsid w:val="002A748B"/>
    <w:rsid w:val="002B17BB"/>
    <w:rsid w:val="002C1F8D"/>
    <w:rsid w:val="002C6700"/>
    <w:rsid w:val="002C7F7D"/>
    <w:rsid w:val="002D0163"/>
    <w:rsid w:val="002D0A6E"/>
    <w:rsid w:val="002D7098"/>
    <w:rsid w:val="002E7739"/>
    <w:rsid w:val="002F0B77"/>
    <w:rsid w:val="002F422E"/>
    <w:rsid w:val="0030581D"/>
    <w:rsid w:val="0030585A"/>
    <w:rsid w:val="00311770"/>
    <w:rsid w:val="00311970"/>
    <w:rsid w:val="0032074D"/>
    <w:rsid w:val="00331AA5"/>
    <w:rsid w:val="00332BE9"/>
    <w:rsid w:val="00336A9E"/>
    <w:rsid w:val="003446CF"/>
    <w:rsid w:val="00351241"/>
    <w:rsid w:val="003529D4"/>
    <w:rsid w:val="00363252"/>
    <w:rsid w:val="00364ABA"/>
    <w:rsid w:val="00367490"/>
    <w:rsid w:val="00397B20"/>
    <w:rsid w:val="003A29B3"/>
    <w:rsid w:val="003A7125"/>
    <w:rsid w:val="003C12A2"/>
    <w:rsid w:val="003C6C88"/>
    <w:rsid w:val="003E16DA"/>
    <w:rsid w:val="003E2947"/>
    <w:rsid w:val="003E476D"/>
    <w:rsid w:val="003F08B4"/>
    <w:rsid w:val="003F34F1"/>
    <w:rsid w:val="003F466F"/>
    <w:rsid w:val="003F5F09"/>
    <w:rsid w:val="003F7CF6"/>
    <w:rsid w:val="004109AB"/>
    <w:rsid w:val="00411817"/>
    <w:rsid w:val="00415045"/>
    <w:rsid w:val="00417117"/>
    <w:rsid w:val="00423B23"/>
    <w:rsid w:val="00431E57"/>
    <w:rsid w:val="0043262E"/>
    <w:rsid w:val="00436298"/>
    <w:rsid w:val="00442A84"/>
    <w:rsid w:val="00452772"/>
    <w:rsid w:val="004619B3"/>
    <w:rsid w:val="00465257"/>
    <w:rsid w:val="004703AA"/>
    <w:rsid w:val="0047452C"/>
    <w:rsid w:val="0048118D"/>
    <w:rsid w:val="0048427F"/>
    <w:rsid w:val="00491583"/>
    <w:rsid w:val="004A33AF"/>
    <w:rsid w:val="004A5896"/>
    <w:rsid w:val="004B2C7E"/>
    <w:rsid w:val="004B6320"/>
    <w:rsid w:val="004C1E51"/>
    <w:rsid w:val="004E176E"/>
    <w:rsid w:val="004E20F9"/>
    <w:rsid w:val="004E2958"/>
    <w:rsid w:val="004F4026"/>
    <w:rsid w:val="005229B0"/>
    <w:rsid w:val="00530D09"/>
    <w:rsid w:val="0053208C"/>
    <w:rsid w:val="00544896"/>
    <w:rsid w:val="0055431D"/>
    <w:rsid w:val="00577917"/>
    <w:rsid w:val="00587358"/>
    <w:rsid w:val="00591E97"/>
    <w:rsid w:val="00595916"/>
    <w:rsid w:val="005A4D5A"/>
    <w:rsid w:val="005A75FE"/>
    <w:rsid w:val="005C174A"/>
    <w:rsid w:val="005D3236"/>
    <w:rsid w:val="005D6A1D"/>
    <w:rsid w:val="005E0F63"/>
    <w:rsid w:val="005E1812"/>
    <w:rsid w:val="005E2552"/>
    <w:rsid w:val="005E5B27"/>
    <w:rsid w:val="005E64B8"/>
    <w:rsid w:val="005F7D1C"/>
    <w:rsid w:val="0061247B"/>
    <w:rsid w:val="00617E5B"/>
    <w:rsid w:val="00634238"/>
    <w:rsid w:val="006348E6"/>
    <w:rsid w:val="006401C8"/>
    <w:rsid w:val="00650A69"/>
    <w:rsid w:val="00655AFF"/>
    <w:rsid w:val="00661D92"/>
    <w:rsid w:val="006656F6"/>
    <w:rsid w:val="00673B96"/>
    <w:rsid w:val="00677E89"/>
    <w:rsid w:val="00681996"/>
    <w:rsid w:val="00694B80"/>
    <w:rsid w:val="006979F4"/>
    <w:rsid w:val="006A0940"/>
    <w:rsid w:val="006A0D68"/>
    <w:rsid w:val="006A18C7"/>
    <w:rsid w:val="006A794E"/>
    <w:rsid w:val="006B7262"/>
    <w:rsid w:val="006C6767"/>
    <w:rsid w:val="006D722B"/>
    <w:rsid w:val="006E6194"/>
    <w:rsid w:val="006F17D8"/>
    <w:rsid w:val="006F5F89"/>
    <w:rsid w:val="006F7CC0"/>
    <w:rsid w:val="00700557"/>
    <w:rsid w:val="00710640"/>
    <w:rsid w:val="00710980"/>
    <w:rsid w:val="00713E43"/>
    <w:rsid w:val="00723ABF"/>
    <w:rsid w:val="00725FBC"/>
    <w:rsid w:val="00735B4D"/>
    <w:rsid w:val="007503F7"/>
    <w:rsid w:val="0075542B"/>
    <w:rsid w:val="007565DB"/>
    <w:rsid w:val="00770522"/>
    <w:rsid w:val="00781B7F"/>
    <w:rsid w:val="00791102"/>
    <w:rsid w:val="00791309"/>
    <w:rsid w:val="007952BF"/>
    <w:rsid w:val="00796492"/>
    <w:rsid w:val="007A1A8A"/>
    <w:rsid w:val="007B00C1"/>
    <w:rsid w:val="007B2309"/>
    <w:rsid w:val="007B31B9"/>
    <w:rsid w:val="007B42D5"/>
    <w:rsid w:val="007C67A3"/>
    <w:rsid w:val="007E5A72"/>
    <w:rsid w:val="007E6F12"/>
    <w:rsid w:val="007F1285"/>
    <w:rsid w:val="00812526"/>
    <w:rsid w:val="008166AC"/>
    <w:rsid w:val="0082311E"/>
    <w:rsid w:val="00824D95"/>
    <w:rsid w:val="00824EF8"/>
    <w:rsid w:val="008355E0"/>
    <w:rsid w:val="008361BB"/>
    <w:rsid w:val="00837578"/>
    <w:rsid w:val="008462B7"/>
    <w:rsid w:val="0085143D"/>
    <w:rsid w:val="008575B0"/>
    <w:rsid w:val="008735C5"/>
    <w:rsid w:val="008753B6"/>
    <w:rsid w:val="00876267"/>
    <w:rsid w:val="0088260E"/>
    <w:rsid w:val="00886A1F"/>
    <w:rsid w:val="008A05B4"/>
    <w:rsid w:val="008A4B12"/>
    <w:rsid w:val="008B57C9"/>
    <w:rsid w:val="008B6FBD"/>
    <w:rsid w:val="008C157E"/>
    <w:rsid w:val="008E0141"/>
    <w:rsid w:val="008E3269"/>
    <w:rsid w:val="008E74FB"/>
    <w:rsid w:val="008F7F50"/>
    <w:rsid w:val="009028B3"/>
    <w:rsid w:val="00907D4C"/>
    <w:rsid w:val="009175E9"/>
    <w:rsid w:val="009245E9"/>
    <w:rsid w:val="00936BB9"/>
    <w:rsid w:val="00947D2C"/>
    <w:rsid w:val="009526F9"/>
    <w:rsid w:val="00954777"/>
    <w:rsid w:val="00954D5B"/>
    <w:rsid w:val="00955669"/>
    <w:rsid w:val="00961B6A"/>
    <w:rsid w:val="00963F3A"/>
    <w:rsid w:val="00966A3F"/>
    <w:rsid w:val="00972FEA"/>
    <w:rsid w:val="009833D0"/>
    <w:rsid w:val="009C0FCA"/>
    <w:rsid w:val="009C1521"/>
    <w:rsid w:val="009D1BE2"/>
    <w:rsid w:val="009D7E3C"/>
    <w:rsid w:val="009E27B1"/>
    <w:rsid w:val="009E2D41"/>
    <w:rsid w:val="009E44DB"/>
    <w:rsid w:val="009E5EA0"/>
    <w:rsid w:val="00A03920"/>
    <w:rsid w:val="00A067A7"/>
    <w:rsid w:val="00A12992"/>
    <w:rsid w:val="00A13EF3"/>
    <w:rsid w:val="00A16CD4"/>
    <w:rsid w:val="00A20491"/>
    <w:rsid w:val="00A22A87"/>
    <w:rsid w:val="00A31BA2"/>
    <w:rsid w:val="00A340B0"/>
    <w:rsid w:val="00A34E4F"/>
    <w:rsid w:val="00A43B81"/>
    <w:rsid w:val="00A54557"/>
    <w:rsid w:val="00A713F4"/>
    <w:rsid w:val="00A74F4B"/>
    <w:rsid w:val="00A804E1"/>
    <w:rsid w:val="00A8568B"/>
    <w:rsid w:val="00A91EE5"/>
    <w:rsid w:val="00AA28CC"/>
    <w:rsid w:val="00AA2EB6"/>
    <w:rsid w:val="00AA48F8"/>
    <w:rsid w:val="00AA7FDD"/>
    <w:rsid w:val="00AC0DE7"/>
    <w:rsid w:val="00AC4734"/>
    <w:rsid w:val="00AC509C"/>
    <w:rsid w:val="00AD13F3"/>
    <w:rsid w:val="00AD17A3"/>
    <w:rsid w:val="00AD32D9"/>
    <w:rsid w:val="00AD5EA2"/>
    <w:rsid w:val="00AE26E5"/>
    <w:rsid w:val="00AF74C0"/>
    <w:rsid w:val="00B01628"/>
    <w:rsid w:val="00B06914"/>
    <w:rsid w:val="00B11176"/>
    <w:rsid w:val="00B11402"/>
    <w:rsid w:val="00B21812"/>
    <w:rsid w:val="00B2337E"/>
    <w:rsid w:val="00B24149"/>
    <w:rsid w:val="00B2552D"/>
    <w:rsid w:val="00B25C80"/>
    <w:rsid w:val="00B262E0"/>
    <w:rsid w:val="00B26690"/>
    <w:rsid w:val="00B26EC1"/>
    <w:rsid w:val="00B30881"/>
    <w:rsid w:val="00B31C95"/>
    <w:rsid w:val="00B34B70"/>
    <w:rsid w:val="00B53101"/>
    <w:rsid w:val="00B53945"/>
    <w:rsid w:val="00B54D85"/>
    <w:rsid w:val="00B62493"/>
    <w:rsid w:val="00B64D42"/>
    <w:rsid w:val="00B82C08"/>
    <w:rsid w:val="00BB17A7"/>
    <w:rsid w:val="00BB7299"/>
    <w:rsid w:val="00BC1FC5"/>
    <w:rsid w:val="00BD2BD1"/>
    <w:rsid w:val="00BD38C1"/>
    <w:rsid w:val="00BE2E36"/>
    <w:rsid w:val="00BE33AC"/>
    <w:rsid w:val="00BE48B7"/>
    <w:rsid w:val="00BE498E"/>
    <w:rsid w:val="00BF03A9"/>
    <w:rsid w:val="00BF12E7"/>
    <w:rsid w:val="00BF18C5"/>
    <w:rsid w:val="00C013DC"/>
    <w:rsid w:val="00C0202D"/>
    <w:rsid w:val="00C03ADA"/>
    <w:rsid w:val="00C03FD7"/>
    <w:rsid w:val="00C04163"/>
    <w:rsid w:val="00C047F0"/>
    <w:rsid w:val="00C052CA"/>
    <w:rsid w:val="00C21E45"/>
    <w:rsid w:val="00C30CB2"/>
    <w:rsid w:val="00C34E06"/>
    <w:rsid w:val="00C43AA2"/>
    <w:rsid w:val="00C43D45"/>
    <w:rsid w:val="00C43E03"/>
    <w:rsid w:val="00C44C27"/>
    <w:rsid w:val="00C51C40"/>
    <w:rsid w:val="00C55411"/>
    <w:rsid w:val="00C556DD"/>
    <w:rsid w:val="00C608BB"/>
    <w:rsid w:val="00C6231F"/>
    <w:rsid w:val="00C6772B"/>
    <w:rsid w:val="00C71B81"/>
    <w:rsid w:val="00C7318B"/>
    <w:rsid w:val="00C860AE"/>
    <w:rsid w:val="00C86983"/>
    <w:rsid w:val="00CA0F0F"/>
    <w:rsid w:val="00CA2411"/>
    <w:rsid w:val="00CA7641"/>
    <w:rsid w:val="00CA7A55"/>
    <w:rsid w:val="00CA7F80"/>
    <w:rsid w:val="00CB1B0C"/>
    <w:rsid w:val="00CB558B"/>
    <w:rsid w:val="00CD34F1"/>
    <w:rsid w:val="00CE6934"/>
    <w:rsid w:val="00CF0264"/>
    <w:rsid w:val="00CF1EC3"/>
    <w:rsid w:val="00CF2118"/>
    <w:rsid w:val="00CF2F5B"/>
    <w:rsid w:val="00CF488E"/>
    <w:rsid w:val="00CF7206"/>
    <w:rsid w:val="00CF77DA"/>
    <w:rsid w:val="00D2101A"/>
    <w:rsid w:val="00D2241E"/>
    <w:rsid w:val="00D25897"/>
    <w:rsid w:val="00D32DDA"/>
    <w:rsid w:val="00D32DFE"/>
    <w:rsid w:val="00D51A6B"/>
    <w:rsid w:val="00D53933"/>
    <w:rsid w:val="00D53D7E"/>
    <w:rsid w:val="00D56D8F"/>
    <w:rsid w:val="00D57FCA"/>
    <w:rsid w:val="00D637E3"/>
    <w:rsid w:val="00D81212"/>
    <w:rsid w:val="00D83538"/>
    <w:rsid w:val="00D84D1B"/>
    <w:rsid w:val="00D955D1"/>
    <w:rsid w:val="00DA0F25"/>
    <w:rsid w:val="00DA2501"/>
    <w:rsid w:val="00DA5E83"/>
    <w:rsid w:val="00DB2F00"/>
    <w:rsid w:val="00DB38F4"/>
    <w:rsid w:val="00DC0CF7"/>
    <w:rsid w:val="00DC5E95"/>
    <w:rsid w:val="00DD63E8"/>
    <w:rsid w:val="00DE1753"/>
    <w:rsid w:val="00DE269C"/>
    <w:rsid w:val="00DF3DBF"/>
    <w:rsid w:val="00DF4660"/>
    <w:rsid w:val="00DF4E31"/>
    <w:rsid w:val="00E04384"/>
    <w:rsid w:val="00E0738A"/>
    <w:rsid w:val="00E16CAF"/>
    <w:rsid w:val="00E21415"/>
    <w:rsid w:val="00E27F4D"/>
    <w:rsid w:val="00E36024"/>
    <w:rsid w:val="00E51208"/>
    <w:rsid w:val="00E57972"/>
    <w:rsid w:val="00E657D9"/>
    <w:rsid w:val="00E73548"/>
    <w:rsid w:val="00E7417D"/>
    <w:rsid w:val="00E76EC6"/>
    <w:rsid w:val="00E77D03"/>
    <w:rsid w:val="00E81E0D"/>
    <w:rsid w:val="00E867ED"/>
    <w:rsid w:val="00E87283"/>
    <w:rsid w:val="00E91E47"/>
    <w:rsid w:val="00E926A7"/>
    <w:rsid w:val="00E95E28"/>
    <w:rsid w:val="00EA0865"/>
    <w:rsid w:val="00EA13A3"/>
    <w:rsid w:val="00EA41BA"/>
    <w:rsid w:val="00EB184D"/>
    <w:rsid w:val="00EB6D58"/>
    <w:rsid w:val="00EC3AC4"/>
    <w:rsid w:val="00EE09B5"/>
    <w:rsid w:val="00EF2500"/>
    <w:rsid w:val="00EF31F3"/>
    <w:rsid w:val="00EF5A9A"/>
    <w:rsid w:val="00EF7F66"/>
    <w:rsid w:val="00F17B48"/>
    <w:rsid w:val="00F27896"/>
    <w:rsid w:val="00F32A37"/>
    <w:rsid w:val="00F34983"/>
    <w:rsid w:val="00F35129"/>
    <w:rsid w:val="00F3680A"/>
    <w:rsid w:val="00F426E1"/>
    <w:rsid w:val="00F523F4"/>
    <w:rsid w:val="00F53A57"/>
    <w:rsid w:val="00F54B1D"/>
    <w:rsid w:val="00F57F0C"/>
    <w:rsid w:val="00F67A83"/>
    <w:rsid w:val="00F70F61"/>
    <w:rsid w:val="00F7151A"/>
    <w:rsid w:val="00F72E16"/>
    <w:rsid w:val="00F73261"/>
    <w:rsid w:val="00F80774"/>
    <w:rsid w:val="00F82C2C"/>
    <w:rsid w:val="00F848C5"/>
    <w:rsid w:val="00F93B9F"/>
    <w:rsid w:val="00F94C60"/>
    <w:rsid w:val="00F969A1"/>
    <w:rsid w:val="00FA74A3"/>
    <w:rsid w:val="00FA78E3"/>
    <w:rsid w:val="00FB464D"/>
    <w:rsid w:val="00FC1BD9"/>
    <w:rsid w:val="00FC642C"/>
    <w:rsid w:val="00FE1725"/>
    <w:rsid w:val="00FE21F1"/>
    <w:rsid w:val="00FE2CD6"/>
    <w:rsid w:val="00FF6CA9"/>
    <w:rsid w:val="1CA1097E"/>
    <w:rsid w:val="22A20EF6"/>
    <w:rsid w:val="31D62E89"/>
    <w:rsid w:val="35E25C6D"/>
    <w:rsid w:val="3F691887"/>
    <w:rsid w:val="47ED15F8"/>
    <w:rsid w:val="4C195ADF"/>
    <w:rsid w:val="4EC37602"/>
    <w:rsid w:val="509B7BBB"/>
    <w:rsid w:val="569F0646"/>
    <w:rsid w:val="59922664"/>
    <w:rsid w:val="5A6349D1"/>
    <w:rsid w:val="6453790E"/>
    <w:rsid w:val="6B2212EA"/>
    <w:rsid w:val="6E504556"/>
    <w:rsid w:val="7C0D3F8A"/>
    <w:rsid w:val="7C6B34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toc 7"/>
    <w:basedOn w:val="1"/>
    <w:next w:val="1"/>
    <w:unhideWhenUsed/>
    <w:qFormat/>
    <w:uiPriority w:val="39"/>
    <w:pPr>
      <w:ind w:left="1260"/>
      <w:jc w:val="left"/>
    </w:pPr>
    <w:rPr>
      <w:rFonts w:cstheme="minorHAnsi"/>
      <w:sz w:val="18"/>
      <w:szCs w:val="18"/>
    </w:rPr>
  </w:style>
  <w:style w:type="paragraph" w:styleId="3">
    <w:name w:val="toc 5"/>
    <w:basedOn w:val="1"/>
    <w:next w:val="1"/>
    <w:unhideWhenUsed/>
    <w:qFormat/>
    <w:uiPriority w:val="39"/>
    <w:pPr>
      <w:ind w:left="840"/>
      <w:jc w:val="left"/>
    </w:pPr>
    <w:rPr>
      <w:rFonts w:cstheme="minorHAnsi"/>
      <w:sz w:val="18"/>
      <w:szCs w:val="18"/>
    </w:rPr>
  </w:style>
  <w:style w:type="paragraph" w:styleId="4">
    <w:name w:val="toc 3"/>
    <w:basedOn w:val="1"/>
    <w:next w:val="1"/>
    <w:unhideWhenUsed/>
    <w:qFormat/>
    <w:uiPriority w:val="39"/>
    <w:pPr>
      <w:ind w:left="420"/>
      <w:jc w:val="left"/>
    </w:pPr>
    <w:rPr>
      <w:rFonts w:cstheme="minorHAnsi"/>
      <w:i/>
      <w:iCs/>
      <w:sz w:val="20"/>
      <w:szCs w:val="20"/>
    </w:rPr>
  </w:style>
  <w:style w:type="paragraph" w:styleId="5">
    <w:name w:val="toc 8"/>
    <w:basedOn w:val="1"/>
    <w:next w:val="1"/>
    <w:unhideWhenUsed/>
    <w:qFormat/>
    <w:uiPriority w:val="39"/>
    <w:pPr>
      <w:ind w:left="1470"/>
      <w:jc w:val="left"/>
    </w:pPr>
    <w:rPr>
      <w:rFonts w:cstheme="minorHAnsi"/>
      <w:sz w:val="18"/>
      <w:szCs w:val="18"/>
    </w:rPr>
  </w:style>
  <w:style w:type="paragraph" w:styleId="6">
    <w:name w:val="Balloon Text"/>
    <w:basedOn w:val="1"/>
    <w:link w:val="20"/>
    <w:semiHidden/>
    <w:unhideWhenUsed/>
    <w:qFormat/>
    <w:uiPriority w:val="99"/>
    <w:rPr>
      <w:sz w:val="18"/>
      <w:szCs w:val="18"/>
    </w:rPr>
  </w:style>
  <w:style w:type="paragraph" w:styleId="7">
    <w:name w:val="footer"/>
    <w:basedOn w:val="1"/>
    <w:link w:val="22"/>
    <w:unhideWhenUsed/>
    <w:qFormat/>
    <w:uiPriority w:val="99"/>
    <w:pPr>
      <w:tabs>
        <w:tab w:val="center" w:pos="4153"/>
        <w:tab w:val="right" w:pos="8306"/>
      </w:tabs>
      <w:snapToGrid w:val="0"/>
      <w:jc w:val="left"/>
    </w:pPr>
    <w:rPr>
      <w:sz w:val="18"/>
      <w:szCs w:val="18"/>
    </w:rPr>
  </w:style>
  <w:style w:type="paragraph" w:styleId="8">
    <w:name w:val="header"/>
    <w:basedOn w:val="1"/>
    <w:link w:val="21"/>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unhideWhenUsed/>
    <w:qFormat/>
    <w:uiPriority w:val="39"/>
    <w:pPr>
      <w:spacing w:before="120" w:after="120"/>
      <w:jc w:val="left"/>
    </w:pPr>
    <w:rPr>
      <w:rFonts w:cstheme="minorHAnsi"/>
      <w:b/>
      <w:bCs/>
      <w:caps/>
      <w:sz w:val="20"/>
      <w:szCs w:val="20"/>
    </w:rPr>
  </w:style>
  <w:style w:type="paragraph" w:styleId="10">
    <w:name w:val="toc 4"/>
    <w:basedOn w:val="1"/>
    <w:next w:val="1"/>
    <w:unhideWhenUsed/>
    <w:qFormat/>
    <w:uiPriority w:val="39"/>
    <w:pPr>
      <w:ind w:left="630"/>
      <w:jc w:val="left"/>
    </w:pPr>
    <w:rPr>
      <w:rFonts w:cstheme="minorHAnsi"/>
      <w:sz w:val="18"/>
      <w:szCs w:val="18"/>
    </w:rPr>
  </w:style>
  <w:style w:type="paragraph" w:styleId="11">
    <w:name w:val="toc 6"/>
    <w:basedOn w:val="1"/>
    <w:next w:val="1"/>
    <w:unhideWhenUsed/>
    <w:qFormat/>
    <w:uiPriority w:val="39"/>
    <w:pPr>
      <w:ind w:left="1050"/>
      <w:jc w:val="left"/>
    </w:pPr>
    <w:rPr>
      <w:rFonts w:cstheme="minorHAnsi"/>
      <w:sz w:val="18"/>
      <w:szCs w:val="18"/>
    </w:rPr>
  </w:style>
  <w:style w:type="paragraph" w:styleId="12">
    <w:name w:val="toc 2"/>
    <w:basedOn w:val="1"/>
    <w:next w:val="1"/>
    <w:unhideWhenUsed/>
    <w:qFormat/>
    <w:uiPriority w:val="39"/>
    <w:pPr>
      <w:ind w:left="210"/>
      <w:jc w:val="left"/>
    </w:pPr>
    <w:rPr>
      <w:rFonts w:cstheme="minorHAnsi"/>
      <w:smallCaps/>
      <w:sz w:val="20"/>
      <w:szCs w:val="20"/>
    </w:rPr>
  </w:style>
  <w:style w:type="paragraph" w:styleId="13">
    <w:name w:val="toc 9"/>
    <w:basedOn w:val="1"/>
    <w:next w:val="1"/>
    <w:unhideWhenUsed/>
    <w:qFormat/>
    <w:uiPriority w:val="39"/>
    <w:pPr>
      <w:ind w:left="1680"/>
      <w:jc w:val="left"/>
    </w:pPr>
    <w:rPr>
      <w:rFonts w:cstheme="minorHAnsi"/>
      <w:sz w:val="18"/>
      <w:szCs w:val="18"/>
    </w:rPr>
  </w:style>
  <w:style w:type="table" w:styleId="15">
    <w:name w:val="Table Grid"/>
    <w:basedOn w:val="14"/>
    <w:qFormat/>
    <w:uiPriority w:val="3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7">
    <w:name w:val="Emphasis"/>
    <w:basedOn w:val="16"/>
    <w:qFormat/>
    <w:uiPriority w:val="20"/>
    <w:rPr>
      <w:i/>
    </w:rPr>
  </w:style>
  <w:style w:type="character" w:styleId="18">
    <w:name w:val="Hyperlink"/>
    <w:basedOn w:val="16"/>
    <w:unhideWhenUsed/>
    <w:qFormat/>
    <w:uiPriority w:val="99"/>
    <w:rPr>
      <w:color w:val="0563C1" w:themeColor="hyperlink"/>
      <w:u w:val="single"/>
      <w14:textFill>
        <w14:solidFill>
          <w14:schemeClr w14:val="hlink"/>
        </w14:solidFill>
      </w14:textFill>
    </w:rPr>
  </w:style>
  <w:style w:type="paragraph" w:styleId="19">
    <w:name w:val="List Paragraph"/>
    <w:basedOn w:val="1"/>
    <w:qFormat/>
    <w:uiPriority w:val="34"/>
    <w:pPr>
      <w:ind w:firstLine="420" w:firstLineChars="200"/>
    </w:pPr>
  </w:style>
  <w:style w:type="character" w:customStyle="1" w:styleId="20">
    <w:name w:val="批注框文本 Char"/>
    <w:basedOn w:val="16"/>
    <w:link w:val="6"/>
    <w:semiHidden/>
    <w:qFormat/>
    <w:uiPriority w:val="99"/>
    <w:rPr>
      <w:sz w:val="18"/>
      <w:szCs w:val="18"/>
    </w:rPr>
  </w:style>
  <w:style w:type="character" w:customStyle="1" w:styleId="21">
    <w:name w:val="页眉 Char"/>
    <w:basedOn w:val="16"/>
    <w:link w:val="8"/>
    <w:qFormat/>
    <w:uiPriority w:val="99"/>
    <w:rPr>
      <w:sz w:val="18"/>
      <w:szCs w:val="18"/>
    </w:rPr>
  </w:style>
  <w:style w:type="character" w:customStyle="1" w:styleId="22">
    <w:name w:val="页脚 Char"/>
    <w:basedOn w:val="16"/>
    <w:link w:val="7"/>
    <w:qFormat/>
    <w:uiPriority w:val="99"/>
    <w:rPr>
      <w:sz w:val="18"/>
      <w:szCs w:val="18"/>
    </w:rPr>
  </w:style>
  <w:style w:type="paragraph" w:customStyle="1" w:styleId="23">
    <w:name w:val="标准文件_段"/>
    <w:link w:val="3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4">
    <w:name w:val="标准文件_二级条标题"/>
    <w:next w:val="23"/>
    <w:qFormat/>
    <w:uiPriority w:val="0"/>
    <w:pPr>
      <w:widowControl w:val="0"/>
      <w:numPr>
        <w:ilvl w:val="3"/>
        <w:numId w:val="1"/>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25">
    <w:name w:val="标准文件_三级条标题"/>
    <w:basedOn w:val="24"/>
    <w:next w:val="23"/>
    <w:qFormat/>
    <w:uiPriority w:val="0"/>
    <w:pPr>
      <w:widowControl/>
      <w:numPr>
        <w:ilvl w:val="4"/>
      </w:numPr>
      <w:outlineLvl w:val="3"/>
    </w:pPr>
  </w:style>
  <w:style w:type="paragraph" w:customStyle="1" w:styleId="26">
    <w:name w:val="标准文件_四级条标题"/>
    <w:next w:val="23"/>
    <w:qFormat/>
    <w:uiPriority w:val="0"/>
    <w:pPr>
      <w:widowControl w:val="0"/>
      <w:numPr>
        <w:ilvl w:val="5"/>
        <w:numId w:val="1"/>
      </w:numPr>
      <w:spacing w:before="50" w:beforeLines="50" w:after="50" w:afterLines="50"/>
      <w:jc w:val="both"/>
      <w:outlineLvl w:val="4"/>
    </w:pPr>
    <w:rPr>
      <w:rFonts w:ascii="黑体" w:hAnsi="Times New Roman" w:eastAsia="黑体" w:cs="Times New Roman"/>
      <w:sz w:val="21"/>
      <w:lang w:val="en-US" w:eastAsia="zh-CN" w:bidi="ar-SA"/>
    </w:rPr>
  </w:style>
  <w:style w:type="paragraph" w:customStyle="1" w:styleId="27">
    <w:name w:val="标准文件_五级条标题"/>
    <w:next w:val="23"/>
    <w:qFormat/>
    <w:uiPriority w:val="0"/>
    <w:pPr>
      <w:widowControl w:val="0"/>
      <w:numPr>
        <w:ilvl w:val="6"/>
        <w:numId w:val="1"/>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28">
    <w:name w:val="标准文件_章标题"/>
    <w:next w:val="23"/>
    <w:qFormat/>
    <w:uiPriority w:val="0"/>
    <w:pPr>
      <w:numPr>
        <w:ilvl w:val="1"/>
        <w:numId w:val="1"/>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29">
    <w:name w:val="标准文件_一级条标题"/>
    <w:basedOn w:val="28"/>
    <w:next w:val="23"/>
    <w:qFormat/>
    <w:uiPriority w:val="0"/>
    <w:pPr>
      <w:numPr>
        <w:ilvl w:val="2"/>
      </w:numPr>
      <w:spacing w:before="50" w:beforeLines="50" w:after="50" w:afterLines="50"/>
      <w:outlineLvl w:val="1"/>
    </w:pPr>
  </w:style>
  <w:style w:type="paragraph" w:customStyle="1" w:styleId="30">
    <w:name w:val="标准文件_一级项"/>
    <w:qFormat/>
    <w:uiPriority w:val="0"/>
    <w:pPr>
      <w:numPr>
        <w:ilvl w:val="0"/>
        <w:numId w:val="2"/>
      </w:numPr>
    </w:pPr>
    <w:rPr>
      <w:rFonts w:ascii="宋体" w:hAnsi="Times New Roman" w:eastAsia="宋体" w:cs="Times New Roman"/>
      <w:sz w:val="21"/>
      <w:lang w:val="en-US" w:eastAsia="zh-CN" w:bidi="ar-SA"/>
    </w:rPr>
  </w:style>
  <w:style w:type="paragraph" w:customStyle="1" w:styleId="31">
    <w:name w:val="前言标题"/>
    <w:next w:val="1"/>
    <w:qFormat/>
    <w:uiPriority w:val="0"/>
    <w:pPr>
      <w:numPr>
        <w:ilvl w:val="0"/>
        <w:numId w:val="1"/>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32">
    <w:name w:val="标准文件_二级无标题"/>
    <w:basedOn w:val="24"/>
    <w:qFormat/>
    <w:uiPriority w:val="0"/>
    <w:pPr>
      <w:spacing w:before="0" w:beforeLines="0" w:after="0" w:afterLines="0"/>
      <w:outlineLvl w:val="9"/>
    </w:pPr>
    <w:rPr>
      <w:rFonts w:ascii="宋体" w:eastAsia="宋体"/>
    </w:rPr>
  </w:style>
  <w:style w:type="paragraph" w:customStyle="1" w:styleId="33">
    <w:name w:val="标准文件_三级项"/>
    <w:basedOn w:val="1"/>
    <w:qFormat/>
    <w:uiPriority w:val="0"/>
    <w:pPr>
      <w:numPr>
        <w:ilvl w:val="2"/>
        <w:numId w:val="2"/>
      </w:numPr>
      <w:adjustRightInd w:val="0"/>
      <w:spacing w:line="536870612" w:lineRule="auto"/>
    </w:pPr>
    <w:rPr>
      <w:rFonts w:ascii="Times New Roman" w:hAnsi="Times New Roman" w:eastAsia="宋体" w:cs="Times New Roman"/>
      <w:szCs w:val="21"/>
    </w:rPr>
  </w:style>
  <w:style w:type="character" w:customStyle="1" w:styleId="34">
    <w:name w:val="标准文件_段 Char"/>
    <w:link w:val="23"/>
    <w:qFormat/>
    <w:uiPriority w:val="0"/>
    <w:rPr>
      <w:rFonts w:ascii="宋体" w:hAnsi="Times New Roman" w:eastAsia="宋体" w:cs="Times New Roman"/>
      <w:sz w:val="21"/>
    </w:rPr>
  </w:style>
  <w:style w:type="paragraph" w:customStyle="1" w:styleId="35">
    <w:name w:val="标准文件_二级项2"/>
    <w:basedOn w:val="23"/>
    <w:qFormat/>
    <w:uiPriority w:val="0"/>
    <w:pPr>
      <w:numPr>
        <w:ilvl w:val="1"/>
        <w:numId w:val="2"/>
      </w:numPr>
      <w:tabs>
        <w:tab w:val="left" w:pos="360"/>
      </w:tabs>
      <w:ind w:left="1271" w:hanging="420" w:firstLineChars="0"/>
    </w:pPr>
  </w:style>
  <w:style w:type="table" w:customStyle="1" w:styleId="36">
    <w:name w:val="网格型1"/>
    <w:basedOn w:val="14"/>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37">
    <w:name w:val="标准文件_一级无标题"/>
    <w:basedOn w:val="29"/>
    <w:qFormat/>
    <w:uiPriority w:val="0"/>
    <w:pPr>
      <w:numPr>
        <w:ilvl w:val="0"/>
        <w:numId w:val="0"/>
      </w:numPr>
      <w:spacing w:before="0" w:beforeLines="0" w:after="0" w:afterLines="0"/>
      <w:ind w:left="720" w:hanging="720"/>
      <w:outlineLvl w:val="9"/>
    </w:pPr>
    <w:rPr>
      <w:rFonts w:ascii="宋体" w:eastAsia="宋体"/>
    </w:rPr>
  </w:style>
  <w:style w:type="table" w:customStyle="1" w:styleId="38">
    <w:name w:val="Table Normal"/>
    <w:semiHidden/>
    <w:unhideWhenUsed/>
    <w:qFormat/>
    <w:uiPriority w:val="0"/>
    <w:rPr>
      <w:rFonts w:ascii="Times New Roman" w:hAnsi="Times New Roman" w:eastAsia="宋体" w:cs="Times New Roman"/>
    </w:rPr>
    <w:tblPr>
      <w:tblCellMar>
        <w:top w:w="0" w:type="dxa"/>
        <w:left w:w="0" w:type="dxa"/>
        <w:bottom w:w="0" w:type="dxa"/>
        <w:right w:w="0" w:type="dxa"/>
      </w:tblCellMar>
    </w:tblPr>
  </w:style>
  <w:style w:type="table" w:customStyle="1" w:styleId="39">
    <w:name w:val="Table Normal1"/>
    <w:semiHidden/>
    <w:unhideWhenUsed/>
    <w:qFormat/>
    <w:uiPriority w:val="0"/>
    <w:rPr>
      <w:rFonts w:ascii="Arial" w:hAnsi="Arial" w:cs="Arial"/>
    </w:rPr>
    <w:tblPr>
      <w:tblCellMar>
        <w:top w:w="0" w:type="dxa"/>
        <w:left w:w="0" w:type="dxa"/>
        <w:bottom w:w="0" w:type="dxa"/>
        <w:right w:w="0" w:type="dxa"/>
      </w:tblCellMar>
    </w:tblPr>
  </w:style>
  <w:style w:type="table" w:customStyle="1" w:styleId="40">
    <w:name w:val="Table Normal2"/>
    <w:semiHidden/>
    <w:unhideWhenUsed/>
    <w:qFormat/>
    <w:uiPriority w:val="0"/>
    <w:rPr>
      <w:rFonts w:ascii="Arial" w:hAnsi="Arial" w:cs="Arial"/>
    </w:rPr>
    <w:tblPr>
      <w:tblCellMar>
        <w:top w:w="0" w:type="dxa"/>
        <w:left w:w="0" w:type="dxa"/>
        <w:bottom w:w="0" w:type="dxa"/>
        <w:right w:w="0" w:type="dxa"/>
      </w:tblCellMar>
    </w:tblPr>
  </w:style>
  <w:style w:type="table" w:customStyle="1" w:styleId="41">
    <w:name w:val="Table Normal3"/>
    <w:semiHidden/>
    <w:unhideWhenUsed/>
    <w:qFormat/>
    <w:uiPriority w:val="0"/>
    <w:rPr>
      <w:rFonts w:ascii="Arial" w:hAnsi="Arial" w:cs="Arial"/>
    </w:rPr>
    <w:tblPr>
      <w:tblCellMar>
        <w:top w:w="0" w:type="dxa"/>
        <w:left w:w="0" w:type="dxa"/>
        <w:bottom w:w="0" w:type="dxa"/>
        <w:right w:w="0" w:type="dxa"/>
      </w:tblCellMar>
    </w:tblPr>
  </w:style>
  <w:style w:type="table" w:customStyle="1" w:styleId="42">
    <w:name w:val="Table Normal4"/>
    <w:semiHidden/>
    <w:unhideWhenUsed/>
    <w:qFormat/>
    <w:uiPriority w:val="0"/>
    <w:rPr>
      <w:rFonts w:ascii="Arial" w:hAnsi="Arial" w:cs="Arial"/>
    </w:rPr>
    <w:tblPr>
      <w:tblCellMar>
        <w:top w:w="0" w:type="dxa"/>
        <w:left w:w="0" w:type="dxa"/>
        <w:bottom w:w="0" w:type="dxa"/>
        <w:right w:w="0" w:type="dxa"/>
      </w:tblCellMar>
    </w:tblPr>
  </w:style>
  <w:style w:type="paragraph" w:customStyle="1" w:styleId="43">
    <w:name w:val="标准文件_注："/>
    <w:next w:val="23"/>
    <w:qFormat/>
    <w:uiPriority w:val="0"/>
    <w:pPr>
      <w:widowControl w:val="0"/>
      <w:numPr>
        <w:ilvl w:val="0"/>
        <w:numId w:val="3"/>
      </w:numPr>
      <w:autoSpaceDE w:val="0"/>
      <w:autoSpaceDN w:val="0"/>
      <w:jc w:val="both"/>
    </w:pPr>
    <w:rPr>
      <w:rFonts w:ascii="宋体" w:hAnsi="Times New Roman" w:eastAsia="宋体" w:cs="Times New Roman"/>
      <w:sz w:val="18"/>
      <w:szCs w:val="18"/>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8</Pages>
  <Words>3364</Words>
  <Characters>3601</Characters>
  <Lines>109</Lines>
  <Paragraphs>30</Paragraphs>
  <TotalTime>5</TotalTime>
  <ScaleCrop>false</ScaleCrop>
  <LinksUpToDate>false</LinksUpToDate>
  <CharactersWithSpaces>3717</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2021-06-08T06:39:00Z</dcterms:created>
  <dc:creator>微软用户</dc:creator>
  <cp:lastModifiedBy>X!</cp:lastModifiedBy>
  <cp:lastPrinted>2025-01-23T02:18:00Z</cp:lastPrinted>
  <dcterms:modified xsi:type="dcterms:W3CDTF">2025-01-24T03:18:28Z</dcterms:modified>
  <cp:revision>530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7937851F025F4E609051B75CA88DDA36_13</vt:lpwstr>
  </property>
  <property fmtid="{D5CDD505-2E9C-101B-9397-08002B2CF9AE}" pid="4" name="KSOTemplateDocerSaveRecord">
    <vt:lpwstr>eyJoZGlkIjoiMzBlMmFmYjZkZTQ4ODMyMTIyOTM1ZDBjOGMzZmU4NGYiLCJ1c2VySWQiOiIyODYwNzk0NjcifQ==</vt:lpwstr>
  </property>
</Properties>
</file>