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framePr w:w="4126" w:hAnchor="text"/>
        <w:rPr>
          <w:rFonts w:ascii="黑体" w:hAnsi="黑体" w:cs="黑体"/>
          <w:szCs w:val="21"/>
        </w:rPr>
      </w:pPr>
      <w:r>
        <w:rPr>
          <w:rFonts w:hint="eastAsia" w:ascii="黑体" w:hAnsi="黑体" w:cs="黑体"/>
          <w:szCs w:val="21"/>
          <w:lang w:val="en-US" w:eastAsia="zh-CN"/>
        </w:rPr>
        <w:t>I</w:t>
      </w:r>
      <w:r>
        <w:rPr>
          <w:rFonts w:hint="eastAsia" w:ascii="黑体" w:hAnsi="黑体" w:cs="黑体"/>
          <w:szCs w:val="21"/>
        </w:rPr>
        <w:t>CS 67.</w:t>
      </w:r>
      <w:r>
        <w:rPr>
          <w:rFonts w:hint="eastAsia" w:ascii="黑体" w:hAnsi="黑体" w:cs="黑体"/>
          <w:szCs w:val="21"/>
          <w:lang w:val="en-US" w:eastAsia="zh-CN"/>
        </w:rPr>
        <w:t>0</w:t>
      </w:r>
      <w:r>
        <w:rPr>
          <w:rFonts w:hint="eastAsia" w:ascii="黑体" w:hAnsi="黑体" w:cs="黑体"/>
          <w:szCs w:val="21"/>
        </w:rPr>
        <w:t>80.10</w:t>
      </w:r>
    </w:p>
    <w:tbl>
      <w:tblPr>
        <w:tblStyle w:val="41"/>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4" w:type="dxa"/>
            <w:tcBorders>
              <w:top w:val="nil"/>
              <w:left w:val="nil"/>
              <w:bottom w:val="nil"/>
              <w:right w:val="nil"/>
            </w:tcBorders>
          </w:tcPr>
          <w:p>
            <w:pPr>
              <w:pStyle w:val="105"/>
              <w:framePr w:w="4126" w:hAnchor="text"/>
              <w:rPr>
                <w:rFonts w:ascii="黑体" w:hAnsi="黑体" w:cs="黑体"/>
                <w:szCs w:val="21"/>
              </w:rPr>
            </w:pPr>
            <w:r>
              <w:rPr>
                <w:rFonts w:hint="eastAsia" w:ascii="黑体" w:hAnsi="黑体" w:cs="黑体"/>
                <w:szCs w:val="21"/>
              </w:rPr>
              <w:t>CCS</w:t>
            </w:r>
            <w:r>
              <w:rPr>
                <w:rFonts w:hint="eastAsia" w:ascii="黑体" w:hAnsi="黑体" w:cs="黑体"/>
                <w:szCs w:val="21"/>
              </w:rPr>
              <mc:AlternateContent>
                <mc:Choice Requires="wps">
                  <w:drawing>
                    <wp:anchor distT="0" distB="0" distL="114300" distR="114300" simplePos="0" relativeHeight="251673600"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4288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Iri/s1QAAAAcBAAAPAAAAAAAAAAEAIAAAACIAAABkcnMv&#10;ZG93bnJldi54bWxQSwECFAAUAAAACACHTuJAg4+43gYCAADkAwAADgAAAAAAAAABACAAAAAkAQAA&#10;ZHJzL2Uyb0RvYy54bWxQSwUGAAAAAAYABgBZAQAAnAUAAAAA&#10;">
                      <v:fill on="t" focussize="0,0"/>
                      <v:stroke on="f"/>
                      <v:imagedata o:title=""/>
                      <o:lock v:ext="edit" aspectratio="f"/>
                      <v:textbox>
                        <w:txbxContent>
                          <w:p/>
                        </w:txbxContent>
                      </v:textbox>
                    </v:rect>
                  </w:pict>
                </mc:Fallback>
              </mc:AlternateContent>
            </w:r>
            <w:r>
              <w:rPr>
                <w:rFonts w:hint="eastAsia" w:ascii="黑体" w:hAnsi="黑体" w:cs="黑体"/>
                <w:szCs w:val="21"/>
              </w:rPr>
              <w:t xml:space="preserve"> B31</w:t>
            </w:r>
          </w:p>
        </w:tc>
      </w:tr>
    </w:tbl>
    <w:p>
      <w:pPr>
        <w:pStyle w:val="72"/>
        <w:rPr>
          <w:rFonts w:ascii="黑体" w:hAnsi="黑体" w:eastAsia="黑体"/>
        </w:rPr>
      </w:pPr>
    </w:p>
    <w:p>
      <w:pPr>
        <w:pStyle w:val="72"/>
        <w:rPr>
          <w:rFonts w:ascii="黑体" w:hAnsi="黑体" w:eastAsia="黑体"/>
        </w:rPr>
      </w:pPr>
    </w:p>
    <w:p>
      <w:pPr>
        <w:pStyle w:val="72"/>
        <w:sectPr>
          <w:headerReference r:id="rId5" w:type="first"/>
          <w:footerReference r:id="rId8" w:type="first"/>
          <w:headerReference r:id="rId3" w:type="default"/>
          <w:footerReference r:id="rId6" w:type="default"/>
          <w:headerReference r:id="rId4" w:type="even"/>
          <w:footerReference r:id="rId7" w:type="even"/>
          <w:pgSz w:w="11907" w:h="16839"/>
          <w:pgMar w:top="567" w:right="851" w:bottom="1134" w:left="1418" w:header="0" w:footer="0" w:gutter="0"/>
          <w:pgNumType w:fmt="upperRoman" w:start="1"/>
          <w:cols w:space="720" w:num="1"/>
          <w:titlePg/>
          <w:docGrid w:type="lines" w:linePitch="312" w:charSpace="0"/>
        </w:sectPr>
      </w:pPr>
      <w:r>
        <mc:AlternateContent>
          <mc:Choice Requires="wps">
            <w:drawing>
              <wp:anchor distT="0" distB="0" distL="114300" distR="114300" simplePos="0" relativeHeight="251666432" behindDoc="0" locked="0" layoutInCell="1" allowOverlap="1">
                <wp:simplePos x="0" y="0"/>
                <wp:positionH relativeFrom="column">
                  <wp:posOffset>-2736850</wp:posOffset>
                </wp:positionH>
                <wp:positionV relativeFrom="paragraph">
                  <wp:posOffset>8536940</wp:posOffset>
                </wp:positionV>
                <wp:extent cx="6121400" cy="0"/>
                <wp:effectExtent l="0" t="0" r="0" b="0"/>
                <wp:wrapNone/>
                <wp:docPr id="7" name="Line 4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Line 40" o:spid="_x0000_s1026" o:spt="20" style="position:absolute;left:0pt;margin-left:-215.5pt;margin-top:672.2pt;height:0pt;width:482pt;z-index:251666432;mso-width-relative:page;mso-height-relative:page;" filled="f" stroked="t" coordsize="21600,21600" o:gfxdata="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CAI6e1wAAAA4BAAAPAAAAAAAAAAEAIAAAACIAAABkcnMvZG93bnJldi54bWxQSwECFAAU&#10;AAAACACHTuJAWd384bkBAACBAwAADgAAAAAAAAABACAAAAAmAQAAZHJzL2Uyb0RvYy54bWxQSwUG&#10;AAAAAAYABgBZAQAAUQU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-2750185</wp:posOffset>
                </wp:positionH>
                <wp:positionV relativeFrom="paragraph">
                  <wp:posOffset>1791970</wp:posOffset>
                </wp:positionV>
                <wp:extent cx="6121400" cy="0"/>
                <wp:effectExtent l="0" t="0" r="0" b="0"/>
                <wp:wrapNone/>
                <wp:docPr id="6" name="Line 39"/>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Line 39" o:spid="_x0000_s1026" o:spt="20" style="position:absolute;left:0pt;margin-left:-216.55pt;margin-top:141.1pt;height:0pt;width:482pt;z-index:251665408;mso-width-relative:page;mso-height-relative:page;" filled="f" stroked="t" coordsize="21600,21600" o:gfxdata="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u4xEt2AAAAAwBAAAPAAAAAAAAAAEAIAAAACIAAABkcnMvZG93bnJldi54bWxQSwEC&#10;FAAUAAAACACHTuJA1dBmILsBAACBAwAADgAAAAAAAAABACAAAAAnAQAAZHJzL2Uyb0RvYy54bWxQ&#10;SwUGAAAAAAYABgBZAQAAVAU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8480" behindDoc="0" locked="1" layoutInCell="1" allowOverlap="1">
                <wp:simplePos x="0" y="0"/>
                <wp:positionH relativeFrom="margin">
                  <wp:posOffset>824865</wp:posOffset>
                </wp:positionH>
                <wp:positionV relativeFrom="margin">
                  <wp:posOffset>9201785</wp:posOffset>
                </wp:positionV>
                <wp:extent cx="4349115" cy="238760"/>
                <wp:effectExtent l="0" t="0" r="13335" b="8890"/>
                <wp:wrapNone/>
                <wp:docPr id="9" name="fmFrame7"/>
                <wp:cNvGraphicFramePr/>
                <a:graphic xmlns:a="http://schemas.openxmlformats.org/drawingml/2006/main">
                  <a:graphicData uri="http://schemas.microsoft.com/office/word/2010/wordprocessingShape">
                    <wps:wsp>
                      <wps:cNvSpPr txBox="1"/>
                      <wps:spPr>
                        <a:xfrm>
                          <a:off x="0" y="0"/>
                          <a:ext cx="4349115" cy="238760"/>
                        </a:xfrm>
                        <a:prstGeom prst="rect">
                          <a:avLst/>
                        </a:prstGeom>
                        <a:solidFill>
                          <a:srgbClr val="FFFFFF"/>
                        </a:solidFill>
                        <a:ln>
                          <a:noFill/>
                        </a:ln>
                      </wps:spPr>
                      <wps:txbx>
                        <w:txbxContent>
                          <w:p>
                            <w:pPr>
                              <w:pStyle w:val="73"/>
                              <w:jc w:val="distribute"/>
                            </w:pPr>
                            <w:r>
                              <w:rPr>
                                <w:rFonts w:hint="eastAsia"/>
                                <w:spacing w:val="-17"/>
                                <w:sz w:val="32"/>
                                <w:szCs w:val="32"/>
                              </w:rPr>
                              <w:t>陕西省市场监督管理局</w:t>
                            </w:r>
                            <w:r>
                              <w:rPr>
                                <w:spacing w:val="170"/>
                              </w:rPr>
                              <w:t xml:space="preserve"> </w:t>
                            </w:r>
                            <w:r>
                              <w:rPr>
                                <w:rStyle w:val="111"/>
                                <w:rFonts w:hint="eastAsia"/>
                                <w:spacing w:val="72"/>
                              </w:rPr>
                              <w:t>发</w:t>
                            </w:r>
                            <w:r>
                              <w:rPr>
                                <w:rStyle w:val="111"/>
                                <w:rFonts w:hint="eastAsia"/>
                              </w:rPr>
                              <w:t>布</w:t>
                            </w:r>
                          </w:p>
                        </w:txbxContent>
                      </wps:txbx>
                      <wps:bodyPr lIns="0" tIns="0" rIns="0" bIns="0" upright="1"/>
                    </wps:wsp>
                  </a:graphicData>
                </a:graphic>
              </wp:anchor>
            </w:drawing>
          </mc:Choice>
          <mc:Fallback>
            <w:pict>
              <v:shape id="fmFrame7" o:spid="_x0000_s1026" o:spt="202" type="#_x0000_t202" style="position:absolute;left:0pt;margin-left:64.95pt;margin-top:724.55pt;height:18.8pt;width:342.45pt;mso-position-horizontal-relative:margin;mso-position-vertical-relative:margin;z-index:251668480;mso-width-relative:page;mso-height-relative:page;" fillcolor="#FFFFFF" filled="t" stroked="f" coordsize="21600,21600" o:gfxdata="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Da/Cz2gAAAA0B&#10;AAAPAAAAAAAAAAEAIAAAACIAAABkcnMvZG93bnJldi54bWxQSwECFAAUAAAACACHTuJAee53m6cB&#10;AABKAwAADgAAAAAAAAABACAAAAApAQAAZHJzL2Uyb0RvYy54bWxQSwUGAAAAAAYABgBZAQAAQgUA&#10;AAAA&#10;">
                <v:fill on="t" focussize="0,0"/>
                <v:stroke on="f"/>
                <v:imagedata o:title=""/>
                <o:lock v:ext="edit" aspectratio="f"/>
                <v:textbox inset="0mm,0mm,0mm,0mm">
                  <w:txbxContent>
                    <w:p>
                      <w:pPr>
                        <w:pStyle w:val="73"/>
                        <w:jc w:val="distribute"/>
                      </w:pPr>
                      <w:r>
                        <w:rPr>
                          <w:rFonts w:hint="eastAsia"/>
                          <w:spacing w:val="-17"/>
                          <w:sz w:val="32"/>
                          <w:szCs w:val="32"/>
                        </w:rPr>
                        <w:t>陕西省市场监督管理局</w:t>
                      </w:r>
                      <w:r>
                        <w:rPr>
                          <w:spacing w:val="170"/>
                        </w:rPr>
                        <w:t xml:space="preserve"> </w:t>
                      </w:r>
                      <w:r>
                        <w:rPr>
                          <w:rStyle w:val="111"/>
                          <w:rFonts w:hint="eastAsia"/>
                          <w:spacing w:val="72"/>
                        </w:rPr>
                        <w:t>发</w:t>
                      </w:r>
                      <w:r>
                        <w:rPr>
                          <w:rStyle w:val="111"/>
                          <w:rFonts w:hint="eastAsia"/>
                        </w:rPr>
                        <w:t>布</w:t>
                      </w:r>
                    </w:p>
                  </w:txbxContent>
                </v:textbox>
                <w10:anchorlock/>
              </v:shape>
            </w:pict>
          </mc:Fallback>
        </mc:AlternateContent>
      </w:r>
      <w:r>
        <mc:AlternateContent>
          <mc:Choice Requires="wps">
            <w:drawing>
              <wp:anchor distT="0" distB="0" distL="114300" distR="114300" simplePos="0" relativeHeight="251667456" behindDoc="0" locked="1" layoutInCell="1" allowOverlap="1">
                <wp:simplePos x="0" y="0"/>
                <wp:positionH relativeFrom="margin">
                  <wp:posOffset>2403475</wp:posOffset>
                </wp:positionH>
                <wp:positionV relativeFrom="margin">
                  <wp:posOffset>176530</wp:posOffset>
                </wp:positionV>
                <wp:extent cx="3533775" cy="720090"/>
                <wp:effectExtent l="0" t="0" r="9525" b="3810"/>
                <wp:wrapNone/>
                <wp:docPr id="8" name="fmFrame8"/>
                <wp:cNvGraphicFramePr/>
                <a:graphic xmlns:a="http://schemas.openxmlformats.org/drawingml/2006/main">
                  <a:graphicData uri="http://schemas.microsoft.com/office/word/2010/wordprocessingShape">
                    <wps:wsp>
                      <wps:cNvSpPr txBox="1"/>
                      <wps:spPr>
                        <a:xfrm>
                          <a:off x="0" y="0"/>
                          <a:ext cx="3533775" cy="720090"/>
                        </a:xfrm>
                        <a:prstGeom prst="rect">
                          <a:avLst/>
                        </a:prstGeom>
                        <a:solidFill>
                          <a:srgbClr val="FFFFFF"/>
                        </a:solidFill>
                        <a:ln>
                          <a:noFill/>
                        </a:ln>
                      </wps:spPr>
                      <wps:txbx>
                        <w:txbxContent>
                          <w:p>
                            <w:pPr>
                              <w:pStyle w:val="62"/>
                            </w:pPr>
                            <w:r>
                              <w:rPr>
                                <w:rFonts w:hint="eastAsia"/>
                              </w:rPr>
                              <w:t>DB61</w:t>
                            </w:r>
                          </w:p>
                        </w:txbxContent>
                      </wps:txbx>
                      <wps:bodyPr lIns="0" tIns="0" rIns="0" bIns="0" upright="1"/>
                    </wps:wsp>
                  </a:graphicData>
                </a:graphic>
              </wp:anchor>
            </w:drawing>
          </mc:Choice>
          <mc:Fallback>
            <w:pict>
              <v:shape id="fmFrame8" o:spid="_x0000_s1026" o:spt="202" type="#_x0000_t202" style="position:absolute;left:0pt;margin-left:189.25pt;margin-top:13.9pt;height:56.7pt;width:278.25pt;mso-position-horizontal-relative:margin;mso-position-vertical-relative:margin;z-index:251667456;mso-width-relative:page;mso-height-relative:page;" fillcolor="#FFFFFF" filled="t" stroked="f" coordsize="21600,21600" o:gfxdata="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OJ3tv2QAAAAoBAAAP&#10;AAAAAAAAAAEAIAAAACIAAABkcnMvZG93bnJldi54bWxQSwECFAAUAAAACACHTuJAv7JjdaUBAABK&#10;AwAADgAAAAAAAAABACAAAAAoAQAAZHJzL2Uyb0RvYy54bWxQSwUGAAAAAAYABgBZAQAAPwUAAAAA&#10;">
                <v:fill on="t" focussize="0,0"/>
                <v:stroke on="f"/>
                <v:imagedata o:title=""/>
                <o:lock v:ext="edit" aspectratio="f"/>
                <v:textbox inset="0mm,0mm,0mm,0mm">
                  <w:txbxContent>
                    <w:p>
                      <w:pPr>
                        <w:pStyle w:val="62"/>
                      </w:pPr>
                      <w:r>
                        <w:rPr>
                          <w:rFonts w:hint="eastAsia"/>
                        </w:rPr>
                        <w:t>DB61</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4855845</wp:posOffset>
                </wp:positionH>
                <wp:positionV relativeFrom="margin">
                  <wp:posOffset>8603615</wp:posOffset>
                </wp:positionV>
                <wp:extent cx="1715135" cy="312420"/>
                <wp:effectExtent l="0" t="0" r="18415" b="11430"/>
                <wp:wrapNone/>
                <wp:docPr id="5" name="fmFrame6"/>
                <wp:cNvGraphicFramePr/>
                <a:graphic xmlns:a="http://schemas.openxmlformats.org/drawingml/2006/main">
                  <a:graphicData uri="http://schemas.microsoft.com/office/word/2010/wordprocessingShape">
                    <wps:wsp>
                      <wps:cNvSpPr txBox="1"/>
                      <wps:spPr>
                        <a:xfrm>
                          <a:off x="0" y="0"/>
                          <a:ext cx="1715135" cy="312420"/>
                        </a:xfrm>
                        <a:prstGeom prst="rect">
                          <a:avLst/>
                        </a:prstGeom>
                        <a:solidFill>
                          <a:srgbClr val="FFFFFF"/>
                        </a:solidFill>
                        <a:ln>
                          <a:noFill/>
                        </a:ln>
                      </wps:spPr>
                      <wps:txbx>
                        <w:txbxContent>
                          <w:p>
                            <w:pPr>
                              <w:pStyle w:val="59"/>
                              <w:numPr>
                                <w:ilvl w:val="0"/>
                                <w:numId w:val="0"/>
                              </w:numPr>
                              <w:ind w:right="560"/>
                              <w:jc w:val="both"/>
                              <w:rPr>
                                <w:rFonts w:ascii="黑体" w:hAnsi="黑体" w:cs="黑体"/>
                              </w:rPr>
                            </w:pPr>
                            <w:r>
                              <w:rPr>
                                <w:rFonts w:hint="eastAsia" w:ascii="黑体" w:hAnsi="黑体" w:cs="黑体"/>
                              </w:rPr>
                              <w:t>2024-xx-xx实施</w:t>
                            </w:r>
                          </w:p>
                        </w:txbxContent>
                      </wps:txbx>
                      <wps:bodyPr lIns="0" tIns="0" rIns="0" bIns="0" upright="1"/>
                    </wps:wsp>
                  </a:graphicData>
                </a:graphic>
              </wp:anchor>
            </w:drawing>
          </mc:Choice>
          <mc:Fallback>
            <w:pict>
              <v:shape id="fmFrame6" o:spid="_x0000_s1026" o:spt="202" type="#_x0000_t202" style="position:absolute;left:0pt;margin-left:382.35pt;margin-top:677.45pt;height:24.6pt;width:135.05pt;mso-position-horizontal-relative:margin;mso-position-vertical-relative:margin;z-index:251664384;mso-width-relative:page;mso-height-relative:page;" fillcolor="#FFFFFF" filled="t" stroked="f" coordsize="21600,21600" o:gfxdata="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LtXaC3AAAAA4B&#10;AAAPAAAAAAAAAAEAIAAAACIAAABkcnMvZG93bnJldi54bWxQSwECFAAUAAAACACHTuJA5XKm86UB&#10;AABKAwAADgAAAAAAAAABACAAAAArAQAAZHJzL2Uyb0RvYy54bWxQSwUGAAAAAAYABgBZAQAAQgUA&#10;AAAA&#10;">
                <v:fill on="t" focussize="0,0"/>
                <v:stroke on="f"/>
                <v:imagedata o:title=""/>
                <o:lock v:ext="edit" aspectratio="f"/>
                <v:textbox inset="0mm,0mm,0mm,0mm">
                  <w:txbxContent>
                    <w:p>
                      <w:pPr>
                        <w:pStyle w:val="59"/>
                        <w:numPr>
                          <w:ilvl w:val="0"/>
                          <w:numId w:val="0"/>
                        </w:numPr>
                        <w:ind w:right="560"/>
                        <w:jc w:val="both"/>
                        <w:rPr>
                          <w:rFonts w:ascii="黑体" w:hAnsi="黑体" w:cs="黑体"/>
                        </w:rPr>
                      </w:pPr>
                      <w:r>
                        <w:rPr>
                          <w:rFonts w:hint="eastAsia" w:ascii="黑体" w:hAnsi="黑体" w:cs="黑体"/>
                        </w:rPr>
                        <w:t>2024-xx-xx实施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-19050</wp:posOffset>
                </wp:positionH>
                <wp:positionV relativeFrom="margin">
                  <wp:posOffset>8606790</wp:posOffset>
                </wp:positionV>
                <wp:extent cx="2019300" cy="312420"/>
                <wp:effectExtent l="0" t="0" r="0" b="11430"/>
                <wp:wrapNone/>
                <wp:docPr id="4"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60"/>
                              <w:rPr>
                                <w:rFonts w:ascii="黑体" w:hAnsi="黑体" w:cs="黑体"/>
                              </w:rPr>
                            </w:pPr>
                            <w:r>
                              <w:rPr>
                                <w:rFonts w:hint="eastAsia" w:ascii="黑体" w:hAnsi="黑体" w:cs="黑体"/>
                              </w:rPr>
                              <w:t>2024-xx-xx发布</w:t>
                            </w:r>
                          </w:p>
                        </w:txbxContent>
                      </wps:txbx>
                      <wps:bodyPr lIns="0" tIns="0" rIns="0" bIns="0" upright="1"/>
                    </wps:wsp>
                  </a:graphicData>
                </a:graphic>
              </wp:anchor>
            </w:drawing>
          </mc:Choice>
          <mc:Fallback>
            <w:pict>
              <v:shape id="fmFrame5" o:spid="_x0000_s1026" o:spt="202" type="#_x0000_t202" style="position:absolute;left:0pt;margin-left:-1.5pt;margin-top:677.7pt;height:24.6pt;width:159pt;mso-position-horizontal-relative:margin;mso-position-vertical-relative:margin;z-index:251663360;mso-width-relative:page;mso-height-relative:page;" fillcolor="#FFFFFF" filled="t" stroked="f" coordsize="21600,21600" o:gfxdata="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LvESj2gAAAAwBAAAP&#10;AAAAAAAAAAEAIAAAACIAAABkcnMvZG93bnJldi54bWxQSwECFAAUAAAACACHTuJAv+VBVqQBAABK&#10;AwAADgAAAAAAAAABACAAAAApAQAAZHJzL2Uyb0RvYy54bWxQSwUGAAAAAAYABgBZAQAAPwUAAAAA&#10;">
                <v:fill on="t" focussize="0,0"/>
                <v:stroke on="f"/>
                <v:imagedata o:title=""/>
                <o:lock v:ext="edit" aspectratio="f"/>
                <v:textbox inset="0mm,0mm,0mm,0mm">
                  <w:txbxContent>
                    <w:p>
                      <w:pPr>
                        <w:pStyle w:val="60"/>
                        <w:rPr>
                          <w:rFonts w:ascii="黑体" w:hAnsi="黑体" w:cs="黑体"/>
                        </w:rPr>
                      </w:pPr>
                      <w:r>
                        <w:rPr>
                          <w:rFonts w:hint="eastAsia" w:ascii="黑体" w:hAnsi="黑体" w:cs="黑体"/>
                        </w:rPr>
                        <w:t>2024-xx-xx发布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-114300</wp:posOffset>
                </wp:positionH>
                <wp:positionV relativeFrom="margin">
                  <wp:posOffset>3694430</wp:posOffset>
                </wp:positionV>
                <wp:extent cx="5969000" cy="2686050"/>
                <wp:effectExtent l="0" t="0" r="12700" b="0"/>
                <wp:wrapNone/>
                <wp:docPr id="3" name="fmFrame4"/>
                <wp:cNvGraphicFramePr/>
                <a:graphic xmlns:a="http://schemas.openxmlformats.org/drawingml/2006/main">
                  <a:graphicData uri="http://schemas.microsoft.com/office/word/2010/wordprocessingShape">
                    <wps:wsp>
                      <wps:cNvSpPr txBox="1"/>
                      <wps:spPr>
                        <a:xfrm>
                          <a:off x="0" y="0"/>
                          <a:ext cx="5969000" cy="2686050"/>
                        </a:xfrm>
                        <a:prstGeom prst="rect">
                          <a:avLst/>
                        </a:prstGeom>
                        <a:solidFill>
                          <a:srgbClr val="FFFFFF"/>
                        </a:solidFill>
                        <a:ln>
                          <a:noFill/>
                        </a:ln>
                      </wps:spPr>
                      <wps:txbx>
                        <w:txbxContent>
                          <w:p>
                            <w:pPr>
                              <w:pStyle w:val="48"/>
                              <w:rPr>
                                <w:rFonts w:ascii="Times New Roman"/>
                              </w:rPr>
                            </w:pPr>
                            <w:r>
                              <w:rPr>
                                <w:rFonts w:hint="eastAsia" w:ascii="Times New Roman"/>
                              </w:rPr>
                              <w:t>苹果采后预冷规范</w:t>
                            </w:r>
                          </w:p>
                          <w:p>
                            <w:pPr>
                              <w:pStyle w:val="48"/>
                              <w:rPr>
                                <w:rFonts w:ascii="Times New Roman"/>
                                <w:sz w:val="28"/>
                                <w:szCs w:val="28"/>
                              </w:rPr>
                            </w:pPr>
                            <w:r>
                              <w:rPr>
                                <w:rFonts w:ascii="Times New Roman"/>
                                <w:sz w:val="28"/>
                                <w:szCs w:val="28"/>
                              </w:rPr>
                              <w:t>Technical specification for pre-cooling of postharvest apple</w:t>
                            </w:r>
                          </w:p>
                          <w:p>
                            <w:pPr>
                              <w:pStyle w:val="48"/>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lang w:eastAsia="zh-CN"/>
                                <w14:textFill>
                                  <w14:solidFill>
                                    <w14:schemeClr w14:val="tx1"/>
                                  </w14:solidFill>
                                </w14:textFill>
                              </w:rPr>
                              <w:t>征求意见</w:t>
                            </w:r>
                            <w:r>
                              <w:rPr>
                                <w:rFonts w:hint="eastAsia" w:ascii="宋体" w:hAnsi="宋体" w:eastAsia="宋体" w:cs="宋体"/>
                                <w:color w:val="000000" w:themeColor="text1"/>
                                <w:sz w:val="28"/>
                                <w:szCs w:val="28"/>
                                <w14:textFill>
                                  <w14:solidFill>
                                    <w14:schemeClr w14:val="tx1"/>
                                  </w14:solidFill>
                                </w14:textFill>
                              </w:rPr>
                              <w:t>稿）</w:t>
                            </w:r>
                          </w:p>
                        </w:txbxContent>
                      </wps:txbx>
                      <wps:bodyPr lIns="0" tIns="0" rIns="0" bIns="0" upright="1"/>
                    </wps:wsp>
                  </a:graphicData>
                </a:graphic>
              </wp:anchor>
            </w:drawing>
          </mc:Choice>
          <mc:Fallback>
            <w:pict>
              <v:shape id="fmFrame4" o:spid="_x0000_s1026" o:spt="202" type="#_x0000_t202" style="position:absolute;left:0pt;margin-left:-9pt;margin-top:290.9pt;height:211.5pt;width:470pt;mso-position-horizontal-relative:margin;mso-position-vertical-relative:margin;z-index:251662336;mso-width-relative:page;mso-height-relative:page;" fillcolor="#FFFFFF" filled="t" stroked="f" coordsize="21600,21600" o:gfxdata="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NqSdzHaAAAADAEA&#10;AA8AAAAAAAAAAQAgAAAAIgAAAGRycy9kb3ducmV2LnhtbFBLAQIUABQAAAAIAIdO4kD1yCWYpgEA&#10;AEsDAAAOAAAAAAAAAAEAIAAAACkBAABkcnMvZTJvRG9jLnhtbFBLBQYAAAAABgAGAFkBAABBBQAA&#10;AAA=&#10;">
                <v:fill on="t" focussize="0,0"/>
                <v:stroke on="f"/>
                <v:imagedata o:title=""/>
                <o:lock v:ext="edit" aspectratio="f"/>
                <v:textbox inset="0mm,0mm,0mm,0mm">
                  <w:txbxContent>
                    <w:p>
                      <w:pPr>
                        <w:pStyle w:val="48"/>
                        <w:rPr>
                          <w:rFonts w:ascii="Times New Roman"/>
                        </w:rPr>
                      </w:pPr>
                      <w:r>
                        <w:rPr>
                          <w:rFonts w:hint="eastAsia" w:ascii="Times New Roman"/>
                        </w:rPr>
                        <w:t>苹果采后预冷规范</w:t>
                      </w:r>
                    </w:p>
                    <w:p>
                      <w:pPr>
                        <w:pStyle w:val="48"/>
                        <w:rPr>
                          <w:rFonts w:ascii="Times New Roman"/>
                          <w:sz w:val="28"/>
                          <w:szCs w:val="28"/>
                        </w:rPr>
                      </w:pPr>
                      <w:r>
                        <w:rPr>
                          <w:rFonts w:ascii="Times New Roman"/>
                          <w:sz w:val="28"/>
                          <w:szCs w:val="28"/>
                        </w:rPr>
                        <w:t>Technical specification for pre-cooling of postharvest apple</w:t>
                      </w:r>
                    </w:p>
                    <w:p>
                      <w:pPr>
                        <w:pStyle w:val="48"/>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lang w:eastAsia="zh-CN"/>
                          <w14:textFill>
                            <w14:solidFill>
                              <w14:schemeClr w14:val="tx1"/>
                            </w14:solidFill>
                          </w14:textFill>
                        </w:rPr>
                        <w:t>征求意见</w:t>
                      </w:r>
                      <w:r>
                        <w:rPr>
                          <w:rFonts w:hint="eastAsia" w:ascii="宋体" w:hAnsi="宋体" w:eastAsia="宋体" w:cs="宋体"/>
                          <w:color w:val="000000" w:themeColor="text1"/>
                          <w:sz w:val="28"/>
                          <w:szCs w:val="28"/>
                          <w14:textFill>
                            <w14:solidFill>
                              <w14:schemeClr w14:val="tx1"/>
                            </w14:solidFill>
                          </w14:textFill>
                        </w:rPr>
                        <w:t>稿）</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-93980</wp:posOffset>
                </wp:positionH>
                <wp:positionV relativeFrom="margin">
                  <wp:posOffset>1510030</wp:posOffset>
                </wp:positionV>
                <wp:extent cx="6236970" cy="750570"/>
                <wp:effectExtent l="0" t="0" r="11430" b="11430"/>
                <wp:wrapNone/>
                <wp:docPr id="2" name="fmFrame3"/>
                <wp:cNvGraphicFramePr/>
                <a:graphic xmlns:a="http://schemas.openxmlformats.org/drawingml/2006/main">
                  <a:graphicData uri="http://schemas.microsoft.com/office/word/2010/wordprocessingShape">
                    <wps:wsp>
                      <wps:cNvSpPr txBox="1"/>
                      <wps:spPr>
                        <a:xfrm>
                          <a:off x="0" y="0"/>
                          <a:ext cx="6236970" cy="750570"/>
                        </a:xfrm>
                        <a:prstGeom prst="rect">
                          <a:avLst/>
                        </a:prstGeom>
                        <a:solidFill>
                          <a:srgbClr val="FFFFFF"/>
                        </a:solidFill>
                        <a:ln>
                          <a:noFill/>
                        </a:ln>
                      </wps:spPr>
                      <wps:txbx>
                        <w:txbxContent>
                          <w:p>
                            <w:pPr>
                              <w:pStyle w:val="65"/>
                              <w:ind w:right="315" w:rightChars="150"/>
                              <w:rPr>
                                <w:rFonts w:ascii="黑体" w:hAnsi="黑体" w:eastAsia="黑体" w:cs="黑体"/>
                              </w:rPr>
                            </w:pPr>
                            <w:r>
                              <w:rPr>
                                <w:rFonts w:hint="eastAsia" w:ascii="黑体" w:hAnsi="黑体" w:eastAsia="黑体" w:cs="黑体"/>
                              </w:rPr>
                              <w:t>DB61/T XXXX—XXXX</w:t>
                            </w:r>
                          </w:p>
                          <w:p>
                            <w:pPr>
                              <w:pStyle w:val="65"/>
                              <w:rPr>
                                <w:color w:val="000000"/>
                              </w:rPr>
                            </w:pPr>
                            <w:r>
                              <w:rPr>
                                <w:color w:val="000000"/>
                              </w:rPr>
                              <w:t>Q</w:t>
                            </w:r>
                            <w:r>
                              <w:rPr>
                                <w:rFonts w:hint="eastAsia"/>
                                <w:color w:val="000000"/>
                              </w:rPr>
                              <w:t xml:space="preserve"> </w:t>
                            </w:r>
                            <w:r>
                              <w:rPr>
                                <w:color w:val="000000"/>
                              </w:rPr>
                              <w:t>/</w:t>
                            </w:r>
                            <w:r>
                              <w:rPr>
                                <w:rFonts w:hint="eastAsia"/>
                                <w:color w:val="000000"/>
                              </w:rPr>
                              <w:t>LLY 001</w:t>
                            </w:r>
                            <w:r>
                              <w:rPr>
                                <w:color w:val="000000"/>
                              </w:rPr>
                              <w:t>—200</w:t>
                            </w:r>
                            <w:r>
                              <w:rPr>
                                <w:rFonts w:hint="eastAsia"/>
                                <w:color w:val="000000"/>
                              </w:rPr>
                              <w:t>9</w:t>
                            </w:r>
                          </w:p>
                        </w:txbxContent>
                      </wps:txbx>
                      <wps:bodyPr lIns="0" tIns="0" rIns="0" bIns="0" upright="1"/>
                    </wps:wsp>
                  </a:graphicData>
                </a:graphic>
              </wp:anchor>
            </w:drawing>
          </mc:Choice>
          <mc:Fallback>
            <w:pict>
              <v:shape id="fmFrame3" o:spid="_x0000_s1026" o:spt="202" type="#_x0000_t202" style="position:absolute;left:0pt;margin-left:-7.4pt;margin-top:118.9pt;height:59.1pt;width:491.1pt;mso-position-horizontal-relative:margin;mso-position-vertical-relative:margin;z-index:251661312;mso-width-relative:page;mso-height-relative:page;" fillcolor="#FFFFFF" filled="t" stroked="f" coordsize="21600,21600" o:gfxdata="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KZ0GL2wAAAAsBAAAP&#10;AAAAAAAAAAEAIAAAACIAAABkcnMvZG93bnJldi54bWxQSwECFAAUAAAACACHTuJA5CyXu6MBAABK&#10;AwAADgAAAAAAAAABACAAAAAqAQAAZHJzL2Uyb0RvYy54bWxQSwUGAAAAAAYABgBZAQAAPwUAAAAA&#10;">
                <v:fill on="t" focussize="0,0"/>
                <v:stroke on="f"/>
                <v:imagedata o:title=""/>
                <o:lock v:ext="edit" aspectratio="f"/>
                <v:textbox inset="0mm,0mm,0mm,0mm">
                  <w:txbxContent>
                    <w:p>
                      <w:pPr>
                        <w:pStyle w:val="65"/>
                        <w:ind w:right="315" w:rightChars="150"/>
                        <w:rPr>
                          <w:rFonts w:ascii="黑体" w:hAnsi="黑体" w:eastAsia="黑体" w:cs="黑体"/>
                        </w:rPr>
                      </w:pPr>
                      <w:r>
                        <w:rPr>
                          <w:rFonts w:hint="eastAsia" w:ascii="黑体" w:hAnsi="黑体" w:eastAsia="黑体" w:cs="黑体"/>
                        </w:rPr>
                        <w:t>DB61/T XXXX—XXXX</w:t>
                      </w:r>
                    </w:p>
                    <w:p>
                      <w:pPr>
                        <w:pStyle w:val="65"/>
                        <w:rPr>
                          <w:color w:val="000000"/>
                        </w:rPr>
                      </w:pPr>
                      <w:r>
                        <w:rPr>
                          <w:color w:val="000000"/>
                        </w:rPr>
                        <w:t>Q</w:t>
                      </w:r>
                      <w:r>
                        <w:rPr>
                          <w:rFonts w:hint="eastAsia"/>
                          <w:color w:val="000000"/>
                        </w:rPr>
                        <w:t xml:space="preserve"> </w:t>
                      </w:r>
                      <w:r>
                        <w:rPr>
                          <w:color w:val="000000"/>
                        </w:rPr>
                        <w:t>/</w:t>
                      </w:r>
                      <w:r>
                        <w:rPr>
                          <w:rFonts w:hint="eastAsia"/>
                          <w:color w:val="000000"/>
                        </w:rPr>
                        <w:t>LLY 001</w:t>
                      </w:r>
                      <w:r>
                        <w:rPr>
                          <w:color w:val="000000"/>
                        </w:rPr>
                        <w:t>—200</w:t>
                      </w:r>
                      <w:r>
                        <w:rPr>
                          <w:rFonts w:hint="eastAsia"/>
                          <w:color w:val="000000"/>
                        </w:rPr>
                        <w:t>9</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-9525</wp:posOffset>
                </wp:positionH>
                <wp:positionV relativeFrom="margin">
                  <wp:posOffset>1066165</wp:posOffset>
                </wp:positionV>
                <wp:extent cx="6068060" cy="410845"/>
                <wp:effectExtent l="0" t="0" r="8890" b="8255"/>
                <wp:wrapNone/>
                <wp:docPr id="1" name="fmFrame2"/>
                <wp:cNvGraphicFramePr/>
                <a:graphic xmlns:a="http://schemas.openxmlformats.org/drawingml/2006/main">
                  <a:graphicData uri="http://schemas.microsoft.com/office/word/2010/wordprocessingShape">
                    <wps:wsp>
                      <wps:cNvSpPr txBox="1"/>
                      <wps:spPr>
                        <a:xfrm>
                          <a:off x="0" y="0"/>
                          <a:ext cx="6068060" cy="410845"/>
                        </a:xfrm>
                        <a:prstGeom prst="rect">
                          <a:avLst/>
                        </a:prstGeom>
                        <a:solidFill>
                          <a:srgbClr val="FFFFFF"/>
                        </a:solidFill>
                        <a:ln>
                          <a:noFill/>
                        </a:ln>
                      </wps:spPr>
                      <wps:txbx>
                        <w:txbxContent>
                          <w:p>
                            <w:pPr>
                              <w:pStyle w:val="83"/>
                              <w:ind w:left="105" w:leftChars="50" w:right="105" w:rightChars="50"/>
                              <w:rPr>
                                <w:spacing w:val="-40"/>
                                <w:szCs w:val="52"/>
                              </w:rPr>
                            </w:pPr>
                            <w:r>
                              <w:rPr>
                                <w:rFonts w:hint="eastAsia"/>
                                <w:color w:val="000000"/>
                                <w:spacing w:val="-48"/>
                                <w:szCs w:val="52"/>
                              </w:rPr>
                              <w:t>陕西省地方标准</w:t>
                            </w:r>
                            <w:r>
                              <w:rPr>
                                <w:rFonts w:hint="eastAsia"/>
                                <w:spacing w:val="-40"/>
                                <w:szCs w:val="52"/>
                              </w:rPr>
                              <w:t xml:space="preserve"> </w:t>
                            </w:r>
                          </w:p>
                        </w:txbxContent>
                      </wps:txbx>
                      <wps:bodyPr lIns="0" tIns="0" rIns="0" bIns="0" upright="1"/>
                    </wps:wsp>
                  </a:graphicData>
                </a:graphic>
              </wp:anchor>
            </w:drawing>
          </mc:Choice>
          <mc:Fallback>
            <w:pict>
              <v:shape id="fmFrame2" o:spid="_x0000_s1026" o:spt="202" type="#_x0000_t202" style="position:absolute;left:0pt;margin-left:-0.75pt;margin-top:83.95pt;height:32.35pt;width:477.8pt;mso-position-horizontal-relative:margin;mso-position-vertical-relative:margin;z-index:251660288;mso-width-relative:page;mso-height-relative:page;" fillcolor="#FFFFFF" filled="t" stroked="f" coordsize="21600,21600" o:gfxdata="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HZwkDvZAAAACgEAAA8AAAAA&#10;AAAAAQAgAAAAIgAAAGRycy9kb3ducmV2LnhtbFBLAQIUABQAAAAIAIdO4kCR9biLoQEAAEoDAAAO&#10;AAAAAAAAAAEAIAAAACgBAABkcnMvZTJvRG9jLnhtbFBLBQYAAAAABgAGAFkBAAA7BQAAAAA=&#10;">
                <v:fill on="t" focussize="0,0"/>
                <v:stroke on="f"/>
                <v:imagedata o:title=""/>
                <o:lock v:ext="edit" aspectratio="f"/>
                <v:textbox inset="0mm,0mm,0mm,0mm">
                  <w:txbxContent>
                    <w:p>
                      <w:pPr>
                        <w:pStyle w:val="83"/>
                        <w:ind w:left="105" w:leftChars="50" w:right="105" w:rightChars="50"/>
                        <w:rPr>
                          <w:spacing w:val="-40"/>
                          <w:szCs w:val="52"/>
                        </w:rPr>
                      </w:pPr>
                      <w:r>
                        <w:rPr>
                          <w:rFonts w:hint="eastAsia"/>
                          <w:color w:val="000000"/>
                          <w:spacing w:val="-48"/>
                          <w:szCs w:val="52"/>
                        </w:rPr>
                        <w:t>陕西省地方标准</w:t>
                      </w:r>
                      <w:r>
                        <w:rPr>
                          <w:rFonts w:hint="eastAsia"/>
                          <w:spacing w:val="-40"/>
                          <w:szCs w:val="52"/>
                        </w:rPr>
                        <w:t xml:space="preserve"> </w:t>
                      </w:r>
                    </w:p>
                  </w:txbxContent>
                </v:textbox>
                <w10:anchorlock/>
              </v:shape>
            </w:pict>
          </mc:Fallback>
        </mc:AlternateContent>
      </w:r>
    </w:p>
    <w:p>
      <w:pPr>
        <w:pStyle w:val="55"/>
      </w:pPr>
      <w:r>
        <w:rPr>
          <w:rFonts w:hint="eastAsia"/>
        </w:rPr>
        <w:t>前   言</w:t>
      </w:r>
    </w:p>
    <w:p>
      <w:pPr>
        <w:pStyle w:val="45"/>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本文件按照GB/T 1.1</w:t>
      </w: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2020《标准化工作导则  第1部分：标准化文件的结构和起草规则》的规定起草。</w:t>
      </w:r>
    </w:p>
    <w:p>
      <w:pPr>
        <w:pStyle w:val="45"/>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本文件由陕西省农业农村厅提出。</w:t>
      </w:r>
    </w:p>
    <w:p>
      <w:pPr>
        <w:pStyle w:val="45"/>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本文件由陕西省农业农村厅归口。</w:t>
      </w:r>
    </w:p>
    <w:p>
      <w:pPr>
        <w:pStyle w:val="45"/>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本文件起草单位：陕西省果业中心、西北农林科技大学、陕西科技大</w:t>
      </w:r>
      <w:r>
        <w:rPr>
          <w:rFonts w:hint="eastAsia" w:ascii="Times New Roman"/>
          <w:color w:val="auto"/>
        </w:rPr>
        <w:t>学、洛川县苹果产业研发中心、洛川县苹果生产技术推广服务中心、黄陵县果业技术推广和产业营销服务中心、延安自然搭档农业发展有限公司</w:t>
      </w:r>
      <w:r>
        <w:rPr>
          <w:rFonts w:hint="eastAsia" w:ascii="Times New Roman"/>
          <w:color w:val="auto"/>
          <w:lang w:eastAsia="zh-CN"/>
        </w:rPr>
        <w:t>、</w:t>
      </w:r>
      <w:r>
        <w:rPr>
          <w:rFonts w:hint="eastAsia" w:ascii="Times New Roman"/>
          <w:color w:val="auto"/>
        </w:rPr>
        <w:t>陕西王掌柜农业发展有限公司、陕西华圣现代农业集团有限公司、陕西顶端果业</w:t>
      </w:r>
      <w:r>
        <w:rPr>
          <w:rFonts w:hint="eastAsia" w:ascii="Times New Roman"/>
          <w:color w:val="000000" w:themeColor="text1"/>
          <w14:textFill>
            <w14:solidFill>
              <w14:schemeClr w14:val="tx1"/>
            </w14:solidFill>
          </w14:textFill>
        </w:rPr>
        <w:t>科技有限公司。</w:t>
      </w:r>
    </w:p>
    <w:p>
      <w:pPr>
        <w:pStyle w:val="45"/>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本文件主要起草人：杨建伟、丁毓端、</w:t>
      </w:r>
      <w:bookmarkStart w:id="3" w:name="_GoBack"/>
      <w:bookmarkEnd w:id="3"/>
      <w:r>
        <w:rPr>
          <w:rFonts w:hint="eastAsia" w:ascii="Times New Roman"/>
          <w:color w:val="000000" w:themeColor="text1"/>
          <w14:textFill>
            <w14:solidFill>
              <w14:schemeClr w14:val="tx1"/>
            </w14:solidFill>
          </w14:textFill>
        </w:rPr>
        <w:t>任小林、莫海珍、李红波、刘振彬、刘翠华、胡梁斌、施春阳、王胜虎、周会玲、吕燕荣、王希良、李世权、徐丹、</w:t>
      </w:r>
      <w:r>
        <w:rPr>
          <w:rFonts w:hint="eastAsia" w:ascii="Times New Roman"/>
          <w:color w:val="000000" w:themeColor="text1"/>
          <w:lang w:val="en-US" w:eastAsia="zh-CN"/>
          <w14:textFill>
            <w14:solidFill>
              <w14:schemeClr w14:val="tx1"/>
            </w14:solidFill>
          </w14:textFill>
        </w:rPr>
        <w:t>田露、</w:t>
      </w:r>
      <w:r>
        <w:rPr>
          <w:rFonts w:hint="eastAsia" w:ascii="Times New Roman"/>
          <w:color w:val="000000" w:themeColor="text1"/>
          <w14:textFill>
            <w14:solidFill>
              <w14:schemeClr w14:val="tx1"/>
            </w14:solidFill>
          </w14:textFill>
        </w:rPr>
        <w:t>李前进、王晓东、赵峰、方浩</w:t>
      </w:r>
      <w:r>
        <w:rPr>
          <w:rFonts w:hint="eastAsia" w:ascii="Times New Roman"/>
          <w:color w:val="000000" w:themeColor="text1"/>
          <w:lang w:eastAsia="zh-CN"/>
          <w14:textFill>
            <w14:solidFill>
              <w14:schemeClr w14:val="tx1"/>
            </w14:solidFill>
          </w14:textFill>
        </w:rPr>
        <w:t>、</w:t>
      </w:r>
      <w:r>
        <w:rPr>
          <w:rFonts w:hint="eastAsia" w:ascii="Times New Roman"/>
          <w:color w:val="000000" w:themeColor="text1"/>
          <w14:textFill>
            <w14:solidFill>
              <w14:schemeClr w14:val="tx1"/>
            </w14:solidFill>
          </w14:textFill>
        </w:rPr>
        <w:t>王超、王颖、赵恒亮。</w:t>
      </w:r>
    </w:p>
    <w:p>
      <w:pPr>
        <w:pStyle w:val="45"/>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本文件由陕西省农业农村厅负责解释。</w:t>
      </w:r>
    </w:p>
    <w:p>
      <w:pPr>
        <w:pStyle w:val="45"/>
        <w:ind w:firstLine="420"/>
        <w:rPr>
          <w:rFonts w:ascii="Times New Roman"/>
        </w:rPr>
      </w:pPr>
      <w:r>
        <w:rPr>
          <w:rFonts w:hint="eastAsia" w:ascii="Times New Roman"/>
          <w:color w:val="000000" w:themeColor="text1"/>
          <w14:textFill>
            <w14:solidFill>
              <w14:schemeClr w14:val="tx1"/>
            </w14:solidFill>
          </w14:textFill>
        </w:rPr>
        <w:t>本文件为首次发布。</w:t>
      </w:r>
    </w:p>
    <w:p>
      <w:pPr>
        <w:pStyle w:val="45"/>
        <w:ind w:firstLine="420"/>
        <w:rPr>
          <w:rFonts w:ascii="Times New Roman"/>
        </w:rPr>
      </w:pPr>
    </w:p>
    <w:p>
      <w:pPr>
        <w:pStyle w:val="45"/>
        <w:ind w:firstLine="420"/>
        <w:rPr>
          <w:rFonts w:ascii="Times New Roman"/>
        </w:rPr>
        <w:sectPr>
          <w:headerReference r:id="rId9" w:type="default"/>
          <w:footerReference r:id="rId11" w:type="default"/>
          <w:headerReference r:id="rId10" w:type="even"/>
          <w:footerReference r:id="rId12" w:type="even"/>
          <w:type w:val="oddPage"/>
          <w:pgSz w:w="11907" w:h="16839"/>
          <w:pgMar w:top="1418" w:right="1134" w:bottom="1134" w:left="1418" w:header="1418" w:footer="1134" w:gutter="0"/>
          <w:pgNumType w:fmt="upperRoman" w:start="1"/>
          <w:cols w:space="720" w:num="1"/>
          <w:docGrid w:type="lines" w:linePitch="312" w:charSpace="0"/>
        </w:sectPr>
      </w:pPr>
    </w:p>
    <w:p>
      <w:pPr>
        <w:pStyle w:val="90"/>
        <w:spacing w:before="720" w:after="600"/>
        <w:rPr>
          <w:rFonts w:ascii="Times New Roman"/>
        </w:rPr>
      </w:pPr>
      <w:bookmarkStart w:id="0" w:name="OLE_LINK1"/>
      <w:r>
        <w:rPr>
          <w:rFonts w:hint="eastAsia" w:ascii="Times New Roman"/>
        </w:rPr>
        <w:t>苹果采后预冷规范</w:t>
      </w:r>
    </w:p>
    <w:bookmarkEnd w:id="0"/>
    <w:p>
      <w:pPr>
        <w:pStyle w:val="99"/>
        <w:spacing w:before="0" w:beforeLines="0" w:after="0" w:afterLines="0" w:line="720" w:lineRule="auto"/>
        <w:rPr>
          <w:rFonts w:ascii="Times New Roman"/>
        </w:rPr>
      </w:pPr>
      <w:r>
        <w:rPr>
          <w:rFonts w:hint="eastAsia" w:ascii="Times New Roman"/>
        </w:rPr>
        <w:t>范围</w:t>
      </w:r>
    </w:p>
    <w:p>
      <w:pPr>
        <w:pStyle w:val="45"/>
        <w:ind w:firstLine="420"/>
        <w:rPr>
          <w:rFonts w:ascii="Times New Roman"/>
        </w:rPr>
      </w:pPr>
      <w:r>
        <w:rPr>
          <w:rFonts w:hint="eastAsia" w:ascii="Times New Roman"/>
        </w:rPr>
        <w:t>本文件规定了苹果采后预冷的术语和定义、基本要求、入库、预冷、出库。</w:t>
      </w:r>
    </w:p>
    <w:p>
      <w:pPr>
        <w:pStyle w:val="45"/>
        <w:ind w:firstLine="420"/>
        <w:rPr>
          <w:rFonts w:ascii="Times New Roman"/>
        </w:rPr>
      </w:pPr>
      <w:r>
        <w:rPr>
          <w:rFonts w:hint="eastAsia" w:ascii="Times New Roman"/>
        </w:rPr>
        <w:t>本文件适用于陕西地区生产的各类主栽苹果品种鲜果的预冷。</w:t>
      </w:r>
    </w:p>
    <w:p>
      <w:pPr>
        <w:pStyle w:val="99"/>
        <w:spacing w:before="0" w:beforeLines="0" w:after="0" w:afterLines="0" w:line="720" w:lineRule="auto"/>
        <w:rPr>
          <w:rFonts w:ascii="Times New Roman"/>
        </w:rPr>
      </w:pPr>
      <w:r>
        <w:rPr>
          <w:rFonts w:hint="eastAsia" w:ascii="Times New Roman"/>
        </w:rPr>
        <w:t>规范性引用文件</w:t>
      </w:r>
    </w:p>
    <w:p>
      <w:pPr>
        <w:pStyle w:val="45"/>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Style w:val="41"/>
        <w:tblW w:w="9376" w:type="dxa"/>
        <w:tblInd w:w="-11" w:type="dxa"/>
        <w:tblLayout w:type="fixed"/>
        <w:tblCellMar>
          <w:top w:w="0" w:type="dxa"/>
          <w:left w:w="108" w:type="dxa"/>
          <w:bottom w:w="0" w:type="dxa"/>
          <w:right w:w="108" w:type="dxa"/>
        </w:tblCellMar>
      </w:tblPr>
      <w:tblGrid>
        <w:gridCol w:w="9376"/>
      </w:tblGrid>
      <w:tr>
        <w:tblPrEx>
          <w:tblLayout w:type="fixed"/>
          <w:tblCellMar>
            <w:top w:w="0" w:type="dxa"/>
            <w:left w:w="108" w:type="dxa"/>
            <w:bottom w:w="0" w:type="dxa"/>
            <w:right w:w="108" w:type="dxa"/>
          </w:tblCellMar>
        </w:tblPrEx>
        <w:trPr>
          <w:trHeight w:val="374" w:hRule="exact"/>
        </w:trPr>
        <w:tc>
          <w:tcPr>
            <w:tcW w:w="9376" w:type="dxa"/>
            <w:tcMar>
              <w:left w:w="0" w:type="dxa"/>
              <w:right w:w="0" w:type="dxa"/>
            </w:tcMar>
          </w:tcPr>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GB/T 8559　苹果冷藏技术</w:t>
            </w:r>
          </w:p>
        </w:tc>
      </w:tr>
      <w:tr>
        <w:tblPrEx>
          <w:tblLayout w:type="fixed"/>
          <w:tblCellMar>
            <w:top w:w="0" w:type="dxa"/>
            <w:left w:w="108" w:type="dxa"/>
            <w:bottom w:w="0" w:type="dxa"/>
            <w:right w:w="108" w:type="dxa"/>
          </w:tblCellMar>
        </w:tblPrEx>
        <w:trPr>
          <w:trHeight w:val="374" w:hRule="exact"/>
        </w:trPr>
        <w:tc>
          <w:tcPr>
            <w:tcW w:w="9376" w:type="dxa"/>
            <w:tcMar>
              <w:left w:w="0" w:type="dxa"/>
              <w:right w:w="0" w:type="dxa"/>
            </w:tcMar>
          </w:tcPr>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GB/T 10651　鲜苹果</w:t>
            </w:r>
          </w:p>
        </w:tc>
      </w:tr>
      <w:tr>
        <w:tblPrEx>
          <w:tblLayout w:type="fixed"/>
          <w:tblCellMar>
            <w:top w:w="0" w:type="dxa"/>
            <w:left w:w="108" w:type="dxa"/>
            <w:bottom w:w="0" w:type="dxa"/>
            <w:right w:w="108" w:type="dxa"/>
          </w:tblCellMar>
        </w:tblPrEx>
        <w:trPr>
          <w:trHeight w:val="404" w:hRule="exact"/>
        </w:trPr>
        <w:tc>
          <w:tcPr>
            <w:tcW w:w="9376" w:type="dxa"/>
            <w:tcMar>
              <w:left w:w="0" w:type="dxa"/>
              <w:right w:w="0" w:type="dxa"/>
            </w:tcMar>
          </w:tcPr>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GB 50072　冷库设计规范</w:t>
            </w:r>
          </w:p>
        </w:tc>
      </w:tr>
      <w:tr>
        <w:tblPrEx>
          <w:tblLayout w:type="fixed"/>
          <w:tblCellMar>
            <w:top w:w="0" w:type="dxa"/>
            <w:left w:w="108" w:type="dxa"/>
            <w:bottom w:w="0" w:type="dxa"/>
            <w:right w:w="108" w:type="dxa"/>
          </w:tblCellMar>
        </w:tblPrEx>
        <w:trPr>
          <w:trHeight w:val="374" w:hRule="exact"/>
        </w:trPr>
        <w:tc>
          <w:tcPr>
            <w:tcW w:w="9376" w:type="dxa"/>
            <w:tcMar>
              <w:left w:w="0" w:type="dxa"/>
              <w:right w:w="0" w:type="dxa"/>
            </w:tcMar>
          </w:tcPr>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GB 50274　制冷设备、空气分离设备安装工程施工及验收规范</w:t>
            </w:r>
          </w:p>
        </w:tc>
      </w:tr>
      <w:tr>
        <w:tblPrEx>
          <w:tblLayout w:type="fixed"/>
          <w:tblCellMar>
            <w:top w:w="0" w:type="dxa"/>
            <w:left w:w="108" w:type="dxa"/>
            <w:bottom w:w="0" w:type="dxa"/>
            <w:right w:w="108" w:type="dxa"/>
          </w:tblCellMar>
        </w:tblPrEx>
        <w:trPr>
          <w:trHeight w:val="374" w:hRule="exact"/>
        </w:trPr>
        <w:tc>
          <w:tcPr>
            <w:tcW w:w="9376" w:type="dxa"/>
            <w:tcMar>
              <w:left w:w="0" w:type="dxa"/>
              <w:right w:w="0" w:type="dxa"/>
            </w:tcMar>
          </w:tcPr>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NY/T 658　绿色食品 包装通用准则</w:t>
            </w:r>
          </w:p>
        </w:tc>
      </w:tr>
      <w:tr>
        <w:tblPrEx>
          <w:tblLayout w:type="fixed"/>
          <w:tblCellMar>
            <w:top w:w="0" w:type="dxa"/>
            <w:left w:w="108" w:type="dxa"/>
            <w:bottom w:w="0" w:type="dxa"/>
            <w:right w:w="108" w:type="dxa"/>
          </w:tblCellMar>
        </w:tblPrEx>
        <w:trPr>
          <w:trHeight w:val="374" w:hRule="exact"/>
        </w:trPr>
        <w:tc>
          <w:tcPr>
            <w:tcW w:w="9376" w:type="dxa"/>
            <w:tcMar>
              <w:left w:w="0" w:type="dxa"/>
              <w:right w:w="0" w:type="dxa"/>
            </w:tcMar>
          </w:tcPr>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SBJ 11　冷藏库建筑工程施工及验收规范</w:t>
            </w:r>
          </w:p>
        </w:tc>
      </w:tr>
      <w:tr>
        <w:tblPrEx>
          <w:tblLayout w:type="fixed"/>
          <w:tblCellMar>
            <w:top w:w="0" w:type="dxa"/>
            <w:left w:w="108" w:type="dxa"/>
            <w:bottom w:w="0" w:type="dxa"/>
            <w:right w:w="108" w:type="dxa"/>
          </w:tblCellMar>
        </w:tblPrEx>
        <w:trPr>
          <w:trHeight w:val="374" w:hRule="exact"/>
        </w:trPr>
        <w:tc>
          <w:tcPr>
            <w:tcW w:w="9376" w:type="dxa"/>
            <w:tcMar>
              <w:left w:w="0" w:type="dxa"/>
              <w:right w:w="0" w:type="dxa"/>
            </w:tcMar>
          </w:tcPr>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SBJ 12　氨制冷系统安装工程施工及验收规范</w:t>
            </w:r>
          </w:p>
        </w:tc>
      </w:tr>
    </w:tbl>
    <w:p>
      <w:pPr>
        <w:pStyle w:val="99"/>
        <w:spacing w:before="0" w:beforeLines="0" w:after="0" w:afterLines="0" w:line="720" w:lineRule="auto"/>
        <w:rPr>
          <w:rFonts w:ascii="Times New Roman"/>
        </w:rPr>
      </w:pPr>
      <w:r>
        <w:rPr>
          <w:rFonts w:hint="eastAsia" w:ascii="Times New Roman"/>
        </w:rPr>
        <w:t>术语和定义</w:t>
      </w:r>
    </w:p>
    <w:p>
      <w:pPr>
        <w:pStyle w:val="45"/>
        <w:ind w:firstLine="420"/>
        <w:rPr>
          <w:rFonts w:ascii="Times New Roman"/>
        </w:rPr>
      </w:pPr>
      <w:r>
        <w:rPr>
          <w:rFonts w:hint="eastAsia" w:ascii="Times New Roman"/>
        </w:rPr>
        <w:t>下列术语和定义适用于本文件。</w:t>
      </w:r>
    </w:p>
    <w:p>
      <w:pPr>
        <w:pStyle w:val="64"/>
        <w:spacing w:before="156" w:beforeLines="50" w:after="156" w:afterLines="50"/>
        <w:jc w:val="both"/>
        <w:rPr>
          <w:color w:val="000000" w:themeColor="text1"/>
          <w:szCs w:val="22"/>
          <w14:textFill>
            <w14:solidFill>
              <w14:schemeClr w14:val="tx1"/>
            </w14:solidFill>
          </w14:textFill>
        </w:rPr>
      </w:pPr>
    </w:p>
    <w:p>
      <w:pPr>
        <w:pStyle w:val="64"/>
        <w:numPr>
          <w:ilvl w:val="2"/>
          <w:numId w:val="0"/>
        </w:numPr>
        <w:spacing w:before="156" w:beforeLines="50" w:after="156" w:afterLines="50"/>
        <w:ind w:firstLine="420" w:firstLineChars="200"/>
        <w:jc w:val="both"/>
        <w:rPr>
          <w:color w:val="000000" w:themeColor="text1"/>
          <w:szCs w:val="22"/>
          <w14:textFill>
            <w14:solidFill>
              <w14:schemeClr w14:val="tx1"/>
            </w14:solidFill>
          </w14:textFill>
        </w:rPr>
      </w:pPr>
      <w:r>
        <w:rPr>
          <w:rFonts w:hint="eastAsia"/>
          <w:szCs w:val="22"/>
        </w:rPr>
        <w:t>田间热　</w:t>
      </w:r>
    </w:p>
    <w:p>
      <w:pPr>
        <w:pStyle w:val="45"/>
        <w:ind w:firstLine="420"/>
      </w:pPr>
      <w:r>
        <w:rPr>
          <w:rFonts w:hint="eastAsia"/>
        </w:rPr>
        <w:t>采收的果实从田间带到冷库的热量。</w:t>
      </w:r>
    </w:p>
    <w:p>
      <w:pPr>
        <w:pStyle w:val="64"/>
        <w:spacing w:before="156" w:beforeLines="50" w:after="156" w:afterLines="50"/>
        <w:jc w:val="both"/>
        <w:rPr>
          <w:color w:val="000000" w:themeColor="text1"/>
          <w:szCs w:val="22"/>
          <w14:textFill>
            <w14:solidFill>
              <w14:schemeClr w14:val="tx1"/>
            </w14:solidFill>
          </w14:textFill>
        </w:rPr>
      </w:pPr>
    </w:p>
    <w:p>
      <w:pPr>
        <w:pStyle w:val="64"/>
        <w:numPr>
          <w:ilvl w:val="2"/>
          <w:numId w:val="0"/>
        </w:numPr>
        <w:spacing w:before="156" w:beforeLines="50" w:after="156" w:afterLines="50"/>
        <w:ind w:firstLine="420" w:firstLineChars="200"/>
        <w:jc w:val="both"/>
        <w:rPr>
          <w:color w:val="000000" w:themeColor="text1"/>
          <w:szCs w:val="22"/>
          <w14:textFill>
            <w14:solidFill>
              <w14:schemeClr w14:val="tx1"/>
            </w14:solidFill>
          </w14:textFill>
        </w:rPr>
      </w:pPr>
      <w:r>
        <w:rPr>
          <w:rFonts w:hint="eastAsia"/>
          <w:szCs w:val="22"/>
        </w:rPr>
        <w:t>预冷条件　</w:t>
      </w:r>
    </w:p>
    <w:p>
      <w:pPr>
        <w:pStyle w:val="45"/>
        <w:ind w:firstLine="420"/>
      </w:pPr>
      <w:r>
        <w:rPr>
          <w:rFonts w:hint="eastAsia"/>
        </w:rPr>
        <w:t>预冷环境中的温度、空气相对湿度及空气流速等参数的状况。</w:t>
      </w:r>
    </w:p>
    <w:p>
      <w:pPr>
        <w:pStyle w:val="64"/>
        <w:spacing w:before="156" w:beforeLines="50" w:after="156" w:afterLines="50"/>
        <w:jc w:val="both"/>
        <w:rPr>
          <w:color w:val="000000" w:themeColor="text1"/>
          <w:szCs w:val="22"/>
          <w14:textFill>
            <w14:solidFill>
              <w14:schemeClr w14:val="tx1"/>
            </w14:solidFill>
          </w14:textFill>
        </w:rPr>
      </w:pPr>
    </w:p>
    <w:p>
      <w:pPr>
        <w:pStyle w:val="64"/>
        <w:numPr>
          <w:ilvl w:val="2"/>
          <w:numId w:val="0"/>
        </w:numPr>
        <w:spacing w:before="156" w:beforeLines="50" w:after="156" w:afterLines="50"/>
        <w:ind w:firstLine="420" w:firstLineChars="200"/>
        <w:jc w:val="both"/>
        <w:rPr>
          <w:color w:val="000000" w:themeColor="text1"/>
          <w:szCs w:val="22"/>
          <w14:textFill>
            <w14:solidFill>
              <w14:schemeClr w14:val="tx1"/>
            </w14:solidFill>
          </w14:textFill>
        </w:rPr>
      </w:pPr>
      <w:r>
        <w:rPr>
          <w:rFonts w:hint="eastAsia"/>
          <w:szCs w:val="22"/>
        </w:rPr>
        <w:t>冷库　</w:t>
      </w:r>
    </w:p>
    <w:p>
      <w:pPr>
        <w:pStyle w:val="45"/>
        <w:ind w:firstLine="420"/>
      </w:pPr>
      <w:r>
        <w:rPr>
          <w:rFonts w:hint="eastAsia"/>
        </w:rPr>
        <w:t>采用人工制冷降温并具备保冷功能的仓储建筑群，包括贮藏间、制冷机房、变配电设施等。</w:t>
      </w:r>
    </w:p>
    <w:p>
      <w:pPr>
        <w:pStyle w:val="64"/>
        <w:spacing w:before="156" w:beforeLines="50" w:after="156" w:afterLines="50"/>
        <w:jc w:val="both"/>
        <w:rPr>
          <w:color w:val="000000" w:themeColor="text1"/>
          <w:szCs w:val="22"/>
          <w14:textFill>
            <w14:solidFill>
              <w14:schemeClr w14:val="tx1"/>
            </w14:solidFill>
          </w14:textFill>
        </w:rPr>
      </w:pPr>
    </w:p>
    <w:p>
      <w:pPr>
        <w:pStyle w:val="45"/>
        <w:spacing w:before="156" w:beforeLines="50" w:after="156" w:afterLines="50"/>
        <w:ind w:firstLine="420"/>
        <w:rPr>
          <w:rFonts w:ascii="Times New Roman" w:eastAsia="黑体"/>
          <w:szCs w:val="22"/>
        </w:rPr>
      </w:pPr>
      <w:r>
        <w:rPr>
          <w:rFonts w:hint="eastAsia" w:ascii="黑体" w:hAnsi="黑体" w:eastAsia="黑体" w:cs="黑体"/>
          <w:szCs w:val="22"/>
        </w:rPr>
        <w:t>预冷　</w:t>
      </w:r>
    </w:p>
    <w:p>
      <w:pPr>
        <w:pStyle w:val="45"/>
        <w:ind w:firstLine="420"/>
      </w:pPr>
      <w:r>
        <w:rPr>
          <w:rFonts w:hint="eastAsia"/>
        </w:rPr>
        <w:t>新鲜采收的水果，运输贮藏之前，迅速除去田间热和呼吸热，使其温度降低到规定温度范围的操作过程。</w:t>
      </w:r>
    </w:p>
    <w:p>
      <w:pPr>
        <w:pStyle w:val="64"/>
        <w:spacing w:before="156" w:beforeLines="50" w:after="156" w:afterLines="50"/>
        <w:jc w:val="both"/>
        <w:rPr>
          <w:color w:val="000000" w:themeColor="text1"/>
          <w:szCs w:val="22"/>
          <w14:textFill>
            <w14:solidFill>
              <w14:schemeClr w14:val="tx1"/>
            </w14:solidFill>
          </w14:textFill>
        </w:rPr>
      </w:pPr>
    </w:p>
    <w:p>
      <w:pPr>
        <w:pStyle w:val="45"/>
        <w:spacing w:before="156" w:beforeLines="50" w:after="156" w:afterLines="50"/>
        <w:ind w:firstLine="420"/>
        <w:rPr>
          <w:rFonts w:ascii="Times New Roman" w:eastAsia="黑体"/>
          <w:szCs w:val="22"/>
        </w:rPr>
      </w:pPr>
      <w:r>
        <w:rPr>
          <w:rFonts w:hint="eastAsia" w:ascii="黑体" w:hAnsi="黑体" w:eastAsia="黑体" w:cs="黑体"/>
          <w:szCs w:val="22"/>
        </w:rPr>
        <w:t>自然降温预冷　</w:t>
      </w:r>
    </w:p>
    <w:p>
      <w:pPr>
        <w:pStyle w:val="45"/>
        <w:ind w:firstLine="420"/>
        <w:rPr>
          <w:rFonts w:ascii="Times New Roman" w:eastAsia="黑体"/>
          <w:szCs w:val="22"/>
        </w:rPr>
      </w:pPr>
      <w:r>
        <w:rPr>
          <w:rFonts w:hint="eastAsia"/>
        </w:rPr>
        <w:t>新鲜采收的果实利用空气自然流动或昼夜温差，带走产品的热量达到降温的预冷方式。</w:t>
      </w:r>
    </w:p>
    <w:p>
      <w:pPr>
        <w:pStyle w:val="64"/>
        <w:spacing w:before="156" w:beforeLines="50" w:after="156" w:afterLines="50"/>
        <w:jc w:val="both"/>
        <w:rPr>
          <w:color w:val="000000" w:themeColor="text1"/>
          <w:szCs w:val="22"/>
          <w14:textFill>
            <w14:solidFill>
              <w14:schemeClr w14:val="tx1"/>
            </w14:solidFill>
          </w14:textFill>
        </w:rPr>
      </w:pPr>
    </w:p>
    <w:p>
      <w:pPr>
        <w:pStyle w:val="45"/>
        <w:spacing w:before="156" w:beforeLines="50" w:after="156" w:afterLines="50"/>
        <w:ind w:firstLine="420"/>
        <w:rPr>
          <w:rFonts w:ascii="Times New Roman" w:eastAsia="黑体"/>
          <w:szCs w:val="22"/>
        </w:rPr>
      </w:pPr>
      <w:r>
        <w:rPr>
          <w:rFonts w:hint="eastAsia" w:ascii="黑体" w:hAnsi="黑体" w:eastAsia="黑体" w:cs="黑体"/>
          <w:szCs w:val="22"/>
        </w:rPr>
        <w:t>普通冷库预冷　</w:t>
      </w:r>
    </w:p>
    <w:p>
      <w:pPr>
        <w:pStyle w:val="45"/>
        <w:ind w:firstLine="420"/>
        <w:rPr>
          <w:rFonts w:ascii="Times New Roman" w:eastAsia="黑体"/>
          <w:szCs w:val="22"/>
        </w:rPr>
      </w:pPr>
      <w:r>
        <w:rPr>
          <w:rFonts w:hint="eastAsia"/>
        </w:rPr>
        <w:t>采用普通冷库降温的预冷方式。</w:t>
      </w:r>
    </w:p>
    <w:p>
      <w:pPr>
        <w:pStyle w:val="64"/>
        <w:spacing w:before="156" w:beforeLines="50" w:after="156" w:afterLines="50"/>
        <w:jc w:val="both"/>
        <w:rPr>
          <w:color w:val="000000" w:themeColor="text1"/>
          <w:szCs w:val="22"/>
          <w14:textFill>
            <w14:solidFill>
              <w14:schemeClr w14:val="tx1"/>
            </w14:solidFill>
          </w14:textFill>
        </w:rPr>
      </w:pPr>
    </w:p>
    <w:p>
      <w:pPr>
        <w:pStyle w:val="45"/>
        <w:spacing w:before="156" w:beforeLines="50" w:after="156" w:afterLines="50"/>
        <w:ind w:firstLine="420"/>
        <w:rPr>
          <w:rFonts w:ascii="Times New Roman" w:eastAsia="黑体"/>
          <w:szCs w:val="22"/>
        </w:rPr>
      </w:pPr>
      <w:r>
        <w:rPr>
          <w:rFonts w:hint="eastAsia" w:ascii="黑体" w:hAnsi="黑体" w:eastAsia="黑体" w:cs="黑体"/>
          <w:szCs w:val="22"/>
        </w:rPr>
        <w:t>预冷库预冷　</w:t>
      </w:r>
    </w:p>
    <w:p>
      <w:pPr>
        <w:pStyle w:val="45"/>
        <w:ind w:firstLine="420"/>
        <w:rPr>
          <w:rFonts w:ascii="Times New Roman" w:eastAsia="黑体"/>
          <w:szCs w:val="22"/>
        </w:rPr>
      </w:pPr>
      <w:r>
        <w:rPr>
          <w:rFonts w:hint="eastAsia"/>
        </w:rPr>
        <w:t>采用预冷库降温的预冷方式。</w:t>
      </w:r>
    </w:p>
    <w:p>
      <w:pPr>
        <w:pStyle w:val="64"/>
        <w:spacing w:before="156" w:beforeLines="50" w:after="156" w:afterLines="50"/>
        <w:jc w:val="both"/>
        <w:rPr>
          <w:color w:val="000000" w:themeColor="text1"/>
          <w:szCs w:val="22"/>
          <w14:textFill>
            <w14:solidFill>
              <w14:schemeClr w14:val="tx1"/>
            </w14:solidFill>
          </w14:textFill>
        </w:rPr>
      </w:pPr>
    </w:p>
    <w:p>
      <w:pPr>
        <w:pStyle w:val="45"/>
        <w:spacing w:before="156" w:beforeLines="50" w:after="156" w:afterLines="50"/>
        <w:ind w:firstLine="420"/>
        <w:rPr>
          <w:rFonts w:ascii="Times New Roman" w:eastAsia="黑体"/>
          <w:szCs w:val="22"/>
        </w:rPr>
      </w:pPr>
      <w:r>
        <w:rPr>
          <w:rFonts w:hint="eastAsia" w:ascii="黑体" w:hAnsi="黑体" w:eastAsia="黑体" w:cs="黑体"/>
          <w:szCs w:val="22"/>
        </w:rPr>
        <w:t>移动冷库或冷藏车预冷　</w:t>
      </w:r>
    </w:p>
    <w:p>
      <w:pPr>
        <w:pStyle w:val="45"/>
        <w:ind w:left="210" w:leftChars="100" w:firstLine="210" w:firstLineChars="100"/>
        <w:rPr>
          <w:rFonts w:hAnsi="宋体" w:cs="宋体"/>
        </w:rPr>
      </w:pPr>
      <w:r>
        <w:rPr>
          <w:rFonts w:hint="eastAsia" w:hAnsi="宋体" w:cs="宋体"/>
        </w:rPr>
        <w:t>利用10</w:t>
      </w:r>
      <w:r>
        <w:rPr>
          <w:rFonts w:hint="eastAsia" w:hAnsi="宋体" w:cs="宋体"/>
          <w:lang w:val="en-US" w:eastAsia="zh-CN"/>
        </w:rPr>
        <w:t xml:space="preserve"> </w:t>
      </w:r>
      <w:r>
        <w:rPr>
          <w:rFonts w:hint="eastAsia" w:hAnsi="宋体" w:cs="宋体"/>
        </w:rPr>
        <w:t>t</w:t>
      </w:r>
      <w:r>
        <w:rPr>
          <w:rFonts w:hint="eastAsia" w:hAnsi="宋体" w:cs="宋体"/>
          <w:color w:val="000000" w:themeColor="text1"/>
          <w:szCs w:val="22"/>
          <w14:textFill>
            <w14:solidFill>
              <w14:schemeClr w14:val="tx1"/>
            </w14:solidFill>
          </w14:textFill>
        </w:rPr>
        <w:t>～</w:t>
      </w:r>
      <w:r>
        <w:rPr>
          <w:rFonts w:hint="eastAsia" w:hAnsi="宋体" w:cs="宋体"/>
        </w:rPr>
        <w:t>30</w:t>
      </w:r>
      <w:r>
        <w:rPr>
          <w:rFonts w:hint="eastAsia" w:hAnsi="宋体" w:cs="宋体"/>
          <w:lang w:val="en-US" w:eastAsia="zh-CN"/>
        </w:rPr>
        <w:t xml:space="preserve"> </w:t>
      </w:r>
      <w:r>
        <w:rPr>
          <w:rFonts w:hint="eastAsia" w:hAnsi="宋体" w:cs="宋体"/>
        </w:rPr>
        <w:t>t的可移动小型冷库或15</w:t>
      </w:r>
      <w:r>
        <w:rPr>
          <w:rFonts w:hint="eastAsia" w:hAnsi="宋体" w:cs="宋体"/>
          <w:lang w:val="en-US" w:eastAsia="zh-CN"/>
        </w:rPr>
        <w:t xml:space="preserve"> </w:t>
      </w:r>
      <w:r>
        <w:rPr>
          <w:rFonts w:hint="eastAsia" w:hAnsi="宋体" w:cs="宋体"/>
        </w:rPr>
        <w:t>t</w:t>
      </w:r>
      <w:r>
        <w:rPr>
          <w:rFonts w:hint="eastAsia" w:hAnsi="宋体" w:cs="宋体"/>
          <w:color w:val="000000" w:themeColor="text1"/>
          <w:szCs w:val="22"/>
          <w14:textFill>
            <w14:solidFill>
              <w14:schemeClr w14:val="tx1"/>
            </w14:solidFill>
          </w14:textFill>
        </w:rPr>
        <w:t>～</w:t>
      </w:r>
      <w:r>
        <w:rPr>
          <w:rFonts w:hint="eastAsia" w:hAnsi="宋体" w:cs="宋体"/>
        </w:rPr>
        <w:t>20</w:t>
      </w:r>
      <w:r>
        <w:rPr>
          <w:rFonts w:hint="eastAsia" w:hAnsi="宋体" w:cs="宋体"/>
          <w:lang w:val="en-US" w:eastAsia="zh-CN"/>
        </w:rPr>
        <w:t xml:space="preserve"> </w:t>
      </w:r>
      <w:r>
        <w:rPr>
          <w:rFonts w:hint="eastAsia" w:hAnsi="宋体" w:cs="宋体"/>
        </w:rPr>
        <w:t>t的冷藏车作为田间地头、果农家中或运输途中运输和降温的预冷方式。</w:t>
      </w:r>
    </w:p>
    <w:p>
      <w:pPr>
        <w:pStyle w:val="64"/>
        <w:spacing w:before="156" w:beforeLines="50" w:after="156" w:afterLines="50"/>
        <w:jc w:val="both"/>
        <w:rPr>
          <w:color w:val="000000" w:themeColor="text1"/>
          <w:szCs w:val="22"/>
          <w14:textFill>
            <w14:solidFill>
              <w14:schemeClr w14:val="tx1"/>
            </w14:solidFill>
          </w14:textFill>
        </w:rPr>
      </w:pPr>
    </w:p>
    <w:p>
      <w:pPr>
        <w:pStyle w:val="45"/>
        <w:spacing w:before="156" w:beforeLines="50" w:after="156" w:afterLines="50"/>
        <w:ind w:firstLine="420"/>
        <w:rPr>
          <w:rFonts w:ascii="Times New Roman" w:eastAsia="黑体"/>
          <w:szCs w:val="22"/>
        </w:rPr>
      </w:pPr>
      <w:r>
        <w:rPr>
          <w:rFonts w:hint="eastAsia" w:ascii="黑体" w:hAnsi="黑体" w:eastAsia="黑体" w:cs="黑体"/>
          <w:szCs w:val="22"/>
        </w:rPr>
        <w:t>普通改造库预冷　</w:t>
      </w:r>
    </w:p>
    <w:p>
      <w:pPr>
        <w:pStyle w:val="45"/>
        <w:ind w:firstLine="420"/>
        <w:rPr>
          <w:color w:val="000000" w:themeColor="text1"/>
          <w:szCs w:val="22"/>
          <w14:textFill>
            <w14:solidFill>
              <w14:schemeClr w14:val="tx1"/>
            </w14:solidFill>
          </w14:textFill>
        </w:rPr>
      </w:pPr>
      <w:r>
        <w:rPr>
          <w:rFonts w:hint="eastAsia"/>
        </w:rPr>
        <w:t>利用在普通冷库基础上，通过增加压缩机、蒸发器的功率，增强库内通风系统而设计的改造库降温的预冷方式。</w:t>
      </w:r>
    </w:p>
    <w:p>
      <w:pPr>
        <w:pStyle w:val="64"/>
        <w:spacing w:before="156" w:beforeLines="50" w:after="156" w:afterLines="50"/>
        <w:jc w:val="both"/>
        <w:rPr>
          <w:color w:val="000000" w:themeColor="text1"/>
          <w:szCs w:val="22"/>
          <w14:textFill>
            <w14:solidFill>
              <w14:schemeClr w14:val="tx1"/>
            </w14:solidFill>
          </w14:textFill>
        </w:rPr>
      </w:pPr>
    </w:p>
    <w:p>
      <w:pPr>
        <w:pStyle w:val="45"/>
        <w:spacing w:before="156" w:beforeLines="50" w:after="156" w:afterLines="50"/>
        <w:ind w:firstLine="420"/>
        <w:rPr>
          <w:rFonts w:ascii="Times New Roman" w:eastAsia="黑体"/>
          <w:szCs w:val="22"/>
        </w:rPr>
      </w:pPr>
      <w:r>
        <w:rPr>
          <w:rFonts w:hint="eastAsia" w:ascii="黑体" w:hAnsi="黑体" w:eastAsia="黑体" w:cs="黑体"/>
          <w:szCs w:val="22"/>
        </w:rPr>
        <w:t>强制通风预冷　</w:t>
      </w:r>
    </w:p>
    <w:p>
      <w:pPr>
        <w:pStyle w:val="45"/>
        <w:ind w:firstLine="420"/>
      </w:pPr>
      <w:r>
        <w:rPr>
          <w:rFonts w:hint="eastAsia"/>
        </w:rPr>
        <w:t>采用快速冷却装置，通过强制空气高速循环，使产品温度快速降下来的预冷方式。强制通风预冷可分为隧道预冷法和差压通风预冷法。</w:t>
      </w:r>
    </w:p>
    <w:p>
      <w:pPr>
        <w:pStyle w:val="99"/>
        <w:spacing w:before="0" w:beforeLines="0" w:after="0" w:afterLines="0" w:line="720" w:lineRule="auto"/>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基本要求</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冷库要求</w:t>
      </w:r>
    </w:p>
    <w:p>
      <w:pPr>
        <w:pStyle w:val="45"/>
        <w:ind w:firstLine="420"/>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冷库的设计、施工、验收应满足GB 50072、SBJ 11、SBJ 12和GB 50274的要求。</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入库前处理</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采收前20</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d内不应使用氮肥，采收前10</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d果园不应灌水，雨后3</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w:t>
      </w:r>
      <w:r>
        <w:rPr>
          <w:rFonts w:eastAsia="宋体"/>
          <w:color w:val="000000" w:themeColor="text1"/>
          <w:szCs w:val="22"/>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5</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d之内不应采收。</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采收前20</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d和采收前10</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d，应分别喷洒0.3%</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CaCl</w:t>
      </w:r>
      <w:r>
        <w:rPr>
          <w:rFonts w:hint="eastAsia" w:ascii="宋体" w:hAnsi="宋体" w:eastAsia="宋体" w:cs="宋体"/>
          <w:color w:val="000000" w:themeColor="text1"/>
          <w:szCs w:val="22"/>
          <w:vertAlign w:val="subscript"/>
          <w14:textFill>
            <w14:solidFill>
              <w14:schemeClr w14:val="tx1"/>
            </w14:solidFill>
          </w14:textFill>
        </w:rPr>
        <w:t>2</w:t>
      </w:r>
      <w:r>
        <w:rPr>
          <w:rFonts w:hint="eastAsia" w:ascii="宋体" w:hAnsi="宋体" w:eastAsia="宋体" w:cs="宋体"/>
          <w:color w:val="000000" w:themeColor="text1"/>
          <w:szCs w:val="22"/>
          <w14:textFill>
            <w14:solidFill>
              <w14:schemeClr w14:val="tx1"/>
            </w14:solidFill>
          </w14:textFill>
        </w:rPr>
        <w:t>+甲基硫菌灵等广谱性杀菌剂各一次。</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应建立田间生产记录，以便追溯。</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入库前1周应使用次氯酸钠（75</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mg/kg～200</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mg/kg）或过氧化氯溶液（5</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mg/kg）对库房、包装容器、工具等进行消毒灭菌，并及时通风换气。</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对预冷果实结合CaCl</w:t>
      </w:r>
      <w:r>
        <w:rPr>
          <w:rFonts w:hint="eastAsia" w:ascii="宋体" w:hAnsi="宋体" w:eastAsia="宋体" w:cs="宋体"/>
          <w:color w:val="000000" w:themeColor="text1"/>
          <w:szCs w:val="22"/>
          <w:vertAlign w:val="subscript"/>
          <w14:textFill>
            <w14:solidFill>
              <w14:schemeClr w14:val="tx1"/>
            </w14:solidFill>
          </w14:textFill>
        </w:rPr>
        <w:t>2</w:t>
      </w:r>
      <w:r>
        <w:rPr>
          <w:rFonts w:hint="eastAsia" w:ascii="宋体" w:hAnsi="宋体" w:eastAsia="宋体" w:cs="宋体"/>
          <w:color w:val="000000" w:themeColor="text1"/>
          <w:szCs w:val="22"/>
          <w14:textFill>
            <w14:solidFill>
              <w14:schemeClr w14:val="tx1"/>
            </w14:solidFill>
          </w14:textFill>
        </w:rPr>
        <w:t>（3%～5%）喷淋或浸泡处理。</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果实要求</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质量</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用于预冷果实的采收、质量与卫生要求应符合GB/T 8559和GB/T 10651的要求。</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分级</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果实采收后，按照GB/T 10651的规定进行分级，同等级果实进行包装、堆垛。</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包装</w:t>
      </w:r>
    </w:p>
    <w:p>
      <w:pPr>
        <w:pStyle w:val="63"/>
        <w:numPr>
          <w:ilvl w:val="3"/>
          <w:numId w:val="0"/>
        </w:numPr>
        <w:jc w:val="both"/>
        <w:rPr>
          <w:rFonts w:ascii="宋体" w:hAnsi="宋体" w:eastAsia="宋体" w:cs="宋体"/>
          <w:color w:val="000000" w:themeColor="text1"/>
          <w:szCs w:val="22"/>
          <w14:textFill>
            <w14:solidFill>
              <w14:schemeClr w14:val="tx1"/>
            </w14:solidFill>
          </w14:textFill>
        </w:rPr>
      </w:pPr>
      <w:r>
        <w:rPr>
          <w:rFonts w:hint="eastAsia" w:ascii="黑体" w:hAnsi="黑体" w:cs="黑体"/>
          <w:color w:val="000000" w:themeColor="text1"/>
          <w:szCs w:val="22"/>
          <w14:textFill>
            <w14:solidFill>
              <w14:schemeClr w14:val="tx1"/>
            </w14:solidFill>
          </w14:textFill>
        </w:rPr>
        <w:t>4.3.3.1　</w:t>
      </w:r>
      <w:r>
        <w:rPr>
          <w:rFonts w:hint="eastAsia" w:ascii="宋体" w:hAnsi="宋体" w:eastAsia="宋体" w:cs="宋体"/>
          <w:color w:val="000000" w:themeColor="text1"/>
          <w:szCs w:val="22"/>
          <w14:textFill>
            <w14:solidFill>
              <w14:schemeClr w14:val="tx1"/>
            </w14:solidFill>
          </w14:textFill>
        </w:rPr>
        <w:t>包装材料应符合NY/T 658的规定。</w:t>
      </w:r>
    </w:p>
    <w:p>
      <w:pPr>
        <w:pStyle w:val="63"/>
        <w:numPr>
          <w:ilvl w:val="3"/>
          <w:numId w:val="0"/>
        </w:numPr>
        <w:jc w:val="both"/>
        <w:rPr>
          <w:rFonts w:ascii="宋体" w:hAnsi="宋体" w:eastAsia="宋体" w:cs="宋体"/>
          <w:color w:val="000000" w:themeColor="text1"/>
          <w:szCs w:val="22"/>
          <w14:textFill>
            <w14:solidFill>
              <w14:schemeClr w14:val="tx1"/>
            </w14:solidFill>
          </w14:textFill>
        </w:rPr>
      </w:pPr>
      <w:r>
        <w:rPr>
          <w:rFonts w:hint="eastAsia" w:ascii="黑体" w:hAnsi="黑体" w:cs="黑体"/>
          <w:color w:val="000000" w:themeColor="text1"/>
          <w:szCs w:val="22"/>
          <w14:textFill>
            <w14:solidFill>
              <w14:schemeClr w14:val="tx1"/>
            </w14:solidFill>
          </w14:textFill>
        </w:rPr>
        <w:t>4.3.3.2　</w:t>
      </w:r>
      <w:r>
        <w:rPr>
          <w:rFonts w:hint="eastAsia" w:ascii="宋体" w:hAnsi="宋体" w:eastAsia="宋体" w:cs="宋体"/>
          <w:color w:val="000000" w:themeColor="text1"/>
          <w:szCs w:val="22"/>
          <w14:textFill>
            <w14:solidFill>
              <w14:schemeClr w14:val="tx1"/>
            </w14:solidFill>
          </w14:textFill>
        </w:rPr>
        <w:t>包装箱应牢固、具有良好的通风性，内壁应光滑；同一等级批次的果实包装规格应一致。进行预冷的果实宜采用箱体内壁光滑的木箱、铁框箱、塑料箱和防潮纸箱包装。</w:t>
      </w:r>
    </w:p>
    <w:p>
      <w:pPr>
        <w:pStyle w:val="63"/>
        <w:numPr>
          <w:ilvl w:val="3"/>
          <w:numId w:val="0"/>
        </w:numPr>
        <w:jc w:val="both"/>
        <w:rPr>
          <w:rFonts w:ascii="宋体" w:hAnsi="宋体" w:eastAsia="宋体" w:cs="宋体"/>
          <w:color w:val="000000" w:themeColor="text1"/>
          <w:szCs w:val="22"/>
          <w14:textFill>
            <w14:solidFill>
              <w14:schemeClr w14:val="tx1"/>
            </w14:solidFill>
          </w14:textFill>
        </w:rPr>
      </w:pPr>
      <w:r>
        <w:rPr>
          <w:rFonts w:hint="eastAsia" w:ascii="黑体" w:hAnsi="黑体" w:cs="黑体"/>
          <w:color w:val="000000" w:themeColor="text1"/>
          <w:szCs w:val="22"/>
          <w14:textFill>
            <w14:solidFill>
              <w14:schemeClr w14:val="tx1"/>
            </w14:solidFill>
          </w14:textFill>
        </w:rPr>
        <w:t>4.3.3.3　</w:t>
      </w:r>
      <w:r>
        <w:rPr>
          <w:rFonts w:hint="eastAsia" w:ascii="宋体" w:hAnsi="宋体" w:eastAsia="宋体" w:cs="宋体"/>
          <w:color w:val="000000" w:themeColor="text1"/>
          <w:szCs w:val="22"/>
          <w14:textFill>
            <w14:solidFill>
              <w14:schemeClr w14:val="tx1"/>
            </w14:solidFill>
          </w14:textFill>
        </w:rPr>
        <w:t>预冷包装通风口的面积应不小于箱体表面积的5%。</w:t>
      </w:r>
    </w:p>
    <w:p>
      <w:pPr>
        <w:pStyle w:val="63"/>
        <w:numPr>
          <w:ilvl w:val="3"/>
          <w:numId w:val="0"/>
        </w:numPr>
        <w:jc w:val="both"/>
        <w:rPr>
          <w:rFonts w:ascii="宋体" w:hAnsi="宋体" w:eastAsia="宋体" w:cs="宋体"/>
          <w:color w:val="000000" w:themeColor="text1"/>
          <w:szCs w:val="22"/>
          <w14:textFill>
            <w14:solidFill>
              <w14:schemeClr w14:val="tx1"/>
            </w14:solidFill>
          </w14:textFill>
        </w:rPr>
      </w:pPr>
      <w:r>
        <w:rPr>
          <w:rFonts w:hint="eastAsia" w:ascii="黑体" w:hAnsi="黑体" w:cs="黑体"/>
          <w:color w:val="000000" w:themeColor="text1"/>
          <w:szCs w:val="22"/>
          <w14:textFill>
            <w14:solidFill>
              <w14:schemeClr w14:val="tx1"/>
            </w14:solidFill>
          </w14:textFill>
        </w:rPr>
        <w:t>4.3.3.4　</w:t>
      </w:r>
      <w:r>
        <w:rPr>
          <w:rFonts w:hint="eastAsia" w:ascii="宋体" w:hAnsi="宋体" w:eastAsia="宋体" w:cs="宋体"/>
          <w:color w:val="000000" w:themeColor="text1"/>
          <w:szCs w:val="22"/>
          <w14:textFill>
            <w14:solidFill>
              <w14:schemeClr w14:val="tx1"/>
            </w14:solidFill>
          </w14:textFill>
        </w:rPr>
        <w:t>冷库内托盘上包装之间的通风孔应对齐。</w:t>
      </w:r>
    </w:p>
    <w:p>
      <w:pPr>
        <w:pStyle w:val="63"/>
        <w:numPr>
          <w:ilvl w:val="3"/>
          <w:numId w:val="0"/>
        </w:numPr>
        <w:jc w:val="both"/>
        <w:rPr>
          <w:rFonts w:ascii="宋体" w:hAnsi="宋体" w:eastAsia="宋体" w:cs="宋体"/>
          <w:color w:val="000000" w:themeColor="text1"/>
          <w:szCs w:val="22"/>
          <w:highlight w:val="none"/>
          <w14:textFill>
            <w14:solidFill>
              <w14:schemeClr w14:val="tx1"/>
            </w14:solidFill>
          </w14:textFill>
        </w:rPr>
      </w:pPr>
      <w:r>
        <w:rPr>
          <w:rFonts w:hint="eastAsia" w:ascii="黑体" w:hAnsi="黑体" w:cs="黑体"/>
          <w:color w:val="000000" w:themeColor="text1"/>
          <w:szCs w:val="22"/>
          <w14:textFill>
            <w14:solidFill>
              <w14:schemeClr w14:val="tx1"/>
            </w14:solidFill>
          </w14:textFill>
        </w:rPr>
        <w:t>4.3.3.5　</w:t>
      </w:r>
      <w:r>
        <w:rPr>
          <w:rFonts w:hint="eastAsia" w:ascii="宋体" w:hAnsi="宋体" w:eastAsia="宋体" w:cs="宋体"/>
          <w:color w:val="000000" w:themeColor="text1"/>
          <w:szCs w:val="22"/>
          <w14:textFill>
            <w14:solidFill>
              <w14:schemeClr w14:val="tx1"/>
            </w14:solidFill>
          </w14:textFill>
        </w:rPr>
        <w:t>预冷</w:t>
      </w:r>
      <w:r>
        <w:rPr>
          <w:rFonts w:hint="eastAsia" w:ascii="宋体" w:hAnsi="宋体" w:eastAsia="宋体" w:cs="宋体"/>
          <w:color w:val="000000" w:themeColor="text1"/>
          <w:szCs w:val="22"/>
          <w:highlight w:val="none"/>
          <w14:textFill>
            <w14:solidFill>
              <w14:schemeClr w14:val="tx1"/>
            </w14:solidFill>
          </w14:textFill>
        </w:rPr>
        <w:t>时不宜采用带内衬塑料膜袋包装。包装箱内如有内衬塑料薄膜袋的，其厚度应为</w:t>
      </w:r>
      <w:r>
        <w:rPr>
          <w:rFonts w:hint="eastAsia" w:ascii="宋体" w:hAnsi="宋体" w:eastAsia="宋体" w:cs="宋体"/>
          <w:color w:val="000000" w:themeColor="text1"/>
          <w:szCs w:val="22"/>
          <w:highlight w:val="none"/>
          <w:lang w:eastAsia="zh-CN"/>
          <w14:textFill>
            <w14:solidFill>
              <w14:schemeClr w14:val="tx1"/>
            </w14:solidFill>
          </w14:textFill>
        </w:rPr>
        <w:t>（</w:t>
      </w:r>
      <w:r>
        <w:rPr>
          <w:rFonts w:hint="eastAsia" w:ascii="宋体" w:hAnsi="宋体" w:eastAsia="宋体" w:cs="宋体"/>
          <w:color w:val="000000" w:themeColor="text1"/>
          <w:szCs w:val="22"/>
          <w:highlight w:val="none"/>
          <w14:textFill>
            <w14:solidFill>
              <w14:schemeClr w14:val="tx1"/>
            </w14:solidFill>
          </w14:textFill>
        </w:rPr>
        <w:t>0.03±0.005</w:t>
      </w:r>
      <w:r>
        <w:rPr>
          <w:rFonts w:hint="eastAsia" w:ascii="宋体" w:hAnsi="宋体" w:eastAsia="宋体" w:cs="宋体"/>
          <w:color w:val="000000" w:themeColor="text1"/>
          <w:szCs w:val="22"/>
          <w:highlight w:val="none"/>
          <w:lang w:eastAsia="zh-CN"/>
          <w14:textFill>
            <w14:solidFill>
              <w14:schemeClr w14:val="tx1"/>
            </w14:solidFill>
          </w14:textFill>
        </w:rPr>
        <w:t>）</w:t>
      </w:r>
      <w:r>
        <w:rPr>
          <w:rFonts w:hint="eastAsia" w:ascii="宋体" w:hAnsi="宋体" w:eastAsia="宋体" w:cs="宋体"/>
          <w:color w:val="000000" w:themeColor="text1"/>
          <w:szCs w:val="22"/>
          <w:highlight w:val="none"/>
          <w14:textFill>
            <w14:solidFill>
              <w14:schemeClr w14:val="tx1"/>
            </w14:solidFill>
          </w14:textFill>
        </w:rPr>
        <w:t>mm，内衬带上应设有通风口，通风口直径与面积根据箱体体积确定，通风口总面积为内衬袋面积的</w:t>
      </w:r>
      <w:r>
        <w:rPr>
          <w:rFonts w:ascii="宋体" w:hAnsi="宋体" w:eastAsia="宋体" w:cs="宋体"/>
          <w:color w:val="000000" w:themeColor="text1"/>
          <w:szCs w:val="22"/>
          <w:highlight w:val="none"/>
          <w14:textFill>
            <w14:solidFill>
              <w14:schemeClr w14:val="tx1"/>
            </w14:solidFill>
          </w14:textFill>
        </w:rPr>
        <w:t>5%</w:t>
      </w:r>
      <w:r>
        <w:rPr>
          <w:rFonts w:hint="eastAsia" w:ascii="宋体" w:hAnsi="宋体" w:eastAsia="宋体" w:cs="宋体"/>
          <w:color w:val="000000" w:themeColor="text1"/>
          <w:szCs w:val="22"/>
          <w:highlight w:val="none"/>
          <w14:textFill>
            <w14:solidFill>
              <w14:schemeClr w14:val="tx1"/>
            </w14:solidFill>
          </w14:textFill>
        </w:rPr>
        <w:t>，预冷时内衬薄膜袋应敞口。贮藏箱不应嵌套多层内衬膜或多个塑料袋叠加装箱。</w:t>
      </w:r>
    </w:p>
    <w:p>
      <w:pPr>
        <w:pStyle w:val="63"/>
        <w:numPr>
          <w:ilvl w:val="3"/>
          <w:numId w:val="0"/>
        </w:numPr>
        <w:jc w:val="both"/>
        <w:rPr>
          <w:rFonts w:ascii="宋体" w:hAnsi="宋体" w:eastAsia="宋体" w:cs="宋体"/>
          <w:color w:val="000000" w:themeColor="text1"/>
          <w:szCs w:val="22"/>
          <w:highlight w:val="none"/>
          <w14:textFill>
            <w14:solidFill>
              <w14:schemeClr w14:val="tx1"/>
            </w14:solidFill>
          </w14:textFill>
        </w:rPr>
      </w:pPr>
      <w:r>
        <w:rPr>
          <w:rFonts w:hint="eastAsia" w:ascii="黑体" w:hAnsi="黑体" w:cs="黑体"/>
          <w:color w:val="000000" w:themeColor="text1"/>
          <w:szCs w:val="22"/>
          <w14:textFill>
            <w14:solidFill>
              <w14:schemeClr w14:val="tx1"/>
            </w14:solidFill>
          </w14:textFill>
        </w:rPr>
        <w:t>4.3.3.</w:t>
      </w:r>
      <w:r>
        <w:rPr>
          <w:rFonts w:hint="eastAsia" w:ascii="黑体" w:hAnsi="黑体" w:cs="黑体"/>
          <w:color w:val="000000" w:themeColor="text1"/>
          <w:szCs w:val="22"/>
          <w:lang w:val="en-US" w:eastAsia="zh-CN"/>
          <w14:textFill>
            <w14:solidFill>
              <w14:schemeClr w14:val="tx1"/>
            </w14:solidFill>
          </w14:textFill>
        </w:rPr>
        <w:t>6</w:t>
      </w:r>
      <w:r>
        <w:rPr>
          <w:rFonts w:hint="eastAsia" w:ascii="黑体" w:hAnsi="黑体" w:cs="黑体"/>
          <w:color w:val="000000" w:themeColor="text1"/>
          <w:szCs w:val="22"/>
          <w14:textFill>
            <w14:solidFill>
              <w14:schemeClr w14:val="tx1"/>
            </w14:solidFill>
          </w14:textFill>
        </w:rPr>
        <w:t>　</w:t>
      </w:r>
      <w:r>
        <w:rPr>
          <w:rFonts w:hint="eastAsia" w:ascii="宋体" w:hAnsi="宋体" w:eastAsia="宋体" w:cs="宋体"/>
          <w:color w:val="000000" w:themeColor="text1"/>
          <w:szCs w:val="22"/>
          <w:highlight w:val="none"/>
          <w14:textFill>
            <w14:solidFill>
              <w14:schemeClr w14:val="tx1"/>
            </w14:solidFill>
          </w14:textFill>
        </w:rPr>
        <w:t>差压通风预冷适用强制通风的销售包装或周转箱包装，包装开孔大小应为</w:t>
      </w:r>
      <w:r>
        <w:rPr>
          <w:rFonts w:hint="eastAsia" w:ascii="宋体" w:hAnsi="宋体" w:eastAsia="宋体" w:cs="宋体"/>
          <w:color w:val="000000" w:themeColor="text1"/>
          <w:szCs w:val="22"/>
          <w:highlight w:val="none"/>
          <w:lang w:eastAsia="zh-CN"/>
          <w14:textFill>
            <w14:solidFill>
              <w14:schemeClr w14:val="tx1"/>
            </w14:solidFill>
          </w14:textFill>
        </w:rPr>
        <w:t>（</w:t>
      </w:r>
      <w:r>
        <w:rPr>
          <w:rFonts w:hint="eastAsia" w:ascii="宋体" w:hAnsi="宋体" w:eastAsia="宋体" w:cs="宋体"/>
          <w:color w:val="000000" w:themeColor="text1"/>
          <w:szCs w:val="22"/>
          <w:highlight w:val="none"/>
          <w14:textFill>
            <w14:solidFill>
              <w14:schemeClr w14:val="tx1"/>
            </w14:solidFill>
          </w14:textFill>
        </w:rPr>
        <w:t>20</w:t>
      </w:r>
      <w:r>
        <w:rPr>
          <w:rFonts w:hint="eastAsia" w:ascii="宋体" w:hAnsi="宋体" w:eastAsia="宋体" w:cs="宋体"/>
          <w:color w:val="000000" w:themeColor="text1"/>
          <w:szCs w:val="22"/>
          <w:highlight w:val="none"/>
          <w:lang w:val="en-US" w:eastAsia="zh-CN"/>
          <w14:textFill>
            <w14:solidFill>
              <w14:schemeClr w14:val="tx1"/>
            </w14:solidFill>
          </w14:textFill>
        </w:rPr>
        <w:t>±3）</w:t>
      </w:r>
      <w:r>
        <w:rPr>
          <w:rFonts w:hint="eastAsia" w:ascii="宋体" w:hAnsi="宋体" w:eastAsia="宋体" w:cs="宋体"/>
          <w:color w:val="000000" w:themeColor="text1"/>
          <w:szCs w:val="22"/>
          <w:highlight w:val="none"/>
          <w14:textFill>
            <w14:solidFill>
              <w14:schemeClr w14:val="tx1"/>
            </w14:solidFill>
          </w14:textFill>
        </w:rPr>
        <w:t>mm，开孔总面积为包装面积的5</w:t>
      </w:r>
      <w:r>
        <w:rPr>
          <w:rFonts w:ascii="宋体" w:hAnsi="宋体" w:eastAsia="宋体" w:cs="宋体"/>
          <w:color w:val="000000" w:themeColor="text1"/>
          <w:szCs w:val="22"/>
          <w:highlight w:val="none"/>
          <w14:textFill>
            <w14:solidFill>
              <w14:schemeClr w14:val="tx1"/>
            </w14:solidFill>
          </w14:textFill>
        </w:rPr>
        <w:t>%</w:t>
      </w:r>
      <w:r>
        <w:rPr>
          <w:rFonts w:hint="eastAsia" w:ascii="宋体" w:hAnsi="宋体" w:eastAsia="宋体" w:cs="宋体"/>
          <w:color w:val="000000" w:themeColor="text1"/>
          <w:szCs w:val="22"/>
          <w:highlight w:val="none"/>
          <w14:textFill>
            <w14:solidFill>
              <w14:schemeClr w14:val="tx1"/>
            </w14:solidFill>
          </w14:textFill>
        </w:rPr>
        <w:t>，包装间距应为</w:t>
      </w:r>
      <w:r>
        <w:rPr>
          <w:rFonts w:hint="eastAsia" w:ascii="宋体" w:hAnsi="宋体" w:eastAsia="宋体" w:cs="宋体"/>
          <w:color w:val="000000" w:themeColor="text1"/>
          <w:szCs w:val="22"/>
          <w:highlight w:val="none"/>
          <w:lang w:eastAsia="zh-CN"/>
          <w14:textFill>
            <w14:solidFill>
              <w14:schemeClr w14:val="tx1"/>
            </w14:solidFill>
          </w14:textFill>
        </w:rPr>
        <w:t>（</w:t>
      </w:r>
      <w:r>
        <w:rPr>
          <w:rFonts w:hint="eastAsia" w:ascii="宋体" w:hAnsi="宋体" w:eastAsia="宋体" w:cs="宋体"/>
          <w:color w:val="000000" w:themeColor="text1"/>
          <w:szCs w:val="22"/>
          <w:highlight w:val="none"/>
          <w14:textFill>
            <w14:solidFill>
              <w14:schemeClr w14:val="tx1"/>
            </w14:solidFill>
          </w14:textFill>
        </w:rPr>
        <w:t>100</w:t>
      </w:r>
      <w:r>
        <w:rPr>
          <w:rFonts w:hint="eastAsia" w:ascii="宋体" w:hAnsi="宋体" w:eastAsia="宋体" w:cs="宋体"/>
          <w:color w:val="000000" w:themeColor="text1"/>
          <w:szCs w:val="22"/>
          <w:highlight w:val="none"/>
          <w:lang w:val="en-US" w:eastAsia="zh-CN"/>
          <w14:textFill>
            <w14:solidFill>
              <w14:schemeClr w14:val="tx1"/>
            </w14:solidFill>
          </w14:textFill>
        </w:rPr>
        <w:t>±20）</w:t>
      </w:r>
      <w:r>
        <w:rPr>
          <w:rFonts w:hint="eastAsia" w:ascii="宋体" w:hAnsi="宋体" w:eastAsia="宋体" w:cs="宋体"/>
          <w:color w:val="000000" w:themeColor="text1"/>
          <w:szCs w:val="22"/>
          <w:highlight w:val="none"/>
          <w14:textFill>
            <w14:solidFill>
              <w14:schemeClr w14:val="tx1"/>
            </w14:solidFill>
          </w14:textFill>
        </w:rPr>
        <w:t>mm。</w:t>
      </w:r>
    </w:p>
    <w:p>
      <w:pPr>
        <w:pStyle w:val="99"/>
        <w:spacing w:before="0" w:beforeLines="0" w:after="0" w:afterLines="0" w:line="720" w:lineRule="auto"/>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入库</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入库时间</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采收后的果实应及时入库预冷，从采收到入库时间不应超过24</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h。</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堆码</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小心装卸，合理安排货位及堆码方式。箱与箱之间应留有10</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cm～15</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cm间隙，果箱内果实应低于箱面5</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cm～10</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cm，堆码方式应保证包装箱内外空气正常流通。</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货垛应按品种和等级分别堆码并悬挂标牌。</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货垛排列方式、走向应与库内空气环流方向一致。</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货垛距库壁应不少于0.3</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m，距顶应不少于0.8</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m，距冷风机应不少于1.5</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m。垛间距离应不少于0.6</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m，库内通道宽应不少于1.4</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m，垛底垫木（石）高度应不少于0.2</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m。</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普通冷库预冷堆码密度一般不应超过130</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kg/m</w:t>
      </w:r>
      <w:r>
        <w:rPr>
          <w:rFonts w:hint="eastAsia" w:ascii="宋体" w:hAnsi="宋体" w:eastAsia="宋体" w:cs="宋体"/>
          <w:color w:val="000000" w:themeColor="text1"/>
          <w:szCs w:val="22"/>
          <w:vertAlign w:val="superscript"/>
          <w14:textFill>
            <w14:solidFill>
              <w14:schemeClr w14:val="tx1"/>
            </w14:solidFill>
          </w14:textFill>
        </w:rPr>
        <w:t>3</w:t>
      </w:r>
      <w:r>
        <w:rPr>
          <w:rFonts w:hint="eastAsia" w:ascii="宋体" w:hAnsi="宋体" w:eastAsia="宋体" w:cs="宋体"/>
          <w:color w:val="000000" w:themeColor="text1"/>
          <w:szCs w:val="22"/>
          <w14:textFill>
            <w14:solidFill>
              <w14:schemeClr w14:val="tx1"/>
            </w14:solidFill>
          </w14:textFill>
        </w:rPr>
        <w:t>。</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用于贮藏长期的普通冷库、小型移动冷库、冷藏车、普通改造库和预冷库预冷堆码密度一般不应超过200</w:t>
      </w:r>
      <w:r>
        <w:rPr>
          <w:rFonts w:ascii="宋体" w:hAnsi="宋体" w:eastAsia="宋体" w:cs="宋体"/>
          <w:color w:val="000000" w:themeColor="text1"/>
          <w:szCs w:val="22"/>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kg/m</w:t>
      </w:r>
      <w:r>
        <w:rPr>
          <w:rFonts w:hint="eastAsia" w:ascii="宋体" w:hAnsi="宋体" w:eastAsia="宋体" w:cs="宋体"/>
          <w:color w:val="000000" w:themeColor="text1"/>
          <w:szCs w:val="22"/>
          <w:vertAlign w:val="superscript"/>
          <w14:textFill>
            <w14:solidFill>
              <w14:schemeClr w14:val="tx1"/>
            </w14:solidFill>
          </w14:textFill>
        </w:rPr>
        <w:t>3</w:t>
      </w:r>
      <w:r>
        <w:rPr>
          <w:rFonts w:hint="eastAsia" w:ascii="宋体" w:hAnsi="宋体" w:eastAsia="宋体" w:cs="宋体"/>
          <w:color w:val="000000" w:themeColor="text1"/>
          <w:szCs w:val="22"/>
          <w14:textFill>
            <w14:solidFill>
              <w14:schemeClr w14:val="tx1"/>
            </w14:solidFill>
          </w14:textFill>
        </w:rPr>
        <w:t>，如采用大木箱或大铁框包装时，堆码密度可增加10%～20%。</w:t>
      </w:r>
    </w:p>
    <w:p>
      <w:pPr>
        <w:pStyle w:val="63"/>
        <w:ind w:left="0"/>
        <w:jc w:val="both"/>
        <w:rPr>
          <w:rFonts w:eastAsia="宋体"/>
          <w:color w:val="000000" w:themeColor="text1"/>
          <w:szCs w:val="22"/>
          <w14:textFill>
            <w14:solidFill>
              <w14:schemeClr w14:val="tx1"/>
            </w14:solidFill>
          </w14:textFill>
        </w:rPr>
      </w:pPr>
      <w:r>
        <w:rPr>
          <w:rFonts w:hint="eastAsia" w:eastAsia="宋体"/>
          <w:color w:val="000000" w:themeColor="text1"/>
          <w:szCs w:val="22"/>
          <w:highlight w:val="none"/>
          <w14:textFill>
            <w14:solidFill>
              <w14:schemeClr w14:val="tx1"/>
            </w14:solidFill>
          </w14:textFill>
        </w:rPr>
        <w:t>差压通风预冷堆码果实包装箱应</w:t>
      </w:r>
      <w:r>
        <w:rPr>
          <w:rFonts w:hint="eastAsia" w:eastAsia="宋体"/>
          <w:color w:val="000000" w:themeColor="text1"/>
          <w:szCs w:val="22"/>
          <w14:textFill>
            <w14:solidFill>
              <w14:schemeClr w14:val="tx1"/>
            </w14:solidFill>
          </w14:textFill>
        </w:rPr>
        <w:t>置于差压预冷设备前，码垛应紧密，包装箱有孔侧面应垂直于进风风道，堆垛后包装箱开孔应对齐。包装箱应对称摆放在风道两侧，高度相同，用油布或帆布平铺覆盖中央风道上面及末端，包装箱高度不应高于油布或帆布高度。</w:t>
      </w:r>
    </w:p>
    <w:p>
      <w:pPr>
        <w:pStyle w:val="99"/>
        <w:spacing w:before="0" w:beforeLines="0" w:after="0" w:afterLines="0" w:line="720" w:lineRule="auto"/>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预冷</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预冷温度控制</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预冷送风温度</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普通冷库、小型移动冷库、冷藏车、普通改造库及预冷库预冷的送风温度应为</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0±0.5</w:t>
      </w:r>
      <w:r>
        <w:rPr>
          <w:rFonts w:hint="eastAsia" w:ascii="宋体" w:hAnsi="宋体" w:eastAsia="宋体" w:cs="宋体"/>
          <w:color w:val="000000" w:themeColor="text1"/>
          <w:szCs w:val="22"/>
          <w:lang w:val="en-US"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℃。强制通风库预冷的送风温度应为</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1±0.5</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预冷终止温度</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果实预冷终止温度应为该品种最适贮藏温度增加1.5℃～2.0℃，如富士系果心终止温度应为0.5℃～2.0℃，金帅系果心终止温度应为1.5℃～3.0℃，蜜脆、红玉、旭果心终止温度应为3.5℃～5.0℃。测量温度的仪器要求误差≤0.2℃。测温点的选择应符合GB/T 8559要求。</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预冷湿度控制</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普通冷库、小型移动冷库、冷藏车、普通改造库和预冷库预冷时库内相对湿度应为85%～90%；强制通风库相对湿度应为90%～95%。测量湿度的仪器要求误差＜5%。测湿点的选择与测温点相同。</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自然降温预冷</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自然降温预冷总原则</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环境昼夜温差大于8℃且具有一定自然通风降温条件的，将采收后的果实放置阴凉处过夜，利用夜间低温使之自然冷却，翌日气温升高前入库。经过自然降温的果实，可</w:t>
      </w:r>
      <w:r>
        <w:rPr>
          <w:rFonts w:hint="eastAsia" w:ascii="宋体" w:hAnsi="宋体" w:eastAsia="宋体" w:cs="宋体"/>
          <w:color w:val="000000" w:themeColor="text1"/>
          <w:szCs w:val="22"/>
          <w:highlight w:val="none"/>
          <w14:textFill>
            <w14:solidFill>
              <w14:schemeClr w14:val="tx1"/>
            </w14:solidFill>
          </w14:textFill>
        </w:rPr>
        <w:t>将果心温度降</w:t>
      </w:r>
      <w:r>
        <w:rPr>
          <w:rFonts w:hint="eastAsia" w:ascii="宋体" w:hAnsi="宋体" w:eastAsia="宋体" w:cs="宋体"/>
          <w:color w:val="000000" w:themeColor="text1"/>
          <w:szCs w:val="22"/>
          <w14:textFill>
            <w14:solidFill>
              <w14:schemeClr w14:val="tx1"/>
            </w14:solidFill>
          </w14:textFill>
        </w:rPr>
        <w:t>低5℃～10℃，使入库预冷降温时间缩减12</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h～24</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h。</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自然降温预冷条件</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采摘时间在每日早晨露水干时至11时的苹果可直接装箱入库预冷；采摘时间在11时以后的苹果需进行夜间自然降温预冷，再于翌日8时前入库预冷。</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管理</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白天遮阴，夜间揭去覆盖物通风降温，鼓励通过安装风扇辅助通风。降雨时或有雾、露水时，应覆盖以防止雨水或雾水、露水接触果实表面。清晨露水较重，应于该天傍晚将覆盖物撑起至离果面20cm～25cm，这样可达到预冷又防结露的目的。</w:t>
      </w:r>
    </w:p>
    <w:p>
      <w:pPr>
        <w:pStyle w:val="63"/>
        <w:spacing w:line="480" w:lineRule="auto"/>
        <w:ind w:left="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自然降温预冷结束</w:t>
      </w:r>
    </w:p>
    <w:p>
      <w:pPr>
        <w:pStyle w:val="63"/>
        <w:numPr>
          <w:ilvl w:val="3"/>
          <w:numId w:val="0"/>
        </w:numPr>
        <w:ind w:firstLine="420" w:firstLineChars="200"/>
        <w:jc w:val="both"/>
        <w:rPr>
          <w:rFonts w:hint="eastAsia"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经一个夜晚时间预冷后，结束自然降温预冷转入普通冷库、预冷库、普通改造库、移动冷库继续预冷。根据流通时间安排于翌日8时前入库。</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普通冷库预冷</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rPr>
        <w:t>入库前5</w:t>
      </w:r>
      <w:r>
        <w:rPr>
          <w:rFonts w:hint="eastAsia" w:ascii="宋体" w:hAnsi="宋体" w:eastAsia="宋体" w:cs="宋体"/>
          <w:lang w:val="en-US" w:eastAsia="zh-CN"/>
        </w:rPr>
        <w:t xml:space="preserve"> </w:t>
      </w:r>
      <w:r>
        <w:rPr>
          <w:rFonts w:hint="eastAsia" w:ascii="宋体" w:hAnsi="宋体" w:eastAsia="宋体" w:cs="宋体"/>
        </w:rPr>
        <w:t>d启动阶梯式降温，按15℃、10℃、5℃、3℃、0℃梯次降温，防止温度急降损伤库体。</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用于原库贮藏的普通冷库预冷，分批入库，每次入库量宜小于库容量的20%，满库苹果预冷完成约3</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d～7</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d降至终止温度，进入贮藏模式。</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非贮藏用普通冷库预冷，入库量宜小于库容量的20%，普通冷库预冷堆码密度一般不超过130</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kg/m</w:t>
      </w:r>
      <w:r>
        <w:rPr>
          <w:rFonts w:hint="eastAsia" w:ascii="宋体" w:hAnsi="宋体" w:eastAsia="宋体" w:cs="宋体"/>
          <w:color w:val="000000" w:themeColor="text1"/>
          <w:szCs w:val="22"/>
          <w:vertAlign w:val="superscript"/>
          <w14:textFill>
            <w14:solidFill>
              <w14:schemeClr w14:val="tx1"/>
            </w14:solidFill>
          </w14:textFill>
        </w:rPr>
        <w:t>3</w:t>
      </w:r>
      <w:r>
        <w:rPr>
          <w:rFonts w:hint="eastAsia" w:ascii="宋体" w:hAnsi="宋体" w:eastAsia="宋体" w:cs="宋体"/>
          <w:color w:val="000000" w:themeColor="text1"/>
          <w:szCs w:val="22"/>
          <w14:textFill>
            <w14:solidFill>
              <w14:schemeClr w14:val="tx1"/>
            </w14:solidFill>
          </w14:textFill>
        </w:rPr>
        <w:t>。苹果预冷周期24</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h～48</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h内降至终止温度。</w:t>
      </w:r>
    </w:p>
    <w:p>
      <w:pPr>
        <w:pStyle w:val="63"/>
        <w:ind w:left="0"/>
        <w:jc w:val="both"/>
        <w:rPr>
          <w:rFonts w:ascii="宋体" w:hAnsi="宋体" w:eastAsia="宋体" w:cs="宋体"/>
          <w:color w:val="FF0000"/>
          <w:szCs w:val="22"/>
        </w:rPr>
      </w:pPr>
      <w:r>
        <w:rPr>
          <w:rFonts w:hint="eastAsia" w:ascii="宋体" w:hAnsi="宋体" w:eastAsia="宋体" w:cs="宋体"/>
          <w:color w:val="000000" w:themeColor="text1"/>
          <w:szCs w:val="22"/>
          <w14:textFill>
            <w14:solidFill>
              <w14:schemeClr w14:val="tx1"/>
            </w14:solidFill>
          </w14:textFill>
        </w:rPr>
        <w:t>送风温度应为</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0±0.5</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℃，库内相对湿度应为85%～90%，冷库送风速度应不低于0.5 m/s。预冷终止后移入其他冷库或原库贮藏。</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预冷库预冷</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rPr>
        <w:t>入库前2</w:t>
      </w:r>
      <w:r>
        <w:rPr>
          <w:rFonts w:hint="eastAsia" w:ascii="宋体" w:hAnsi="宋体" w:eastAsia="宋体" w:cs="宋体"/>
          <w:lang w:val="en-US" w:eastAsia="zh-CN"/>
        </w:rPr>
        <w:t xml:space="preserve"> </w:t>
      </w:r>
      <w:r>
        <w:rPr>
          <w:rFonts w:hint="eastAsia" w:ascii="宋体" w:hAnsi="宋体" w:eastAsia="宋体" w:cs="宋体"/>
        </w:rPr>
        <w:t>d</w:t>
      </w:r>
      <w:r>
        <w:rPr>
          <w:rFonts w:hint="eastAsia" w:ascii="宋体" w:hAnsi="宋体" w:eastAsia="宋体" w:cs="宋体"/>
          <w:color w:val="000000" w:themeColor="text1"/>
          <w:szCs w:val="22"/>
          <w14:textFill>
            <w14:solidFill>
              <w14:schemeClr w14:val="tx1"/>
            </w14:solidFill>
          </w14:textFill>
        </w:rPr>
        <w:t>～</w:t>
      </w:r>
      <w:r>
        <w:rPr>
          <w:rFonts w:hint="eastAsia" w:ascii="宋体" w:hAnsi="宋体" w:eastAsia="宋体" w:cs="宋体"/>
        </w:rPr>
        <w:t>3</w:t>
      </w:r>
      <w:r>
        <w:rPr>
          <w:rFonts w:hint="eastAsia" w:ascii="宋体" w:hAnsi="宋体" w:eastAsia="宋体" w:cs="宋体"/>
          <w:lang w:val="en-US" w:eastAsia="zh-CN"/>
        </w:rPr>
        <w:t xml:space="preserve"> </w:t>
      </w:r>
      <w:r>
        <w:rPr>
          <w:rFonts w:hint="eastAsia" w:ascii="宋体" w:hAnsi="宋体" w:eastAsia="宋体" w:cs="宋体"/>
        </w:rPr>
        <w:t>d启动阶梯式降温，按10℃、5℃、0℃梯次降温。</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入库量宜小于库容量的80%，苹果预冷周期24</w:t>
      </w:r>
      <w:r>
        <w:rPr>
          <w:rFonts w:hint="eastAsia" w:ascii="宋体" w:hAnsi="宋体" w:eastAsia="宋体" w:cs="宋体"/>
          <w:color w:val="000000" w:themeColor="text1"/>
          <w:szCs w:val="22"/>
          <w:lang w:val="en-US" w:eastAsia="zh-CN"/>
          <w14:textFill>
            <w14:solidFill>
              <w14:schemeClr w14:val="tx1"/>
            </w14:solidFill>
          </w14:textFill>
        </w:rPr>
        <w:t xml:space="preserve"> </w:t>
      </w:r>
      <w:r>
        <w:rPr>
          <w:rFonts w:hint="eastAsia" w:ascii="宋体" w:hAnsi="宋体" w:eastAsia="宋体" w:cs="宋体"/>
          <w:color w:val="000000" w:themeColor="text1"/>
          <w:szCs w:val="22"/>
          <w14:textFill>
            <w14:solidFill>
              <w14:schemeClr w14:val="tx1"/>
            </w14:solidFill>
          </w14:textFill>
        </w:rPr>
        <w:t>h内降至终止温度。</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rPr>
        <w:t>送风温度应为</w:t>
      </w:r>
      <w:r>
        <w:rPr>
          <w:rFonts w:hint="eastAsia" w:ascii="宋体" w:hAnsi="宋体" w:eastAsia="宋体" w:cs="宋体"/>
          <w:lang w:eastAsia="zh-CN"/>
        </w:rPr>
        <w:t>（</w:t>
      </w:r>
      <w:r>
        <w:rPr>
          <w:rFonts w:hint="eastAsia" w:ascii="宋体" w:hAnsi="宋体" w:eastAsia="宋体" w:cs="宋体"/>
        </w:rPr>
        <w:t>0±0.5</w:t>
      </w:r>
      <w:r>
        <w:rPr>
          <w:rFonts w:hint="eastAsia" w:ascii="宋体" w:hAnsi="宋体" w:eastAsia="宋体" w:cs="宋体"/>
          <w:lang w:eastAsia="zh-CN"/>
        </w:rPr>
        <w:t>）</w:t>
      </w:r>
      <w:r>
        <w:rPr>
          <w:rFonts w:hint="eastAsia" w:ascii="宋体" w:hAnsi="宋体" w:eastAsia="宋体" w:cs="宋体"/>
        </w:rPr>
        <w:t>℃，库内相对湿度应为85%</w:t>
      </w:r>
      <w:r>
        <w:rPr>
          <w:rFonts w:hint="eastAsia" w:ascii="宋体" w:hAnsi="宋体" w:eastAsia="宋体" w:cs="宋体"/>
          <w:color w:val="000000" w:themeColor="text1"/>
          <w:szCs w:val="22"/>
          <w14:textFill>
            <w14:solidFill>
              <w14:schemeClr w14:val="tx1"/>
            </w14:solidFill>
          </w14:textFill>
        </w:rPr>
        <w:t>～</w:t>
      </w:r>
      <w:r>
        <w:rPr>
          <w:rFonts w:hint="eastAsia" w:ascii="宋体" w:hAnsi="宋体" w:eastAsia="宋体" w:cs="宋体"/>
        </w:rPr>
        <w:t>90%，冷库送风速度应不低于0.5</w:t>
      </w:r>
      <w:r>
        <w:rPr>
          <w:rFonts w:hint="eastAsia" w:ascii="宋体" w:hAnsi="宋体" w:eastAsia="宋体" w:cs="宋体"/>
          <w:lang w:val="en-US" w:eastAsia="zh-CN"/>
        </w:rPr>
        <w:t xml:space="preserve"> </w:t>
      </w:r>
      <w:r>
        <w:rPr>
          <w:rFonts w:hint="eastAsia" w:ascii="宋体" w:hAnsi="宋体" w:eastAsia="宋体" w:cs="宋体"/>
        </w:rPr>
        <w:t>m/s。</w:t>
      </w:r>
    </w:p>
    <w:p>
      <w:pPr>
        <w:pStyle w:val="63"/>
        <w:ind w:left="0"/>
        <w:jc w:val="both"/>
        <w:rPr>
          <w:rFonts w:ascii="宋体" w:hAnsi="宋体" w:eastAsia="宋体" w:cs="宋体"/>
          <w:color w:val="000000" w:themeColor="text1"/>
          <w:szCs w:val="22"/>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预冷库预冷的苹果，预冷终止后应移入普通冷库贮藏，移动过程中应保持低温状态。</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移动冷库和冷藏车预冷</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eastAsia="宋体"/>
          <w:color w:val="000000" w:themeColor="text1"/>
          <w:szCs w:val="22"/>
          <w14:textFill>
            <w14:solidFill>
              <w14:schemeClr w14:val="tx1"/>
            </w14:solidFill>
          </w14:textFill>
        </w:rPr>
        <w:t>同预冷库。</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普通改造库预冷</w:t>
      </w:r>
    </w:p>
    <w:p>
      <w:pPr>
        <w:pStyle w:val="63"/>
        <w:numPr>
          <w:ilvl w:val="3"/>
          <w:numId w:val="0"/>
        </w:numPr>
        <w:ind w:firstLine="420" w:firstLineChars="200"/>
        <w:jc w:val="both"/>
        <w:rPr>
          <w:rFonts w:ascii="宋体" w:hAnsi="宋体" w:eastAsia="宋体" w:cs="宋体"/>
          <w:color w:val="000000" w:themeColor="text1"/>
          <w:szCs w:val="22"/>
          <w14:textFill>
            <w14:solidFill>
              <w14:schemeClr w14:val="tx1"/>
            </w14:solidFill>
          </w14:textFill>
        </w:rPr>
      </w:pPr>
      <w:r>
        <w:rPr>
          <w:rFonts w:hint="eastAsia" w:eastAsia="宋体"/>
          <w:color w:val="000000" w:themeColor="text1"/>
          <w:szCs w:val="22"/>
          <w14:textFill>
            <w14:solidFill>
              <w14:schemeClr w14:val="tx1"/>
            </w14:solidFill>
          </w14:textFill>
        </w:rPr>
        <w:t>同预冷库。</w:t>
      </w:r>
    </w:p>
    <w:p>
      <w:pPr>
        <w:pStyle w:val="64"/>
        <w:spacing w:before="156" w:beforeLines="50" w:after="156" w:afterLines="50"/>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强制通风库预冷</w:t>
      </w:r>
    </w:p>
    <w:p>
      <w:pPr>
        <w:pStyle w:val="63"/>
        <w:ind w:left="0"/>
        <w:jc w:val="both"/>
        <w:rPr>
          <w:rFonts w:ascii="宋体" w:hAnsi="宋体" w:eastAsia="宋体" w:cs="宋体"/>
          <w:color w:val="000000" w:themeColor="text1"/>
          <w:szCs w:val="22"/>
          <w14:textFill>
            <w14:solidFill>
              <w14:schemeClr w14:val="tx1"/>
            </w14:solidFill>
          </w14:textFill>
        </w:rPr>
      </w:pPr>
      <w:bookmarkStart w:id="1" w:name="OLE_LINK7"/>
      <w:bookmarkStart w:id="2" w:name="OLE_LINK8"/>
      <w:r>
        <w:rPr>
          <w:rFonts w:hint="eastAsia" w:ascii="宋体" w:hAnsi="宋体" w:eastAsia="宋体" w:cs="宋体"/>
        </w:rPr>
        <w:t>入库量宜小于库容量的80%，苹果预冷周期在6</w:t>
      </w:r>
      <w:r>
        <w:rPr>
          <w:rFonts w:hint="eastAsia" w:ascii="宋体" w:hAnsi="宋体" w:eastAsia="宋体" w:cs="宋体"/>
          <w:lang w:val="en-US" w:eastAsia="zh-CN"/>
        </w:rPr>
        <w:t xml:space="preserve"> </w:t>
      </w:r>
      <w:r>
        <w:rPr>
          <w:rFonts w:hint="eastAsia" w:ascii="宋体" w:hAnsi="宋体" w:eastAsia="宋体" w:cs="宋体"/>
        </w:rPr>
        <w:t>h内降至终止温度。</w:t>
      </w:r>
    </w:p>
    <w:p>
      <w:pPr>
        <w:pStyle w:val="63"/>
        <w:ind w:left="0"/>
        <w:jc w:val="both"/>
        <w:rPr>
          <w:rFonts w:ascii="宋体" w:hAnsi="宋体" w:eastAsia="宋体" w:cs="宋体"/>
          <w:color w:val="000000" w:themeColor="text1"/>
          <w:szCs w:val="22"/>
          <w:highlight w:val="none"/>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送风温度应为</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1±0.5</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℃，库内相对湿度应为90%</w:t>
      </w:r>
      <w:r>
        <w:rPr>
          <w:rFonts w:hint="eastAsia" w:ascii="宋体" w:hAnsi="宋体" w:eastAsia="宋体" w:cs="宋体"/>
          <w:color w:val="000000" w:themeColor="text1"/>
          <w:szCs w:val="22"/>
          <w:highlight w:val="none"/>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95%，冷库送风速度应</w:t>
      </w:r>
      <w:r>
        <w:rPr>
          <w:rFonts w:hint="eastAsia" w:ascii="宋体" w:hAnsi="宋体" w:eastAsia="宋体" w:cs="宋体"/>
          <w:color w:val="000000" w:themeColor="text1"/>
          <w:szCs w:val="22"/>
          <w:highlight w:val="none"/>
          <w14:textFill>
            <w14:solidFill>
              <w14:schemeClr w14:val="tx1"/>
            </w14:solidFill>
          </w14:textFill>
        </w:rPr>
        <w:t>为1.0</w:t>
      </w:r>
      <w:r>
        <w:rPr>
          <w:rFonts w:hint="eastAsia" w:ascii="宋体" w:hAnsi="宋体" w:eastAsia="宋体" w:cs="宋体"/>
          <w:color w:val="000000" w:themeColor="text1"/>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2"/>
          <w:highlight w:val="none"/>
          <w14:textFill>
            <w14:solidFill>
              <w14:schemeClr w14:val="tx1"/>
            </w14:solidFill>
          </w14:textFill>
        </w:rPr>
        <w:t>m/s～1.5</w:t>
      </w:r>
      <w:r>
        <w:rPr>
          <w:rFonts w:hint="eastAsia" w:ascii="宋体" w:hAnsi="宋体" w:eastAsia="宋体" w:cs="宋体"/>
          <w:color w:val="000000" w:themeColor="text1"/>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2"/>
          <w:highlight w:val="none"/>
          <w14:textFill>
            <w14:solidFill>
              <w14:schemeClr w14:val="tx1"/>
            </w14:solidFill>
          </w14:textFill>
        </w:rPr>
        <w:t>m/s</w:t>
      </w:r>
      <w:r>
        <w:rPr>
          <w:rFonts w:hint="eastAsia" w:ascii="宋体" w:hAnsi="宋体" w:eastAsia="宋体" w:cs="宋体"/>
          <w:color w:val="000000" w:themeColor="text1"/>
          <w:szCs w:val="22"/>
          <w:highlight w:val="none"/>
          <w:lang w:eastAsia="zh-CN"/>
          <w14:textFill>
            <w14:solidFill>
              <w14:schemeClr w14:val="tx1"/>
            </w14:solidFill>
          </w14:textFill>
        </w:rPr>
        <w:t>。</w:t>
      </w:r>
    </w:p>
    <w:p>
      <w:pPr>
        <w:pStyle w:val="99"/>
        <w:spacing w:before="0" w:beforeLines="0" w:after="0" w:afterLines="0" w:line="720" w:lineRule="auto"/>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出库</w:t>
      </w:r>
    </w:p>
    <w:bookmarkEnd w:id="1"/>
    <w:bookmarkEnd w:id="2"/>
    <w:p>
      <w:pPr>
        <w:pStyle w:val="63"/>
        <w:numPr>
          <w:ilvl w:val="3"/>
          <w:numId w:val="0"/>
        </w:numPr>
        <w:ind w:firstLine="420" w:firstLineChars="200"/>
        <w:jc w:val="both"/>
        <w:rPr>
          <w:rFonts w:hint="eastAsia" w:ascii="宋体" w:hAnsi="宋体" w:eastAsia="宋体" w:cs="宋体"/>
          <w:color w:val="000000" w:themeColor="text1"/>
          <w:highlight w:val="yellow"/>
          <w:lang w:eastAsia="zh-CN"/>
          <w14:textFill>
            <w14:solidFill>
              <w14:schemeClr w14:val="tx1"/>
            </w14:solidFill>
          </w14:textFill>
        </w:rPr>
      </w:pPr>
      <w:r>
        <w:rPr>
          <w:rFonts w:hint="eastAsia" w:ascii="宋体" w:hAnsi="宋体" w:eastAsia="宋体" w:cs="宋体"/>
          <w:color w:val="000000" w:themeColor="text1"/>
          <w:szCs w:val="22"/>
          <w14:textFill>
            <w14:solidFill>
              <w14:schemeClr w14:val="tx1"/>
            </w14:solidFill>
          </w14:textFill>
        </w:rPr>
        <w:t>果心温度降至预冷终止温度后，及时出库贮藏或运输，运输过程中应保持低温状态。普通冷库预冷的果实，预冷终止后可原库贮藏或转移合并到其他冷库贮藏；预冷库</w:t>
      </w:r>
      <w:r>
        <w:rPr>
          <w:rFonts w:hint="eastAsia" w:ascii="宋体" w:hAnsi="宋体" w:eastAsia="宋体" w:cs="宋体"/>
          <w:color w:val="000000" w:themeColor="text1"/>
          <w:szCs w:val="22"/>
          <w:lang w:eastAsia="zh-CN"/>
          <w14:textFill>
            <w14:solidFill>
              <w14:schemeClr w14:val="tx1"/>
            </w14:solidFill>
          </w14:textFill>
        </w:rPr>
        <w:t>、</w:t>
      </w:r>
      <w:r>
        <w:rPr>
          <w:rFonts w:hint="eastAsia" w:ascii="宋体" w:hAnsi="宋体" w:eastAsia="宋体" w:cs="宋体"/>
          <w:color w:val="000000" w:themeColor="text1"/>
          <w:szCs w:val="22"/>
          <w14:textFill>
            <w14:solidFill>
              <w14:schemeClr w14:val="tx1"/>
            </w14:solidFill>
          </w14:textFill>
        </w:rPr>
        <w:t>普通改造库</w:t>
      </w:r>
      <w:r>
        <w:rPr>
          <w:rFonts w:hint="eastAsia" w:ascii="宋体" w:hAnsi="宋体" w:eastAsia="宋体" w:cs="宋体"/>
          <w:color w:val="000000" w:themeColor="text1"/>
          <w:szCs w:val="22"/>
          <w:lang w:eastAsia="zh-CN"/>
          <w14:textFill>
            <w14:solidFill>
              <w14:schemeClr w14:val="tx1"/>
            </w14:solidFill>
          </w14:textFill>
        </w:rPr>
        <w:t>、移动冷库和冷藏车</w:t>
      </w:r>
      <w:r>
        <w:rPr>
          <w:rFonts w:hint="eastAsia" w:ascii="宋体" w:hAnsi="宋体" w:eastAsia="宋体" w:cs="宋体"/>
          <w:color w:val="000000" w:themeColor="text1"/>
          <w:szCs w:val="22"/>
          <w14:textFill>
            <w14:solidFill>
              <w14:schemeClr w14:val="tx1"/>
            </w14:solidFill>
          </w14:textFill>
        </w:rPr>
        <w:t>预冷终止后应移入普通冷库贮藏。</w:t>
      </w:r>
    </w:p>
    <w:p>
      <w:pPr>
        <w:pStyle w:val="45"/>
        <w:ind w:firstLine="0" w:firstLineChars="0"/>
        <w:rPr>
          <w:color w:val="000000" w:themeColor="text1"/>
          <w:szCs w:val="22"/>
          <w14:textFill>
            <w14:solidFill>
              <w14:schemeClr w14:val="tx1"/>
            </w14:solidFill>
          </w14:textFill>
        </w:rPr>
      </w:pPr>
    </w:p>
    <w:p>
      <w:pPr>
        <w:pStyle w:val="45"/>
        <w:tabs>
          <w:tab w:val="center" w:pos="4201"/>
          <w:tab w:val="right" w:leader="dot" w:pos="9298"/>
        </w:tabs>
        <w:ind w:firstLine="0" w:firstLineChars="0"/>
      </w:pPr>
      <w:r>
        <w:rPr>
          <w:color w:val="000000"/>
        </w:rP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423545</wp:posOffset>
                </wp:positionV>
                <wp:extent cx="1466850"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14668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48.9pt;margin-top:33.35pt;height:0pt;width:115.5pt;z-index:251672576;mso-width-relative:page;mso-height-relative:page;" filled="f" stroked="t" coordsize="21600,21600" o:gfxdata="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nbJdtYAAAAJAQAADwAAAAAAAAABACAAAAAi&#10;AAAAZHJzL2Rvd25yZXYueG1sUEsBAhQAFAAAAAgAh07iQNAA93nTAQAAjAMAAA4AAAAAAAAAAQAg&#10;AAAAJQEAAGRycy9lMm9Eb2MueG1sUEsFBgAAAAAGAAYAWQEAAGoFAAAAAA==&#10;">
                <v:fill on="f" focussize="0,0"/>
                <v:stroke color="#000000" joinstyle="round"/>
                <v:imagedata o:title=""/>
                <o:lock v:ext="edit" aspectratio="f"/>
              </v:line>
            </w:pict>
          </mc:Fallback>
        </mc:AlternateContent>
      </w:r>
      <w:r>
        <w:rPr>
          <w:color w:val="000000"/>
        </w:rPr>
        <mc:AlternateContent>
          <mc:Choice Requires="wps">
            <w:drawing>
              <wp:anchor distT="0" distB="0" distL="114300" distR="114300" simplePos="0" relativeHeight="251669504" behindDoc="0" locked="0" layoutInCell="1" allowOverlap="1">
                <wp:simplePos x="0" y="0"/>
                <wp:positionH relativeFrom="column">
                  <wp:posOffset>3006725</wp:posOffset>
                </wp:positionH>
                <wp:positionV relativeFrom="paragraph">
                  <wp:posOffset>8921750</wp:posOffset>
                </wp:positionV>
                <wp:extent cx="1466850" cy="0"/>
                <wp:effectExtent l="0" t="0" r="0" b="0"/>
                <wp:wrapNone/>
                <wp:docPr id="11" name="直接连接符 11"/>
                <wp:cNvGraphicFramePr/>
                <a:graphic xmlns:a="http://schemas.openxmlformats.org/drawingml/2006/main">
                  <a:graphicData uri="http://schemas.microsoft.com/office/word/2010/wordprocessingShape">
                    <wps:wsp>
                      <wps:cNvCnPr/>
                      <wps:spPr>
                        <a:xfrm>
                          <a:off x="0" y="0"/>
                          <a:ext cx="14668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36.75pt;margin-top:702.5pt;height:0pt;width:115.5pt;z-index:251669504;mso-width-relative:page;mso-height-relative:page;" filled="f" stroked="t" coordsize="21600,21600" o:gfxdata="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tw95tcAAAANAQAADwAAAAAAAAABACAAAAAi&#10;AAAAZHJzL2Rvd25yZXYueG1sUEsBAhQAFAAAAAgAh07iQOnimbfSAQAAjAMAAA4AAAAAAAAAAQAg&#10;AAAAJgEAAGRycy9lMm9Eb2MueG1sUEsFBgAAAAAGAAYAWQEAAGoFAAAAAA==&#10;">
                <v:fill on="f" focussize="0,0"/>
                <v:stroke color="#000000" joinstyle="round"/>
                <v:imagedata o:title=""/>
                <o:lock v:ext="edit" aspectratio="f"/>
              </v:line>
            </w:pict>
          </mc:Fallback>
        </mc:AlternateContent>
      </w:r>
      <w:r>
        <w:rPr>
          <w:color w:val="000000"/>
        </w:rPr>
        <mc:AlternateContent>
          <mc:Choice Requires="wps">
            <w:drawing>
              <wp:anchor distT="0" distB="0" distL="114300" distR="114300" simplePos="0" relativeHeight="251671552" behindDoc="0" locked="0" layoutInCell="1" allowOverlap="1">
                <wp:simplePos x="0" y="0"/>
                <wp:positionH relativeFrom="column">
                  <wp:posOffset>3159125</wp:posOffset>
                </wp:positionH>
                <wp:positionV relativeFrom="paragraph">
                  <wp:posOffset>9074150</wp:posOffset>
                </wp:positionV>
                <wp:extent cx="146685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1466850" cy="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48.75pt;margin-top:714.5pt;height:0pt;width:115.5pt;z-index:251671552;mso-width-relative:page;mso-height-relative:page;" filled="f" stroked="t" coordsize="21600,21600" o:gfxdata="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7ypp82AAAAA0BAAAPAAAAAAAAAAEAIAAAACIAAABkcnMvZG93bnJldi54bWxQSwEC&#10;FAAUAAAACACHTuJAoIDhePQBAADbAwAADgAAAAAAAAABACAAAAAnAQAAZHJzL2Uyb0RvYy54bWxQ&#10;SwUGAAAAAAYABgBZAQAAjQUAAAAA&#10;">
                <v:fill on="f" focussize="0,0"/>
                <v:stroke color="#000000 [3200]" joinstyle="round"/>
                <v:imagedata o:title=""/>
                <o:lock v:ext="edit" aspectratio="f"/>
              </v:line>
            </w:pict>
          </mc:Fallback>
        </mc:AlternateContent>
      </w:r>
      <w:r>
        <w:rPr>
          <w:color w:val="000000"/>
        </w:rPr>
        <mc:AlternateContent>
          <mc:Choice Requires="wps">
            <w:drawing>
              <wp:anchor distT="0" distB="0" distL="114300" distR="114300" simplePos="0" relativeHeight="251670528" behindDoc="0" locked="0" layoutInCell="1" allowOverlap="1">
                <wp:simplePos x="0" y="0"/>
                <wp:positionH relativeFrom="column">
                  <wp:posOffset>3006725</wp:posOffset>
                </wp:positionH>
                <wp:positionV relativeFrom="paragraph">
                  <wp:posOffset>8921750</wp:posOffset>
                </wp:positionV>
                <wp:extent cx="1466850" cy="0"/>
                <wp:effectExtent l="0" t="0" r="0" b="0"/>
                <wp:wrapNone/>
                <wp:docPr id="12" name="直接连接符 12"/>
                <wp:cNvGraphicFramePr/>
                <a:graphic xmlns:a="http://schemas.openxmlformats.org/drawingml/2006/main">
                  <a:graphicData uri="http://schemas.microsoft.com/office/word/2010/wordprocessingShape">
                    <wps:wsp>
                      <wps:cNvCnPr/>
                      <wps:spPr>
                        <a:xfrm>
                          <a:off x="0" y="0"/>
                          <a:ext cx="14668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36.75pt;margin-top:702.5pt;height:0pt;width:115.5pt;z-index:251670528;mso-width-relative:page;mso-height-relative:page;" filled="f" stroked="t" coordsize="21600,21600" o:gfxdata="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tw95tcAAAANAQAADwAAAAAAAAABACAAAAAi&#10;AAAAZHJzL2Rvd25yZXYueG1sUEsBAhQAFAAAAAgAh07iQJ5En7jSAQAAjAMAAA4AAAAAAAAAAQAg&#10;AAAAJgEAAGRycy9lMm9Eb2MueG1sUEsFBgAAAAAGAAYAWQEAAGoFAAAAAA==&#10;">
                <v:fill on="f" focussize="0,0"/>
                <v:stroke color="#000000" joinstyle="round"/>
                <v:imagedata o:title=""/>
                <o:lock v:ext="edit" aspectratio="f"/>
              </v:line>
            </w:pict>
          </mc:Fallback>
        </mc:AlternateContent>
      </w:r>
    </w:p>
    <w:sectPr>
      <w:headerReference r:id="rId13" w:type="default"/>
      <w:footerReference r:id="rId14" w:type="default"/>
      <w:footerReference r:id="rId15" w:type="even"/>
      <w:type w:val="oddPage"/>
      <w:pgSz w:w="11907" w:h="16839"/>
      <w:pgMar w:top="1417" w:right="1134" w:bottom="1134" w:left="1418" w:header="1418" w:footer="1134"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rPr>
        <w:rStyle w:val="28"/>
      </w:rPr>
    </w:pPr>
    <w:r>
      <w:fldChar w:fldCharType="begin"/>
    </w:r>
    <w:r>
      <w:rPr>
        <w:rStyle w:val="28"/>
      </w:rPr>
      <w:instrText xml:space="preserve">PAGE  </w:instrText>
    </w:r>
    <w:r>
      <w:fldChar w:fldCharType="separate"/>
    </w:r>
    <w:r>
      <w:rPr>
        <w:rStyle w:val="28"/>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0"/>
      <w:rPr>
        <w:rStyle w:val="28"/>
      </w:rPr>
    </w:pPr>
    <w:r>
      <w:fldChar w:fldCharType="begin"/>
    </w:r>
    <w:r>
      <w:rPr>
        <w:rStyle w:val="28"/>
      </w:rPr>
      <w:instrText xml:space="preserve">PAGE  </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numPr>
        <w:ilvl w:val="0"/>
        <w:numId w:val="0"/>
      </w:numPr>
      <w:ind w:left="430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ind w:right="227"/>
      <w:rPr>
        <w:rStyle w:val="28"/>
        <w:rFonts w:ascii="宋体" w:hAnsi="宋体" w:cs="宋体"/>
      </w:rPr>
    </w:pPr>
    <w:r>
      <w:rPr>
        <w:rFonts w:hint="eastAsia" w:ascii="宋体" w:hAnsi="宋体" w:cs="宋体"/>
      </w:rPr>
      <w:fldChar w:fldCharType="begin"/>
    </w:r>
    <w:r>
      <w:rPr>
        <w:rStyle w:val="28"/>
        <w:rFonts w:hint="eastAsia" w:ascii="宋体" w:hAnsi="宋体" w:cs="宋体"/>
      </w:rPr>
      <w:instrText xml:space="preserve">PAGE  </w:instrText>
    </w:r>
    <w:r>
      <w:rPr>
        <w:rFonts w:hint="eastAsia" w:ascii="宋体" w:hAnsi="宋体" w:cs="宋体"/>
      </w:rPr>
      <w:fldChar w:fldCharType="separate"/>
    </w:r>
    <w:r>
      <w:rPr>
        <w:rStyle w:val="28"/>
        <w:rFonts w:ascii="宋体" w:hAnsi="宋体" w:cs="宋体"/>
      </w:rPr>
      <w:t>I</w:t>
    </w:r>
    <w:r>
      <w:rPr>
        <w:rFonts w:hint="eastAsia" w:ascii="宋体" w:hAnsi="宋体" w:cs="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0"/>
      <w:rPr>
        <w:rStyle w:val="28"/>
      </w:rPr>
    </w:pPr>
    <w:r>
      <w:fldChar w:fldCharType="begin"/>
    </w:r>
    <w:r>
      <w:rPr>
        <w:rStyle w:val="28"/>
      </w:rPr>
      <w:instrText xml:space="preserve">PAGE  </w:instrText>
    </w:r>
    <w:r>
      <w:fldChar w:fldCharType="separate"/>
    </w:r>
    <w:r>
      <w:rPr>
        <w:rStyle w:val="28"/>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numPr>
        <w:ilvl w:val="0"/>
        <w:numId w:val="0"/>
      </w:numPr>
      <w:jc w:val="both"/>
      <w:rPr>
        <w:rStyle w:val="28"/>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numPr>
                              <w:ilvl w:val="0"/>
                              <w:numId w:val="0"/>
                            </w:numPr>
                            <w:ind w:left="4305"/>
                            <w:jc w:val="both"/>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5</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vqXRUQAgAACQ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6l0VEAIAAAkEAAAOAAAAAAAAAAEAIAAA&#10;AB8BAABkcnMvZTJvRG9jLnhtbFBLBQYAAAAABgAGAFkBAAChBQAAAAA=&#10;">
              <v:fill on="f" focussize="0,0"/>
              <v:stroke on="f" weight="0.5pt"/>
              <v:imagedata o:title=""/>
              <o:lock v:ext="edit" aspectratio="f"/>
              <v:textbox inset="0mm,0mm,0mm,0mm" style="mso-fit-shape-to-text:t;">
                <w:txbxContent>
                  <w:p>
                    <w:pPr>
                      <w:pStyle w:val="21"/>
                      <w:numPr>
                        <w:ilvl w:val="0"/>
                        <w:numId w:val="0"/>
                      </w:numPr>
                      <w:ind w:left="4305"/>
                      <w:jc w:val="both"/>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5</w:t>
                    </w:r>
                    <w:r>
                      <w:rPr>
                        <w:rFonts w:hint="eastAsia" w:ascii="宋体" w:hAnsi="宋体" w:cs="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0"/>
      <w:ind w:left="227"/>
      <w:rPr>
        <w:rStyle w:val="28"/>
      </w:rPr>
    </w:pPr>
    <w:r>
      <w:fldChar w:fldCharType="begin"/>
    </w:r>
    <w:r>
      <w:rPr>
        <w:rStyle w:val="28"/>
      </w:rPr>
      <w:instrText xml:space="preserve">PAGE  </w:instrText>
    </w:r>
    <w:r>
      <w:fldChar w:fldCharType="separate"/>
    </w:r>
    <w:r>
      <w:rPr>
        <w:rStyle w:val="28"/>
      </w:rP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t>Q/SQ002—2005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7"/>
      <w:tabs>
        <w:tab w:val="clear" w:pos="4805"/>
      </w:tabs>
    </w:pPr>
    <w:r>
      <w:t>Q/SQ002—2005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rPr>
        <w:rFonts w:ascii="黑体" w:hAnsi="黑体" w:eastAsia="黑体" w:cs="黑体"/>
      </w:rPr>
    </w:pPr>
    <w:r>
      <w:rPr>
        <w:rFonts w:hint="eastAsia" w:ascii="黑体" w:hAnsi="黑体" w:eastAsia="黑体" w:cs="黑体"/>
      </w:rPr>
      <w:t>DB61/T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7"/>
      <w:tabs>
        <w:tab w:val="clear" w:pos="4805"/>
      </w:tabs>
    </w:pPr>
    <w:r>
      <w:rPr>
        <w:rFonts w:hint="eastAsia"/>
      </w:rPr>
      <w:t>DB61/T XXXX</w:t>
    </w:r>
    <w:r>
      <w:t>—</w:t>
    </w:r>
    <w:r>
      <w:rPr>
        <w:rFonts w:hint="eastAsia"/>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t>DB</w:t>
    </w:r>
    <w:r>
      <w:rPr>
        <w:rFonts w:hint="eastAsia"/>
      </w:rPr>
      <w:t>61/T</w:t>
    </w:r>
    <w:r>
      <w:t xml:space="preserve"> </w:t>
    </w:r>
    <w:r>
      <w:rPr>
        <w:rFonts w:hint="eastAsia"/>
      </w:rPr>
      <w:t>XXXX</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1"/>
      <w:suff w:val="nothing"/>
      <w:lvlText w:val="%1%2.%3　"/>
      <w:lvlJc w:val="left"/>
      <w:pPr>
        <w:ind w:left="0" w:firstLine="0"/>
      </w:pPr>
      <w:rPr>
        <w:rFonts w:hint="eastAsia" w:ascii="黑体" w:hAnsi="Times New Roman" w:eastAsia="黑体"/>
        <w:b w:val="0"/>
        <w:i w:val="0"/>
        <w:sz w:val="21"/>
      </w:rPr>
    </w:lvl>
    <w:lvl w:ilvl="3" w:tentative="0">
      <w:start w:val="1"/>
      <w:numFmt w:val="decimal"/>
      <w:pStyle w:val="92"/>
      <w:suff w:val="nothing"/>
      <w:lvlText w:val="%1%2.%3.%4　"/>
      <w:lvlJc w:val="left"/>
      <w:pPr>
        <w:ind w:left="0" w:firstLine="0"/>
      </w:pPr>
      <w:rPr>
        <w:rFonts w:hint="eastAsia" w:ascii="黑体" w:hAnsi="Times New Roman" w:eastAsia="黑体"/>
        <w:b w:val="0"/>
        <w:i w:val="0"/>
        <w:sz w:val="21"/>
      </w:rPr>
    </w:lvl>
    <w:lvl w:ilvl="4" w:tentative="0">
      <w:start w:val="1"/>
      <w:numFmt w:val="decimal"/>
      <w:pStyle w:val="86"/>
      <w:suff w:val="nothing"/>
      <w:lvlText w:val="%1%2.%3.%4.%5　"/>
      <w:lvlJc w:val="left"/>
      <w:pPr>
        <w:ind w:left="0" w:firstLine="0"/>
      </w:pPr>
      <w:rPr>
        <w:rFonts w:hint="eastAsia" w:ascii="黑体" w:hAnsi="Times New Roman" w:eastAsia="黑体"/>
        <w:b w:val="0"/>
        <w:i w:val="0"/>
        <w:sz w:val="21"/>
      </w:rPr>
    </w:lvl>
    <w:lvl w:ilvl="5" w:tentative="0">
      <w:start w:val="1"/>
      <w:numFmt w:val="decimal"/>
      <w:pStyle w:val="88"/>
      <w:suff w:val="nothing"/>
      <w:lvlText w:val="%1%2.%3.%4.%5.%6　"/>
      <w:lvlJc w:val="left"/>
      <w:pPr>
        <w:ind w:left="0" w:firstLine="0"/>
      </w:pPr>
      <w:rPr>
        <w:rFonts w:hint="eastAsia" w:ascii="黑体" w:hAnsi="Times New Roman" w:eastAsia="黑体"/>
        <w:b w:val="0"/>
        <w:i w:val="0"/>
        <w:sz w:val="21"/>
      </w:rPr>
    </w:lvl>
    <w:lvl w:ilvl="6" w:tentative="0">
      <w:start w:val="1"/>
      <w:numFmt w:val="decimal"/>
      <w:pStyle w:val="6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67"/>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7E65F9"/>
    <w:multiLevelType w:val="multilevel"/>
    <w:tmpl w:val="407E65F9"/>
    <w:lvl w:ilvl="0" w:tentative="0">
      <w:start w:val="1"/>
      <w:numFmt w:val="none"/>
      <w:pStyle w:val="89"/>
      <w:lvlText w:val="%1●　"/>
      <w:lvlJc w:val="left"/>
      <w:pPr>
        <w:tabs>
          <w:tab w:val="left" w:pos="560"/>
        </w:tabs>
        <w:ind w:left="517" w:hanging="317"/>
      </w:pPr>
      <w:rPr>
        <w:rFonts w:hint="eastAsia" w:ascii="宋体" w:hAnsi="Times New Roman" w:eastAsia="宋体"/>
        <w:b w:val="0"/>
        <w:i w:val="0"/>
        <w:sz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2E96B01"/>
    <w:multiLevelType w:val="multilevel"/>
    <w:tmpl w:val="42E96B01"/>
    <w:lvl w:ilvl="0" w:tentative="0">
      <w:start w:val="1"/>
      <w:numFmt w:val="upperLetter"/>
      <w:pStyle w:val="91"/>
      <w:suff w:val="nothing"/>
      <w:lvlText w:val="附　录　%1"/>
      <w:lvlJc w:val="left"/>
      <w:pPr>
        <w:tabs>
          <w:tab w:val="left" w:pos="0"/>
        </w:tabs>
        <w:ind w:left="0" w:firstLine="0"/>
      </w:pPr>
      <w:rPr>
        <w:rFonts w:hint="default" w:ascii="Times New Roman" w:hAnsi="Times New Roman" w:eastAsia="黑体"/>
        <w:b w:val="0"/>
        <w:i w:val="0"/>
        <w:sz w:val="21"/>
      </w:rPr>
    </w:lvl>
    <w:lvl w:ilvl="1" w:tentative="0">
      <w:start w:val="1"/>
      <w:numFmt w:val="decimal"/>
      <w:pStyle w:val="44"/>
      <w:suff w:val="nothing"/>
      <w:lvlText w:val="%1.%2　"/>
      <w:lvlJc w:val="left"/>
      <w:pPr>
        <w:ind w:left="0" w:firstLine="0"/>
      </w:pPr>
      <w:rPr>
        <w:rFonts w:hint="default" w:ascii="Times New Roman" w:hAnsi="Times New Roman" w:eastAsia="黑体" w:cs="Times New Roman"/>
        <w:b/>
        <w:bCs/>
        <w:i w:val="0"/>
        <w:snapToGrid/>
        <w:spacing w:val="0"/>
        <w:w w:val="100"/>
        <w:kern w:val="21"/>
        <w:sz w:val="21"/>
      </w:rPr>
    </w:lvl>
    <w:lvl w:ilvl="2" w:tentative="0">
      <w:start w:val="1"/>
      <w:numFmt w:val="decimal"/>
      <w:pStyle w:val="43"/>
      <w:suff w:val="nothing"/>
      <w:lvlText w:val="%1.%2.%3　"/>
      <w:lvlJc w:val="left"/>
      <w:pPr>
        <w:ind w:left="0" w:firstLine="0"/>
      </w:pPr>
      <w:rPr>
        <w:rFonts w:hint="eastAsia" w:ascii="黑体" w:hAnsi="Times New Roman" w:eastAsia="黑体"/>
        <w:b w:val="0"/>
        <w:i w:val="0"/>
        <w:sz w:val="21"/>
      </w:rPr>
    </w:lvl>
    <w:lvl w:ilvl="3" w:tentative="0">
      <w:start w:val="1"/>
      <w:numFmt w:val="decimal"/>
      <w:pStyle w:val="52"/>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0"/>
      <w:suff w:val="nothing"/>
      <w:lvlText w:val="%1.%2.%3.%4.%5.%6　"/>
      <w:lvlJc w:val="left"/>
      <w:pPr>
        <w:ind w:left="0" w:firstLine="0"/>
      </w:pPr>
      <w:rPr>
        <w:rFonts w:hint="eastAsia" w:ascii="黑体" w:hAnsi="Times New Roman" w:eastAsia="黑体"/>
        <w:b w:val="0"/>
        <w:i w:val="0"/>
        <w:sz w:val="21"/>
      </w:rPr>
    </w:lvl>
    <w:lvl w:ilvl="6" w:tentative="0">
      <w:start w:val="1"/>
      <w:numFmt w:val="decimal"/>
      <w:pStyle w:val="5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46806F7D"/>
    <w:multiLevelType w:val="multilevel"/>
    <w:tmpl w:val="46806F7D"/>
    <w:lvl w:ilvl="0" w:tentative="0">
      <w:start w:val="1"/>
      <w:numFmt w:val="none"/>
      <w:pStyle w:val="54"/>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D22D8F"/>
    <w:multiLevelType w:val="multilevel"/>
    <w:tmpl w:val="46D22D8F"/>
    <w:lvl w:ilvl="0" w:tentative="0">
      <w:start w:val="1"/>
      <w:numFmt w:val="none"/>
      <w:pStyle w:val="5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96E4D7B"/>
    <w:multiLevelType w:val="multilevel"/>
    <w:tmpl w:val="496E4D7B"/>
    <w:lvl w:ilvl="0" w:tentative="0">
      <w:start w:val="1"/>
      <w:numFmt w:val="none"/>
      <w:pStyle w:val="1"/>
      <w:lvlText w:val="%1注"/>
      <w:lvlJc w:val="left"/>
      <w:pPr>
        <w:tabs>
          <w:tab w:val="left" w:pos="4805"/>
        </w:tabs>
        <w:ind w:left="4805"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F302902"/>
    <w:multiLevelType w:val="multilevel"/>
    <w:tmpl w:val="4F302902"/>
    <w:lvl w:ilvl="0" w:tentative="0">
      <w:start w:val="1"/>
      <w:numFmt w:val="none"/>
      <w:pStyle w:val="103"/>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350366A"/>
    <w:multiLevelType w:val="multilevel"/>
    <w:tmpl w:val="6350366A"/>
    <w:lvl w:ilvl="0" w:tentative="0">
      <w:start w:val="1"/>
      <w:numFmt w:val="none"/>
      <w:pStyle w:val="58"/>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CEA2025"/>
    <w:multiLevelType w:val="multilevel"/>
    <w:tmpl w:val="6CEA2025"/>
    <w:lvl w:ilvl="0" w:tentative="0">
      <w:start w:val="1"/>
      <w:numFmt w:val="none"/>
      <w:pStyle w:val="55"/>
      <w:suff w:val="nothing"/>
      <w:lvlText w:val="%1"/>
      <w:lvlJc w:val="left"/>
      <w:pPr>
        <w:ind w:left="0" w:firstLine="0"/>
      </w:pPr>
      <w:rPr>
        <w:rFonts w:hint="default" w:ascii="Times New Roman" w:hAnsi="Times New Roman"/>
        <w:b/>
        <w:i w:val="0"/>
        <w:sz w:val="21"/>
      </w:rPr>
    </w:lvl>
    <w:lvl w:ilvl="1" w:tentative="0">
      <w:start w:val="1"/>
      <w:numFmt w:val="decimal"/>
      <w:pStyle w:val="99"/>
      <w:suff w:val="nothing"/>
      <w:lvlText w:val="%1%2　"/>
      <w:lvlJc w:val="left"/>
      <w:pPr>
        <w:ind w:left="0" w:firstLine="0"/>
      </w:pPr>
      <w:rPr>
        <w:rFonts w:hint="default" w:ascii="黑体" w:hAnsi="黑体" w:eastAsia="黑体" w:cs="黑体"/>
        <w:b w:val="0"/>
        <w:bCs/>
        <w:i w:val="0"/>
        <w:sz w:val="21"/>
      </w:rPr>
    </w:lvl>
    <w:lvl w:ilvl="2" w:tentative="0">
      <w:start w:val="1"/>
      <w:numFmt w:val="decimal"/>
      <w:pStyle w:val="64"/>
      <w:suff w:val="nothing"/>
      <w:lvlText w:val="%1%2.%3　"/>
      <w:lvlJc w:val="left"/>
      <w:pPr>
        <w:ind w:left="0" w:firstLine="0"/>
      </w:pPr>
      <w:rPr>
        <w:rFonts w:hint="default" w:ascii="黑体" w:hAnsi="黑体" w:eastAsia="黑体" w:cs="黑体"/>
        <w:b w:val="0"/>
        <w:bCs/>
        <w:i w:val="0"/>
        <w:sz w:val="21"/>
      </w:rPr>
    </w:lvl>
    <w:lvl w:ilvl="3" w:tentative="0">
      <w:start w:val="1"/>
      <w:numFmt w:val="decimal"/>
      <w:pStyle w:val="63"/>
      <w:suff w:val="nothing"/>
      <w:lvlText w:val="%1%2.%3.%4　"/>
      <w:lvlJc w:val="left"/>
      <w:pPr>
        <w:ind w:left="568" w:firstLine="0"/>
      </w:pPr>
      <w:rPr>
        <w:rFonts w:hint="default" w:ascii="黑体" w:hAnsi="黑体" w:eastAsia="黑体" w:cs="黑体"/>
        <w:b w:val="0"/>
        <w:bCs/>
        <w:i w:val="0"/>
        <w:color w:val="000000" w:themeColor="text1"/>
        <w:sz w:val="21"/>
        <w14:textFill>
          <w14:solidFill>
            <w14:schemeClr w14:val="tx1"/>
          </w14:solidFill>
        </w14:textFill>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2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6933334"/>
    <w:multiLevelType w:val="multilevel"/>
    <w:tmpl w:val="76933334"/>
    <w:lvl w:ilvl="0" w:tentative="0">
      <w:start w:val="1"/>
      <w:numFmt w:val="none"/>
      <w:pStyle w:val="9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9"/>
  </w:num>
  <w:num w:numId="3">
    <w:abstractNumId w:val="3"/>
  </w:num>
  <w:num w:numId="4">
    <w:abstractNumId w:val="5"/>
  </w:num>
  <w:num w:numId="5">
    <w:abstractNumId w:val="4"/>
  </w:num>
  <w:num w:numId="6">
    <w:abstractNumId w:val="8"/>
  </w:num>
  <w:num w:numId="7">
    <w:abstractNumId w:val="0"/>
  </w:num>
  <w:num w:numId="8">
    <w:abstractNumId w:val="1"/>
  </w:num>
  <w:num w:numId="9">
    <w:abstractNumId w:val="2"/>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5ZTU3NWI3MzhhNDE4MzQyOWM4ZjFhOGRiYjNkYTAifQ=="/>
  </w:docVars>
  <w:rsids>
    <w:rsidRoot w:val="00552E73"/>
    <w:rsid w:val="000021B1"/>
    <w:rsid w:val="00005661"/>
    <w:rsid w:val="000136F1"/>
    <w:rsid w:val="00015EB5"/>
    <w:rsid w:val="00017C05"/>
    <w:rsid w:val="0002199C"/>
    <w:rsid w:val="0002337B"/>
    <w:rsid w:val="00023AE4"/>
    <w:rsid w:val="00027699"/>
    <w:rsid w:val="00030948"/>
    <w:rsid w:val="00036075"/>
    <w:rsid w:val="000412CD"/>
    <w:rsid w:val="000458E2"/>
    <w:rsid w:val="0004751F"/>
    <w:rsid w:val="00051E76"/>
    <w:rsid w:val="00054795"/>
    <w:rsid w:val="00056F11"/>
    <w:rsid w:val="00057EBB"/>
    <w:rsid w:val="000608A2"/>
    <w:rsid w:val="00073AEE"/>
    <w:rsid w:val="0007658A"/>
    <w:rsid w:val="000812D2"/>
    <w:rsid w:val="000815BB"/>
    <w:rsid w:val="000825D2"/>
    <w:rsid w:val="00084729"/>
    <w:rsid w:val="000904A3"/>
    <w:rsid w:val="0009169A"/>
    <w:rsid w:val="000931DB"/>
    <w:rsid w:val="000937DD"/>
    <w:rsid w:val="000A1E40"/>
    <w:rsid w:val="000A34A3"/>
    <w:rsid w:val="000A5873"/>
    <w:rsid w:val="000A58DA"/>
    <w:rsid w:val="000B7267"/>
    <w:rsid w:val="000C34C3"/>
    <w:rsid w:val="000C4EF1"/>
    <w:rsid w:val="000D29E3"/>
    <w:rsid w:val="000D4211"/>
    <w:rsid w:val="000D4773"/>
    <w:rsid w:val="000E0744"/>
    <w:rsid w:val="000E6DB6"/>
    <w:rsid w:val="000F1261"/>
    <w:rsid w:val="000F204D"/>
    <w:rsid w:val="000F2FDB"/>
    <w:rsid w:val="000F3090"/>
    <w:rsid w:val="000F3B25"/>
    <w:rsid w:val="00101D6D"/>
    <w:rsid w:val="00104B2B"/>
    <w:rsid w:val="00106B24"/>
    <w:rsid w:val="00111872"/>
    <w:rsid w:val="00114EE6"/>
    <w:rsid w:val="00115F1B"/>
    <w:rsid w:val="00116C19"/>
    <w:rsid w:val="00116C5A"/>
    <w:rsid w:val="001243A0"/>
    <w:rsid w:val="00131745"/>
    <w:rsid w:val="00131EE8"/>
    <w:rsid w:val="00144693"/>
    <w:rsid w:val="00146C83"/>
    <w:rsid w:val="0015319D"/>
    <w:rsid w:val="00156F3C"/>
    <w:rsid w:val="00157E74"/>
    <w:rsid w:val="00163F87"/>
    <w:rsid w:val="00165BA8"/>
    <w:rsid w:val="0016621F"/>
    <w:rsid w:val="00166F71"/>
    <w:rsid w:val="0017002D"/>
    <w:rsid w:val="00185546"/>
    <w:rsid w:val="00192DA1"/>
    <w:rsid w:val="00196CE5"/>
    <w:rsid w:val="001A52D9"/>
    <w:rsid w:val="001B154A"/>
    <w:rsid w:val="001B20A3"/>
    <w:rsid w:val="001B2B15"/>
    <w:rsid w:val="001B4F9F"/>
    <w:rsid w:val="001C06F1"/>
    <w:rsid w:val="001C0D94"/>
    <w:rsid w:val="001C130A"/>
    <w:rsid w:val="001C2969"/>
    <w:rsid w:val="001C37DD"/>
    <w:rsid w:val="001C4C96"/>
    <w:rsid w:val="001C76F1"/>
    <w:rsid w:val="001D0310"/>
    <w:rsid w:val="001D30B2"/>
    <w:rsid w:val="001D4098"/>
    <w:rsid w:val="001D4886"/>
    <w:rsid w:val="001E1B25"/>
    <w:rsid w:val="001E2E4F"/>
    <w:rsid w:val="001E66A2"/>
    <w:rsid w:val="001E7FB8"/>
    <w:rsid w:val="001F1CB8"/>
    <w:rsid w:val="001F3197"/>
    <w:rsid w:val="002052EA"/>
    <w:rsid w:val="00207642"/>
    <w:rsid w:val="0021111F"/>
    <w:rsid w:val="0021136A"/>
    <w:rsid w:val="002131B1"/>
    <w:rsid w:val="00215A5B"/>
    <w:rsid w:val="00220E21"/>
    <w:rsid w:val="002218B4"/>
    <w:rsid w:val="002233EB"/>
    <w:rsid w:val="002260EE"/>
    <w:rsid w:val="0022680A"/>
    <w:rsid w:val="002329EE"/>
    <w:rsid w:val="00234DFE"/>
    <w:rsid w:val="0024229A"/>
    <w:rsid w:val="00242FE9"/>
    <w:rsid w:val="00247186"/>
    <w:rsid w:val="002509F4"/>
    <w:rsid w:val="00250C0D"/>
    <w:rsid w:val="00250FA2"/>
    <w:rsid w:val="0026019B"/>
    <w:rsid w:val="00263911"/>
    <w:rsid w:val="00263B00"/>
    <w:rsid w:val="00272D4C"/>
    <w:rsid w:val="00274519"/>
    <w:rsid w:val="00275D00"/>
    <w:rsid w:val="00280AF6"/>
    <w:rsid w:val="00281D51"/>
    <w:rsid w:val="00282928"/>
    <w:rsid w:val="00286056"/>
    <w:rsid w:val="0028698E"/>
    <w:rsid w:val="002870DE"/>
    <w:rsid w:val="00292DF1"/>
    <w:rsid w:val="002A0156"/>
    <w:rsid w:val="002B3D8A"/>
    <w:rsid w:val="002B40B2"/>
    <w:rsid w:val="002C0E0B"/>
    <w:rsid w:val="002C1417"/>
    <w:rsid w:val="002C5557"/>
    <w:rsid w:val="002C60C6"/>
    <w:rsid w:val="002D3791"/>
    <w:rsid w:val="002D5995"/>
    <w:rsid w:val="002D7FE3"/>
    <w:rsid w:val="002E0DDE"/>
    <w:rsid w:val="002E1DBE"/>
    <w:rsid w:val="002E30B0"/>
    <w:rsid w:val="002E4092"/>
    <w:rsid w:val="002E5ED0"/>
    <w:rsid w:val="002F289F"/>
    <w:rsid w:val="002F4AFB"/>
    <w:rsid w:val="002F5989"/>
    <w:rsid w:val="002F60ED"/>
    <w:rsid w:val="002F6E2A"/>
    <w:rsid w:val="00300742"/>
    <w:rsid w:val="00303E9B"/>
    <w:rsid w:val="00305431"/>
    <w:rsid w:val="00306B78"/>
    <w:rsid w:val="0030737D"/>
    <w:rsid w:val="0030785A"/>
    <w:rsid w:val="00314B17"/>
    <w:rsid w:val="003175C5"/>
    <w:rsid w:val="0032255E"/>
    <w:rsid w:val="00324C46"/>
    <w:rsid w:val="00325848"/>
    <w:rsid w:val="00333515"/>
    <w:rsid w:val="0033390E"/>
    <w:rsid w:val="00335E02"/>
    <w:rsid w:val="003371E1"/>
    <w:rsid w:val="00341AF3"/>
    <w:rsid w:val="00350EEC"/>
    <w:rsid w:val="00352AD9"/>
    <w:rsid w:val="00356BAE"/>
    <w:rsid w:val="003572DD"/>
    <w:rsid w:val="0036254F"/>
    <w:rsid w:val="00363110"/>
    <w:rsid w:val="00365382"/>
    <w:rsid w:val="00370846"/>
    <w:rsid w:val="00372C27"/>
    <w:rsid w:val="00374775"/>
    <w:rsid w:val="003835BB"/>
    <w:rsid w:val="00385D78"/>
    <w:rsid w:val="00390707"/>
    <w:rsid w:val="0039319E"/>
    <w:rsid w:val="00395221"/>
    <w:rsid w:val="003A1D15"/>
    <w:rsid w:val="003A2972"/>
    <w:rsid w:val="003A702C"/>
    <w:rsid w:val="003A7EA3"/>
    <w:rsid w:val="003B1B7B"/>
    <w:rsid w:val="003B3EFC"/>
    <w:rsid w:val="003B432E"/>
    <w:rsid w:val="003B4706"/>
    <w:rsid w:val="003B534A"/>
    <w:rsid w:val="003B5B96"/>
    <w:rsid w:val="003B6758"/>
    <w:rsid w:val="003C1615"/>
    <w:rsid w:val="003C276D"/>
    <w:rsid w:val="003C296D"/>
    <w:rsid w:val="003C2990"/>
    <w:rsid w:val="003C2D63"/>
    <w:rsid w:val="003C46B1"/>
    <w:rsid w:val="003D2143"/>
    <w:rsid w:val="003D3231"/>
    <w:rsid w:val="003D6466"/>
    <w:rsid w:val="003D71CE"/>
    <w:rsid w:val="003E17EC"/>
    <w:rsid w:val="003E73DF"/>
    <w:rsid w:val="003E7503"/>
    <w:rsid w:val="003F03A6"/>
    <w:rsid w:val="003F1810"/>
    <w:rsid w:val="004005CE"/>
    <w:rsid w:val="00403120"/>
    <w:rsid w:val="00410904"/>
    <w:rsid w:val="00410C96"/>
    <w:rsid w:val="00411D48"/>
    <w:rsid w:val="00412721"/>
    <w:rsid w:val="004136DA"/>
    <w:rsid w:val="0041426E"/>
    <w:rsid w:val="00415FD5"/>
    <w:rsid w:val="00416A5E"/>
    <w:rsid w:val="00420245"/>
    <w:rsid w:val="00421BC6"/>
    <w:rsid w:val="00427B04"/>
    <w:rsid w:val="00430459"/>
    <w:rsid w:val="00431A9C"/>
    <w:rsid w:val="0043268D"/>
    <w:rsid w:val="0043791A"/>
    <w:rsid w:val="00441655"/>
    <w:rsid w:val="00442338"/>
    <w:rsid w:val="004435DB"/>
    <w:rsid w:val="0044417C"/>
    <w:rsid w:val="00446730"/>
    <w:rsid w:val="0044683F"/>
    <w:rsid w:val="004468FB"/>
    <w:rsid w:val="00446E47"/>
    <w:rsid w:val="0046025A"/>
    <w:rsid w:val="00460291"/>
    <w:rsid w:val="00470F47"/>
    <w:rsid w:val="00472802"/>
    <w:rsid w:val="00473253"/>
    <w:rsid w:val="00474D51"/>
    <w:rsid w:val="00477118"/>
    <w:rsid w:val="004838CA"/>
    <w:rsid w:val="00486E8F"/>
    <w:rsid w:val="00490E4D"/>
    <w:rsid w:val="00491DC0"/>
    <w:rsid w:val="00497FF7"/>
    <w:rsid w:val="004A1486"/>
    <w:rsid w:val="004B18B1"/>
    <w:rsid w:val="004B3147"/>
    <w:rsid w:val="004B4100"/>
    <w:rsid w:val="004B78FB"/>
    <w:rsid w:val="004C14F7"/>
    <w:rsid w:val="004C2830"/>
    <w:rsid w:val="004C4B65"/>
    <w:rsid w:val="004C5838"/>
    <w:rsid w:val="004C6050"/>
    <w:rsid w:val="004C75BF"/>
    <w:rsid w:val="004D0798"/>
    <w:rsid w:val="004D1256"/>
    <w:rsid w:val="004D1342"/>
    <w:rsid w:val="004D23E4"/>
    <w:rsid w:val="004D6B57"/>
    <w:rsid w:val="004D6FA3"/>
    <w:rsid w:val="004E03E9"/>
    <w:rsid w:val="004E138E"/>
    <w:rsid w:val="004E1D09"/>
    <w:rsid w:val="004E24C3"/>
    <w:rsid w:val="004E38E0"/>
    <w:rsid w:val="004E4BC7"/>
    <w:rsid w:val="004E61B8"/>
    <w:rsid w:val="004F2003"/>
    <w:rsid w:val="004F2037"/>
    <w:rsid w:val="004F424D"/>
    <w:rsid w:val="004F490E"/>
    <w:rsid w:val="004F4A18"/>
    <w:rsid w:val="00500836"/>
    <w:rsid w:val="00502689"/>
    <w:rsid w:val="00504055"/>
    <w:rsid w:val="005040C1"/>
    <w:rsid w:val="005055F7"/>
    <w:rsid w:val="005063C0"/>
    <w:rsid w:val="00510E03"/>
    <w:rsid w:val="00512F13"/>
    <w:rsid w:val="00515345"/>
    <w:rsid w:val="005162DA"/>
    <w:rsid w:val="005165DE"/>
    <w:rsid w:val="00517BE4"/>
    <w:rsid w:val="00521B4B"/>
    <w:rsid w:val="0052487C"/>
    <w:rsid w:val="00527463"/>
    <w:rsid w:val="00535498"/>
    <w:rsid w:val="00541FEA"/>
    <w:rsid w:val="0054523E"/>
    <w:rsid w:val="00552E73"/>
    <w:rsid w:val="005549A6"/>
    <w:rsid w:val="00555E7D"/>
    <w:rsid w:val="005623C6"/>
    <w:rsid w:val="00564EE1"/>
    <w:rsid w:val="005654D4"/>
    <w:rsid w:val="00566188"/>
    <w:rsid w:val="005663D1"/>
    <w:rsid w:val="00567B02"/>
    <w:rsid w:val="005719A4"/>
    <w:rsid w:val="00576D90"/>
    <w:rsid w:val="0057729F"/>
    <w:rsid w:val="00581122"/>
    <w:rsid w:val="00582C63"/>
    <w:rsid w:val="0058394A"/>
    <w:rsid w:val="00585F65"/>
    <w:rsid w:val="00590FED"/>
    <w:rsid w:val="005979D8"/>
    <w:rsid w:val="005A3035"/>
    <w:rsid w:val="005A5575"/>
    <w:rsid w:val="005A6C02"/>
    <w:rsid w:val="005A70C9"/>
    <w:rsid w:val="005A7AE6"/>
    <w:rsid w:val="005B1DC1"/>
    <w:rsid w:val="005B351F"/>
    <w:rsid w:val="005B3ED3"/>
    <w:rsid w:val="005B41B9"/>
    <w:rsid w:val="005C56C6"/>
    <w:rsid w:val="005C60D7"/>
    <w:rsid w:val="005C6B30"/>
    <w:rsid w:val="005C765B"/>
    <w:rsid w:val="005D31E9"/>
    <w:rsid w:val="005D6E12"/>
    <w:rsid w:val="005E157B"/>
    <w:rsid w:val="005E1F3B"/>
    <w:rsid w:val="005F0DBD"/>
    <w:rsid w:val="005F0E04"/>
    <w:rsid w:val="005F45AC"/>
    <w:rsid w:val="0060042C"/>
    <w:rsid w:val="00602246"/>
    <w:rsid w:val="00602F44"/>
    <w:rsid w:val="00610542"/>
    <w:rsid w:val="006132DD"/>
    <w:rsid w:val="00616A8A"/>
    <w:rsid w:val="006202BA"/>
    <w:rsid w:val="00620621"/>
    <w:rsid w:val="0062281C"/>
    <w:rsid w:val="0062504B"/>
    <w:rsid w:val="006353BB"/>
    <w:rsid w:val="006356CE"/>
    <w:rsid w:val="00636D3E"/>
    <w:rsid w:val="006376D9"/>
    <w:rsid w:val="0064274B"/>
    <w:rsid w:val="0065659B"/>
    <w:rsid w:val="006615D2"/>
    <w:rsid w:val="00661DC0"/>
    <w:rsid w:val="00665E20"/>
    <w:rsid w:val="00673793"/>
    <w:rsid w:val="00675E66"/>
    <w:rsid w:val="00680305"/>
    <w:rsid w:val="00680328"/>
    <w:rsid w:val="006818D5"/>
    <w:rsid w:val="00682915"/>
    <w:rsid w:val="006848D1"/>
    <w:rsid w:val="0068742B"/>
    <w:rsid w:val="00687473"/>
    <w:rsid w:val="00690F5C"/>
    <w:rsid w:val="006952A0"/>
    <w:rsid w:val="006970ED"/>
    <w:rsid w:val="006A016B"/>
    <w:rsid w:val="006A1893"/>
    <w:rsid w:val="006A1997"/>
    <w:rsid w:val="006A4F92"/>
    <w:rsid w:val="006C35D2"/>
    <w:rsid w:val="006C41E5"/>
    <w:rsid w:val="006C4D8C"/>
    <w:rsid w:val="006C51E5"/>
    <w:rsid w:val="006C5A19"/>
    <w:rsid w:val="006C7FC8"/>
    <w:rsid w:val="006D12C5"/>
    <w:rsid w:val="006D2950"/>
    <w:rsid w:val="006D7932"/>
    <w:rsid w:val="006E0ACB"/>
    <w:rsid w:val="006E263D"/>
    <w:rsid w:val="006F0350"/>
    <w:rsid w:val="006F1305"/>
    <w:rsid w:val="006F7665"/>
    <w:rsid w:val="00704ACD"/>
    <w:rsid w:val="00716426"/>
    <w:rsid w:val="00720B09"/>
    <w:rsid w:val="00730D4B"/>
    <w:rsid w:val="00732773"/>
    <w:rsid w:val="00732DE4"/>
    <w:rsid w:val="00733261"/>
    <w:rsid w:val="00733D46"/>
    <w:rsid w:val="00733D6B"/>
    <w:rsid w:val="00736143"/>
    <w:rsid w:val="007361F0"/>
    <w:rsid w:val="00736398"/>
    <w:rsid w:val="00736EE2"/>
    <w:rsid w:val="00743B5F"/>
    <w:rsid w:val="007535F4"/>
    <w:rsid w:val="00753870"/>
    <w:rsid w:val="007538EB"/>
    <w:rsid w:val="00756FC5"/>
    <w:rsid w:val="00764A79"/>
    <w:rsid w:val="00766D17"/>
    <w:rsid w:val="00767E26"/>
    <w:rsid w:val="00770F00"/>
    <w:rsid w:val="00771A48"/>
    <w:rsid w:val="00772399"/>
    <w:rsid w:val="0077334A"/>
    <w:rsid w:val="007741FC"/>
    <w:rsid w:val="00774918"/>
    <w:rsid w:val="00775747"/>
    <w:rsid w:val="00780C31"/>
    <w:rsid w:val="0078461A"/>
    <w:rsid w:val="007862C9"/>
    <w:rsid w:val="00786914"/>
    <w:rsid w:val="00787578"/>
    <w:rsid w:val="00794001"/>
    <w:rsid w:val="00794F3C"/>
    <w:rsid w:val="00795E29"/>
    <w:rsid w:val="007A0602"/>
    <w:rsid w:val="007A6CC6"/>
    <w:rsid w:val="007A7A61"/>
    <w:rsid w:val="007A7F2D"/>
    <w:rsid w:val="007B65AA"/>
    <w:rsid w:val="007B71F4"/>
    <w:rsid w:val="007B72BB"/>
    <w:rsid w:val="007C1C56"/>
    <w:rsid w:val="007C3B22"/>
    <w:rsid w:val="007C4B62"/>
    <w:rsid w:val="007C681E"/>
    <w:rsid w:val="007C777E"/>
    <w:rsid w:val="007D3A0E"/>
    <w:rsid w:val="007D686D"/>
    <w:rsid w:val="007D69E8"/>
    <w:rsid w:val="007D6B69"/>
    <w:rsid w:val="007D74C4"/>
    <w:rsid w:val="007F2201"/>
    <w:rsid w:val="007F583B"/>
    <w:rsid w:val="007F69EA"/>
    <w:rsid w:val="007F7472"/>
    <w:rsid w:val="0080359A"/>
    <w:rsid w:val="00805166"/>
    <w:rsid w:val="00807B60"/>
    <w:rsid w:val="00817F7C"/>
    <w:rsid w:val="00821E76"/>
    <w:rsid w:val="00824CA6"/>
    <w:rsid w:val="00825095"/>
    <w:rsid w:val="008300A9"/>
    <w:rsid w:val="00833006"/>
    <w:rsid w:val="00841D04"/>
    <w:rsid w:val="00843D7D"/>
    <w:rsid w:val="00847825"/>
    <w:rsid w:val="00847C7F"/>
    <w:rsid w:val="00850840"/>
    <w:rsid w:val="00851444"/>
    <w:rsid w:val="00851E3E"/>
    <w:rsid w:val="00860053"/>
    <w:rsid w:val="00863F91"/>
    <w:rsid w:val="008647E1"/>
    <w:rsid w:val="00874896"/>
    <w:rsid w:val="00875B21"/>
    <w:rsid w:val="008854AC"/>
    <w:rsid w:val="00885D6D"/>
    <w:rsid w:val="0088607B"/>
    <w:rsid w:val="00886D6F"/>
    <w:rsid w:val="00886DDD"/>
    <w:rsid w:val="00895D60"/>
    <w:rsid w:val="008A1AC4"/>
    <w:rsid w:val="008B0736"/>
    <w:rsid w:val="008B4548"/>
    <w:rsid w:val="008B5D14"/>
    <w:rsid w:val="008B7F0C"/>
    <w:rsid w:val="008C1409"/>
    <w:rsid w:val="008C1A70"/>
    <w:rsid w:val="008C3C02"/>
    <w:rsid w:val="008C4779"/>
    <w:rsid w:val="008C67B4"/>
    <w:rsid w:val="008C7BC8"/>
    <w:rsid w:val="008D3576"/>
    <w:rsid w:val="008D3835"/>
    <w:rsid w:val="008D6FD7"/>
    <w:rsid w:val="008E1B5A"/>
    <w:rsid w:val="008E6997"/>
    <w:rsid w:val="008F67E6"/>
    <w:rsid w:val="0090032D"/>
    <w:rsid w:val="009004C1"/>
    <w:rsid w:val="009014A2"/>
    <w:rsid w:val="00903944"/>
    <w:rsid w:val="00914A04"/>
    <w:rsid w:val="00915B68"/>
    <w:rsid w:val="00916F0A"/>
    <w:rsid w:val="00916F1E"/>
    <w:rsid w:val="00917B2F"/>
    <w:rsid w:val="00924B85"/>
    <w:rsid w:val="00925CAE"/>
    <w:rsid w:val="00930161"/>
    <w:rsid w:val="0093052E"/>
    <w:rsid w:val="00930854"/>
    <w:rsid w:val="009345E4"/>
    <w:rsid w:val="00937677"/>
    <w:rsid w:val="00937954"/>
    <w:rsid w:val="00941996"/>
    <w:rsid w:val="00941FDE"/>
    <w:rsid w:val="009451ED"/>
    <w:rsid w:val="0094545E"/>
    <w:rsid w:val="00950069"/>
    <w:rsid w:val="009615B7"/>
    <w:rsid w:val="0096174A"/>
    <w:rsid w:val="009620CD"/>
    <w:rsid w:val="00964FC2"/>
    <w:rsid w:val="00966525"/>
    <w:rsid w:val="0096708F"/>
    <w:rsid w:val="00971F6A"/>
    <w:rsid w:val="009733E4"/>
    <w:rsid w:val="00977D82"/>
    <w:rsid w:val="00983899"/>
    <w:rsid w:val="00997706"/>
    <w:rsid w:val="009A0213"/>
    <w:rsid w:val="009A2994"/>
    <w:rsid w:val="009A3DF7"/>
    <w:rsid w:val="009A683A"/>
    <w:rsid w:val="009A6CA2"/>
    <w:rsid w:val="009B29D0"/>
    <w:rsid w:val="009B5C56"/>
    <w:rsid w:val="009B63CE"/>
    <w:rsid w:val="009B7640"/>
    <w:rsid w:val="009C1AD5"/>
    <w:rsid w:val="009C3B2A"/>
    <w:rsid w:val="009C787E"/>
    <w:rsid w:val="009D19F3"/>
    <w:rsid w:val="009D286A"/>
    <w:rsid w:val="009E1369"/>
    <w:rsid w:val="009E17ED"/>
    <w:rsid w:val="009E3466"/>
    <w:rsid w:val="009E6DB2"/>
    <w:rsid w:val="009E76E2"/>
    <w:rsid w:val="009F0781"/>
    <w:rsid w:val="009F2993"/>
    <w:rsid w:val="009F3085"/>
    <w:rsid w:val="009F4685"/>
    <w:rsid w:val="009F58CA"/>
    <w:rsid w:val="009F7F84"/>
    <w:rsid w:val="00A00060"/>
    <w:rsid w:val="00A0132F"/>
    <w:rsid w:val="00A04333"/>
    <w:rsid w:val="00A05E1C"/>
    <w:rsid w:val="00A0600F"/>
    <w:rsid w:val="00A0624C"/>
    <w:rsid w:val="00A13A01"/>
    <w:rsid w:val="00A13D51"/>
    <w:rsid w:val="00A164BD"/>
    <w:rsid w:val="00A17863"/>
    <w:rsid w:val="00A20AF9"/>
    <w:rsid w:val="00A21286"/>
    <w:rsid w:val="00A23343"/>
    <w:rsid w:val="00A32DD8"/>
    <w:rsid w:val="00A36FAC"/>
    <w:rsid w:val="00A463B5"/>
    <w:rsid w:val="00A51D52"/>
    <w:rsid w:val="00A54223"/>
    <w:rsid w:val="00A569CC"/>
    <w:rsid w:val="00A628E8"/>
    <w:rsid w:val="00A65578"/>
    <w:rsid w:val="00A6572D"/>
    <w:rsid w:val="00A66F5F"/>
    <w:rsid w:val="00A74197"/>
    <w:rsid w:val="00A74A41"/>
    <w:rsid w:val="00A77FD6"/>
    <w:rsid w:val="00A81978"/>
    <w:rsid w:val="00A83DCF"/>
    <w:rsid w:val="00A84696"/>
    <w:rsid w:val="00A85EC0"/>
    <w:rsid w:val="00A87873"/>
    <w:rsid w:val="00A90392"/>
    <w:rsid w:val="00A9058E"/>
    <w:rsid w:val="00A9293D"/>
    <w:rsid w:val="00A92BAC"/>
    <w:rsid w:val="00A939C3"/>
    <w:rsid w:val="00A94FAA"/>
    <w:rsid w:val="00AA0F0B"/>
    <w:rsid w:val="00AA2FFE"/>
    <w:rsid w:val="00AA3813"/>
    <w:rsid w:val="00AA471C"/>
    <w:rsid w:val="00AA571F"/>
    <w:rsid w:val="00AA5E47"/>
    <w:rsid w:val="00AB0B43"/>
    <w:rsid w:val="00AB291A"/>
    <w:rsid w:val="00AB3518"/>
    <w:rsid w:val="00AB3ADA"/>
    <w:rsid w:val="00AB3B43"/>
    <w:rsid w:val="00AB5485"/>
    <w:rsid w:val="00AB712D"/>
    <w:rsid w:val="00AB7DF1"/>
    <w:rsid w:val="00AC3230"/>
    <w:rsid w:val="00AC3A0E"/>
    <w:rsid w:val="00AC735A"/>
    <w:rsid w:val="00AD0854"/>
    <w:rsid w:val="00AD48A3"/>
    <w:rsid w:val="00AD7CD4"/>
    <w:rsid w:val="00AE2898"/>
    <w:rsid w:val="00AE69A4"/>
    <w:rsid w:val="00B0071F"/>
    <w:rsid w:val="00B019D7"/>
    <w:rsid w:val="00B0453F"/>
    <w:rsid w:val="00B143EF"/>
    <w:rsid w:val="00B14E16"/>
    <w:rsid w:val="00B162A7"/>
    <w:rsid w:val="00B1654A"/>
    <w:rsid w:val="00B16DD5"/>
    <w:rsid w:val="00B3007A"/>
    <w:rsid w:val="00B34020"/>
    <w:rsid w:val="00B35FCF"/>
    <w:rsid w:val="00B3695B"/>
    <w:rsid w:val="00B44418"/>
    <w:rsid w:val="00B44F86"/>
    <w:rsid w:val="00B4643A"/>
    <w:rsid w:val="00B46C6D"/>
    <w:rsid w:val="00B46E48"/>
    <w:rsid w:val="00B475D8"/>
    <w:rsid w:val="00B5128F"/>
    <w:rsid w:val="00B566EE"/>
    <w:rsid w:val="00B5703B"/>
    <w:rsid w:val="00B5726F"/>
    <w:rsid w:val="00B57D77"/>
    <w:rsid w:val="00B639EB"/>
    <w:rsid w:val="00B74AFB"/>
    <w:rsid w:val="00B8010E"/>
    <w:rsid w:val="00B87490"/>
    <w:rsid w:val="00B87766"/>
    <w:rsid w:val="00B91DF9"/>
    <w:rsid w:val="00B94D0D"/>
    <w:rsid w:val="00BA6710"/>
    <w:rsid w:val="00BB1D85"/>
    <w:rsid w:val="00BB6FE3"/>
    <w:rsid w:val="00BB770E"/>
    <w:rsid w:val="00BC0DB9"/>
    <w:rsid w:val="00BC14CD"/>
    <w:rsid w:val="00BC1F51"/>
    <w:rsid w:val="00BC52F6"/>
    <w:rsid w:val="00BC7ECA"/>
    <w:rsid w:val="00BD78A0"/>
    <w:rsid w:val="00BE176D"/>
    <w:rsid w:val="00BE19F4"/>
    <w:rsid w:val="00BE240A"/>
    <w:rsid w:val="00BE2D3B"/>
    <w:rsid w:val="00BE743D"/>
    <w:rsid w:val="00BF0B65"/>
    <w:rsid w:val="00BF79F9"/>
    <w:rsid w:val="00C003B7"/>
    <w:rsid w:val="00C06789"/>
    <w:rsid w:val="00C17733"/>
    <w:rsid w:val="00C200D5"/>
    <w:rsid w:val="00C23EAB"/>
    <w:rsid w:val="00C30F4F"/>
    <w:rsid w:val="00C310AE"/>
    <w:rsid w:val="00C32349"/>
    <w:rsid w:val="00C33493"/>
    <w:rsid w:val="00C37292"/>
    <w:rsid w:val="00C4657C"/>
    <w:rsid w:val="00C509F4"/>
    <w:rsid w:val="00C53279"/>
    <w:rsid w:val="00C62036"/>
    <w:rsid w:val="00C635C5"/>
    <w:rsid w:val="00C64B1B"/>
    <w:rsid w:val="00C66A94"/>
    <w:rsid w:val="00C67EA6"/>
    <w:rsid w:val="00C70519"/>
    <w:rsid w:val="00C7143C"/>
    <w:rsid w:val="00C76171"/>
    <w:rsid w:val="00C76A34"/>
    <w:rsid w:val="00C76A49"/>
    <w:rsid w:val="00C8131C"/>
    <w:rsid w:val="00C83A37"/>
    <w:rsid w:val="00C8511B"/>
    <w:rsid w:val="00C901CA"/>
    <w:rsid w:val="00CA6E22"/>
    <w:rsid w:val="00CB1533"/>
    <w:rsid w:val="00CB30AD"/>
    <w:rsid w:val="00CB475B"/>
    <w:rsid w:val="00CB6105"/>
    <w:rsid w:val="00CC2571"/>
    <w:rsid w:val="00CC2A19"/>
    <w:rsid w:val="00CC3F84"/>
    <w:rsid w:val="00CD0180"/>
    <w:rsid w:val="00CD0D88"/>
    <w:rsid w:val="00CD298D"/>
    <w:rsid w:val="00CD71A7"/>
    <w:rsid w:val="00CF1BDE"/>
    <w:rsid w:val="00CF3B94"/>
    <w:rsid w:val="00CF59E0"/>
    <w:rsid w:val="00CF7A48"/>
    <w:rsid w:val="00D012EB"/>
    <w:rsid w:val="00D01DF6"/>
    <w:rsid w:val="00D03492"/>
    <w:rsid w:val="00D03F96"/>
    <w:rsid w:val="00D073B3"/>
    <w:rsid w:val="00D1036F"/>
    <w:rsid w:val="00D1085A"/>
    <w:rsid w:val="00D13910"/>
    <w:rsid w:val="00D1779C"/>
    <w:rsid w:val="00D20F3A"/>
    <w:rsid w:val="00D21623"/>
    <w:rsid w:val="00D21759"/>
    <w:rsid w:val="00D2338F"/>
    <w:rsid w:val="00D23D57"/>
    <w:rsid w:val="00D31A34"/>
    <w:rsid w:val="00D32122"/>
    <w:rsid w:val="00D3257F"/>
    <w:rsid w:val="00D33CDF"/>
    <w:rsid w:val="00D372A2"/>
    <w:rsid w:val="00D47EF0"/>
    <w:rsid w:val="00D50090"/>
    <w:rsid w:val="00D52E67"/>
    <w:rsid w:val="00D5373E"/>
    <w:rsid w:val="00D5688F"/>
    <w:rsid w:val="00D611D5"/>
    <w:rsid w:val="00D6563A"/>
    <w:rsid w:val="00D67666"/>
    <w:rsid w:val="00D754B4"/>
    <w:rsid w:val="00D83CAB"/>
    <w:rsid w:val="00D84087"/>
    <w:rsid w:val="00D8593D"/>
    <w:rsid w:val="00D94074"/>
    <w:rsid w:val="00DA1C6C"/>
    <w:rsid w:val="00DA425A"/>
    <w:rsid w:val="00DA5B8A"/>
    <w:rsid w:val="00DA672A"/>
    <w:rsid w:val="00DB5690"/>
    <w:rsid w:val="00DB5E8E"/>
    <w:rsid w:val="00DB6BF9"/>
    <w:rsid w:val="00DC176F"/>
    <w:rsid w:val="00DD0BCF"/>
    <w:rsid w:val="00DD4A40"/>
    <w:rsid w:val="00DD4BBC"/>
    <w:rsid w:val="00DE06E7"/>
    <w:rsid w:val="00DE078E"/>
    <w:rsid w:val="00DE4E56"/>
    <w:rsid w:val="00DE5965"/>
    <w:rsid w:val="00DF1699"/>
    <w:rsid w:val="00DF4255"/>
    <w:rsid w:val="00E104E7"/>
    <w:rsid w:val="00E10893"/>
    <w:rsid w:val="00E12E0F"/>
    <w:rsid w:val="00E13569"/>
    <w:rsid w:val="00E160AA"/>
    <w:rsid w:val="00E17EE0"/>
    <w:rsid w:val="00E20F76"/>
    <w:rsid w:val="00E248DB"/>
    <w:rsid w:val="00E2565E"/>
    <w:rsid w:val="00E30011"/>
    <w:rsid w:val="00E30D4B"/>
    <w:rsid w:val="00E3280E"/>
    <w:rsid w:val="00E346B1"/>
    <w:rsid w:val="00E35D23"/>
    <w:rsid w:val="00E35E24"/>
    <w:rsid w:val="00E36443"/>
    <w:rsid w:val="00E40071"/>
    <w:rsid w:val="00E40E43"/>
    <w:rsid w:val="00E51260"/>
    <w:rsid w:val="00E53EFC"/>
    <w:rsid w:val="00E5407A"/>
    <w:rsid w:val="00E5520E"/>
    <w:rsid w:val="00E57355"/>
    <w:rsid w:val="00E57FEC"/>
    <w:rsid w:val="00E657A0"/>
    <w:rsid w:val="00E66D4B"/>
    <w:rsid w:val="00E67526"/>
    <w:rsid w:val="00E725BC"/>
    <w:rsid w:val="00E84752"/>
    <w:rsid w:val="00E90D97"/>
    <w:rsid w:val="00E90F9B"/>
    <w:rsid w:val="00E930BA"/>
    <w:rsid w:val="00E9502F"/>
    <w:rsid w:val="00E96B88"/>
    <w:rsid w:val="00E97729"/>
    <w:rsid w:val="00E97BFA"/>
    <w:rsid w:val="00EA1A3A"/>
    <w:rsid w:val="00EA553B"/>
    <w:rsid w:val="00EA5647"/>
    <w:rsid w:val="00EA565B"/>
    <w:rsid w:val="00EA6F64"/>
    <w:rsid w:val="00EC2162"/>
    <w:rsid w:val="00EC334F"/>
    <w:rsid w:val="00EC59B8"/>
    <w:rsid w:val="00EC7994"/>
    <w:rsid w:val="00ED034D"/>
    <w:rsid w:val="00ED104B"/>
    <w:rsid w:val="00ED1938"/>
    <w:rsid w:val="00ED37CA"/>
    <w:rsid w:val="00ED3E87"/>
    <w:rsid w:val="00ED523D"/>
    <w:rsid w:val="00ED73A0"/>
    <w:rsid w:val="00EE11D7"/>
    <w:rsid w:val="00EE2D31"/>
    <w:rsid w:val="00EE3096"/>
    <w:rsid w:val="00EF08A6"/>
    <w:rsid w:val="00F001F1"/>
    <w:rsid w:val="00F06A44"/>
    <w:rsid w:val="00F22C50"/>
    <w:rsid w:val="00F23226"/>
    <w:rsid w:val="00F305EE"/>
    <w:rsid w:val="00F3099A"/>
    <w:rsid w:val="00F44795"/>
    <w:rsid w:val="00F44B7C"/>
    <w:rsid w:val="00F4687C"/>
    <w:rsid w:val="00F611DA"/>
    <w:rsid w:val="00F66661"/>
    <w:rsid w:val="00F66EEA"/>
    <w:rsid w:val="00F67001"/>
    <w:rsid w:val="00F7364A"/>
    <w:rsid w:val="00F761C4"/>
    <w:rsid w:val="00F81035"/>
    <w:rsid w:val="00F85D43"/>
    <w:rsid w:val="00F952D8"/>
    <w:rsid w:val="00FA4285"/>
    <w:rsid w:val="00FA6CD0"/>
    <w:rsid w:val="00FA6F16"/>
    <w:rsid w:val="00FA707A"/>
    <w:rsid w:val="00FB40C1"/>
    <w:rsid w:val="00FB6EE7"/>
    <w:rsid w:val="00FB7B83"/>
    <w:rsid w:val="00FC0372"/>
    <w:rsid w:val="00FC17D2"/>
    <w:rsid w:val="00FC219E"/>
    <w:rsid w:val="00FC5045"/>
    <w:rsid w:val="00FC5BA2"/>
    <w:rsid w:val="00FD2387"/>
    <w:rsid w:val="00FD511C"/>
    <w:rsid w:val="00FD5C5D"/>
    <w:rsid w:val="00FE19CC"/>
    <w:rsid w:val="00FE3DD6"/>
    <w:rsid w:val="00FE3E3B"/>
    <w:rsid w:val="00FE7B91"/>
    <w:rsid w:val="00FF22DC"/>
    <w:rsid w:val="00FF33DE"/>
    <w:rsid w:val="00FF3E35"/>
    <w:rsid w:val="00FF4FC0"/>
    <w:rsid w:val="00FF68B4"/>
    <w:rsid w:val="00FF7BB1"/>
    <w:rsid w:val="016E2B68"/>
    <w:rsid w:val="017F0884"/>
    <w:rsid w:val="02264514"/>
    <w:rsid w:val="02A55F78"/>
    <w:rsid w:val="033406D6"/>
    <w:rsid w:val="034817E6"/>
    <w:rsid w:val="034F527C"/>
    <w:rsid w:val="037C18D3"/>
    <w:rsid w:val="03A6192B"/>
    <w:rsid w:val="03E52674"/>
    <w:rsid w:val="03FB0A47"/>
    <w:rsid w:val="040824AC"/>
    <w:rsid w:val="046D7601"/>
    <w:rsid w:val="04982638"/>
    <w:rsid w:val="04AA4233"/>
    <w:rsid w:val="04AE5A3C"/>
    <w:rsid w:val="04B327A2"/>
    <w:rsid w:val="04D20310"/>
    <w:rsid w:val="051B106F"/>
    <w:rsid w:val="05382B9E"/>
    <w:rsid w:val="05895639"/>
    <w:rsid w:val="059858CA"/>
    <w:rsid w:val="05C404CC"/>
    <w:rsid w:val="063D464A"/>
    <w:rsid w:val="06904454"/>
    <w:rsid w:val="06BF1720"/>
    <w:rsid w:val="06D250AE"/>
    <w:rsid w:val="07175632"/>
    <w:rsid w:val="07364F91"/>
    <w:rsid w:val="0780373B"/>
    <w:rsid w:val="07855C66"/>
    <w:rsid w:val="078C5364"/>
    <w:rsid w:val="079402AA"/>
    <w:rsid w:val="07945B32"/>
    <w:rsid w:val="0795047E"/>
    <w:rsid w:val="07F50EEB"/>
    <w:rsid w:val="07FE462A"/>
    <w:rsid w:val="08475D24"/>
    <w:rsid w:val="084E357E"/>
    <w:rsid w:val="08AC2F10"/>
    <w:rsid w:val="08C91B14"/>
    <w:rsid w:val="08D84F0B"/>
    <w:rsid w:val="090360D7"/>
    <w:rsid w:val="096009EF"/>
    <w:rsid w:val="0969218F"/>
    <w:rsid w:val="0A417DC8"/>
    <w:rsid w:val="0A724AA3"/>
    <w:rsid w:val="0AE37DDF"/>
    <w:rsid w:val="0AEC39F9"/>
    <w:rsid w:val="0AF160E7"/>
    <w:rsid w:val="0B005F1C"/>
    <w:rsid w:val="0B0A682C"/>
    <w:rsid w:val="0B413C35"/>
    <w:rsid w:val="0B5B0760"/>
    <w:rsid w:val="0B945971"/>
    <w:rsid w:val="0B97402C"/>
    <w:rsid w:val="0BB70377"/>
    <w:rsid w:val="0C323D10"/>
    <w:rsid w:val="0C3A111C"/>
    <w:rsid w:val="0C87701D"/>
    <w:rsid w:val="0CAB5F58"/>
    <w:rsid w:val="0CD648D4"/>
    <w:rsid w:val="0CED2245"/>
    <w:rsid w:val="0D020A0B"/>
    <w:rsid w:val="0D1A1A41"/>
    <w:rsid w:val="0D627C85"/>
    <w:rsid w:val="0D8A5CA3"/>
    <w:rsid w:val="0DB20D09"/>
    <w:rsid w:val="0DB75190"/>
    <w:rsid w:val="0DB90694"/>
    <w:rsid w:val="0DC23522"/>
    <w:rsid w:val="0E0B2D4A"/>
    <w:rsid w:val="0E2A0438"/>
    <w:rsid w:val="0E2D5B20"/>
    <w:rsid w:val="0E3D5852"/>
    <w:rsid w:val="0E862412"/>
    <w:rsid w:val="0E8A18B0"/>
    <w:rsid w:val="0EB32AAA"/>
    <w:rsid w:val="0EC84672"/>
    <w:rsid w:val="0EDB61ED"/>
    <w:rsid w:val="0EDE1004"/>
    <w:rsid w:val="0F4A6D52"/>
    <w:rsid w:val="0F632C4E"/>
    <w:rsid w:val="0F7563EB"/>
    <w:rsid w:val="0FCB77DB"/>
    <w:rsid w:val="0FCE00A6"/>
    <w:rsid w:val="100F2D66"/>
    <w:rsid w:val="10127F8E"/>
    <w:rsid w:val="10156CA8"/>
    <w:rsid w:val="10171B12"/>
    <w:rsid w:val="104A76C8"/>
    <w:rsid w:val="105A7962"/>
    <w:rsid w:val="10D208A6"/>
    <w:rsid w:val="110C09D7"/>
    <w:rsid w:val="111A0C9A"/>
    <w:rsid w:val="114A0BD3"/>
    <w:rsid w:val="11663318"/>
    <w:rsid w:val="11942F96"/>
    <w:rsid w:val="12A55671"/>
    <w:rsid w:val="12C909E1"/>
    <w:rsid w:val="12D42115"/>
    <w:rsid w:val="131B16E4"/>
    <w:rsid w:val="135077B1"/>
    <w:rsid w:val="13B53A44"/>
    <w:rsid w:val="13CF5638"/>
    <w:rsid w:val="13E9239A"/>
    <w:rsid w:val="13F05A62"/>
    <w:rsid w:val="140C22F2"/>
    <w:rsid w:val="142021E1"/>
    <w:rsid w:val="1438443B"/>
    <w:rsid w:val="144968D3"/>
    <w:rsid w:val="14596B6E"/>
    <w:rsid w:val="14646325"/>
    <w:rsid w:val="1472193D"/>
    <w:rsid w:val="14776934"/>
    <w:rsid w:val="15000600"/>
    <w:rsid w:val="1509500B"/>
    <w:rsid w:val="152B0F1A"/>
    <w:rsid w:val="153320AA"/>
    <w:rsid w:val="15875B3F"/>
    <w:rsid w:val="15A30FB7"/>
    <w:rsid w:val="15EB2709"/>
    <w:rsid w:val="15F46C19"/>
    <w:rsid w:val="1604358E"/>
    <w:rsid w:val="160968B4"/>
    <w:rsid w:val="160D7E5B"/>
    <w:rsid w:val="162345C8"/>
    <w:rsid w:val="162A486A"/>
    <w:rsid w:val="163C7488"/>
    <w:rsid w:val="16A94687"/>
    <w:rsid w:val="16AA725C"/>
    <w:rsid w:val="16AD7C3A"/>
    <w:rsid w:val="16D45CBB"/>
    <w:rsid w:val="16E62DC5"/>
    <w:rsid w:val="17060C1A"/>
    <w:rsid w:val="170C256E"/>
    <w:rsid w:val="170F0360"/>
    <w:rsid w:val="171F51B6"/>
    <w:rsid w:val="173D342E"/>
    <w:rsid w:val="17610E55"/>
    <w:rsid w:val="176F7FA2"/>
    <w:rsid w:val="17956FC0"/>
    <w:rsid w:val="17DF3220"/>
    <w:rsid w:val="17E603C4"/>
    <w:rsid w:val="17E625C2"/>
    <w:rsid w:val="17F35B20"/>
    <w:rsid w:val="18936BEE"/>
    <w:rsid w:val="18B333F6"/>
    <w:rsid w:val="18C809B6"/>
    <w:rsid w:val="18EE62E8"/>
    <w:rsid w:val="19131D2F"/>
    <w:rsid w:val="1952091A"/>
    <w:rsid w:val="196F4647"/>
    <w:rsid w:val="19803272"/>
    <w:rsid w:val="19962308"/>
    <w:rsid w:val="19C06972"/>
    <w:rsid w:val="19FB7AAE"/>
    <w:rsid w:val="1A2B05FE"/>
    <w:rsid w:val="1A406F1E"/>
    <w:rsid w:val="1A957253"/>
    <w:rsid w:val="1B48058C"/>
    <w:rsid w:val="1B996256"/>
    <w:rsid w:val="1BE541FA"/>
    <w:rsid w:val="1C461BF2"/>
    <w:rsid w:val="1C6B6DE0"/>
    <w:rsid w:val="1C8416D6"/>
    <w:rsid w:val="1CCD1F38"/>
    <w:rsid w:val="1CCD534E"/>
    <w:rsid w:val="1D3417C3"/>
    <w:rsid w:val="1D640D44"/>
    <w:rsid w:val="1D753490"/>
    <w:rsid w:val="1D800675"/>
    <w:rsid w:val="1D8353B6"/>
    <w:rsid w:val="1D97029A"/>
    <w:rsid w:val="1DB530CD"/>
    <w:rsid w:val="1E641526"/>
    <w:rsid w:val="1E8F2A30"/>
    <w:rsid w:val="1EB5130F"/>
    <w:rsid w:val="1EDE6E7B"/>
    <w:rsid w:val="1F0A091B"/>
    <w:rsid w:val="1F3C5FFF"/>
    <w:rsid w:val="1FA35E57"/>
    <w:rsid w:val="1FD620C2"/>
    <w:rsid w:val="1FDD264F"/>
    <w:rsid w:val="1FFF5A9B"/>
    <w:rsid w:val="20390093"/>
    <w:rsid w:val="20531417"/>
    <w:rsid w:val="20A74197"/>
    <w:rsid w:val="20F4571D"/>
    <w:rsid w:val="21775CF7"/>
    <w:rsid w:val="21E6637F"/>
    <w:rsid w:val="22472222"/>
    <w:rsid w:val="225D726E"/>
    <w:rsid w:val="22B96659"/>
    <w:rsid w:val="22C13EC0"/>
    <w:rsid w:val="22F4044C"/>
    <w:rsid w:val="23032222"/>
    <w:rsid w:val="2321491E"/>
    <w:rsid w:val="23405A43"/>
    <w:rsid w:val="234207E5"/>
    <w:rsid w:val="23812232"/>
    <w:rsid w:val="23865A57"/>
    <w:rsid w:val="23B430A3"/>
    <w:rsid w:val="23C50DBF"/>
    <w:rsid w:val="240F46B6"/>
    <w:rsid w:val="2438587A"/>
    <w:rsid w:val="243B4F69"/>
    <w:rsid w:val="248B7883"/>
    <w:rsid w:val="24AC2830"/>
    <w:rsid w:val="24B473C2"/>
    <w:rsid w:val="24D37C77"/>
    <w:rsid w:val="24EA02AB"/>
    <w:rsid w:val="251364E2"/>
    <w:rsid w:val="251519E5"/>
    <w:rsid w:val="256E2C8A"/>
    <w:rsid w:val="257D0C19"/>
    <w:rsid w:val="25B91C34"/>
    <w:rsid w:val="25C25381"/>
    <w:rsid w:val="261B4885"/>
    <w:rsid w:val="261E4416"/>
    <w:rsid w:val="262322B9"/>
    <w:rsid w:val="26610965"/>
    <w:rsid w:val="266C1F97"/>
    <w:rsid w:val="267A4B30"/>
    <w:rsid w:val="267B619A"/>
    <w:rsid w:val="2696250B"/>
    <w:rsid w:val="27567172"/>
    <w:rsid w:val="27667C30"/>
    <w:rsid w:val="27B00FDA"/>
    <w:rsid w:val="27C34311"/>
    <w:rsid w:val="27DC32C5"/>
    <w:rsid w:val="283223A7"/>
    <w:rsid w:val="286D30A5"/>
    <w:rsid w:val="291C66BC"/>
    <w:rsid w:val="29326CB9"/>
    <w:rsid w:val="294C45CE"/>
    <w:rsid w:val="2A57134C"/>
    <w:rsid w:val="2A5C7C93"/>
    <w:rsid w:val="2A675DC9"/>
    <w:rsid w:val="2A924569"/>
    <w:rsid w:val="2AB377AD"/>
    <w:rsid w:val="2AF51106"/>
    <w:rsid w:val="2B4B73AD"/>
    <w:rsid w:val="2B77216D"/>
    <w:rsid w:val="2B8C14DD"/>
    <w:rsid w:val="2BB2316C"/>
    <w:rsid w:val="2C24507B"/>
    <w:rsid w:val="2C2D420E"/>
    <w:rsid w:val="2C6026C3"/>
    <w:rsid w:val="2D080305"/>
    <w:rsid w:val="2D283624"/>
    <w:rsid w:val="2D2D342B"/>
    <w:rsid w:val="2D372B02"/>
    <w:rsid w:val="2D4D5DE2"/>
    <w:rsid w:val="2D5C2FA0"/>
    <w:rsid w:val="2D5D580A"/>
    <w:rsid w:val="2D7B562D"/>
    <w:rsid w:val="2D8D3349"/>
    <w:rsid w:val="2DCA4182"/>
    <w:rsid w:val="2DCD2383"/>
    <w:rsid w:val="2DDE404C"/>
    <w:rsid w:val="2DFD4BAB"/>
    <w:rsid w:val="2E063012"/>
    <w:rsid w:val="2E7923DA"/>
    <w:rsid w:val="2EAD4C9E"/>
    <w:rsid w:val="2ECA4337"/>
    <w:rsid w:val="2F215261"/>
    <w:rsid w:val="2F244F08"/>
    <w:rsid w:val="2F396E78"/>
    <w:rsid w:val="2F705511"/>
    <w:rsid w:val="2FC671D5"/>
    <w:rsid w:val="304A263F"/>
    <w:rsid w:val="307F49A0"/>
    <w:rsid w:val="30AE3EC3"/>
    <w:rsid w:val="30EC0022"/>
    <w:rsid w:val="30F640F8"/>
    <w:rsid w:val="3138491A"/>
    <w:rsid w:val="3224724F"/>
    <w:rsid w:val="323971F4"/>
    <w:rsid w:val="326170B4"/>
    <w:rsid w:val="32987720"/>
    <w:rsid w:val="32C6147C"/>
    <w:rsid w:val="33400E6F"/>
    <w:rsid w:val="3392652C"/>
    <w:rsid w:val="33E25C61"/>
    <w:rsid w:val="34205557"/>
    <w:rsid w:val="34242FC5"/>
    <w:rsid w:val="342B3BEA"/>
    <w:rsid w:val="342D5BE8"/>
    <w:rsid w:val="34751A83"/>
    <w:rsid w:val="34C26C1E"/>
    <w:rsid w:val="34C77CC1"/>
    <w:rsid w:val="35026F4B"/>
    <w:rsid w:val="351457D6"/>
    <w:rsid w:val="35176328"/>
    <w:rsid w:val="352F17D1"/>
    <w:rsid w:val="35387103"/>
    <w:rsid w:val="35611EC4"/>
    <w:rsid w:val="35977EFB"/>
    <w:rsid w:val="35BA13B5"/>
    <w:rsid w:val="35C07A3B"/>
    <w:rsid w:val="35C74E47"/>
    <w:rsid w:val="361B0154"/>
    <w:rsid w:val="36273F67"/>
    <w:rsid w:val="3653460F"/>
    <w:rsid w:val="365D4441"/>
    <w:rsid w:val="36642A9D"/>
    <w:rsid w:val="36867804"/>
    <w:rsid w:val="369F54AA"/>
    <w:rsid w:val="36E0506A"/>
    <w:rsid w:val="370E09E1"/>
    <w:rsid w:val="3710123E"/>
    <w:rsid w:val="374450C0"/>
    <w:rsid w:val="37535C53"/>
    <w:rsid w:val="37712C84"/>
    <w:rsid w:val="378620B5"/>
    <w:rsid w:val="378673A6"/>
    <w:rsid w:val="381A7C1A"/>
    <w:rsid w:val="38812247"/>
    <w:rsid w:val="38964FE5"/>
    <w:rsid w:val="38DC3CAA"/>
    <w:rsid w:val="38FF590E"/>
    <w:rsid w:val="3984461F"/>
    <w:rsid w:val="39B20F40"/>
    <w:rsid w:val="39B70940"/>
    <w:rsid w:val="39B97E56"/>
    <w:rsid w:val="39C57C56"/>
    <w:rsid w:val="39E05A87"/>
    <w:rsid w:val="3A0B4B47"/>
    <w:rsid w:val="3A5F7E54"/>
    <w:rsid w:val="3A6002EC"/>
    <w:rsid w:val="3A774451"/>
    <w:rsid w:val="3A8A44A3"/>
    <w:rsid w:val="3ABC01EE"/>
    <w:rsid w:val="3AED5139"/>
    <w:rsid w:val="3AF06107"/>
    <w:rsid w:val="3B3B2CBA"/>
    <w:rsid w:val="3B3C4E2D"/>
    <w:rsid w:val="3B741086"/>
    <w:rsid w:val="3B9733D4"/>
    <w:rsid w:val="3BAD3FF6"/>
    <w:rsid w:val="3BCB0DAF"/>
    <w:rsid w:val="3C202033"/>
    <w:rsid w:val="3C5B6329"/>
    <w:rsid w:val="3C7D23CD"/>
    <w:rsid w:val="3C9B60FA"/>
    <w:rsid w:val="3CD165D4"/>
    <w:rsid w:val="3CE208FE"/>
    <w:rsid w:val="3CEE0102"/>
    <w:rsid w:val="3D0657A9"/>
    <w:rsid w:val="3D16178D"/>
    <w:rsid w:val="3D4311FF"/>
    <w:rsid w:val="3DB520C9"/>
    <w:rsid w:val="3DBF625C"/>
    <w:rsid w:val="3E1249E2"/>
    <w:rsid w:val="3E816176"/>
    <w:rsid w:val="3EB374DD"/>
    <w:rsid w:val="3F8A6905"/>
    <w:rsid w:val="3FB76BBC"/>
    <w:rsid w:val="3FE26DA0"/>
    <w:rsid w:val="40111384"/>
    <w:rsid w:val="401E37BD"/>
    <w:rsid w:val="40270B72"/>
    <w:rsid w:val="403E36E5"/>
    <w:rsid w:val="4057760D"/>
    <w:rsid w:val="40A73721"/>
    <w:rsid w:val="40A84DB2"/>
    <w:rsid w:val="40AD5408"/>
    <w:rsid w:val="40C90E69"/>
    <w:rsid w:val="40D01062"/>
    <w:rsid w:val="40D76255"/>
    <w:rsid w:val="41905C1D"/>
    <w:rsid w:val="42123775"/>
    <w:rsid w:val="42437973"/>
    <w:rsid w:val="426231F6"/>
    <w:rsid w:val="42A9416B"/>
    <w:rsid w:val="42DD07B3"/>
    <w:rsid w:val="42E06844"/>
    <w:rsid w:val="431B0E0D"/>
    <w:rsid w:val="43475253"/>
    <w:rsid w:val="4362139B"/>
    <w:rsid w:val="438F7D5D"/>
    <w:rsid w:val="440C5FB1"/>
    <w:rsid w:val="441C3663"/>
    <w:rsid w:val="442E77EA"/>
    <w:rsid w:val="4457561B"/>
    <w:rsid w:val="445C7035"/>
    <w:rsid w:val="44D16FF4"/>
    <w:rsid w:val="44D74BD1"/>
    <w:rsid w:val="4585361F"/>
    <w:rsid w:val="4585533A"/>
    <w:rsid w:val="45AD34DF"/>
    <w:rsid w:val="45FE3238"/>
    <w:rsid w:val="464858DB"/>
    <w:rsid w:val="464C1D63"/>
    <w:rsid w:val="465B470D"/>
    <w:rsid w:val="469965DF"/>
    <w:rsid w:val="46B63991"/>
    <w:rsid w:val="471362A9"/>
    <w:rsid w:val="47174CAF"/>
    <w:rsid w:val="47F848A4"/>
    <w:rsid w:val="47FA37F9"/>
    <w:rsid w:val="480D1D44"/>
    <w:rsid w:val="480E7C2E"/>
    <w:rsid w:val="485965C0"/>
    <w:rsid w:val="48684FB6"/>
    <w:rsid w:val="4869465C"/>
    <w:rsid w:val="48853182"/>
    <w:rsid w:val="48911F9D"/>
    <w:rsid w:val="48E01D1C"/>
    <w:rsid w:val="48F54742"/>
    <w:rsid w:val="48FA10C2"/>
    <w:rsid w:val="49593009"/>
    <w:rsid w:val="49A5461D"/>
    <w:rsid w:val="49C16E0C"/>
    <w:rsid w:val="49F00731"/>
    <w:rsid w:val="4A114108"/>
    <w:rsid w:val="4AE50A49"/>
    <w:rsid w:val="4AEF6A74"/>
    <w:rsid w:val="4AF45F04"/>
    <w:rsid w:val="4BA65755"/>
    <w:rsid w:val="4BDF4C08"/>
    <w:rsid w:val="4C0A4C0B"/>
    <w:rsid w:val="4C2A1804"/>
    <w:rsid w:val="4C426EAB"/>
    <w:rsid w:val="4C457E30"/>
    <w:rsid w:val="4C53235C"/>
    <w:rsid w:val="4C734BD4"/>
    <w:rsid w:val="4C870899"/>
    <w:rsid w:val="4CD17A13"/>
    <w:rsid w:val="4CD26D0B"/>
    <w:rsid w:val="4CF15D4A"/>
    <w:rsid w:val="4D2C35F2"/>
    <w:rsid w:val="4D3B4530"/>
    <w:rsid w:val="4D420FCC"/>
    <w:rsid w:val="4D422183"/>
    <w:rsid w:val="4D6D3115"/>
    <w:rsid w:val="4DD95F9B"/>
    <w:rsid w:val="4E1E76B5"/>
    <w:rsid w:val="4E267AC9"/>
    <w:rsid w:val="4E3C24E9"/>
    <w:rsid w:val="4E3E0B9C"/>
    <w:rsid w:val="4E4243F2"/>
    <w:rsid w:val="4E657E2A"/>
    <w:rsid w:val="4E796ACA"/>
    <w:rsid w:val="4E861493"/>
    <w:rsid w:val="4F0248D8"/>
    <w:rsid w:val="4F0A0A7E"/>
    <w:rsid w:val="4F5145AF"/>
    <w:rsid w:val="4F6A5078"/>
    <w:rsid w:val="4FB3550F"/>
    <w:rsid w:val="4FC854F3"/>
    <w:rsid w:val="503112DB"/>
    <w:rsid w:val="50DE0D44"/>
    <w:rsid w:val="51A60532"/>
    <w:rsid w:val="51A92185"/>
    <w:rsid w:val="51CD4943"/>
    <w:rsid w:val="51D35A9F"/>
    <w:rsid w:val="51F061A7"/>
    <w:rsid w:val="51FE5860"/>
    <w:rsid w:val="520317EE"/>
    <w:rsid w:val="52BE142F"/>
    <w:rsid w:val="531C3D98"/>
    <w:rsid w:val="53242CF6"/>
    <w:rsid w:val="537304F7"/>
    <w:rsid w:val="53753301"/>
    <w:rsid w:val="53871716"/>
    <w:rsid w:val="53A8037F"/>
    <w:rsid w:val="53D6590C"/>
    <w:rsid w:val="53DB6C22"/>
    <w:rsid w:val="54206FA0"/>
    <w:rsid w:val="542C4472"/>
    <w:rsid w:val="54C55E22"/>
    <w:rsid w:val="54E164CF"/>
    <w:rsid w:val="54FB6815"/>
    <w:rsid w:val="55100424"/>
    <w:rsid w:val="5514245E"/>
    <w:rsid w:val="5531145B"/>
    <w:rsid w:val="5540344C"/>
    <w:rsid w:val="555C6AA5"/>
    <w:rsid w:val="55703B29"/>
    <w:rsid w:val="558F6181"/>
    <w:rsid w:val="55C04F67"/>
    <w:rsid w:val="55CC2156"/>
    <w:rsid w:val="55EF2E09"/>
    <w:rsid w:val="55F401D3"/>
    <w:rsid w:val="55F84E23"/>
    <w:rsid w:val="560B273A"/>
    <w:rsid w:val="562035D8"/>
    <w:rsid w:val="56424E12"/>
    <w:rsid w:val="568C4501"/>
    <w:rsid w:val="56C93DF1"/>
    <w:rsid w:val="56CD6F74"/>
    <w:rsid w:val="57081358"/>
    <w:rsid w:val="57197802"/>
    <w:rsid w:val="571F6B92"/>
    <w:rsid w:val="57220EA8"/>
    <w:rsid w:val="57225EED"/>
    <w:rsid w:val="572356DC"/>
    <w:rsid w:val="57482D5E"/>
    <w:rsid w:val="575539D5"/>
    <w:rsid w:val="576B5B79"/>
    <w:rsid w:val="57815998"/>
    <w:rsid w:val="57A63935"/>
    <w:rsid w:val="58385939"/>
    <w:rsid w:val="587513A3"/>
    <w:rsid w:val="58841643"/>
    <w:rsid w:val="58AF298D"/>
    <w:rsid w:val="58CB6A3A"/>
    <w:rsid w:val="58CE4774"/>
    <w:rsid w:val="593228A6"/>
    <w:rsid w:val="594D0AA9"/>
    <w:rsid w:val="596C21DC"/>
    <w:rsid w:val="59891FBF"/>
    <w:rsid w:val="59B7793C"/>
    <w:rsid w:val="59BC7647"/>
    <w:rsid w:val="59DB3DA9"/>
    <w:rsid w:val="5A4675AB"/>
    <w:rsid w:val="5A4E1134"/>
    <w:rsid w:val="5A5D6A17"/>
    <w:rsid w:val="5A6A02C2"/>
    <w:rsid w:val="5A9635D6"/>
    <w:rsid w:val="5B0F4A76"/>
    <w:rsid w:val="5B1D4C07"/>
    <w:rsid w:val="5B1E203F"/>
    <w:rsid w:val="5B7966A3"/>
    <w:rsid w:val="5B860F43"/>
    <w:rsid w:val="5BAA72B5"/>
    <w:rsid w:val="5C4202EB"/>
    <w:rsid w:val="5C7255B7"/>
    <w:rsid w:val="5C817DCF"/>
    <w:rsid w:val="5D146445"/>
    <w:rsid w:val="5D1B1331"/>
    <w:rsid w:val="5D89037D"/>
    <w:rsid w:val="5D90470E"/>
    <w:rsid w:val="5D963448"/>
    <w:rsid w:val="5DA71CAC"/>
    <w:rsid w:val="5DCB48EE"/>
    <w:rsid w:val="5DE449CC"/>
    <w:rsid w:val="5E421FE3"/>
    <w:rsid w:val="5E7460A3"/>
    <w:rsid w:val="5EB3179A"/>
    <w:rsid w:val="5ECC639E"/>
    <w:rsid w:val="5EFD42A5"/>
    <w:rsid w:val="5F025C16"/>
    <w:rsid w:val="5F5D334F"/>
    <w:rsid w:val="5F624413"/>
    <w:rsid w:val="5F6366B5"/>
    <w:rsid w:val="5FD9735F"/>
    <w:rsid w:val="5FF42EE9"/>
    <w:rsid w:val="600C4A5C"/>
    <w:rsid w:val="60306A9A"/>
    <w:rsid w:val="603C567A"/>
    <w:rsid w:val="604C498D"/>
    <w:rsid w:val="6054070C"/>
    <w:rsid w:val="607A350D"/>
    <w:rsid w:val="60852569"/>
    <w:rsid w:val="60B37BB5"/>
    <w:rsid w:val="60C55551"/>
    <w:rsid w:val="60FD7D45"/>
    <w:rsid w:val="61017655"/>
    <w:rsid w:val="612763BA"/>
    <w:rsid w:val="61402C9C"/>
    <w:rsid w:val="61567048"/>
    <w:rsid w:val="615D19B1"/>
    <w:rsid w:val="61CE3B8D"/>
    <w:rsid w:val="620D6DAC"/>
    <w:rsid w:val="62481C53"/>
    <w:rsid w:val="62B83347"/>
    <w:rsid w:val="62CA6F20"/>
    <w:rsid w:val="630C0C8E"/>
    <w:rsid w:val="630C6A8F"/>
    <w:rsid w:val="6377033D"/>
    <w:rsid w:val="63ED59B9"/>
    <w:rsid w:val="640102A1"/>
    <w:rsid w:val="640471A4"/>
    <w:rsid w:val="64087C2C"/>
    <w:rsid w:val="6416434C"/>
    <w:rsid w:val="64B8674B"/>
    <w:rsid w:val="64C76D65"/>
    <w:rsid w:val="64FF62E8"/>
    <w:rsid w:val="651F16BE"/>
    <w:rsid w:val="655820EC"/>
    <w:rsid w:val="655C05AD"/>
    <w:rsid w:val="65A45331"/>
    <w:rsid w:val="65CF3152"/>
    <w:rsid w:val="65D02013"/>
    <w:rsid w:val="65FE295F"/>
    <w:rsid w:val="662621A5"/>
    <w:rsid w:val="66372649"/>
    <w:rsid w:val="66455482"/>
    <w:rsid w:val="668A18E7"/>
    <w:rsid w:val="66953A24"/>
    <w:rsid w:val="669A1B16"/>
    <w:rsid w:val="66A065EB"/>
    <w:rsid w:val="66BF1938"/>
    <w:rsid w:val="66C77DFB"/>
    <w:rsid w:val="67AA451F"/>
    <w:rsid w:val="67BE06DE"/>
    <w:rsid w:val="67C25449"/>
    <w:rsid w:val="67C466BE"/>
    <w:rsid w:val="67DA328C"/>
    <w:rsid w:val="67EC0C7B"/>
    <w:rsid w:val="681D485E"/>
    <w:rsid w:val="682E35D8"/>
    <w:rsid w:val="685A0E40"/>
    <w:rsid w:val="685D0256"/>
    <w:rsid w:val="686C7E60"/>
    <w:rsid w:val="68B9280A"/>
    <w:rsid w:val="68EC3C32"/>
    <w:rsid w:val="68F241F9"/>
    <w:rsid w:val="69787200"/>
    <w:rsid w:val="69915E5C"/>
    <w:rsid w:val="69B45BF9"/>
    <w:rsid w:val="69C76E18"/>
    <w:rsid w:val="69EB0815"/>
    <w:rsid w:val="69F60125"/>
    <w:rsid w:val="69FB1963"/>
    <w:rsid w:val="6A527A1C"/>
    <w:rsid w:val="6AB60C9F"/>
    <w:rsid w:val="6AB65F7E"/>
    <w:rsid w:val="6AF2081F"/>
    <w:rsid w:val="6B030D9E"/>
    <w:rsid w:val="6B290FDE"/>
    <w:rsid w:val="6B593D2B"/>
    <w:rsid w:val="6B674346"/>
    <w:rsid w:val="6B7469FC"/>
    <w:rsid w:val="6BA24F94"/>
    <w:rsid w:val="6BB40BC2"/>
    <w:rsid w:val="6BC22DC7"/>
    <w:rsid w:val="6BF151A3"/>
    <w:rsid w:val="6C07047C"/>
    <w:rsid w:val="6C0E4753"/>
    <w:rsid w:val="6C106F50"/>
    <w:rsid w:val="6C2E004A"/>
    <w:rsid w:val="6CDC0624"/>
    <w:rsid w:val="6D3F545D"/>
    <w:rsid w:val="6D5A24DA"/>
    <w:rsid w:val="6D9C2C61"/>
    <w:rsid w:val="6DA86A73"/>
    <w:rsid w:val="6DA872A6"/>
    <w:rsid w:val="6DB22C96"/>
    <w:rsid w:val="6E03105A"/>
    <w:rsid w:val="6E20323A"/>
    <w:rsid w:val="6E2A5966"/>
    <w:rsid w:val="6E35795C"/>
    <w:rsid w:val="6E3C4D68"/>
    <w:rsid w:val="6E3F0719"/>
    <w:rsid w:val="6E851705"/>
    <w:rsid w:val="6F142327"/>
    <w:rsid w:val="6F5C1D4D"/>
    <w:rsid w:val="6F8F2740"/>
    <w:rsid w:val="6FD607DD"/>
    <w:rsid w:val="70722AC4"/>
    <w:rsid w:val="7086337E"/>
    <w:rsid w:val="70BB1D85"/>
    <w:rsid w:val="70BC3E77"/>
    <w:rsid w:val="70C100CB"/>
    <w:rsid w:val="70D016D0"/>
    <w:rsid w:val="70DD5B9B"/>
    <w:rsid w:val="70F41A5E"/>
    <w:rsid w:val="710D4B86"/>
    <w:rsid w:val="71400858"/>
    <w:rsid w:val="715032EA"/>
    <w:rsid w:val="71601D50"/>
    <w:rsid w:val="71821520"/>
    <w:rsid w:val="71C852BA"/>
    <w:rsid w:val="71FE6257"/>
    <w:rsid w:val="722E674B"/>
    <w:rsid w:val="725A4828"/>
    <w:rsid w:val="72F239B0"/>
    <w:rsid w:val="73397A01"/>
    <w:rsid w:val="73F67ACD"/>
    <w:rsid w:val="74064FDB"/>
    <w:rsid w:val="7486193A"/>
    <w:rsid w:val="749331CE"/>
    <w:rsid w:val="750951B1"/>
    <w:rsid w:val="75700A55"/>
    <w:rsid w:val="75970D9A"/>
    <w:rsid w:val="75C8104D"/>
    <w:rsid w:val="75FB6898"/>
    <w:rsid w:val="76047BAD"/>
    <w:rsid w:val="76241D07"/>
    <w:rsid w:val="762A472B"/>
    <w:rsid w:val="76892E0D"/>
    <w:rsid w:val="768A5887"/>
    <w:rsid w:val="76D83408"/>
    <w:rsid w:val="76E36AEE"/>
    <w:rsid w:val="77114E58"/>
    <w:rsid w:val="771222E8"/>
    <w:rsid w:val="77277C5C"/>
    <w:rsid w:val="77350F3E"/>
    <w:rsid w:val="77543C41"/>
    <w:rsid w:val="7768105C"/>
    <w:rsid w:val="779F53D0"/>
    <w:rsid w:val="77FA5BEA"/>
    <w:rsid w:val="78090689"/>
    <w:rsid w:val="781A10CA"/>
    <w:rsid w:val="781A2AF5"/>
    <w:rsid w:val="78206C22"/>
    <w:rsid w:val="782567A5"/>
    <w:rsid w:val="783C0D39"/>
    <w:rsid w:val="78464CC9"/>
    <w:rsid w:val="788F4CD8"/>
    <w:rsid w:val="78AA6CAB"/>
    <w:rsid w:val="78EB1B2C"/>
    <w:rsid w:val="79014587"/>
    <w:rsid w:val="790479B8"/>
    <w:rsid w:val="791A4431"/>
    <w:rsid w:val="79480AC7"/>
    <w:rsid w:val="79856F73"/>
    <w:rsid w:val="79B77432"/>
    <w:rsid w:val="7A203B51"/>
    <w:rsid w:val="7A2613F7"/>
    <w:rsid w:val="7A263AF5"/>
    <w:rsid w:val="7A530817"/>
    <w:rsid w:val="7A636586"/>
    <w:rsid w:val="7A6F60D2"/>
    <w:rsid w:val="7A926A27"/>
    <w:rsid w:val="7AB35CA2"/>
    <w:rsid w:val="7AB95344"/>
    <w:rsid w:val="7ABE21AA"/>
    <w:rsid w:val="7B050F64"/>
    <w:rsid w:val="7B1A21F9"/>
    <w:rsid w:val="7B215689"/>
    <w:rsid w:val="7B3376EA"/>
    <w:rsid w:val="7B9F0F7C"/>
    <w:rsid w:val="7BC57D1D"/>
    <w:rsid w:val="7BCB4BEA"/>
    <w:rsid w:val="7BEB46DA"/>
    <w:rsid w:val="7C70604D"/>
    <w:rsid w:val="7C9866B7"/>
    <w:rsid w:val="7CBA184A"/>
    <w:rsid w:val="7CBC51FE"/>
    <w:rsid w:val="7CC63DFB"/>
    <w:rsid w:val="7CEA7A9F"/>
    <w:rsid w:val="7D3323D6"/>
    <w:rsid w:val="7D782ED3"/>
    <w:rsid w:val="7D8A6E23"/>
    <w:rsid w:val="7DC7256D"/>
    <w:rsid w:val="7DCC6ADE"/>
    <w:rsid w:val="7DD554FF"/>
    <w:rsid w:val="7E295A63"/>
    <w:rsid w:val="7E4E5E9B"/>
    <w:rsid w:val="7E62681A"/>
    <w:rsid w:val="7EA271D1"/>
    <w:rsid w:val="7EA61CC2"/>
    <w:rsid w:val="7EA96C28"/>
    <w:rsid w:val="7ED06A1C"/>
    <w:rsid w:val="7EDF5F5A"/>
    <w:rsid w:val="7EE966A4"/>
    <w:rsid w:val="7F101A04"/>
    <w:rsid w:val="7F1535D3"/>
    <w:rsid w:val="7F207AA0"/>
    <w:rsid w:val="7F930E04"/>
    <w:rsid w:val="7FAC4C43"/>
    <w:rsid w:val="7FC425A9"/>
    <w:rsid w:val="7FD60972"/>
    <w:rsid w:val="7FD832F8"/>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numPr>
        <w:ilvl w:val="0"/>
        <w:numId w:val="1"/>
      </w:numPr>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7">
    <w:name w:val="Default Paragraph Font"/>
    <w:unhideWhenUsed/>
    <w:qFormat/>
    <w:uiPriority w:val="1"/>
  </w:style>
  <w:style w:type="table" w:default="1" w:styleId="41">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2"/>
    <w:next w:val="1"/>
    <w:semiHidden/>
    <w:qFormat/>
    <w:uiPriority w:val="0"/>
    <w:pPr>
      <w:tabs>
        <w:tab w:val="left" w:pos="4805"/>
      </w:tabs>
    </w:pPr>
  </w:style>
  <w:style w:type="paragraph" w:styleId="12">
    <w:name w:val="toc 6"/>
    <w:basedOn w:val="13"/>
    <w:next w:val="1"/>
    <w:semiHidden/>
    <w:qFormat/>
    <w:uiPriority w:val="0"/>
    <w:pPr>
      <w:tabs>
        <w:tab w:val="left" w:pos="4805"/>
      </w:tabs>
    </w:pPr>
  </w:style>
  <w:style w:type="paragraph" w:styleId="13">
    <w:name w:val="toc 5"/>
    <w:basedOn w:val="14"/>
    <w:next w:val="1"/>
    <w:semiHidden/>
    <w:qFormat/>
    <w:uiPriority w:val="0"/>
    <w:pPr>
      <w:tabs>
        <w:tab w:val="left" w:pos="4805"/>
      </w:tabs>
    </w:pPr>
  </w:style>
  <w:style w:type="paragraph" w:styleId="14">
    <w:name w:val="toc 4"/>
    <w:basedOn w:val="15"/>
    <w:next w:val="1"/>
    <w:semiHidden/>
    <w:qFormat/>
    <w:uiPriority w:val="0"/>
    <w:pPr>
      <w:tabs>
        <w:tab w:val="left" w:pos="4805"/>
      </w:tabs>
    </w:pPr>
  </w:style>
  <w:style w:type="paragraph" w:styleId="15">
    <w:name w:val="toc 3"/>
    <w:basedOn w:val="16"/>
    <w:next w:val="1"/>
    <w:semiHidden/>
    <w:qFormat/>
    <w:uiPriority w:val="0"/>
    <w:pPr>
      <w:tabs>
        <w:tab w:val="left" w:pos="4805"/>
      </w:tabs>
    </w:pPr>
  </w:style>
  <w:style w:type="paragraph" w:styleId="16">
    <w:name w:val="toc 2"/>
    <w:basedOn w:val="17"/>
    <w:next w:val="1"/>
    <w:semiHidden/>
    <w:qFormat/>
    <w:uiPriority w:val="0"/>
    <w:pPr>
      <w:tabs>
        <w:tab w:val="left" w:pos="4805"/>
      </w:tabs>
    </w:pPr>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Document Map"/>
    <w:basedOn w:val="1"/>
    <w:semiHidden/>
    <w:qFormat/>
    <w:uiPriority w:val="0"/>
    <w:pPr>
      <w:shd w:val="clear" w:color="auto" w:fill="000080"/>
    </w:pPr>
  </w:style>
  <w:style w:type="paragraph" w:styleId="19">
    <w:name w:val="HTML Address"/>
    <w:basedOn w:val="1"/>
    <w:qFormat/>
    <w:uiPriority w:val="0"/>
    <w:rPr>
      <w:i/>
      <w:iCs/>
    </w:rPr>
  </w:style>
  <w:style w:type="paragraph" w:styleId="20">
    <w:name w:val="toc 8"/>
    <w:basedOn w:val="11"/>
    <w:next w:val="1"/>
    <w:semiHidden/>
    <w:qFormat/>
    <w:uiPriority w:val="0"/>
    <w:pPr>
      <w:tabs>
        <w:tab w:val="clear" w:pos="4805"/>
      </w:tabs>
    </w:pPr>
  </w:style>
  <w:style w:type="paragraph" w:styleId="21">
    <w:name w:val="footer"/>
    <w:basedOn w:val="1"/>
    <w:qFormat/>
    <w:uiPriority w:val="0"/>
    <w:pPr>
      <w:tabs>
        <w:tab w:val="center" w:pos="4153"/>
        <w:tab w:val="right" w:pos="8306"/>
        <w:tab w:val="clear" w:pos="4805"/>
      </w:tabs>
      <w:snapToGrid w:val="0"/>
      <w:ind w:right="210" w:rightChars="100"/>
      <w:jc w:val="right"/>
    </w:pPr>
    <w:rPr>
      <w:sz w:val="18"/>
      <w:szCs w:val="18"/>
    </w:rPr>
  </w:style>
  <w:style w:type="paragraph" w:styleId="22">
    <w:name w:val="header"/>
    <w:basedOn w:val="1"/>
    <w:qFormat/>
    <w:uiPriority w:val="0"/>
    <w:pPr>
      <w:numPr>
        <w:ilvl w:val="6"/>
        <w:numId w:val="2"/>
      </w:numPr>
      <w:pBdr>
        <w:bottom w:val="single" w:color="auto" w:sz="6" w:space="1"/>
      </w:pBdr>
      <w:tabs>
        <w:tab w:val="center" w:pos="4153"/>
        <w:tab w:val="right" w:pos="8306"/>
        <w:tab w:val="clear" w:pos="4805"/>
      </w:tabs>
      <w:snapToGrid w:val="0"/>
      <w:jc w:val="center"/>
    </w:pPr>
    <w:rPr>
      <w:sz w:val="18"/>
      <w:szCs w:val="18"/>
    </w:rPr>
  </w:style>
  <w:style w:type="paragraph" w:styleId="23">
    <w:name w:val="footnote text"/>
    <w:basedOn w:val="1"/>
    <w:semiHidden/>
    <w:qFormat/>
    <w:uiPriority w:val="0"/>
    <w:pPr>
      <w:snapToGrid w:val="0"/>
      <w:jc w:val="left"/>
    </w:pPr>
    <w:rPr>
      <w:sz w:val="18"/>
      <w:szCs w:val="18"/>
    </w:rPr>
  </w:style>
  <w:style w:type="paragraph" w:styleId="24">
    <w:name w:val="toc 9"/>
    <w:basedOn w:val="20"/>
    <w:next w:val="1"/>
    <w:semiHidden/>
    <w:qFormat/>
    <w:uiPriority w:val="0"/>
    <w:pPr>
      <w:tabs>
        <w:tab w:val="left" w:pos="4805"/>
      </w:tabs>
    </w:pPr>
  </w:style>
  <w:style w:type="paragraph" w:styleId="25">
    <w:name w:val="HTML Preformatted"/>
    <w:basedOn w:val="1"/>
    <w:qFormat/>
    <w:uiPriority w:val="0"/>
    <w:rPr>
      <w:rFonts w:ascii="Courier New" w:hAnsi="Courier New" w:cs="Courier New"/>
      <w:sz w:val="20"/>
      <w:szCs w:val="20"/>
    </w:rPr>
  </w:style>
  <w:style w:type="paragraph" w:styleId="26">
    <w:name w:val="Title"/>
    <w:basedOn w:val="1"/>
    <w:qFormat/>
    <w:uiPriority w:val="0"/>
    <w:pPr>
      <w:spacing w:before="240" w:after="60"/>
      <w:jc w:val="center"/>
      <w:outlineLvl w:val="0"/>
    </w:pPr>
    <w:rPr>
      <w:rFonts w:ascii="Arial" w:hAnsi="Arial" w:cs="Arial"/>
      <w:b/>
      <w:bCs/>
      <w:sz w:val="32"/>
      <w:szCs w:val="32"/>
    </w:rPr>
  </w:style>
  <w:style w:type="character" w:styleId="28">
    <w:name w:val="page number"/>
    <w:basedOn w:val="27"/>
    <w:qFormat/>
    <w:uiPriority w:val="0"/>
    <w:rPr>
      <w:rFonts w:ascii="Times New Roman" w:hAnsi="Times New Roman" w:eastAsia="宋体"/>
      <w:sz w:val="18"/>
    </w:rPr>
  </w:style>
  <w:style w:type="character" w:styleId="29">
    <w:name w:val="FollowedHyperlink"/>
    <w:basedOn w:val="27"/>
    <w:qFormat/>
    <w:uiPriority w:val="0"/>
    <w:rPr>
      <w:color w:val="2C4C78"/>
      <w:u w:val="none"/>
    </w:rPr>
  </w:style>
  <w:style w:type="character" w:styleId="30">
    <w:name w:val="Emphasis"/>
    <w:basedOn w:val="27"/>
    <w:qFormat/>
    <w:uiPriority w:val="0"/>
  </w:style>
  <w:style w:type="character" w:styleId="31">
    <w:name w:val="HTML Definition"/>
    <w:basedOn w:val="27"/>
    <w:qFormat/>
    <w:uiPriority w:val="0"/>
    <w:rPr>
      <w:i/>
      <w:iCs/>
    </w:rPr>
  </w:style>
  <w:style w:type="character" w:styleId="32">
    <w:name w:val="HTML Typewriter"/>
    <w:basedOn w:val="27"/>
    <w:qFormat/>
    <w:uiPriority w:val="0"/>
    <w:rPr>
      <w:rFonts w:ascii="Courier New" w:hAnsi="Courier New"/>
      <w:sz w:val="20"/>
      <w:szCs w:val="20"/>
    </w:rPr>
  </w:style>
  <w:style w:type="character" w:styleId="33">
    <w:name w:val="HTML Acronym"/>
    <w:basedOn w:val="27"/>
    <w:qFormat/>
    <w:uiPriority w:val="0"/>
  </w:style>
  <w:style w:type="character" w:styleId="34">
    <w:name w:val="HTML Variable"/>
    <w:basedOn w:val="27"/>
    <w:qFormat/>
    <w:uiPriority w:val="0"/>
    <w:rPr>
      <w:i/>
      <w:iCs/>
    </w:rPr>
  </w:style>
  <w:style w:type="character" w:styleId="35">
    <w:name w:val="Hyperlink"/>
    <w:qFormat/>
    <w:uiPriority w:val="0"/>
    <w:rPr>
      <w:rFonts w:ascii="Times New Roman" w:hAnsi="Times New Roman" w:eastAsia="宋体"/>
      <w:color w:val="auto"/>
      <w:spacing w:val="0"/>
      <w:w w:val="100"/>
      <w:position w:val="0"/>
      <w:sz w:val="21"/>
      <w:u w:val="none"/>
      <w:vertAlign w:val="baseline"/>
    </w:rPr>
  </w:style>
  <w:style w:type="character" w:styleId="36">
    <w:name w:val="HTML Code"/>
    <w:basedOn w:val="27"/>
    <w:qFormat/>
    <w:uiPriority w:val="0"/>
    <w:rPr>
      <w:rFonts w:ascii="Courier New" w:hAnsi="Courier New"/>
      <w:sz w:val="20"/>
      <w:szCs w:val="20"/>
    </w:rPr>
  </w:style>
  <w:style w:type="character" w:styleId="37">
    <w:name w:val="HTML Cite"/>
    <w:basedOn w:val="27"/>
    <w:qFormat/>
    <w:uiPriority w:val="0"/>
    <w:rPr>
      <w:i/>
      <w:iCs/>
    </w:rPr>
  </w:style>
  <w:style w:type="character" w:styleId="38">
    <w:name w:val="footnote reference"/>
    <w:basedOn w:val="27"/>
    <w:semiHidden/>
    <w:qFormat/>
    <w:uiPriority w:val="0"/>
    <w:rPr>
      <w:vertAlign w:val="superscript"/>
    </w:rPr>
  </w:style>
  <w:style w:type="character" w:styleId="39">
    <w:name w:val="HTML Keyboard"/>
    <w:basedOn w:val="27"/>
    <w:qFormat/>
    <w:uiPriority w:val="0"/>
    <w:rPr>
      <w:rFonts w:ascii="Courier New" w:hAnsi="Courier New"/>
      <w:sz w:val="20"/>
      <w:szCs w:val="20"/>
    </w:rPr>
  </w:style>
  <w:style w:type="character" w:styleId="40">
    <w:name w:val="HTML Sample"/>
    <w:basedOn w:val="27"/>
    <w:qFormat/>
    <w:uiPriority w:val="0"/>
    <w:rPr>
      <w:rFonts w:ascii="Courier New" w:hAnsi="Courier New"/>
    </w:rPr>
  </w:style>
  <w:style w:type="table" w:styleId="42">
    <w:name w:val="Table Grid"/>
    <w:basedOn w:val="41"/>
    <w:qFormat/>
    <w:uiPriority w:val="0"/>
    <w:pPr>
      <w:tabs>
        <w:tab w:val="left" w:pos="4805"/>
      </w:tabs>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43">
    <w:name w:val="附录一级条标题"/>
    <w:basedOn w:val="44"/>
    <w:next w:val="45"/>
    <w:qFormat/>
    <w:uiPriority w:val="0"/>
    <w:pPr>
      <w:numPr>
        <w:ilvl w:val="2"/>
      </w:numPr>
      <w:tabs>
        <w:tab w:val="left" w:pos="4805"/>
      </w:tabs>
      <w:autoSpaceDN w:val="0"/>
      <w:spacing w:before="0" w:beforeLines="0" w:after="0" w:afterLines="0"/>
      <w:outlineLvl w:val="2"/>
    </w:pPr>
  </w:style>
  <w:style w:type="paragraph" w:customStyle="1" w:styleId="44">
    <w:name w:val="附录章标题"/>
    <w:next w:val="45"/>
    <w:qFormat/>
    <w:uiPriority w:val="0"/>
    <w:pPr>
      <w:numPr>
        <w:ilvl w:val="1"/>
        <w:numId w:val="3"/>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5">
    <w:name w:val="段"/>
    <w:link w:val="1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6">
    <w:name w:val="发布部门"/>
    <w:next w:val="45"/>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47">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50">
    <w:name w:val="附录四级条标题"/>
    <w:basedOn w:val="51"/>
    <w:next w:val="45"/>
    <w:qFormat/>
    <w:uiPriority w:val="0"/>
    <w:pPr>
      <w:numPr>
        <w:ilvl w:val="5"/>
      </w:numPr>
      <w:tabs>
        <w:tab w:val="left" w:pos="4805"/>
      </w:tabs>
      <w:outlineLvl w:val="5"/>
    </w:pPr>
  </w:style>
  <w:style w:type="paragraph" w:customStyle="1" w:styleId="51">
    <w:name w:val="附录三级条标题"/>
    <w:basedOn w:val="52"/>
    <w:next w:val="45"/>
    <w:qFormat/>
    <w:uiPriority w:val="0"/>
    <w:pPr>
      <w:numPr>
        <w:ilvl w:val="4"/>
      </w:numPr>
      <w:tabs>
        <w:tab w:val="left" w:pos="4805"/>
      </w:tabs>
      <w:outlineLvl w:val="4"/>
    </w:pPr>
  </w:style>
  <w:style w:type="paragraph" w:customStyle="1" w:styleId="52">
    <w:name w:val="附录二级条标题"/>
    <w:basedOn w:val="43"/>
    <w:next w:val="45"/>
    <w:qFormat/>
    <w:uiPriority w:val="0"/>
    <w:pPr>
      <w:numPr>
        <w:ilvl w:val="3"/>
      </w:numPr>
      <w:outlineLvl w:val="3"/>
    </w:pPr>
  </w:style>
  <w:style w:type="paragraph" w:customStyle="1" w:styleId="53">
    <w:name w:val="列项◆（三级）"/>
    <w:qFormat/>
    <w:uiPriority w:val="0"/>
    <w:pPr>
      <w:numPr>
        <w:ilvl w:val="0"/>
        <w:numId w:val="4"/>
      </w:numPr>
    </w:pPr>
    <w:rPr>
      <w:rFonts w:ascii="宋体" w:hAnsi="Times New Roman" w:eastAsia="宋体" w:cs="Times New Roman"/>
      <w:sz w:val="21"/>
      <w:lang w:val="en-US" w:eastAsia="zh-CN" w:bidi="ar-SA"/>
    </w:rPr>
  </w:style>
  <w:style w:type="paragraph" w:customStyle="1" w:styleId="54">
    <w:name w:val="附录图标题"/>
    <w:next w:val="45"/>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55">
    <w:name w:val="前言、引言标题"/>
    <w:next w:val="1"/>
    <w:qFormat/>
    <w:uiPriority w:val="0"/>
    <w:pPr>
      <w:numPr>
        <w:ilvl w:val="0"/>
        <w:numId w:val="2"/>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7">
    <w:name w:val="附录五级条标题"/>
    <w:basedOn w:val="50"/>
    <w:next w:val="45"/>
    <w:qFormat/>
    <w:uiPriority w:val="0"/>
    <w:pPr>
      <w:numPr>
        <w:ilvl w:val="6"/>
      </w:numPr>
      <w:outlineLvl w:val="6"/>
    </w:pPr>
  </w:style>
  <w:style w:type="paragraph" w:customStyle="1" w:styleId="58">
    <w:name w:val="列项●（二级）"/>
    <w:qFormat/>
    <w:uiPriority w:val="0"/>
    <w:pPr>
      <w:numPr>
        <w:ilvl w:val="0"/>
        <w:numId w:val="6"/>
      </w:numPr>
      <w:tabs>
        <w:tab w:val="left" w:pos="840"/>
        <w:tab w:val="clear" w:pos="760"/>
      </w:tabs>
      <w:jc w:val="both"/>
    </w:pPr>
    <w:rPr>
      <w:rFonts w:ascii="宋体" w:hAnsi="Times New Roman" w:eastAsia="宋体" w:cs="Times New Roman"/>
      <w:sz w:val="21"/>
      <w:lang w:val="en-US" w:eastAsia="zh-CN" w:bidi="ar-SA"/>
    </w:rPr>
  </w:style>
  <w:style w:type="paragraph" w:customStyle="1" w:styleId="59">
    <w:name w:val="实施日期"/>
    <w:basedOn w:val="60"/>
    <w:qFormat/>
    <w:uiPriority w:val="0"/>
    <w:pPr>
      <w:framePr w:hSpace="0" w:xAlign="right"/>
      <w:numPr>
        <w:ilvl w:val="4"/>
        <w:numId w:val="2"/>
      </w:numPr>
      <w:tabs>
        <w:tab w:val="left" w:pos="4805"/>
      </w:tabs>
      <w:jc w:val="right"/>
    </w:pPr>
  </w:style>
  <w:style w:type="paragraph" w:customStyle="1" w:styleId="6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61">
    <w:name w:val="五级无标题条"/>
    <w:basedOn w:val="1"/>
    <w:qFormat/>
    <w:uiPriority w:val="0"/>
    <w:pPr>
      <w:numPr>
        <w:ilvl w:val="6"/>
        <w:numId w:val="7"/>
      </w:numPr>
    </w:pPr>
  </w:style>
  <w:style w:type="paragraph" w:customStyle="1" w:styleId="6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3">
    <w:name w:val="二级条标题"/>
    <w:basedOn w:val="64"/>
    <w:next w:val="45"/>
    <w:link w:val="114"/>
    <w:qFormat/>
    <w:uiPriority w:val="0"/>
    <w:pPr>
      <w:numPr>
        <w:ilvl w:val="3"/>
      </w:numPr>
      <w:tabs>
        <w:tab w:val="left" w:pos="4805"/>
      </w:tabs>
      <w:outlineLvl w:val="3"/>
    </w:pPr>
  </w:style>
  <w:style w:type="paragraph" w:customStyle="1" w:styleId="64">
    <w:name w:val="一级条标题"/>
    <w:next w:val="45"/>
    <w:link w:val="112"/>
    <w:qFormat/>
    <w:uiPriority w:val="0"/>
    <w:pPr>
      <w:numPr>
        <w:ilvl w:val="2"/>
        <w:numId w:val="2"/>
      </w:numPr>
      <w:outlineLvl w:val="2"/>
    </w:pPr>
    <w:rPr>
      <w:rFonts w:ascii="Times New Roman" w:hAnsi="Times New Roman" w:eastAsia="黑体" w:cs="Times New Roman"/>
      <w:sz w:val="21"/>
      <w:lang w:val="en-US" w:eastAsia="zh-CN" w:bidi="ar-SA"/>
    </w:rPr>
  </w:style>
  <w:style w:type="paragraph" w:customStyle="1" w:styleId="6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6">
    <w:name w:val="五级条标题"/>
    <w:basedOn w:val="67"/>
    <w:next w:val="45"/>
    <w:qFormat/>
    <w:uiPriority w:val="0"/>
    <w:pPr>
      <w:tabs>
        <w:tab w:val="left" w:pos="1120"/>
        <w:tab w:val="left" w:pos="4805"/>
      </w:tabs>
      <w:outlineLvl w:val="6"/>
    </w:pPr>
  </w:style>
  <w:style w:type="paragraph" w:customStyle="1" w:styleId="67">
    <w:name w:val="四级条标题"/>
    <w:basedOn w:val="68"/>
    <w:next w:val="45"/>
    <w:qFormat/>
    <w:uiPriority w:val="0"/>
    <w:pPr>
      <w:numPr>
        <w:ilvl w:val="0"/>
        <w:numId w:val="8"/>
      </w:numPr>
      <w:tabs>
        <w:tab w:val="left" w:pos="4805"/>
      </w:tabs>
      <w:outlineLvl w:val="5"/>
    </w:pPr>
  </w:style>
  <w:style w:type="paragraph" w:customStyle="1" w:styleId="68">
    <w:name w:val="三级条标题"/>
    <w:basedOn w:val="63"/>
    <w:next w:val="45"/>
    <w:qFormat/>
    <w:uiPriority w:val="0"/>
    <w:pPr>
      <w:numPr>
        <w:numId w:val="0"/>
      </w:numPr>
      <w:outlineLvl w:val="4"/>
    </w:pPr>
  </w:style>
  <w:style w:type="paragraph" w:customStyle="1" w:styleId="6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7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1">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72">
    <w:name w:val="封面正文"/>
    <w:qFormat/>
    <w:uiPriority w:val="0"/>
    <w:pPr>
      <w:jc w:val="both"/>
    </w:pPr>
    <w:rPr>
      <w:rFonts w:ascii="Times New Roman" w:hAnsi="Times New Roman" w:eastAsia="宋体" w:cs="Times New Roman"/>
      <w:lang w:val="en-US" w:eastAsia="zh-CN" w:bidi="ar-SA"/>
    </w:rPr>
  </w:style>
  <w:style w:type="paragraph" w:customStyle="1" w:styleId="73">
    <w:name w:val="其他发布部门"/>
    <w:basedOn w:val="46"/>
    <w:qFormat/>
    <w:uiPriority w:val="99"/>
    <w:pPr>
      <w:framePr/>
      <w:tabs>
        <w:tab w:val="left" w:pos="4805"/>
      </w:tabs>
      <w:spacing w:line="0" w:lineRule="atLeast"/>
    </w:pPr>
    <w:rPr>
      <w:rFonts w:ascii="黑体" w:eastAsia="黑体"/>
      <w:b w:val="0"/>
    </w:rPr>
  </w:style>
  <w:style w:type="paragraph" w:customStyle="1" w:styleId="7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5">
    <w:name w:val="标准书眉一"/>
    <w:qFormat/>
    <w:uiPriority w:val="0"/>
    <w:pPr>
      <w:jc w:val="both"/>
    </w:pPr>
    <w:rPr>
      <w:rFonts w:ascii="Times New Roman" w:hAnsi="Times New Roman" w:eastAsia="宋体" w:cs="Times New Roman"/>
      <w:lang w:val="en-US" w:eastAsia="zh-CN" w:bidi="ar-SA"/>
    </w:rPr>
  </w:style>
  <w:style w:type="paragraph" w:customStyle="1" w:styleId="7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77">
    <w:name w:val="无标题条"/>
    <w:next w:val="45"/>
    <w:qFormat/>
    <w:uiPriority w:val="0"/>
    <w:pPr>
      <w:jc w:val="both"/>
    </w:pPr>
    <w:rPr>
      <w:rFonts w:ascii="Times New Roman" w:hAnsi="Times New Roman" w:eastAsia="宋体" w:cs="Times New Roman"/>
      <w:sz w:val="21"/>
      <w:lang w:val="en-US" w:eastAsia="zh-CN" w:bidi="ar-SA"/>
    </w:rPr>
  </w:style>
  <w:style w:type="paragraph" w:customStyle="1" w:styleId="78">
    <w:name w:val="注×："/>
    <w:qFormat/>
    <w:uiPriority w:val="0"/>
    <w:pPr>
      <w:widowControl w:val="0"/>
      <w:tabs>
        <w:tab w:val="left" w:pos="630"/>
      </w:tabs>
      <w:autoSpaceDE w:val="0"/>
      <w:autoSpaceDN w:val="0"/>
      <w:jc w:val="both"/>
    </w:pPr>
    <w:rPr>
      <w:rFonts w:ascii="宋体" w:hAnsi="Times New Roman" w:eastAsia="宋体" w:cs="Times New Roman"/>
      <w:sz w:val="18"/>
      <w:lang w:val="en-US" w:eastAsia="zh-CN" w:bidi="ar-SA"/>
    </w:rPr>
  </w:style>
  <w:style w:type="paragraph" w:customStyle="1" w:styleId="79">
    <w:name w:val="WPS Plain"/>
    <w:qFormat/>
    <w:uiPriority w:val="0"/>
    <w:rPr>
      <w:rFonts w:ascii="Times New Roman" w:hAnsi="Times New Roman" w:eastAsia="宋体" w:cs="Times New Roman"/>
      <w:lang w:val="en-US" w:eastAsia="zh-CN" w:bidi="ar-SA"/>
    </w:rPr>
  </w:style>
  <w:style w:type="paragraph" w:customStyle="1" w:styleId="80">
    <w:name w:val="列项——"/>
    <w:qFormat/>
    <w:uiPriority w:val="99"/>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81">
    <w:name w:val="一级无标题条"/>
    <w:basedOn w:val="1"/>
    <w:qFormat/>
    <w:uiPriority w:val="0"/>
    <w:pPr>
      <w:numPr>
        <w:ilvl w:val="2"/>
        <w:numId w:val="7"/>
      </w:numPr>
    </w:pPr>
  </w:style>
  <w:style w:type="paragraph" w:customStyle="1" w:styleId="8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84">
    <w:name w:val="章"/>
    <w:basedOn w:val="4"/>
    <w:qFormat/>
    <w:uiPriority w:val="0"/>
    <w:pPr>
      <w:numPr>
        <w:numId w:val="0"/>
      </w:numPr>
      <w:tabs>
        <w:tab w:val="clear" w:pos="4805"/>
      </w:tabs>
      <w:spacing w:line="413" w:lineRule="auto"/>
    </w:pPr>
    <w:rPr>
      <w:rFonts w:eastAsia="黑体"/>
      <w:b w:val="0"/>
      <w:sz w:val="21"/>
    </w:rPr>
  </w:style>
  <w:style w:type="paragraph" w:customStyle="1" w:styleId="85">
    <w:name w:val="p0"/>
    <w:basedOn w:val="1"/>
    <w:qFormat/>
    <w:uiPriority w:val="0"/>
    <w:pPr>
      <w:widowControl/>
      <w:numPr>
        <w:numId w:val="0"/>
      </w:numPr>
      <w:jc w:val="left"/>
    </w:pPr>
    <w:rPr>
      <w:kern w:val="0"/>
      <w:szCs w:val="21"/>
    </w:rPr>
  </w:style>
  <w:style w:type="paragraph" w:customStyle="1" w:styleId="86">
    <w:name w:val="三级无标题条"/>
    <w:basedOn w:val="1"/>
    <w:qFormat/>
    <w:uiPriority w:val="0"/>
    <w:pPr>
      <w:numPr>
        <w:ilvl w:val="4"/>
        <w:numId w:val="7"/>
      </w:numPr>
    </w:pPr>
  </w:style>
  <w:style w:type="paragraph" w:customStyle="1" w:styleId="87">
    <w:name w:val="图表脚注"/>
    <w:next w:val="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88">
    <w:name w:val="四级无标题条"/>
    <w:basedOn w:val="1"/>
    <w:qFormat/>
    <w:uiPriority w:val="0"/>
    <w:pPr>
      <w:numPr>
        <w:ilvl w:val="5"/>
        <w:numId w:val="7"/>
      </w:numPr>
    </w:pPr>
  </w:style>
  <w:style w:type="paragraph" w:customStyle="1" w:styleId="89">
    <w:name w:val="列项·"/>
    <w:qFormat/>
    <w:uiPriority w:val="0"/>
    <w:pPr>
      <w:numPr>
        <w:ilvl w:val="0"/>
        <w:numId w:val="9"/>
      </w:numPr>
      <w:tabs>
        <w:tab w:val="left" w:pos="840"/>
        <w:tab w:val="clear" w:pos="560"/>
      </w:tabs>
      <w:ind w:left="840" w:leftChars="200" w:hanging="420" w:hangingChars="200"/>
      <w:jc w:val="both"/>
    </w:pPr>
    <w:rPr>
      <w:rFonts w:ascii="宋体" w:hAnsi="Times New Roman" w:eastAsia="宋体" w:cs="Times New Roman"/>
      <w:sz w:val="21"/>
      <w:lang w:val="en-US" w:eastAsia="zh-CN" w:bidi="ar-SA"/>
    </w:rPr>
  </w:style>
  <w:style w:type="paragraph" w:customStyle="1" w:styleId="90">
    <w:name w:val="目次、标准名称标题"/>
    <w:basedOn w:val="55"/>
    <w:next w:val="45"/>
    <w:qFormat/>
    <w:uiPriority w:val="0"/>
    <w:pPr>
      <w:numPr>
        <w:numId w:val="0"/>
      </w:numPr>
      <w:tabs>
        <w:tab w:val="left" w:pos="4805"/>
      </w:tabs>
      <w:spacing w:line="460" w:lineRule="exact"/>
    </w:pPr>
  </w:style>
  <w:style w:type="paragraph" w:customStyle="1" w:styleId="91">
    <w:name w:val="附录标识"/>
    <w:basedOn w:val="55"/>
    <w:next w:val="45"/>
    <w:qFormat/>
    <w:uiPriority w:val="0"/>
    <w:pPr>
      <w:numPr>
        <w:ilvl w:val="0"/>
        <w:numId w:val="3"/>
      </w:numPr>
      <w:tabs>
        <w:tab w:val="left" w:pos="6405"/>
        <w:tab w:val="clear" w:pos="0"/>
      </w:tabs>
      <w:spacing w:after="200"/>
    </w:pPr>
    <w:rPr>
      <w:sz w:val="21"/>
    </w:rPr>
  </w:style>
  <w:style w:type="paragraph" w:customStyle="1" w:styleId="92">
    <w:name w:val="二级无标题条"/>
    <w:basedOn w:val="1"/>
    <w:qFormat/>
    <w:uiPriority w:val="0"/>
    <w:pPr>
      <w:numPr>
        <w:ilvl w:val="3"/>
        <w:numId w:val="7"/>
      </w:numPr>
    </w:pPr>
  </w:style>
  <w:style w:type="paragraph" w:customStyle="1" w:styleId="93">
    <w:name w:val="注："/>
    <w:next w:val="45"/>
    <w:qFormat/>
    <w:uiPriority w:val="0"/>
    <w:pPr>
      <w:widowControl w:val="0"/>
      <w:autoSpaceDE w:val="0"/>
      <w:autoSpaceDN w:val="0"/>
      <w:jc w:val="both"/>
    </w:pPr>
    <w:rPr>
      <w:rFonts w:ascii="宋体" w:hAnsi="Times New Roman" w:eastAsia="宋体" w:cs="Times New Roman"/>
      <w:sz w:val="18"/>
      <w:lang w:val="en-US" w:eastAsia="zh-CN" w:bidi="ar-SA"/>
    </w:rPr>
  </w:style>
  <w:style w:type="paragraph" w:customStyle="1" w:styleId="94">
    <w:name w:val="正文表标题"/>
    <w:next w:val="45"/>
    <w:qFormat/>
    <w:uiPriority w:val="0"/>
    <w:pPr>
      <w:jc w:val="center"/>
    </w:pPr>
    <w:rPr>
      <w:rFonts w:ascii="黑体" w:hAnsi="Times New Roman" w:eastAsia="黑体" w:cs="Times New Roman"/>
      <w:sz w:val="21"/>
      <w:lang w:val="en-US" w:eastAsia="zh-CN" w:bidi="ar-SA"/>
    </w:rPr>
  </w:style>
  <w:style w:type="paragraph" w:customStyle="1" w:styleId="95">
    <w:name w:val="列项——（一级）"/>
    <w:qFormat/>
    <w:uiPriority w:val="0"/>
    <w:pPr>
      <w:widowControl w:val="0"/>
      <w:numPr>
        <w:ilvl w:val="0"/>
        <w:numId w:val="10"/>
      </w:numPr>
      <w:jc w:val="both"/>
    </w:pPr>
    <w:rPr>
      <w:rFonts w:ascii="宋体" w:hAnsi="Times New Roman" w:eastAsia="宋体" w:cs="Times New Roman"/>
      <w:sz w:val="21"/>
      <w:lang w:val="en-US" w:eastAsia="zh-CN" w:bidi="ar-SA"/>
    </w:rPr>
  </w:style>
  <w:style w:type="paragraph" w:customStyle="1" w:styleId="96">
    <w:name w:val="示例"/>
    <w:next w:val="45"/>
    <w:qFormat/>
    <w:uiPriority w:val="0"/>
    <w:pPr>
      <w:jc w:val="both"/>
    </w:pPr>
    <w:rPr>
      <w:rFonts w:ascii="宋体" w:hAnsi="Times New Roman" w:eastAsia="宋体" w:cs="Times New Roman"/>
      <w:sz w:val="18"/>
      <w:lang w:val="en-US" w:eastAsia="zh-CN" w:bidi="ar-SA"/>
    </w:rPr>
  </w:style>
  <w:style w:type="paragraph" w:customStyle="1" w:styleId="97">
    <w:name w:val="标准书眉_偶数页"/>
    <w:basedOn w:val="56"/>
    <w:next w:val="1"/>
    <w:qFormat/>
    <w:uiPriority w:val="0"/>
    <w:pPr>
      <w:tabs>
        <w:tab w:val="left" w:pos="4805"/>
        <w:tab w:val="clear" w:pos="4154"/>
        <w:tab w:val="clear" w:pos="8306"/>
      </w:tabs>
      <w:jc w:val="left"/>
    </w:pPr>
  </w:style>
  <w:style w:type="paragraph" w:customStyle="1" w:styleId="98">
    <w:name w:val="条文脚注"/>
    <w:basedOn w:val="23"/>
    <w:qFormat/>
    <w:uiPriority w:val="0"/>
    <w:pPr>
      <w:numPr>
        <w:numId w:val="0"/>
      </w:numPr>
      <w:tabs>
        <w:tab w:val="clear" w:pos="4805"/>
      </w:tabs>
      <w:ind w:left="780" w:leftChars="200" w:hanging="360" w:hangingChars="200"/>
      <w:jc w:val="both"/>
    </w:pPr>
    <w:rPr>
      <w:rFonts w:ascii="宋体"/>
    </w:rPr>
  </w:style>
  <w:style w:type="paragraph" w:customStyle="1" w:styleId="99">
    <w:name w:val="章标题"/>
    <w:next w:val="45"/>
    <w:qFormat/>
    <w:uiPriority w:val="0"/>
    <w:pPr>
      <w:numPr>
        <w:ilvl w:val="1"/>
        <w:numId w:val="2"/>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0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01">
    <w:name w:val="封面标准号2"/>
    <w:basedOn w:val="65"/>
    <w:qFormat/>
    <w:uiPriority w:val="0"/>
    <w:pPr>
      <w:framePr w:w="9138" w:h="1244" w:hRule="exact" w:wrap="around" w:vAnchor="page" w:hAnchor="margin" w:y="2908"/>
      <w:tabs>
        <w:tab w:val="left" w:pos="4805"/>
      </w:tabs>
      <w:adjustRightInd w:val="0"/>
      <w:spacing w:before="357" w:line="280" w:lineRule="exact"/>
    </w:pPr>
  </w:style>
  <w:style w:type="paragraph" w:customStyle="1" w:styleId="102">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03">
    <w:name w:val="附录表标题"/>
    <w:next w:val="45"/>
    <w:qFormat/>
    <w:uiPriority w:val="0"/>
    <w:pPr>
      <w:numPr>
        <w:ilvl w:val="0"/>
        <w:numId w:val="11"/>
      </w:numPr>
      <w:jc w:val="center"/>
      <w:textAlignment w:val="baseline"/>
    </w:pPr>
    <w:rPr>
      <w:rFonts w:ascii="黑体" w:hAnsi="Times New Roman" w:eastAsia="黑体" w:cs="Times New Roman"/>
      <w:kern w:val="21"/>
      <w:sz w:val="21"/>
      <w:lang w:val="en-US" w:eastAsia="zh-CN" w:bidi="ar-SA"/>
    </w:rPr>
  </w:style>
  <w:style w:type="paragraph" w:customStyle="1" w:styleId="104">
    <w:name w:val="封面标准代替信息"/>
    <w:basedOn w:val="101"/>
    <w:qFormat/>
    <w:uiPriority w:val="0"/>
    <w:pPr>
      <w:framePr/>
      <w:spacing w:before="57"/>
    </w:pPr>
    <w:rPr>
      <w:rFonts w:ascii="宋体"/>
      <w:sz w:val="21"/>
    </w:rPr>
  </w:style>
  <w:style w:type="paragraph" w:customStyle="1" w:styleId="10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06">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07">
    <w:name w:val="正文图标题"/>
    <w:next w:val="45"/>
    <w:qFormat/>
    <w:uiPriority w:val="0"/>
    <w:pPr>
      <w:jc w:val="center"/>
    </w:pPr>
    <w:rPr>
      <w:rFonts w:ascii="黑体" w:hAnsi="Times New Roman" w:eastAsia="黑体" w:cs="Times New Roman"/>
      <w:sz w:val="21"/>
      <w:lang w:val="en-US" w:eastAsia="zh-CN" w:bidi="ar-SA"/>
    </w:rPr>
  </w:style>
  <w:style w:type="paragraph" w:customStyle="1" w:styleId="108">
    <w:name w:val="参考文献、索引标题"/>
    <w:basedOn w:val="55"/>
    <w:next w:val="1"/>
    <w:qFormat/>
    <w:uiPriority w:val="0"/>
    <w:pPr>
      <w:numPr>
        <w:numId w:val="0"/>
      </w:numPr>
      <w:tabs>
        <w:tab w:val="left" w:pos="4805"/>
      </w:tabs>
      <w:spacing w:after="200"/>
    </w:pPr>
    <w:rPr>
      <w:sz w:val="21"/>
    </w:rPr>
  </w:style>
  <w:style w:type="paragraph" w:customStyle="1" w:styleId="10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character" w:customStyle="1" w:styleId="110">
    <w:name w:val="二级条标题 Char Char"/>
    <w:basedOn w:val="27"/>
    <w:qFormat/>
    <w:uiPriority w:val="0"/>
    <w:rPr>
      <w:rFonts w:eastAsia="黑体"/>
      <w:sz w:val="21"/>
    </w:rPr>
  </w:style>
  <w:style w:type="character" w:customStyle="1" w:styleId="111">
    <w:name w:val="发布"/>
    <w:basedOn w:val="27"/>
    <w:qFormat/>
    <w:uiPriority w:val="99"/>
    <w:rPr>
      <w:rFonts w:ascii="黑体" w:eastAsia="黑体"/>
      <w:spacing w:val="22"/>
      <w:w w:val="100"/>
      <w:position w:val="3"/>
      <w:sz w:val="28"/>
    </w:rPr>
  </w:style>
  <w:style w:type="character" w:customStyle="1" w:styleId="112">
    <w:name w:val="一级条标题 Char"/>
    <w:basedOn w:val="27"/>
    <w:link w:val="64"/>
    <w:qFormat/>
    <w:uiPriority w:val="0"/>
    <w:rPr>
      <w:rFonts w:eastAsia="黑体"/>
      <w:sz w:val="21"/>
      <w:lang w:val="en-US" w:eastAsia="zh-CN" w:bidi="ar-SA"/>
    </w:rPr>
  </w:style>
  <w:style w:type="character" w:customStyle="1" w:styleId="113">
    <w:name w:val="个人撰写风格"/>
    <w:basedOn w:val="27"/>
    <w:qFormat/>
    <w:uiPriority w:val="0"/>
    <w:rPr>
      <w:rFonts w:ascii="Arial" w:hAnsi="Arial" w:eastAsia="宋体" w:cs="Arial"/>
      <w:color w:val="auto"/>
      <w:sz w:val="20"/>
    </w:rPr>
  </w:style>
  <w:style w:type="character" w:customStyle="1" w:styleId="114">
    <w:name w:val="二级条标题 Char"/>
    <w:basedOn w:val="27"/>
    <w:link w:val="63"/>
    <w:qFormat/>
    <w:uiPriority w:val="0"/>
    <w:rPr>
      <w:rFonts w:eastAsia="黑体"/>
      <w:sz w:val="21"/>
    </w:rPr>
  </w:style>
  <w:style w:type="character" w:customStyle="1" w:styleId="115">
    <w:name w:val="段 Char Char Char"/>
    <w:basedOn w:val="27"/>
    <w:link w:val="45"/>
    <w:qFormat/>
    <w:uiPriority w:val="0"/>
    <w:rPr>
      <w:rFonts w:ascii="宋体"/>
      <w:sz w:val="21"/>
      <w:lang w:val="en-US" w:eastAsia="zh-CN" w:bidi="ar-SA"/>
    </w:rPr>
  </w:style>
  <w:style w:type="character" w:customStyle="1" w:styleId="116">
    <w:name w:val="个人答复风格"/>
    <w:basedOn w:val="27"/>
    <w:qFormat/>
    <w:uiPriority w:val="0"/>
    <w:rPr>
      <w:rFonts w:ascii="Arial" w:hAnsi="Arial" w:eastAsia="宋体" w:cs="Arial"/>
      <w:color w:val="auto"/>
      <w:sz w:val="20"/>
    </w:rPr>
  </w:style>
  <w:style w:type="paragraph" w:customStyle="1" w:styleId="117">
    <w:name w:val="二级无"/>
    <w:basedOn w:val="63"/>
    <w:qFormat/>
    <w:uiPriority w:val="0"/>
    <w:pPr>
      <w:numPr>
        <w:ilvl w:val="0"/>
        <w:numId w:val="0"/>
      </w:numPr>
    </w:pPr>
    <w:rPr>
      <w:rFonts w:ascii="宋体" w:eastAsia="宋体"/>
      <w:szCs w:val="21"/>
    </w:rPr>
  </w:style>
  <w:style w:type="paragraph" w:customStyle="1" w:styleId="11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tds2.dot</Template>
  <Company>中国标准研究中心</Company>
  <Pages>9</Pages>
  <Words>3272</Words>
  <Characters>3601</Characters>
  <Lines>26</Lines>
  <Paragraphs>7</Paragraphs>
  <TotalTime>0</TotalTime>
  <ScaleCrop>false</ScaleCrop>
  <LinksUpToDate>false</LinksUpToDate>
  <CharactersWithSpaces>3692</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2024-10-31T01:44:00Z</dcterms:created>
  <dc:creator>xjl</dc:creator>
  <cp:lastModifiedBy>Administrator</cp:lastModifiedBy>
  <cp:lastPrinted>2025-02-08T06:25:16Z</cp:lastPrinted>
  <dcterms:modified xsi:type="dcterms:W3CDTF">2025-02-08T06:25:26Z</dcterms:modified>
  <dc:title>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81583A499A134EF28E0B1407DA1E22A7_13</vt:lpwstr>
  </property>
</Properties>
</file>