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framePr w:w="4126" w:hAnchor="text"/>
        <w:rPr>
          <w:rFonts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CS </w:t>
      </w:r>
      <w:r>
        <w:rPr>
          <w:rFonts w:hint="eastAsia" w:asci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67.680.10</w:t>
      </w:r>
    </w:p>
    <w:tbl>
      <w:tblPr>
        <w:tblStyle w:val="6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4"/>
              <w:framePr w:w="4126" w:hAnchor="text"/>
              <w:rPr>
                <w:rFonts w:asci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CCS</w:t>
            </w:r>
            <w:r>
              <w:rPr>
                <w:rFonts w:asci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4445" b="0"/>
                      <wp:wrapNone/>
                      <wp:docPr id="1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5" o:spid="_x0000_s1026" o:spt="1" style="position:absolute;left:0pt;margin-left:-5.25pt;margin-top:0pt;height:15.6pt;width:68.25pt;z-index:-251655168;mso-width-relative:page;mso-height-relative:page;" fillcolor="#FFFFFF" filled="t" stroked="f" coordsize="21600,21600" o:gfxdata="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lwdBvWAAAABwEAAA8AAAAAAAAAAQAgAAAAIgAAAGRycy9kb3ducmV2Lnht&#10;bFBLAQIUABQAAAAIAIdO4kBpoHnw+wEAANIDAAAOAAAAAAAAAAEAIAAAACUBAABkcnMvZTJvRG9j&#10;LnhtbFBLBQYAAAAABgAGAFkBAACSBQAAAAA=&#10;">
                      <v:fill on="t" focussize="0,0"/>
                      <v:stroke on="f" weight="1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B31</w:t>
            </w:r>
            <w:r>
              <w:rPr>
                <w:rFonts w:asci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点击此处添加中国标准文献分类号</w:t>
            </w:r>
          </w:p>
        </w:tc>
      </w:tr>
    </w:tbl>
    <w:p>
      <w:pPr>
        <w:pStyle w:val="28"/>
        <w:framePr w:w="6588" w:x="4050" w:y="826"/>
        <w:rPr>
          <w:color w:val="000000" w:themeColor="text1"/>
          <w:sz w:val="84"/>
          <w:szCs w:val="8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84"/>
          <w:szCs w:val="84"/>
          <w14:textFill>
            <w14:solidFill>
              <w14:schemeClr w14:val="tx1"/>
            </w14:solidFill>
          </w14:textFill>
        </w:rPr>
        <w:t>DB61</w:t>
      </w:r>
    </w:p>
    <w:p>
      <w:pPr>
        <w:pStyle w:val="25"/>
        <w:rPr>
          <w:rFonts w:ascii="Times New Roman" w:hAnsi="Times New Roman"/>
          <w:color w:val="000000" w:themeColor="text1"/>
          <w:sz w:val="5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52"/>
          <w14:textFill>
            <w14:solidFill>
              <w14:schemeClr w14:val="tx1"/>
            </w14:solidFill>
          </w14:textFill>
        </w:rPr>
        <w:t>陕西省地方标准</w:t>
      </w:r>
    </w:p>
    <w:p>
      <w:pPr>
        <w:pStyle w:val="31"/>
        <w:rPr>
          <w:rFonts w:ascii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DB 61/T  XXXX—2024</w:t>
      </w:r>
    </w:p>
    <w:tbl>
      <w:tblPr>
        <w:tblStyle w:val="6"/>
        <w:tblW w:w="187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9"/>
              <w:ind w:right="960"/>
              <w:jc w:val="both"/>
              <w:rPr>
                <w:rFonts w:asci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9"/>
              <w:ind w:right="960"/>
              <w:jc w:val="both"/>
              <w:rPr>
                <w:rFonts w:asci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1"/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31"/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3"/>
        <w:framePr w:x="1094" w:y="5762"/>
        <w:rPr>
          <w:rFonts w:hint="default" w:ascii="Times New Roman" w:eastAsia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/>
          <w:color w:val="auto"/>
          <w:sz w:val="44"/>
          <w:szCs w:val="44"/>
        </w:rPr>
        <w:t>陕西苹果</w:t>
      </w:r>
      <w:r>
        <w:rPr>
          <w:rFonts w:hint="eastAsia" w:ascii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等级划分要求</w:t>
      </w:r>
    </w:p>
    <w:p>
      <w:pPr>
        <w:pStyle w:val="23"/>
        <w:framePr w:x="1094" w:y="5762"/>
        <w:rPr>
          <w:rFonts w:hint="eastAsia" w:ascii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Classification of Apple Fruit in Shaanxi </w:t>
      </w:r>
    </w:p>
    <w:p>
      <w:pPr>
        <w:pStyle w:val="23"/>
        <w:framePr w:x="1094" w:y="5762"/>
        <w:rPr>
          <w:rFonts w:hint="eastAsia" w:ascii="Times New Roman" w:eastAsia="黑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征求意见稿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23"/>
        <w:framePr w:x="1094" w:y="5762"/>
        <w:rPr>
          <w:rFonts w:ascii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1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2024- XX- XX 发布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2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-0.05pt;margin-top:728.5pt;height:0pt;width:481.9pt;mso-position-vertical-relative:page;z-index:251662336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lh2s81gAAAAsBAAAPAAAAAAAAAAEAIAAAACIAAABkcnMvZG93bnJldi54bWxQSwECFAAU&#10;AAAACACHTuJAXo7CEvMBAACz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22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2024- XX- XX实施</w:t>
      </w:r>
    </w:p>
    <w:p>
      <w:pPr>
        <w:pStyle w:val="27"/>
        <w:rPr>
          <w:rFonts w:ascii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/>
          <w:color w:val="000000" w:themeColor="text1"/>
          <w:w w:val="100"/>
          <w:sz w:val="30"/>
          <w:szCs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3175" t="0" r="3175" b="31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55pt;margin-top:-310.45pt;height:24pt;width:100pt;z-index:-251656192;mso-width-relative:page;mso-height-relative:page;" fillcolor="#FFFFFF" filled="t" stroked="f" coordsize="21600,21600" o:gfxdata="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VbOldoAAAANAQAADwAAAAAAAAABACAAAAAiAAAAZHJzL2Rvd25yZXYueG1sUEsB&#10;AhQAFAAAAAgAh07iQEnt9FvzAQAA0wMAAA4AAAAAAAAAAQAgAAAAKQEAAGRycy9lMm9Eb2MueG1s&#10;UEsFBgAAAAAGAAYAWQEAAI4FAAAAAA==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/>
          <w:color w:val="000000" w:themeColor="text1"/>
          <w:w w:val="100"/>
          <w:sz w:val="30"/>
          <w:szCs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3175" b="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347.55pt;margin-top:-585.45pt;height:18pt;width:90pt;z-index:-251657216;mso-width-relative:page;mso-height-relative:page;" fillcolor="#FFFFFF" filled="t" stroked="f" coordsize="21600,21600" o:gfxdata="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8s5y82wAAAA8BAAAPAAAAAAAAAAEAIAAAACIAAABkcnMvZG93bnJldi54&#10;bWxQSwECFAAUAAAACACHTuJAYqemTfcBAADTAwAADgAAAAAAAAABACAAAAAqAQAAZHJzL2Uyb0Rv&#10;Yy54bWxQSwUGAAAAAAYABgBZAQAAkwUAAAAA&#10;">
                <v:fill on="t" focussize="0,0"/>
                <v:stroke on="f" weight="1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/>
          <w:color w:val="000000" w:themeColor="text1"/>
          <w:w w:val="100"/>
          <w:sz w:val="30"/>
          <w:szCs w:val="30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13970" t="13970" r="9525" b="5080"/>
                <wp:wrapNone/>
                <wp:docPr id="5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-36.6pt;margin-top:-552.85pt;height:0pt;width:481.9pt;z-index:251663360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7JZGg2AAAAA8BAAAPAAAAAAAAAAEAIAAAACIAAABkcnMvZG93bnJldi54bWxQSwECFAAU&#10;AAAACACHTuJAK2jaUPEBAACzAwAADgAAAAAAAAABACAAAAAn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color w:val="000000" w:themeColor="text1"/>
          <w:w w:val="100"/>
          <w:sz w:val="30"/>
          <w:szCs w:val="30"/>
          <w14:textFill>
            <w14:solidFill>
              <w14:schemeClr w14:val="tx1"/>
            </w14:solidFill>
          </w14:textFill>
        </w:rPr>
        <w:t>陕西省市场监督管理局</w:t>
      </w:r>
      <w:r>
        <w:rPr>
          <w:rFonts w:ascii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   </w:t>
      </w:r>
      <w:r>
        <w:rPr>
          <w:rStyle w:val="20"/>
          <w:rFonts w:ascii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发布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567" w:right="850" w:bottom="1134" w:left="1418" w:header="0" w:footer="0" w:gutter="0"/>
          <w:pgNumType w:start="1"/>
          <w:cols w:space="720" w:num="1"/>
          <w:docGrid w:type="lines" w:linePitch="312" w:charSpace="0"/>
        </w:sectPr>
      </w:pPr>
    </w:p>
    <w:p>
      <w:pPr>
        <w:pStyle w:val="8"/>
        <w:rPr>
          <w:rFonts w:asci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0" w:name="_Toc53997749"/>
      <w:bookmarkStart w:id="1" w:name="_Toc277074634"/>
      <w:bookmarkStart w:id="2" w:name="_Toc277074780"/>
      <w:r>
        <w:rPr>
          <w:rFonts w:asci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前</w:t>
      </w:r>
      <w:bookmarkStart w:id="3" w:name="BKQY"/>
      <w:r>
        <w:rPr>
          <w:rFonts w:asci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  言</w:t>
      </w:r>
      <w:bookmarkEnd w:id="0"/>
      <w:bookmarkEnd w:id="1"/>
      <w:bookmarkEnd w:id="2"/>
      <w:bookmarkEnd w:id="3"/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本文件按照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GB/T 1.1—2020</w:t>
      </w: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《标准化工作导则  第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部分</w:t>
      </w:r>
      <w:r>
        <w:rPr>
          <w:rFonts w:asciiTheme="minorAscii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：标</w:t>
      </w: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准化文件的结构和起草规则》的规定起草。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本文件由陕西省农业农村厅提出。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本文件由陕西省农业农村厅归口。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本文件起草单位：</w:t>
      </w:r>
      <w:r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陕西省果业中心</w:t>
      </w:r>
      <w:r>
        <w:rPr>
          <w:rFonts w:hint="eastAsia" w:eastAsia="宋体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西北农林科技大学、洛川县苹果产业研发中心，陕西华圣现代农业集团有限公司、洛川青怡庄园生物科技有限公司、陕西王掌柜农业发展有限公司、白水县润泉现代农业科技开发有限公司、陕西顶端果业科技有限公司</w:t>
      </w: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本文件主要起草人：</w:t>
      </w:r>
      <w:r>
        <w:rPr>
          <w:rFonts w:hint="eastAsia"/>
          <w:color w:val="000000" w:themeColor="text1"/>
          <w:kern w:val="0"/>
          <w:szCs w:val="20"/>
          <w:lang w:val="en-US" w:eastAsia="zh-CN"/>
          <w14:textFill>
            <w14:solidFill>
              <w14:schemeClr w14:val="tx1"/>
            </w14:solidFill>
          </w14:textFill>
        </w:rPr>
        <w:t>王若臣、</w:t>
      </w:r>
      <w:r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刘翠华，杨建伟，张泾渭，丁毓端，吕燕荣，任小林，马锋旺，何双群，韦云、周会玲、李前进，王颖，廖林，王超，杨跃国，赵存，王国梁</w:t>
      </w: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本文件由陕西省农业农村厅负责解释。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  <w:t>本文件为首次发布。</w:t>
      </w: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20" w:firstLineChars="200"/>
        <w:rPr>
          <w:rFonts w:hint="eastAsia"/>
          <w:color w:val="000000" w:themeColor="text1"/>
          <w:kern w:val="0"/>
          <w:szCs w:val="20"/>
          <w14:textFill>
            <w14:solidFill>
              <w14:schemeClr w14:val="tx1"/>
            </w14:solidFill>
          </w14:textFill>
        </w:rPr>
      </w:pPr>
    </w:p>
    <w:p>
      <w:pPr>
        <w:pStyle w:val="17"/>
        <w:rPr>
          <w:rFonts w:hint="default" w:eastAsia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auto"/>
          <w:lang w:val="en-US" w:eastAsia="zh-CN"/>
        </w:rPr>
        <w:t>陕西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苹果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等级划分要求</w:t>
      </w:r>
    </w:p>
    <w:p>
      <w:pPr>
        <w:pStyle w:val="9"/>
        <w:numPr>
          <w:ilvl w:val="0"/>
          <w:numId w:val="2"/>
        </w:numPr>
        <w:spacing w:before="312" w:beforeLines="100" w:after="312" w:afterLine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范围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本标准规定了苹果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等级划分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的术语和定义、基本要求、规格、等级、检验方法、检验规则、包装及容许度等。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本标准适用于陕西省富士、嘎啦、秦脆、瑞雪、瑞香红、瑞阳、维纳斯黄金、金冠、鲁丽、华硕、秦冠等品种果实的分级与检验。其它品种可参照使用。</w:t>
      </w:r>
    </w:p>
    <w:p>
      <w:pPr>
        <w:pStyle w:val="9"/>
        <w:numPr>
          <w:ilvl w:val="0"/>
          <w:numId w:val="2"/>
        </w:numPr>
        <w:spacing w:before="312" w:beforeLines="100" w:after="312" w:afterLine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规范性引用文件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GB/T 10651　鲜苹果</w:t>
      </w:r>
    </w:p>
    <w:p>
      <w:pPr>
        <w:pStyle w:val="9"/>
        <w:numPr>
          <w:ilvl w:val="0"/>
          <w:numId w:val="2"/>
        </w:numPr>
        <w:spacing w:before="312" w:beforeLines="100" w:after="312" w:afterLine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术语和定义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下列术语和定义适用于本标准。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GB/T 10651界定的术语和定义，以及下列术语和定义适用于本文件。</w:t>
      </w:r>
    </w:p>
    <w:p>
      <w:pPr>
        <w:pStyle w:val="15"/>
        <w:numPr>
          <w:ilvl w:val="1"/>
          <w:numId w:val="2"/>
        </w:numP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陕西苹果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指在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宝塔区、富县、宜川县、洛川县、黄陵县、印台区、耀州区、宜君县、凤翔县、白水县、合阳县、旬邑县、永寿县、长武县、淳化县等15个县（区）的全部乡镇现辖行政区域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陈仓区、金台区、渭滨区、岐山县、扶风县、陇县、千阳县、蒲城县、澄城县、韩城市、富平县、礼泉县、乾县、彬县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、子洲县、米脂县、绥德县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等1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个县（市）的部分乡镇现辖行政区域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内生产的苹果。</w:t>
      </w:r>
    </w:p>
    <w:p>
      <w:pPr>
        <w:pStyle w:val="15"/>
        <w:numPr>
          <w:ilvl w:val="1"/>
          <w:numId w:val="2"/>
        </w:numP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果径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果实最大横切面的直径。</w:t>
      </w:r>
    </w:p>
    <w:p>
      <w:pPr>
        <w:pStyle w:val="15"/>
        <w:numPr>
          <w:ilvl w:val="1"/>
          <w:numId w:val="2"/>
        </w:numP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单果重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某个苹果品种果实的平均果重(克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5"/>
        <w:numPr>
          <w:ilvl w:val="1"/>
          <w:numId w:val="2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新鲜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果实表面呈现该品种固有的色泽，并且色泽艳丽，无失水萎焉、色泽变暗等。</w:t>
      </w:r>
    </w:p>
    <w:p>
      <w:pPr>
        <w:pStyle w:val="15"/>
        <w:numPr>
          <w:ilvl w:val="1"/>
          <w:numId w:val="2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果梗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果实上连接枝条的部分。</w:t>
      </w:r>
    </w:p>
    <w:p>
      <w:pPr>
        <w:pStyle w:val="15"/>
        <w:numPr>
          <w:ilvl w:val="1"/>
          <w:numId w:val="2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 xml:space="preserve">果实缺陷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由于自然因素或人为机械的作用，对果实表面造成的各种损伤。</w:t>
      </w:r>
    </w:p>
    <w:p>
      <w:pPr>
        <w:pStyle w:val="15"/>
        <w:numPr>
          <w:ilvl w:val="1"/>
          <w:numId w:val="2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裂口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单处开裂且不发黑，长度≤1cm。</w:t>
      </w:r>
    </w:p>
    <w:p>
      <w:pPr>
        <w:pStyle w:val="15"/>
        <w:numPr>
          <w:ilvl w:val="1"/>
          <w:numId w:val="2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硬度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果实胴部去皮后单位面积所承受的试验压力。</w:t>
      </w:r>
    </w:p>
    <w:p>
      <w:pPr>
        <w:pStyle w:val="9"/>
        <w:numPr>
          <w:ilvl w:val="0"/>
          <w:numId w:val="2"/>
        </w:numPr>
        <w:spacing w:before="312" w:beforeLines="100" w:after="312" w:afterLine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要求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4.1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果实的基本要求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果实完整良好、新鲜洁净，果梗完整（不包括商品化处理造成的果梗缺失），果实无刺伤、无碰压伤、无病虫害、无异味、无异常外部水分，果实充分发育，果实具有适于市场销售、贮藏运输的成熟度。 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4.2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外观等级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陕西苹果果实外观等级应符合表1的规定。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2"/>
        <w:numPr>
          <w:ilvl w:val="0"/>
          <w:numId w:val="3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陕西苹果果实外观等级指标</w:t>
      </w:r>
    </w:p>
    <w:tbl>
      <w:tblPr>
        <w:tblStyle w:val="6"/>
        <w:tblW w:w="90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850"/>
        <w:gridCol w:w="426"/>
        <w:gridCol w:w="1275"/>
        <w:gridCol w:w="1644"/>
        <w:gridCol w:w="1715"/>
        <w:gridCol w:w="2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特级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果形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端正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稍有缺陷，但不畸形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色泽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富士</w:t>
            </w:r>
          </w:p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片红/条红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最低着红色</w:t>
            </w: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面积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90/80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80/70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65/55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红将军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嘎啦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秦冠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金冠、维纳斯黄金、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金黄色</w:t>
            </w:r>
          </w:p>
        </w:tc>
        <w:tc>
          <w:tcPr>
            <w:tcW w:w="41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黄色、绿黄色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果面</w:t>
            </w:r>
          </w:p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缺陷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果锈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片状锈斑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不超出梗洼和萼洼，不粗糙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可轻微超出梗洼和萼洼，表面不粗糙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不超过果肩，表面轻度粗糙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网状薄层面积占果面比例（%）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≤2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≤10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≤20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碰压伤（cm</w:t>
            </w:r>
            <w:r>
              <w:rPr>
                <w:rFonts w:hint="eastAsia" w:ascii="宋体" w:hAnsi="宋体"/>
                <w:color w:val="000000" w:themeColor="text1"/>
                <w:sz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轻微碰压伤，≤0.5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磨伤（cm</w:t>
            </w:r>
            <w:r>
              <w:rPr>
                <w:rFonts w:hint="eastAsia" w:ascii="宋体" w:hAnsi="宋体"/>
                <w:color w:val="000000" w:themeColor="text1"/>
                <w:sz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）（叶磨或枝磨）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轻微磨伤，≤0.5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轻微磨伤，≤1.0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刺伤（包括破皮划伤）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日灼（cm</w:t>
            </w:r>
            <w:r>
              <w:rPr>
                <w:rFonts w:hint="eastAsia" w:ascii="宋体" w:hAnsi="宋体"/>
                <w:color w:val="000000" w:themeColor="text1"/>
                <w:sz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轻微日灼，≤1.0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药害（cm</w:t>
            </w:r>
            <w:r>
              <w:rPr>
                <w:rFonts w:hint="eastAsia" w:ascii="宋体" w:hAnsi="宋体"/>
                <w:color w:val="000000" w:themeColor="text1"/>
                <w:sz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轻微药害，≤1.0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雹伤（cm</w:t>
            </w:r>
            <w:r>
              <w:rPr>
                <w:rFonts w:hint="eastAsia" w:ascii="宋体" w:hAnsi="宋体"/>
                <w:color w:val="000000" w:themeColor="text1"/>
                <w:sz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轻微雹伤，≤0.8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病害（cm</w:t>
            </w:r>
            <w:r>
              <w:rPr>
                <w:rFonts w:hint="eastAsia" w:ascii="宋体" w:hAnsi="宋体"/>
                <w:color w:val="000000" w:themeColor="text1"/>
                <w:sz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轻微非腐烂性病点，≤01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虫伤（cm</w:t>
            </w:r>
            <w:r>
              <w:rPr>
                <w:rFonts w:hint="eastAsia" w:ascii="宋体" w:hAnsi="宋体"/>
                <w:color w:val="000000" w:themeColor="text1"/>
                <w:sz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果柄缺失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仅果柄缺失，不伤及果面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裂口（个）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裂口长度≤1cm且不发黑，1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水裂纹</w:t>
            </w:r>
          </w:p>
        </w:tc>
        <w:tc>
          <w:tcPr>
            <w:tcW w:w="3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轻微水裂纹，不伤及果肉组织，不变色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7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小疵点（个）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≤5</w:t>
            </w:r>
          </w:p>
        </w:tc>
        <w:tc>
          <w:tcPr>
            <w:tcW w:w="2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≤10</w:t>
            </w:r>
          </w:p>
        </w:tc>
      </w:tr>
    </w:tbl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4.3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果实大小规格的规定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 xml:space="preserve">.3.1 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苹果果实按照果径大小，分特大、大、中、小四个规格（见表2）。</w:t>
      </w:r>
    </w:p>
    <w:p>
      <w:pPr>
        <w:pStyle w:val="32"/>
        <w:numPr>
          <w:ilvl w:val="0"/>
          <w:numId w:val="3"/>
        </w:numP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陕西苹果果实规格（果实横径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单位为mm</w:t>
      </w:r>
    </w:p>
    <w:tbl>
      <w:tblPr>
        <w:tblStyle w:val="6"/>
        <w:tblW w:w="937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850"/>
        <w:gridCol w:w="1851"/>
        <w:gridCol w:w="1851"/>
        <w:gridCol w:w="1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1850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富士、秦脆、瑞雪、秦冠</w:t>
            </w:r>
          </w:p>
        </w:tc>
        <w:tc>
          <w:tcPr>
            <w:tcW w:w="1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金冠、维纳斯黄金</w:t>
            </w:r>
          </w:p>
        </w:tc>
        <w:tc>
          <w:tcPr>
            <w:tcW w:w="1850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85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85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85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嘎啦、鲁丽、瑞香红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≥7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851" w:type="dxa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</w:tbl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.3.2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果实大小规格按单果重（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M,g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）划分，主要品种单果重规格要求见表3。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2"/>
        <w:numPr>
          <w:ilvl w:val="0"/>
          <w:numId w:val="3"/>
        </w:numP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陕西苹果果实规格（果实重量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M）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单位为g</w:t>
      </w:r>
    </w:p>
    <w:tbl>
      <w:tblPr>
        <w:tblStyle w:val="6"/>
        <w:tblW w:w="937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850"/>
        <w:gridCol w:w="1851"/>
        <w:gridCol w:w="1851"/>
        <w:gridCol w:w="1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1850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富士、秦脆、瑞雪、秦冠</w:t>
            </w:r>
          </w:p>
        </w:tc>
        <w:tc>
          <w:tcPr>
            <w:tcW w:w="1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M≥325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225≤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325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225</w:t>
            </w:r>
          </w:p>
        </w:tc>
        <w:tc>
          <w:tcPr>
            <w:tcW w:w="1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125≤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金冠、维纳斯黄金</w:t>
            </w:r>
          </w:p>
        </w:tc>
        <w:tc>
          <w:tcPr>
            <w:tcW w:w="1850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M≥250</w:t>
            </w:r>
          </w:p>
        </w:tc>
        <w:tc>
          <w:tcPr>
            <w:tcW w:w="185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185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225</w:t>
            </w:r>
          </w:p>
        </w:tc>
        <w:tc>
          <w:tcPr>
            <w:tcW w:w="185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150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嘎啦、鲁丽、瑞香红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M≥200</w:t>
            </w:r>
          </w:p>
        </w:tc>
        <w:tc>
          <w:tcPr>
            <w:tcW w:w="1851" w:type="dxa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150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1851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125</w:t>
            </w:r>
            <w:r>
              <w:rPr>
                <w:rFonts w:hint="eastAsia" w:ascii="等线" w:hAnsi="等线" w:eastAsia="等线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</w:tr>
    </w:tbl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 xml:space="preserve">4.4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理化指标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果实硬度、可溶性固形物含量具体见表4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tbl>
      <w:tblPr>
        <w:tblStyle w:val="6"/>
        <w:tblW w:w="8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1331"/>
        <w:gridCol w:w="1857"/>
        <w:gridCol w:w="1857"/>
        <w:gridCol w:w="1470"/>
        <w:gridCol w:w="3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8" w:type="dxa"/>
          <w:trHeight w:val="280" w:hRule="atLeast"/>
          <w:jc w:val="center"/>
        </w:trPr>
        <w:tc>
          <w:tcPr>
            <w:tcW w:w="76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hint="eastAsia" w:ascii="等线" w:hAnsi="等线" w:eastAsia="等线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40"/>
              <w:jc w:val="center"/>
              <w:rPr>
                <w:rFonts w:hint="eastAsia" w:ascii="等线" w:hAnsi="等线" w:eastAsia="等线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表4  苹果主要品种果实</w:t>
            </w:r>
            <w:r>
              <w:rPr>
                <w:rFonts w:hint="eastAsia" w:ascii="等线" w:hAnsi="等线" w:eastAsia="等线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内在</w:t>
            </w:r>
            <w:r>
              <w:rPr>
                <w:rFonts w:hint="eastAsia" w:ascii="等线" w:hAnsi="等线" w:eastAsia="等线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品质的等级指标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13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果实硬度（kgf）≥</w:t>
            </w:r>
          </w:p>
        </w:tc>
        <w:tc>
          <w:tcPr>
            <w:tcW w:w="1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特级</w:t>
            </w:r>
          </w:p>
        </w:tc>
        <w:tc>
          <w:tcPr>
            <w:tcW w:w="1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</w:tc>
        <w:tc>
          <w:tcPr>
            <w:tcW w:w="1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1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可溶性固形物（％）≥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可溶性固形物（％）≥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可溶性固形物（％）≥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嘎啦系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6.5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13.0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13.0 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12.0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元帅系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6.5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12.5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12.5 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11.5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  <w:t>乔纳金系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6.5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14.0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14.0 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13.0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金冠系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6.5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13.5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13.5 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12.5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富士系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7.0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13.5 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13.0 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12.5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注1：本表中未涉及的品种，可比照表中同类品种参照执行。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注2：提早采摘出口和用于长期贮藏的金冠系品种允许淡绿色，但不允许深绿色。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0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本表所涉及品种各等级对应外观品质参考表1，乔纳金系的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色泽（着色面积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标准如下：特级：红色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80%，一级：红色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70%，二级：</w:t>
            </w:r>
            <w:r>
              <w:rPr>
                <w:rFonts w:hint="eastAsia"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红色55%。</w:t>
            </w:r>
          </w:p>
        </w:tc>
      </w:tr>
    </w:tbl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4"/>
        <w:numPr>
          <w:ilvl w:val="0"/>
          <w:numId w:val="2"/>
        </w:numPr>
        <w:spacing w:before="312" w:beforeLines="100" w:after="312" w:afterLines="100" w:line="340" w:lineRule="exact"/>
        <w:ind w:firstLineChars="0"/>
        <w:rPr>
          <w:rFonts w:hint="eastAsia" w:ascii="黑体" w:hAnsi="宋体" w:eastAsia="黑体" w:cs="Microsoft Sans Serif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Microsoft Sans Serif"/>
          <w:color w:val="000000" w:themeColor="text1"/>
          <w:szCs w:val="21"/>
          <w14:textFill>
            <w14:solidFill>
              <w14:schemeClr w14:val="tx1"/>
            </w14:solidFill>
          </w14:textFill>
        </w:rPr>
        <w:t>试验方法和检验规则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按照GB/T 10651中附录C的相关规定执行。</w:t>
      </w:r>
    </w:p>
    <w:p>
      <w:pPr>
        <w:pStyle w:val="9"/>
        <w:numPr>
          <w:ilvl w:val="0"/>
          <w:numId w:val="2"/>
        </w:numPr>
        <w:spacing w:before="312" w:beforeLines="100" w:after="312" w:afterLine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包装和外观要求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检验按GB/T 10651的7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规定执行。</w:t>
      </w:r>
    </w:p>
    <w:p>
      <w:pPr>
        <w:pStyle w:val="9"/>
        <w:numPr>
          <w:ilvl w:val="0"/>
          <w:numId w:val="2"/>
        </w:numPr>
        <w:spacing w:before="312" w:beforeLines="100" w:after="312" w:afterLine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标识规定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检验按GB/T 10651的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8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规定执行。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numPr>
          <w:ilvl w:val="0"/>
          <w:numId w:val="2"/>
        </w:numPr>
        <w:spacing w:before="312" w:beforeLines="100" w:after="312" w:afterLine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容许度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各级别容许度（按果实重量所占比例计）见表5。</w:t>
      </w:r>
    </w:p>
    <w:p>
      <w:pPr>
        <w:pStyle w:val="32"/>
        <w:ind w:firstLine="2520" w:firstLineChars="120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表5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苹果果实各级别容许度</w:t>
      </w:r>
    </w:p>
    <w:p>
      <w:pPr>
        <w:pStyle w:val="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单位为%</w:t>
      </w:r>
    </w:p>
    <w:tbl>
      <w:tblPr>
        <w:tblStyle w:val="6"/>
        <w:tblW w:w="932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410"/>
        <w:gridCol w:w="850"/>
        <w:gridCol w:w="851"/>
        <w:gridCol w:w="850"/>
        <w:gridCol w:w="851"/>
        <w:gridCol w:w="850"/>
        <w:gridCol w:w="851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特大</w:t>
            </w: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小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特级</w:t>
            </w: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9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241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其中，碰压伤、</w:t>
            </w:r>
            <w:commentRangeStart w:id="0"/>
            <w:r>
              <w:rPr>
                <w:rFonts w:hint="eastAsia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刺伤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果</w:t>
            </w:r>
            <w:commentRangeEnd w:id="0"/>
            <w:r>
              <w:commentReference w:id="0"/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</w:tbl>
    <w:p>
      <w:pPr>
        <w:pStyle w:val="33"/>
        <w:numPr>
          <w:ilvl w:val="0"/>
          <w:numId w:val="4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各等级中允许的不合格果只能是邻级果，不允许隔</w:t>
      </w:r>
      <w:bookmarkStart w:id="4" w:name="_GoBack"/>
      <w:bookmarkEnd w:id="4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级果。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Summer" w:date="2025-01-28T23:04:18Z" w:initials=""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破皮伤还是刺伤果哪个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</w:rPr>
      <w:id w:val="-293207305"/>
    </w:sdtPr>
    <w:sdtContent>
      <w:p>
        <w:pPr>
          <w:pStyle w:val="3"/>
          <w:jc w:val="center"/>
          <w:rPr>
            <w:rFonts w:hint="eastAsia"/>
          </w:rPr>
        </w:pPr>
        <w:r>
          <w:rPr>
            <w:rFonts w:hint="eastAsia" w:ascii="仿宋_GB2312" w:hAnsi="仿宋_GB2312" w:eastAsia="仿宋_GB2312" w:cs="仿宋_GB2312"/>
          </w:rPr>
          <w:fldChar w:fldCharType="begin"/>
        </w:r>
        <w:r>
          <w:rPr>
            <w:rFonts w:hint="eastAsia" w:ascii="仿宋_GB2312" w:hAnsi="仿宋_GB2312" w:eastAsia="仿宋_GB2312" w:cs="仿宋_GB2312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</w:rPr>
          <w:fldChar w:fldCharType="separate"/>
        </w:r>
        <w:r>
          <w:rPr>
            <w:rFonts w:hint="eastAsia" w:ascii="仿宋_GB2312" w:hAnsi="仿宋_GB2312" w:eastAsia="仿宋_GB2312" w:cs="仿宋_GB2312"/>
            <w:lang w:val="zh-CN"/>
          </w:rPr>
          <w:t>4</w:t>
        </w:r>
        <w:r>
          <w:rPr>
            <w:rFonts w:hint="eastAsia" w:ascii="仿宋_GB2312" w:hAnsi="仿宋_GB2312" w:eastAsia="仿宋_GB2312" w:cs="仿宋_GB2312"/>
          </w:rPr>
          <w:fldChar w:fldCharType="end"/>
        </w:r>
      </w:p>
    </w:sdtContent>
  </w:sdt>
  <w:p>
    <w:pPr>
      <w:pStyle w:val="3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shadow w:val="0"/>
        <w:vanish/>
        <w:spacing w:val="0"/>
        <w:ker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46260FA"/>
    <w:multiLevelType w:val="multilevel"/>
    <w:tmpl w:val="646260FA"/>
    <w:lvl w:ilvl="0" w:tentative="0">
      <w:start w:val="1"/>
      <w:numFmt w:val="decimal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210" w:hanging="21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10"/>
      <w:suff w:val="nothing"/>
      <w:lvlText w:val="%1%2.%3　"/>
      <w:lvlJc w:val="left"/>
      <w:pPr>
        <w:ind w:left="709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993" w:hanging="426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993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3">
    <w:nsid w:val="6DBF04F4"/>
    <w:multiLevelType w:val="multilevel"/>
    <w:tmpl w:val="6DBF04F4"/>
    <w:lvl w:ilvl="0" w:tentative="0">
      <w:start w:val="1"/>
      <w:numFmt w:val="none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6B4"/>
    <w:rsid w:val="000074C8"/>
    <w:rsid w:val="00043CCF"/>
    <w:rsid w:val="00054D01"/>
    <w:rsid w:val="000718B5"/>
    <w:rsid w:val="0007293E"/>
    <w:rsid w:val="00082BC9"/>
    <w:rsid w:val="000B4BBF"/>
    <w:rsid w:val="00114FDC"/>
    <w:rsid w:val="0012656C"/>
    <w:rsid w:val="001361DB"/>
    <w:rsid w:val="001473DD"/>
    <w:rsid w:val="00150C23"/>
    <w:rsid w:val="00156B2B"/>
    <w:rsid w:val="00157895"/>
    <w:rsid w:val="00175A5A"/>
    <w:rsid w:val="00183E7E"/>
    <w:rsid w:val="001C02E8"/>
    <w:rsid w:val="0020087A"/>
    <w:rsid w:val="00202574"/>
    <w:rsid w:val="00250C11"/>
    <w:rsid w:val="00250DBF"/>
    <w:rsid w:val="002664D9"/>
    <w:rsid w:val="0028467A"/>
    <w:rsid w:val="002A1857"/>
    <w:rsid w:val="002A4254"/>
    <w:rsid w:val="002C3EC5"/>
    <w:rsid w:val="002D5B6C"/>
    <w:rsid w:val="002D6071"/>
    <w:rsid w:val="00337C24"/>
    <w:rsid w:val="00345998"/>
    <w:rsid w:val="00374F31"/>
    <w:rsid w:val="003A2702"/>
    <w:rsid w:val="003A51ED"/>
    <w:rsid w:val="003B25CD"/>
    <w:rsid w:val="00470B4A"/>
    <w:rsid w:val="004847B6"/>
    <w:rsid w:val="004F57D7"/>
    <w:rsid w:val="0052009B"/>
    <w:rsid w:val="00525B56"/>
    <w:rsid w:val="005515DD"/>
    <w:rsid w:val="00553625"/>
    <w:rsid w:val="0058150B"/>
    <w:rsid w:val="00592BA8"/>
    <w:rsid w:val="00594BAF"/>
    <w:rsid w:val="005C5910"/>
    <w:rsid w:val="005C63FC"/>
    <w:rsid w:val="005D7A99"/>
    <w:rsid w:val="006040F0"/>
    <w:rsid w:val="00624303"/>
    <w:rsid w:val="00632340"/>
    <w:rsid w:val="006338C7"/>
    <w:rsid w:val="00654F14"/>
    <w:rsid w:val="006568B6"/>
    <w:rsid w:val="0067721E"/>
    <w:rsid w:val="006971A4"/>
    <w:rsid w:val="0069764E"/>
    <w:rsid w:val="006B638E"/>
    <w:rsid w:val="006F1C92"/>
    <w:rsid w:val="006F60A7"/>
    <w:rsid w:val="00724F26"/>
    <w:rsid w:val="007978BF"/>
    <w:rsid w:val="007B3520"/>
    <w:rsid w:val="00800CC5"/>
    <w:rsid w:val="00810CBB"/>
    <w:rsid w:val="0081165C"/>
    <w:rsid w:val="008575DF"/>
    <w:rsid w:val="008715BF"/>
    <w:rsid w:val="00886D3B"/>
    <w:rsid w:val="008A1AE0"/>
    <w:rsid w:val="008B1CB7"/>
    <w:rsid w:val="008E0946"/>
    <w:rsid w:val="008F3A16"/>
    <w:rsid w:val="00905B6F"/>
    <w:rsid w:val="00921E19"/>
    <w:rsid w:val="00927C03"/>
    <w:rsid w:val="00962179"/>
    <w:rsid w:val="00991F86"/>
    <w:rsid w:val="00994AA7"/>
    <w:rsid w:val="009B3390"/>
    <w:rsid w:val="009E5202"/>
    <w:rsid w:val="00A3176F"/>
    <w:rsid w:val="00A345E4"/>
    <w:rsid w:val="00AA5894"/>
    <w:rsid w:val="00AB06C8"/>
    <w:rsid w:val="00AB35FB"/>
    <w:rsid w:val="00AE5863"/>
    <w:rsid w:val="00AF27D3"/>
    <w:rsid w:val="00B012ED"/>
    <w:rsid w:val="00B14312"/>
    <w:rsid w:val="00B234AA"/>
    <w:rsid w:val="00B24B66"/>
    <w:rsid w:val="00B8598C"/>
    <w:rsid w:val="00BB4AA6"/>
    <w:rsid w:val="00BC652E"/>
    <w:rsid w:val="00BF5EC6"/>
    <w:rsid w:val="00BF681F"/>
    <w:rsid w:val="00C2135A"/>
    <w:rsid w:val="00C21D22"/>
    <w:rsid w:val="00C466CF"/>
    <w:rsid w:val="00C63453"/>
    <w:rsid w:val="00C658E9"/>
    <w:rsid w:val="00C66F5E"/>
    <w:rsid w:val="00C92C37"/>
    <w:rsid w:val="00CA05EE"/>
    <w:rsid w:val="00CC6087"/>
    <w:rsid w:val="00CD0C5D"/>
    <w:rsid w:val="00CD6F76"/>
    <w:rsid w:val="00CE5308"/>
    <w:rsid w:val="00CF5D81"/>
    <w:rsid w:val="00D03817"/>
    <w:rsid w:val="00D3182C"/>
    <w:rsid w:val="00D5284F"/>
    <w:rsid w:val="00DA516B"/>
    <w:rsid w:val="00DB27A7"/>
    <w:rsid w:val="00E03FE3"/>
    <w:rsid w:val="00E421F4"/>
    <w:rsid w:val="00E539F3"/>
    <w:rsid w:val="00E85F17"/>
    <w:rsid w:val="00EC4709"/>
    <w:rsid w:val="00ED3632"/>
    <w:rsid w:val="00ED5894"/>
    <w:rsid w:val="00F2621E"/>
    <w:rsid w:val="00F54EA2"/>
    <w:rsid w:val="00F8168F"/>
    <w:rsid w:val="00F96B16"/>
    <w:rsid w:val="00F976B4"/>
    <w:rsid w:val="00FC0AE1"/>
    <w:rsid w:val="00FD4518"/>
    <w:rsid w:val="00FE0225"/>
    <w:rsid w:val="00FF7332"/>
    <w:rsid w:val="08BE6EF0"/>
    <w:rsid w:val="0A0350E0"/>
    <w:rsid w:val="134909EF"/>
    <w:rsid w:val="1A6C021E"/>
    <w:rsid w:val="1B3A7137"/>
    <w:rsid w:val="26DB5ECA"/>
    <w:rsid w:val="2760185A"/>
    <w:rsid w:val="2CC817CD"/>
    <w:rsid w:val="30563C73"/>
    <w:rsid w:val="36153503"/>
    <w:rsid w:val="3A704957"/>
    <w:rsid w:val="3D670679"/>
    <w:rsid w:val="486209AF"/>
    <w:rsid w:val="49F66DCB"/>
    <w:rsid w:val="5F7A2739"/>
    <w:rsid w:val="6101144E"/>
    <w:rsid w:val="63294A47"/>
    <w:rsid w:val="6543349B"/>
    <w:rsid w:val="685746AD"/>
    <w:rsid w:val="6FD2319F"/>
    <w:rsid w:val="7020715A"/>
    <w:rsid w:val="714F4CEB"/>
    <w:rsid w:val="71BB2BA6"/>
    <w:rsid w:val="72347496"/>
    <w:rsid w:val="758B4C18"/>
    <w:rsid w:val="78D85C6B"/>
    <w:rsid w:val="79444497"/>
    <w:rsid w:val="79A03FCF"/>
    <w:rsid w:val="EEB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5"/>
    <w:link w:val="3"/>
    <w:qFormat/>
    <w:uiPriority w:val="99"/>
    <w:rPr>
      <w:sz w:val="18"/>
      <w:szCs w:val="18"/>
    </w:rPr>
  </w:style>
  <w:style w:type="paragraph" w:customStyle="1" w:styleId="8">
    <w:name w:val="前言、引言标题"/>
    <w:qFormat/>
    <w:uiPriority w:val="0"/>
    <w:pPr>
      <w:numPr>
        <w:ilvl w:val="0"/>
        <w:numId w:val="1"/>
      </w:numPr>
      <w:shd w:val="clear" w:color="auto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">
    <w:name w:val="章标题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一级条标题"/>
    <w:basedOn w:val="9"/>
    <w:qFormat/>
    <w:uiPriority w:val="0"/>
    <w:pPr>
      <w:numPr>
        <w:ilvl w:val="2"/>
        <w:numId w:val="1"/>
      </w:numPr>
      <w:spacing w:beforeLines="0" w:afterLines="0"/>
      <w:outlineLvl w:val="2"/>
    </w:pPr>
  </w:style>
  <w:style w:type="paragraph" w:customStyle="1" w:styleId="11">
    <w:name w:val="二级条标题"/>
    <w:basedOn w:val="10"/>
    <w:qFormat/>
    <w:uiPriority w:val="0"/>
    <w:pPr>
      <w:numPr>
        <w:ilvl w:val="3"/>
        <w:numId w:val="0"/>
      </w:numPr>
      <w:outlineLvl w:val="3"/>
    </w:pPr>
  </w:style>
  <w:style w:type="paragraph" w:customStyle="1" w:styleId="12">
    <w:name w:val="三级条标题"/>
    <w:basedOn w:val="11"/>
    <w:qFormat/>
    <w:uiPriority w:val="0"/>
    <w:pPr>
      <w:numPr>
        <w:ilvl w:val="4"/>
        <w:numId w:val="0"/>
      </w:numPr>
      <w:outlineLvl w:val="4"/>
    </w:pPr>
  </w:style>
  <w:style w:type="paragraph" w:customStyle="1" w:styleId="13">
    <w:name w:val="四级条标题"/>
    <w:basedOn w:val="12"/>
    <w:qFormat/>
    <w:uiPriority w:val="0"/>
    <w:pPr>
      <w:numPr>
        <w:ilvl w:val="5"/>
        <w:numId w:val="0"/>
      </w:numPr>
      <w:outlineLvl w:val="5"/>
    </w:pPr>
  </w:style>
  <w:style w:type="paragraph" w:customStyle="1" w:styleId="14">
    <w:name w:val="五级条标题"/>
    <w:basedOn w:val="13"/>
    <w:qFormat/>
    <w:uiPriority w:val="0"/>
    <w:pPr>
      <w:numPr>
        <w:ilvl w:val="6"/>
        <w:numId w:val="0"/>
      </w:numPr>
      <w:outlineLvl w:val="6"/>
    </w:pPr>
  </w:style>
  <w:style w:type="paragraph" w:customStyle="1" w:styleId="15">
    <w:name w:val="段"/>
    <w:link w:val="16"/>
    <w:qFormat/>
    <w:uiPriority w:val="0"/>
    <w:pPr>
      <w:tabs>
        <w:tab w:val="center" w:pos="4201"/>
        <w:tab w:val="right" w:leader="dot" w:pos="9298"/>
      </w:tabs>
      <w:autoSpaceDE w:val="0"/>
      <w:autoSpaceDN w:val="0"/>
      <w:jc w:val="both"/>
    </w:pPr>
    <w:rPr>
      <w:rFonts w:ascii="宋体" w:hAnsi="Times New Roman" w:eastAsia="宋体" w:cs="Times New Roman"/>
      <w:color w:val="C00000"/>
      <w:sz w:val="21"/>
      <w:lang w:val="en-US" w:eastAsia="zh-CN" w:bidi="ar-SA"/>
    </w:rPr>
  </w:style>
  <w:style w:type="character" w:customStyle="1" w:styleId="16">
    <w:name w:val="段 Char"/>
    <w:link w:val="15"/>
    <w:qFormat/>
    <w:uiPriority w:val="0"/>
    <w:rPr>
      <w:rFonts w:ascii="宋体" w:hAnsi="Times New Roman" w:eastAsia="宋体" w:cs="Times New Roman"/>
      <w:color w:val="C00000"/>
      <w:sz w:val="21"/>
    </w:rPr>
  </w:style>
  <w:style w:type="paragraph" w:customStyle="1" w:styleId="17">
    <w:name w:val="目次、标准名称标题"/>
    <w:basedOn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character" w:customStyle="1" w:styleId="18">
    <w:name w:val="页眉 字符"/>
    <w:basedOn w:val="5"/>
    <w:link w:val="4"/>
    <w:qFormat/>
    <w:uiPriority w:val="99"/>
    <w:rPr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1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22">
    <w:name w:val="其他实施日期"/>
    <w:basedOn w:val="1"/>
    <w:qFormat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23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4">
    <w:name w:val="文献分类号"/>
    <w:qFormat/>
    <w:uiPriority w:val="0"/>
    <w:pPr>
      <w:framePr w:hSpace="180" w:vSpace="180" w:wrap="around" w:vAnchor="margin" w:hAnchor="margin" w:y="1" w:anchorLock="1"/>
      <w:widowControl w:val="0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5">
    <w:name w:val="其他标准称谓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6">
    <w:name w:val="标准书眉_奇数页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7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 w:cs="Times New Roman"/>
      <w:spacing w:val="20"/>
      <w:w w:val="135"/>
      <w:kern w:val="0"/>
      <w:sz w:val="28"/>
      <w:szCs w:val="20"/>
    </w:rPr>
  </w:style>
  <w:style w:type="paragraph" w:customStyle="1" w:styleId="28">
    <w:name w:val="其他标准标志"/>
    <w:basedOn w:val="1"/>
    <w:qFormat/>
    <w:uiPriority w:val="0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kern w:val="0"/>
      <w:sz w:val="96"/>
      <w:szCs w:val="96"/>
    </w:rPr>
  </w:style>
  <w:style w:type="paragraph" w:customStyle="1" w:styleId="29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3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31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32">
    <w:name w:val="正文表标题"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3">
    <w:name w:val="注：（正文）"/>
    <w:basedOn w:val="1"/>
    <w:qFormat/>
    <w:uiPriority w:val="0"/>
    <w:pPr>
      <w:autoSpaceDE w:val="0"/>
      <w:autoSpaceDN w:val="0"/>
    </w:pPr>
    <w:rPr>
      <w:rFonts w:ascii="宋体" w:hAnsi="Times New Roman" w:eastAsia="宋体" w:cs="Times New Roman"/>
      <w:kern w:val="0"/>
      <w:sz w:val="18"/>
      <w:szCs w:val="18"/>
    </w:rPr>
  </w:style>
  <w:style w:type="paragraph" w:customStyle="1" w:styleId="34">
    <w:name w:val="List Paragraph"/>
    <w:basedOn w:val="1"/>
    <w:qFormat/>
    <w:uiPriority w:val="99"/>
    <w:pPr>
      <w:ind w:firstLine="420" w:firstLineChars="200"/>
    </w:pPr>
  </w:style>
  <w:style w:type="paragraph" w:customStyle="1" w:styleId="35">
    <w:name w:val="修订1"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2078</Words>
  <Characters>2435</Characters>
  <Lines>20</Lines>
  <Paragraphs>5</Paragraphs>
  <TotalTime>8</TotalTime>
  <ScaleCrop>false</ScaleCrop>
  <LinksUpToDate>false</LinksUpToDate>
  <CharactersWithSpaces>2500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2024-12-31T04:49:00Z</dcterms:created>
  <dc:creator>ren</dc:creator>
  <cp:lastModifiedBy>Administrator</cp:lastModifiedBy>
  <dcterms:modified xsi:type="dcterms:W3CDTF">2025-02-08T06:29:42Z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  <property fmtid="{D5CDD505-2E9C-101B-9397-08002B2CF9AE}" pid="3" name="ICV">
    <vt:lpwstr>CC9FF2829867416DBD7995326BC3DE03_13</vt:lpwstr>
  </property>
  <property fmtid="{D5CDD505-2E9C-101B-9397-08002B2CF9AE}" pid="4" name="KSOTemplateDocerSaveRecord">
    <vt:lpwstr>eyJoZGlkIjoiZWMxM2Q2MTgyNzdkMGY2YmVmMjUwMDg1NDYxZTYxZmQiLCJ1c2VySWQiOiIyMzI2NzE1MjIifQ==</vt:lpwstr>
  </property>
</Properties>
</file>