
<file path=[Content_Types].xml><?xml version="1.0" encoding="utf-8"?>
<Types xmlns="http://schemas.openxmlformats.org/package/2006/content-types">
  <Default Extension="xml" ContentType="application/xml"/>
  <Default Extension="tiff" ContentType="image/tif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1442C0">
      <w:pPr>
        <w:rPr>
          <w:rFonts w:eastAsia="方正小标宋简体"/>
        </w:rPr>
      </w:pPr>
    </w:p>
    <w:p w14:paraId="52B654F4">
      <w:pPr>
        <w:rPr>
          <w:rFonts w:eastAsia="方正小标宋简体"/>
        </w:rPr>
      </w:pPr>
    </w:p>
    <w:p w14:paraId="0129AAE3">
      <w:pPr>
        <w:spacing w:line="600" w:lineRule="exact"/>
        <w:jc w:val="center"/>
        <w:rPr>
          <w:rFonts w:eastAsia="方正小标宋简体"/>
          <w:sz w:val="44"/>
          <w:szCs w:val="44"/>
        </w:rPr>
      </w:pPr>
    </w:p>
    <w:p w14:paraId="2DDAB24E">
      <w:pPr>
        <w:spacing w:line="600" w:lineRule="exact"/>
        <w:jc w:val="center"/>
        <w:rPr>
          <w:rFonts w:eastAsia="方正小标宋简体"/>
          <w:sz w:val="44"/>
          <w:szCs w:val="44"/>
        </w:rPr>
      </w:pPr>
    </w:p>
    <w:p w14:paraId="61DF36A2">
      <w:pPr>
        <w:spacing w:line="600" w:lineRule="exact"/>
        <w:jc w:val="center"/>
        <w:rPr>
          <w:rFonts w:eastAsia="方正小标宋简体"/>
          <w:sz w:val="44"/>
          <w:szCs w:val="44"/>
        </w:rPr>
      </w:pPr>
    </w:p>
    <w:p w14:paraId="5EC05616">
      <w:pPr>
        <w:spacing w:line="600" w:lineRule="exact"/>
        <w:jc w:val="center"/>
        <w:rPr>
          <w:rFonts w:eastAsia="方正小标宋简体"/>
          <w:sz w:val="44"/>
          <w:szCs w:val="44"/>
        </w:rPr>
      </w:pPr>
      <w:r>
        <w:rPr>
          <w:rFonts w:eastAsia="方正小标宋简体"/>
          <w:sz w:val="44"/>
          <w:szCs w:val="44"/>
        </w:rPr>
        <w:t>陕 西 省 地 方 标 准</w:t>
      </w:r>
    </w:p>
    <w:p w14:paraId="0D6E8EBC">
      <w:pPr>
        <w:spacing w:line="360" w:lineRule="auto"/>
        <w:ind w:firstLine="6"/>
        <w:jc w:val="center"/>
        <w:rPr>
          <w:rFonts w:eastAsia="方正小标宋简体"/>
          <w:sz w:val="44"/>
          <w:szCs w:val="44"/>
        </w:rPr>
      </w:pPr>
      <w:r>
        <w:rPr>
          <w:rFonts w:eastAsia="方正小标宋简体"/>
          <w:sz w:val="44"/>
          <w:szCs w:val="44"/>
        </w:rPr>
        <w:t>《</w:t>
      </w:r>
      <w:r>
        <w:rPr>
          <w:rFonts w:hint="eastAsia" w:eastAsia="方正小标宋简体"/>
          <w:sz w:val="44"/>
          <w:szCs w:val="44"/>
        </w:rPr>
        <w:t>退化林修复技术规程</w:t>
      </w:r>
      <w:r>
        <w:rPr>
          <w:rFonts w:eastAsia="方正小标宋简体"/>
          <w:sz w:val="44"/>
          <w:szCs w:val="44"/>
        </w:rPr>
        <w:t>》</w:t>
      </w:r>
    </w:p>
    <w:p w14:paraId="7A011DCF">
      <w:pPr>
        <w:spacing w:line="600" w:lineRule="exact"/>
        <w:jc w:val="center"/>
        <w:rPr>
          <w:rFonts w:eastAsia="方正小标宋简体"/>
          <w:sz w:val="44"/>
          <w:szCs w:val="44"/>
        </w:rPr>
      </w:pPr>
      <w:r>
        <w:rPr>
          <w:rFonts w:eastAsia="方正小标宋简体"/>
          <w:sz w:val="44"/>
          <w:szCs w:val="44"/>
        </w:rPr>
        <w:t>编 制 说 明</w:t>
      </w:r>
    </w:p>
    <w:p w14:paraId="22B05087">
      <w:pPr>
        <w:spacing w:line="360" w:lineRule="auto"/>
        <w:jc w:val="center"/>
        <w:rPr>
          <w:sz w:val="28"/>
          <w:szCs w:val="28"/>
        </w:rPr>
      </w:pPr>
    </w:p>
    <w:p w14:paraId="568E898F">
      <w:pPr>
        <w:spacing w:line="360" w:lineRule="auto"/>
        <w:jc w:val="center"/>
        <w:rPr>
          <w:sz w:val="28"/>
          <w:szCs w:val="28"/>
        </w:rPr>
      </w:pPr>
    </w:p>
    <w:p w14:paraId="1E21FC72">
      <w:pPr>
        <w:spacing w:line="360" w:lineRule="auto"/>
        <w:jc w:val="center"/>
        <w:rPr>
          <w:sz w:val="28"/>
          <w:szCs w:val="28"/>
        </w:rPr>
      </w:pPr>
    </w:p>
    <w:p w14:paraId="5AD9EE78">
      <w:pPr>
        <w:ind w:firstLine="964" w:firstLineChars="300"/>
        <w:rPr>
          <w:b/>
          <w:bCs/>
          <w:sz w:val="32"/>
          <w:szCs w:val="32"/>
        </w:rPr>
      </w:pPr>
    </w:p>
    <w:p w14:paraId="2EB9FE7D">
      <w:pPr>
        <w:ind w:firstLine="964" w:firstLineChars="300"/>
        <w:rPr>
          <w:b/>
          <w:bCs/>
          <w:sz w:val="32"/>
          <w:szCs w:val="32"/>
        </w:rPr>
      </w:pPr>
    </w:p>
    <w:p w14:paraId="4DAD59DC">
      <w:pPr>
        <w:ind w:firstLine="964" w:firstLineChars="300"/>
        <w:rPr>
          <w:b/>
          <w:bCs/>
          <w:sz w:val="32"/>
          <w:szCs w:val="32"/>
        </w:rPr>
      </w:pPr>
    </w:p>
    <w:p w14:paraId="1672143F">
      <w:pPr>
        <w:spacing w:line="720" w:lineRule="auto"/>
        <w:ind w:left="0" w:leftChars="0" w:firstLine="1063" w:firstLineChars="331"/>
        <w:rPr>
          <w:rFonts w:hint="default" w:ascii="Times New Roman" w:hAnsi="Times New Roman" w:eastAsia="宋体" w:cs="Times New Roman"/>
          <w:b/>
          <w:bCs/>
          <w:sz w:val="32"/>
          <w:szCs w:val="32"/>
          <w:lang w:val="en-US" w:eastAsia="zh-CN"/>
          <w14:ligatures w14:val="none"/>
        </w:rPr>
      </w:pPr>
      <w:r>
        <w:rPr>
          <w:rFonts w:hint="default" w:ascii="Times New Roman" w:hAnsi="Times New Roman" w:eastAsia="宋体" w:cs="Times New Roman"/>
          <w:b/>
          <w:bCs/>
          <w:sz w:val="32"/>
          <w:szCs w:val="32"/>
          <w14:ligatures w14:val="none"/>
        </w:rPr>
        <w:t>项</w:t>
      </w:r>
      <w:r>
        <w:rPr>
          <w:rFonts w:hint="default" w:ascii="Times New Roman" w:hAnsi="Times New Roman" w:eastAsia="宋体" w:cs="Times New Roman"/>
          <w:b/>
          <w:bCs/>
          <w:sz w:val="32"/>
          <w:szCs w:val="32"/>
          <w:lang w:val="en-US" w:eastAsia="zh-CN"/>
          <w14:ligatures w14:val="none"/>
        </w:rPr>
        <w:t xml:space="preserve">  </w:t>
      </w:r>
      <w:r>
        <w:rPr>
          <w:rFonts w:hint="default" w:ascii="Times New Roman" w:hAnsi="Times New Roman" w:eastAsia="宋体" w:cs="Times New Roman"/>
          <w:b/>
          <w:bCs/>
          <w:sz w:val="32"/>
          <w:szCs w:val="32"/>
          <w14:ligatures w14:val="none"/>
        </w:rPr>
        <w:t>目</w:t>
      </w:r>
      <w:r>
        <w:rPr>
          <w:rFonts w:hint="default" w:ascii="Times New Roman" w:hAnsi="Times New Roman" w:eastAsia="宋体" w:cs="Times New Roman"/>
          <w:b/>
          <w:bCs/>
          <w:sz w:val="32"/>
          <w:szCs w:val="32"/>
          <w:lang w:val="en-US" w:eastAsia="zh-CN"/>
          <w14:ligatures w14:val="none"/>
        </w:rPr>
        <w:t xml:space="preserve">  </w:t>
      </w:r>
      <w:r>
        <w:rPr>
          <w:rFonts w:hint="default" w:ascii="Times New Roman" w:hAnsi="Times New Roman" w:eastAsia="宋体" w:cs="Times New Roman"/>
          <w:b/>
          <w:bCs/>
          <w:sz w:val="32"/>
          <w:szCs w:val="32"/>
          <w14:ligatures w14:val="none"/>
        </w:rPr>
        <w:t>编</w:t>
      </w:r>
      <w:r>
        <w:rPr>
          <w:rFonts w:hint="default" w:ascii="Times New Roman" w:hAnsi="Times New Roman" w:eastAsia="宋体" w:cs="Times New Roman"/>
          <w:b/>
          <w:bCs/>
          <w:sz w:val="32"/>
          <w:szCs w:val="32"/>
          <w:lang w:val="en-US" w:eastAsia="zh-CN"/>
          <w14:ligatures w14:val="none"/>
        </w:rPr>
        <w:t xml:space="preserve">  </w:t>
      </w:r>
      <w:r>
        <w:rPr>
          <w:rFonts w:hint="default" w:ascii="Times New Roman" w:hAnsi="Times New Roman" w:eastAsia="宋体" w:cs="Times New Roman"/>
          <w:b/>
          <w:bCs/>
          <w:sz w:val="32"/>
          <w:szCs w:val="32"/>
          <w14:ligatures w14:val="none"/>
        </w:rPr>
        <w:t>号：</w:t>
      </w:r>
      <w:r>
        <w:rPr>
          <w:rFonts w:hint="default" w:ascii="Times New Roman" w:hAnsi="Times New Roman" w:eastAsia="宋体" w:cs="Times New Roman"/>
          <w:b/>
          <w:bCs/>
          <w:sz w:val="32"/>
          <w:szCs w:val="32"/>
          <w:lang w:val="en-US" w:eastAsia="zh-CN"/>
          <w14:ligatures w14:val="none"/>
        </w:rPr>
        <w:t xml:space="preserve"> SDBXM</w:t>
      </w:r>
      <w:r>
        <w:rPr>
          <w:rFonts w:hint="eastAsia" w:ascii="Times New Roman" w:hAnsi="Times New Roman" w:eastAsia="宋体" w:cs="Times New Roman"/>
          <w:b/>
          <w:bCs/>
          <w:sz w:val="32"/>
          <w:szCs w:val="32"/>
          <w:lang w:val="en-US" w:eastAsia="zh-CN"/>
          <w14:ligatures w14:val="none"/>
        </w:rPr>
        <w:t>255</w:t>
      </w:r>
      <w:bookmarkStart w:id="0" w:name="_GoBack"/>
      <w:bookmarkEnd w:id="0"/>
      <w:r>
        <w:rPr>
          <w:rFonts w:hint="default" w:ascii="Times New Roman" w:hAnsi="Times New Roman" w:eastAsia="宋体" w:cs="Times New Roman"/>
          <w:b/>
          <w:bCs/>
          <w:sz w:val="32"/>
          <w:szCs w:val="32"/>
          <w:lang w:val="en-US" w:eastAsia="zh-CN"/>
          <w14:ligatures w14:val="none"/>
        </w:rPr>
        <w:t>-202</w:t>
      </w:r>
      <w:r>
        <w:rPr>
          <w:rFonts w:hint="eastAsia" w:ascii="Times New Roman" w:hAnsi="Times New Roman" w:eastAsia="宋体" w:cs="Times New Roman"/>
          <w:b/>
          <w:bCs/>
          <w:sz w:val="32"/>
          <w:szCs w:val="32"/>
          <w:lang w:val="en-US" w:eastAsia="zh-CN"/>
          <w14:ligatures w14:val="none"/>
        </w:rPr>
        <w:t>4</w:t>
      </w:r>
    </w:p>
    <w:p w14:paraId="389E9CB9">
      <w:pPr>
        <w:spacing w:before="312" w:beforeLines="100" w:line="520" w:lineRule="exact"/>
        <w:ind w:left="0" w:leftChars="0" w:firstLine="1063" w:firstLineChars="331"/>
        <w:jc w:val="both"/>
        <w:rPr>
          <w:rFonts w:eastAsiaTheme="minorEastAsia"/>
          <w:b/>
          <w:bCs/>
          <w:sz w:val="32"/>
          <w:szCs w:val="32"/>
        </w:rPr>
      </w:pPr>
      <w:r>
        <w:rPr>
          <w:rFonts w:hint="default" w:ascii="Times New Roman" w:hAnsi="Times New Roman" w:eastAsia="宋体" w:cs="Times New Roman"/>
          <w:b/>
          <w:bCs/>
          <w:sz w:val="32"/>
          <w:szCs w:val="32"/>
          <w:lang w:val="en-US" w:eastAsia="zh-CN"/>
          <w14:ligatures w14:val="none"/>
        </w:rPr>
        <w:t xml:space="preserve">项  目  名  称： </w:t>
      </w:r>
      <w:r>
        <w:rPr>
          <w:rFonts w:hint="eastAsia" w:ascii="Times New Roman" w:hAnsi="Times New Roman" w:eastAsia="宋体" w:cs="Times New Roman"/>
          <w:b/>
          <w:bCs/>
          <w:sz w:val="32"/>
          <w:szCs w:val="32"/>
          <w14:ligatures w14:val="none"/>
        </w:rPr>
        <w:t>翻白草栽培技术规程</w:t>
      </w:r>
    </w:p>
    <w:p w14:paraId="424740FE">
      <w:pPr>
        <w:spacing w:before="312" w:beforeLines="100" w:line="520" w:lineRule="exact"/>
        <w:jc w:val="center"/>
        <w:rPr>
          <w:rFonts w:eastAsiaTheme="minorEastAsia"/>
          <w:b/>
          <w:bCs/>
          <w:sz w:val="32"/>
          <w:szCs w:val="32"/>
        </w:rPr>
      </w:pPr>
    </w:p>
    <w:p w14:paraId="5D928360">
      <w:pPr>
        <w:spacing w:before="312" w:beforeLines="100" w:line="520" w:lineRule="exact"/>
        <w:jc w:val="center"/>
        <w:rPr>
          <w:rFonts w:eastAsiaTheme="minorEastAsia"/>
          <w:b/>
          <w:bCs/>
          <w:sz w:val="32"/>
          <w:szCs w:val="32"/>
        </w:rPr>
      </w:pPr>
    </w:p>
    <w:p w14:paraId="4BCCA050">
      <w:pPr>
        <w:spacing w:before="312" w:beforeLines="100" w:line="520" w:lineRule="exact"/>
        <w:jc w:val="center"/>
        <w:rPr>
          <w:rFonts w:eastAsiaTheme="minorEastAsia"/>
          <w:b/>
          <w:bCs/>
          <w:sz w:val="32"/>
          <w:szCs w:val="32"/>
        </w:rPr>
      </w:pPr>
    </w:p>
    <w:p w14:paraId="1379D856">
      <w:pPr>
        <w:jc w:val="center"/>
        <w:rPr>
          <w:rFonts w:eastAsiaTheme="minorEastAsia"/>
          <w:b/>
          <w:bCs/>
          <w:sz w:val="32"/>
          <w:szCs w:val="32"/>
        </w:rPr>
      </w:pPr>
    </w:p>
    <w:p w14:paraId="3B1CEA6A">
      <w:pPr>
        <w:jc w:val="center"/>
        <w:rPr>
          <w:rFonts w:eastAsiaTheme="minorEastAsia"/>
          <w:b/>
          <w:bCs/>
          <w:sz w:val="32"/>
          <w:szCs w:val="32"/>
        </w:rPr>
      </w:pPr>
      <w:r>
        <w:rPr>
          <w:rFonts w:eastAsiaTheme="minorEastAsia"/>
          <w:b/>
          <w:bCs/>
          <w:sz w:val="32"/>
          <w:szCs w:val="32"/>
        </w:rPr>
        <w:t>202</w:t>
      </w:r>
      <w:r>
        <w:rPr>
          <w:rFonts w:hint="eastAsia" w:eastAsiaTheme="minorEastAsia"/>
          <w:b/>
          <w:bCs/>
          <w:sz w:val="32"/>
          <w:szCs w:val="32"/>
        </w:rPr>
        <w:t>5</w:t>
      </w:r>
      <w:r>
        <w:rPr>
          <w:rFonts w:eastAsiaTheme="minorEastAsia"/>
          <w:b/>
          <w:bCs/>
          <w:sz w:val="32"/>
          <w:szCs w:val="32"/>
        </w:rPr>
        <w:t>年</w:t>
      </w:r>
      <w:r>
        <w:rPr>
          <w:rFonts w:hint="eastAsia" w:eastAsiaTheme="minorEastAsia"/>
          <w:b/>
          <w:bCs/>
          <w:sz w:val="32"/>
          <w:szCs w:val="32"/>
        </w:rPr>
        <w:t>2</w:t>
      </w:r>
      <w:r>
        <w:rPr>
          <w:rFonts w:eastAsiaTheme="minorEastAsia"/>
          <w:b/>
          <w:bCs/>
          <w:sz w:val="32"/>
          <w:szCs w:val="32"/>
        </w:rPr>
        <w:t>月</w:t>
      </w:r>
      <w:r>
        <w:rPr>
          <w:rFonts w:hint="eastAsia" w:eastAsiaTheme="minorEastAsia"/>
          <w:b/>
          <w:bCs/>
          <w:sz w:val="32"/>
          <w:szCs w:val="32"/>
        </w:rPr>
        <w:t>20日</w:t>
      </w:r>
    </w:p>
    <w:p w14:paraId="37CAE52D">
      <w:pPr>
        <w:rPr>
          <w:b/>
          <w:bCs/>
          <w:sz w:val="32"/>
          <w:szCs w:val="32"/>
        </w:rPr>
      </w:pPr>
    </w:p>
    <w:p w14:paraId="0F5BBC0A">
      <w:pPr>
        <w:rPr>
          <w:b/>
          <w:bCs/>
          <w:sz w:val="32"/>
          <w:szCs w:val="32"/>
        </w:rPr>
        <w:sectPr>
          <w:pgSz w:w="11906" w:h="16838"/>
          <w:pgMar w:top="1440" w:right="1800" w:bottom="1440" w:left="1800" w:header="851" w:footer="992" w:gutter="0"/>
          <w:cols w:space="425" w:num="1"/>
          <w:docGrid w:type="lines" w:linePitch="312" w:charSpace="0"/>
        </w:sectPr>
      </w:pPr>
    </w:p>
    <w:p w14:paraId="45A14118">
      <w:pPr>
        <w:adjustRightInd w:val="0"/>
        <w:snapToGrid w:val="0"/>
        <w:spacing w:before="156" w:beforeLines="50" w:line="560" w:lineRule="exact"/>
        <w:jc w:val="center"/>
        <w:rPr>
          <w:rFonts w:eastAsia="方正小标宋简体"/>
          <w:sz w:val="36"/>
          <w:szCs w:val="36"/>
        </w:rPr>
      </w:pPr>
      <w:r>
        <w:rPr>
          <w:rFonts w:hint="eastAsia" w:eastAsia="方正小标宋简体"/>
          <w:sz w:val="36"/>
          <w:szCs w:val="36"/>
        </w:rPr>
        <w:t>退化林修复</w:t>
      </w:r>
      <w:r>
        <w:rPr>
          <w:rFonts w:eastAsia="方正小标宋简体"/>
          <w:sz w:val="36"/>
          <w:szCs w:val="36"/>
        </w:rPr>
        <w:t>技术规程</w:t>
      </w:r>
    </w:p>
    <w:p w14:paraId="6B3A191A">
      <w:pPr>
        <w:adjustRightInd w:val="0"/>
        <w:snapToGrid w:val="0"/>
        <w:spacing w:before="156" w:beforeLines="50" w:line="560" w:lineRule="exact"/>
        <w:jc w:val="center"/>
        <w:rPr>
          <w:rFonts w:eastAsia="方正小标宋简体"/>
          <w:sz w:val="36"/>
          <w:szCs w:val="36"/>
        </w:rPr>
      </w:pPr>
      <w:r>
        <w:rPr>
          <w:rFonts w:eastAsia="方正小标宋简体"/>
          <w:sz w:val="36"/>
          <w:szCs w:val="36"/>
        </w:rPr>
        <w:t>编制说明</w:t>
      </w:r>
    </w:p>
    <w:p w14:paraId="1277900E">
      <w:pPr>
        <w:adjustRightInd w:val="0"/>
        <w:snapToGrid w:val="0"/>
        <w:spacing w:before="312" w:beforeLines="100" w:after="160" w:line="360" w:lineRule="auto"/>
        <w:ind w:left="420" w:leftChars="200"/>
        <w:rPr>
          <w:rFonts w:hint="eastAsia" w:ascii="黑体" w:hAnsi="黑体" w:eastAsia="黑体"/>
          <w:bCs/>
          <w:sz w:val="28"/>
          <w:szCs w:val="28"/>
        </w:rPr>
      </w:pPr>
      <w:r>
        <w:rPr>
          <w:rFonts w:ascii="黑体" w:hAnsi="黑体" w:eastAsia="黑体"/>
          <w:bCs/>
          <w:sz w:val="28"/>
          <w:szCs w:val="28"/>
        </w:rPr>
        <w:t>1.工作概况</w:t>
      </w:r>
    </w:p>
    <w:p w14:paraId="350C994B">
      <w:pPr>
        <w:adjustRightInd w:val="0"/>
        <w:snapToGrid w:val="0"/>
        <w:spacing w:before="312" w:beforeLines="100" w:after="160" w:line="360" w:lineRule="auto"/>
        <w:ind w:left="1124" w:hanging="1124" w:hangingChars="400"/>
        <w:rPr>
          <w:rFonts w:hint="eastAsia" w:asciiTheme="minorEastAsia" w:hAnsiTheme="minorEastAsia" w:eastAsiaTheme="minorEastAsia"/>
          <w:b/>
          <w:sz w:val="28"/>
          <w:szCs w:val="28"/>
        </w:rPr>
      </w:pPr>
      <w:r>
        <w:rPr>
          <w:rFonts w:asciiTheme="minorEastAsia" w:hAnsiTheme="minorEastAsia" w:eastAsiaTheme="minorEastAsia"/>
          <w:b/>
          <w:sz w:val="28"/>
          <w:szCs w:val="28"/>
        </w:rPr>
        <w:t xml:space="preserve">   1.1 任务来源 </w:t>
      </w:r>
    </w:p>
    <w:p w14:paraId="7DDFD8E4">
      <w:pPr>
        <w:adjustRightInd w:val="0"/>
        <w:snapToGrid w:val="0"/>
        <w:spacing w:after="160" w:line="360" w:lineRule="auto"/>
        <w:ind w:firstLine="560" w:firstLineChars="200"/>
        <w:outlineLvl w:val="2"/>
        <w:rPr>
          <w:color w:val="000000"/>
          <w:sz w:val="28"/>
          <w:szCs w:val="28"/>
        </w:rPr>
      </w:pPr>
      <w:r>
        <w:rPr>
          <w:sz w:val="28"/>
          <w:szCs w:val="28"/>
        </w:rPr>
        <w:t>根据</w:t>
      </w:r>
      <w:r>
        <w:rPr>
          <w:color w:val="000000"/>
          <w:sz w:val="28"/>
          <w:szCs w:val="28"/>
        </w:rPr>
        <w:t>陕西省市场监督管理局陕西省市场监督管理局</w:t>
      </w:r>
      <w:r>
        <w:rPr>
          <w:sz w:val="28"/>
          <w:szCs w:val="28"/>
        </w:rPr>
        <w:t>《陕西省市场监督管理局关于下达202</w:t>
      </w:r>
      <w:r>
        <w:rPr>
          <w:rFonts w:hint="eastAsia"/>
          <w:sz w:val="28"/>
          <w:szCs w:val="28"/>
        </w:rPr>
        <w:t>4</w:t>
      </w:r>
      <w:r>
        <w:rPr>
          <w:sz w:val="28"/>
          <w:szCs w:val="28"/>
        </w:rPr>
        <w:t>年</w:t>
      </w:r>
      <w:r>
        <w:rPr>
          <w:rFonts w:hint="eastAsia"/>
          <w:sz w:val="28"/>
          <w:szCs w:val="28"/>
        </w:rPr>
        <w:t>第二批</w:t>
      </w:r>
      <w:r>
        <w:rPr>
          <w:sz w:val="28"/>
          <w:szCs w:val="28"/>
        </w:rPr>
        <w:t>地方标准</w:t>
      </w:r>
      <w:r>
        <w:rPr>
          <w:rFonts w:hint="eastAsia"/>
          <w:sz w:val="28"/>
          <w:szCs w:val="28"/>
        </w:rPr>
        <w:t>制修订计划的函</w:t>
      </w:r>
      <w:r>
        <w:rPr>
          <w:sz w:val="28"/>
          <w:szCs w:val="28"/>
        </w:rPr>
        <w:t>》（陕市监函〔202</w:t>
      </w:r>
      <w:r>
        <w:rPr>
          <w:rFonts w:hint="eastAsia"/>
          <w:sz w:val="28"/>
          <w:szCs w:val="28"/>
        </w:rPr>
        <w:t>4</w:t>
      </w:r>
      <w:r>
        <w:rPr>
          <w:sz w:val="28"/>
          <w:szCs w:val="28"/>
        </w:rPr>
        <w:t>〕</w:t>
      </w:r>
      <w:r>
        <w:rPr>
          <w:rFonts w:hint="eastAsia"/>
          <w:sz w:val="28"/>
          <w:szCs w:val="28"/>
        </w:rPr>
        <w:t>59</w:t>
      </w:r>
      <w:r>
        <w:rPr>
          <w:sz w:val="28"/>
          <w:szCs w:val="28"/>
        </w:rPr>
        <w:t>0号），批准《</w:t>
      </w:r>
      <w:r>
        <w:rPr>
          <w:rFonts w:hint="eastAsia"/>
          <w:sz w:val="28"/>
          <w:szCs w:val="28"/>
        </w:rPr>
        <w:t>退化林修复技术规程</w:t>
      </w:r>
      <w:r>
        <w:rPr>
          <w:sz w:val="28"/>
          <w:szCs w:val="28"/>
        </w:rPr>
        <w:t>》地方标准的制定计划（项目编号：SDBXM25</w:t>
      </w:r>
      <w:r>
        <w:rPr>
          <w:rFonts w:hint="eastAsia"/>
          <w:sz w:val="28"/>
          <w:szCs w:val="28"/>
        </w:rPr>
        <w:t>5</w:t>
      </w:r>
      <w:r>
        <w:rPr>
          <w:sz w:val="28"/>
          <w:szCs w:val="28"/>
        </w:rPr>
        <w:t>-202</w:t>
      </w:r>
      <w:r>
        <w:rPr>
          <w:rFonts w:hint="eastAsia"/>
          <w:sz w:val="28"/>
          <w:szCs w:val="28"/>
        </w:rPr>
        <w:t>4</w:t>
      </w:r>
      <w:r>
        <w:rPr>
          <w:sz w:val="28"/>
          <w:szCs w:val="28"/>
        </w:rPr>
        <w:t>）。</w:t>
      </w:r>
      <w:r>
        <w:rPr>
          <w:color w:val="000000"/>
          <w:sz w:val="28"/>
          <w:szCs w:val="28"/>
        </w:rPr>
        <w:t>被列为202</w:t>
      </w:r>
      <w:r>
        <w:rPr>
          <w:rFonts w:hint="eastAsia"/>
          <w:color w:val="000000"/>
          <w:sz w:val="28"/>
          <w:szCs w:val="28"/>
        </w:rPr>
        <w:t>4</w:t>
      </w:r>
      <w:r>
        <w:rPr>
          <w:color w:val="000000"/>
          <w:sz w:val="28"/>
          <w:szCs w:val="28"/>
        </w:rPr>
        <w:t>年林业行业标准制定计划。本标准为推荐性涉林地方标准，由陕西省林业局提出并归口管理，陕西省林业科学院</w:t>
      </w:r>
      <w:r>
        <w:rPr>
          <w:rFonts w:hint="eastAsia"/>
          <w:color w:val="000000"/>
          <w:sz w:val="28"/>
          <w:szCs w:val="28"/>
        </w:rPr>
        <w:t>和陕西省退化林建设工作站</w:t>
      </w:r>
      <w:r>
        <w:rPr>
          <w:color w:val="000000"/>
          <w:sz w:val="28"/>
          <w:szCs w:val="28"/>
        </w:rPr>
        <w:t>共同编制完成。</w:t>
      </w:r>
    </w:p>
    <w:p w14:paraId="5A2820C4">
      <w:pPr>
        <w:adjustRightInd w:val="0"/>
        <w:snapToGrid w:val="0"/>
        <w:spacing w:before="312" w:beforeLines="100" w:after="160" w:line="360" w:lineRule="auto"/>
        <w:ind w:firstLine="422" w:firstLineChars="150"/>
        <w:rPr>
          <w:rFonts w:hint="eastAsia" w:asciiTheme="minorEastAsia" w:hAnsiTheme="minorEastAsia" w:eastAsiaTheme="minorEastAsia"/>
          <w:b/>
          <w:sz w:val="28"/>
          <w:szCs w:val="28"/>
        </w:rPr>
      </w:pPr>
      <w:r>
        <w:rPr>
          <w:rFonts w:asciiTheme="minorEastAsia" w:hAnsiTheme="minorEastAsia" w:eastAsiaTheme="minorEastAsia"/>
          <w:b/>
          <w:sz w:val="28"/>
          <w:szCs w:val="28"/>
        </w:rPr>
        <w:t>1.2 目的与意义</w:t>
      </w:r>
    </w:p>
    <w:p w14:paraId="2EA65143">
      <w:pPr>
        <w:adjustRightInd w:val="0"/>
        <w:snapToGrid w:val="0"/>
        <w:spacing w:after="160" w:line="360" w:lineRule="auto"/>
        <w:ind w:firstLine="560" w:firstLineChars="200"/>
        <w:rPr>
          <w:color w:val="000000"/>
          <w:sz w:val="28"/>
          <w:szCs w:val="28"/>
        </w:rPr>
      </w:pPr>
      <w:r>
        <w:rPr>
          <w:rFonts w:hint="eastAsia"/>
          <w:color w:val="000000"/>
          <w:sz w:val="28"/>
          <w:szCs w:val="28"/>
        </w:rPr>
        <w:t>森林是陆地上最重要的生态屏障，被誉为大自然的总调节器和“地球之肺”，具有涵养水源、保持水土、防风固沙、固碳释氧、改善气候等多种生态功能，是维护地球生态安全的重要保障。习近平总书记生态文明思想核心理念中，“两山论”和“山水林田湖草沙生命共同体”都直指森林，森林的重要性不言而喻。然而当前世界范围内面临森林退化问题，并且已经成为21世纪全球环境发展的七大难题之一，森林退化引发的各种环境危机已经成为困扰世界各国经济和社会发展的重要因子。</w:t>
      </w:r>
    </w:p>
    <w:p w14:paraId="1CC376E1">
      <w:pPr>
        <w:adjustRightInd w:val="0"/>
        <w:snapToGrid w:val="0"/>
        <w:spacing w:after="160" w:line="360" w:lineRule="auto"/>
        <w:ind w:firstLine="560" w:firstLineChars="200"/>
        <w:rPr>
          <w:color w:val="000000"/>
          <w:sz w:val="28"/>
          <w:szCs w:val="28"/>
        </w:rPr>
      </w:pPr>
      <w:r>
        <w:rPr>
          <w:rFonts w:hint="eastAsia"/>
          <w:color w:val="000000"/>
          <w:sz w:val="28"/>
          <w:szCs w:val="28"/>
        </w:rPr>
        <w:t>当前我省退化林相关的数据仅有三北退化林方面，我省三北工程退化林草总面积1332437.12公顷。其中，退化林面积1230471.25公顷。乔木林面积623684.91公顷，占退化林草总面积的46.81%；灌木林面积606786.34公顷，占退化林草总面积的45.54%；退化草地面积101965.87公顷，占退化林草总面积的7.65%。森林退化的原因可归纳为生理衰败、外部环境变化、自然灾害、人为过度干扰等，具体表现为林分提前或加速进入衰退阶段，出现枯死、濒死、生长不良等现象，最终可导致森林结构失调、稳定性降低、功能下降甚至丧失，且难以自然恢复。当前陕西省全域退化林方面的研究较少，文献及数据多集中于三北防护林，全省退化林的分布、面积、程度、原因等亟待进行本底调查与研究，探明不同典型区域退化林现况并剖析原因，以调整林种树种结构、提升林分质量、林地综合效益为目标，因地制宜制订不同典型区域切实可行的退化林修复方案。</w:t>
      </w:r>
    </w:p>
    <w:p w14:paraId="19B3446D">
      <w:pPr>
        <w:adjustRightInd w:val="0"/>
        <w:snapToGrid w:val="0"/>
        <w:spacing w:after="160" w:line="360" w:lineRule="auto"/>
        <w:ind w:firstLine="560" w:firstLineChars="200"/>
        <w:rPr>
          <w:color w:val="000000"/>
          <w:sz w:val="28"/>
          <w:szCs w:val="28"/>
        </w:rPr>
      </w:pPr>
      <w:r>
        <w:rPr>
          <w:rFonts w:hint="eastAsia"/>
          <w:color w:val="000000"/>
          <w:sz w:val="28"/>
          <w:szCs w:val="28"/>
        </w:rPr>
        <w:t>在现有的《退化防护林修复技术规程》《三北防护林退化林分修复技术规程》和《退化林修复技术规程》的基础上，结合我省实际情况，制定我省退化林修复技术规程，按规程精准识别退化林修复对象，准确把握退化程度，科学确定修复模式，实行精准修复，提升修复效果，防范化解退化风险，为稳妥有序深入推进退化林修复改造顺利实施提供技术保障，以期为我省退化林修复、科学绿化和林草事业高质量发展提供技术支持与实践指导。</w:t>
      </w:r>
    </w:p>
    <w:p w14:paraId="674E025E">
      <w:pPr>
        <w:adjustRightInd w:val="0"/>
        <w:snapToGrid w:val="0"/>
        <w:spacing w:before="312" w:beforeLines="100" w:after="160" w:line="360" w:lineRule="auto"/>
        <w:ind w:firstLine="422" w:firstLineChars="150"/>
        <w:rPr>
          <w:rFonts w:hint="eastAsia" w:asciiTheme="minorEastAsia" w:hAnsiTheme="minorEastAsia" w:eastAsiaTheme="minorEastAsia"/>
          <w:b/>
          <w:sz w:val="28"/>
          <w:szCs w:val="28"/>
        </w:rPr>
      </w:pPr>
      <w:r>
        <w:rPr>
          <w:rFonts w:asciiTheme="minorEastAsia" w:hAnsiTheme="minorEastAsia" w:eastAsiaTheme="minorEastAsia"/>
          <w:b/>
          <w:sz w:val="28"/>
          <w:szCs w:val="28"/>
        </w:rPr>
        <w:t xml:space="preserve">1.3 </w:t>
      </w:r>
      <w:r>
        <w:rPr>
          <w:rFonts w:hint="eastAsia" w:asciiTheme="minorEastAsia" w:hAnsiTheme="minorEastAsia" w:eastAsiaTheme="minorEastAsia"/>
          <w:b/>
          <w:sz w:val="28"/>
          <w:szCs w:val="28"/>
        </w:rPr>
        <w:t>承担</w:t>
      </w:r>
      <w:r>
        <w:rPr>
          <w:rFonts w:asciiTheme="minorEastAsia" w:hAnsiTheme="minorEastAsia" w:eastAsiaTheme="minorEastAsia"/>
          <w:b/>
          <w:sz w:val="28"/>
          <w:szCs w:val="28"/>
        </w:rPr>
        <w:t>单位</w:t>
      </w:r>
    </w:p>
    <w:p w14:paraId="6EF9D9DF">
      <w:pPr>
        <w:adjustRightInd w:val="0"/>
        <w:snapToGrid w:val="0"/>
        <w:spacing w:after="160" w:line="360" w:lineRule="auto"/>
        <w:ind w:firstLine="560" w:firstLineChars="200"/>
        <w:outlineLvl w:val="2"/>
        <w:rPr>
          <w:color w:val="000000"/>
          <w:sz w:val="28"/>
          <w:szCs w:val="28"/>
        </w:rPr>
      </w:pPr>
      <w:r>
        <w:rPr>
          <w:color w:val="000000"/>
          <w:sz w:val="28"/>
          <w:szCs w:val="28"/>
        </w:rPr>
        <w:t>本项目由陕西省林业科学院承担实施。该院是专门从事</w:t>
      </w:r>
      <w:r>
        <w:rPr>
          <w:rFonts w:hint="eastAsia"/>
          <w:color w:val="000000"/>
          <w:sz w:val="28"/>
          <w:szCs w:val="28"/>
        </w:rPr>
        <w:t>生态修复</w:t>
      </w:r>
      <w:r>
        <w:rPr>
          <w:color w:val="000000"/>
          <w:sz w:val="28"/>
          <w:szCs w:val="28"/>
        </w:rPr>
        <w:t>、荒漠化治理、林业技术研究和推广应用单位。以林业基础研究与应用研究为主的多学科、综合性研究机构，具有林学、生态、治沙、水保、地理、土壤、园艺、森保等专业学科的各类技术人员204人，其中：正高16人、副高64人，博士后3名，博士11名，硕士43名；国家级突出贡献专家1名，省级突出贡献专家2名，地级突出贡献的拔尖人才4名，享受政府特殊津贴5名，陕西省中青年创新领军人才1人，陕西省科技新星2人，“西部之光”学者4人。该院现拥有陕西榆林毛乌素沙地生态系统国家定位观测研究站、国家林业和草原局长柄扁桃工程技术研究中心、国家林业和草原局长柄扁桃国家创新联盟、国家林业和草原局樟子松工程技术研究中心、国家林业和草原局黄土高原水土保持与生态修复重点实验室、陕西省樟子松良种繁育基地、陕西榆林珍稀沙生植物保护基地、沙区特色经济植物试验示范基地等12个科研平台和39个科研试验基地。目前，与国内多家科研院所建立了良好的合作关系，在行业内具有较强的示范作用和影响力。截止2021年，我院已获得46项科技成果奖励，其中国家级3项、省（部）级16项，出版专著29余部、发表学术论文500多篇。研究成果已辐射到内蒙、甘肃、宁夏、山西、西藏等省区</w:t>
      </w:r>
      <w:r>
        <w:rPr>
          <w:rFonts w:eastAsia="仿宋_GB2312"/>
          <w:color w:val="000000"/>
          <w:kern w:val="44"/>
          <w:sz w:val="28"/>
          <w:szCs w:val="28"/>
        </w:rPr>
        <w:t>。</w:t>
      </w:r>
      <w:r>
        <w:rPr>
          <w:color w:val="000000"/>
          <w:sz w:val="28"/>
          <w:szCs w:val="28"/>
        </w:rPr>
        <w:t>先后承担完成了多项国家林业科技攻关课题，在</w:t>
      </w:r>
      <w:r>
        <w:rPr>
          <w:rFonts w:hint="eastAsia"/>
          <w:color w:val="000000"/>
          <w:sz w:val="28"/>
          <w:szCs w:val="28"/>
        </w:rPr>
        <w:t>生态修复、</w:t>
      </w:r>
      <w:r>
        <w:rPr>
          <w:color w:val="000000"/>
          <w:sz w:val="28"/>
          <w:szCs w:val="28"/>
        </w:rPr>
        <w:t>林木良种培育、</w:t>
      </w:r>
      <w:r>
        <w:rPr>
          <w:rFonts w:hint="eastAsia"/>
          <w:color w:val="000000"/>
          <w:sz w:val="28"/>
          <w:szCs w:val="28"/>
        </w:rPr>
        <w:t>病虫害防治、困难立地造林</w:t>
      </w:r>
      <w:r>
        <w:rPr>
          <w:color w:val="000000"/>
          <w:sz w:val="28"/>
          <w:szCs w:val="28"/>
        </w:rPr>
        <w:t>，以及中央财政林业科技推广项目方面取得了一系列具有国内外领先水平的科研成果，多项成果已实现产业化。本项目</w:t>
      </w:r>
      <w:r>
        <w:rPr>
          <w:rFonts w:hint="eastAsia"/>
          <w:color w:val="000000"/>
          <w:sz w:val="28"/>
          <w:szCs w:val="28"/>
        </w:rPr>
        <w:t>协作单位陕西省防护林建设工作站为陕西省林业局直属单位，负责协助编制“三北”防护林体系建设、长江防护林建设、防沙治沙等工程建设项目的规划设计并组织实施；负责三北退化林调查和修复工作，多次被评为全国防沙治沙和三北工程先进集体。本项目</w:t>
      </w:r>
      <w:r>
        <w:rPr>
          <w:rFonts w:hint="eastAsia"/>
          <w:sz w:val="28"/>
          <w:szCs w:val="28"/>
        </w:rPr>
        <w:t>依托陕西省防护林建设工作站专项项目“陕西省退化林修复技术规程”（30万经费），专项用于陕西省退化林修复技术规程的起草，</w:t>
      </w:r>
      <w:r>
        <w:rPr>
          <w:color w:val="000000"/>
          <w:sz w:val="28"/>
          <w:szCs w:val="28"/>
        </w:rPr>
        <w:t>为本标准的制定奠定了基础。</w:t>
      </w:r>
      <w:r>
        <w:rPr>
          <w:sz w:val="28"/>
          <w:szCs w:val="28"/>
        </w:rPr>
        <w:t>本规程</w:t>
      </w:r>
      <w:r>
        <w:rPr>
          <w:rFonts w:hint="eastAsia"/>
          <w:sz w:val="28"/>
          <w:szCs w:val="28"/>
        </w:rPr>
        <w:t>起草组</w:t>
      </w:r>
      <w:r>
        <w:rPr>
          <w:sz w:val="28"/>
          <w:szCs w:val="28"/>
        </w:rPr>
        <w:t>由陕西省林业科学院</w:t>
      </w:r>
      <w:r>
        <w:rPr>
          <w:rFonts w:hint="eastAsia"/>
          <w:sz w:val="28"/>
          <w:szCs w:val="28"/>
        </w:rPr>
        <w:t>和陕西省防护林建设工作者</w:t>
      </w:r>
      <w:r>
        <w:rPr>
          <w:sz w:val="28"/>
          <w:szCs w:val="28"/>
        </w:rPr>
        <w:t>一线</w:t>
      </w:r>
      <w:r>
        <w:rPr>
          <w:rFonts w:hint="eastAsia"/>
          <w:sz w:val="28"/>
          <w:szCs w:val="28"/>
        </w:rPr>
        <w:t>科研</w:t>
      </w:r>
      <w:r>
        <w:rPr>
          <w:sz w:val="28"/>
          <w:szCs w:val="28"/>
        </w:rPr>
        <w:t>和</w:t>
      </w:r>
      <w:r>
        <w:rPr>
          <w:rFonts w:hint="eastAsia"/>
          <w:sz w:val="28"/>
          <w:szCs w:val="28"/>
        </w:rPr>
        <w:t>实践</w:t>
      </w:r>
      <w:r>
        <w:rPr>
          <w:sz w:val="28"/>
          <w:szCs w:val="28"/>
        </w:rPr>
        <w:t>人员组成，既有理论基础</w:t>
      </w:r>
      <w:r>
        <w:rPr>
          <w:rFonts w:hint="eastAsia"/>
          <w:sz w:val="28"/>
          <w:szCs w:val="28"/>
        </w:rPr>
        <w:t>又不乏实际经验</w:t>
      </w:r>
      <w:r>
        <w:rPr>
          <w:sz w:val="28"/>
          <w:szCs w:val="28"/>
        </w:rPr>
        <w:t>，为编制出更符合</w:t>
      </w:r>
      <w:r>
        <w:rPr>
          <w:rFonts w:hint="eastAsia"/>
          <w:sz w:val="28"/>
          <w:szCs w:val="28"/>
        </w:rPr>
        <w:t>实际需求</w:t>
      </w:r>
      <w:r>
        <w:rPr>
          <w:sz w:val="28"/>
          <w:szCs w:val="28"/>
        </w:rPr>
        <w:t>，更具可操作性标准提供了保证。</w:t>
      </w:r>
    </w:p>
    <w:p w14:paraId="3E8BCA5A">
      <w:pPr>
        <w:adjustRightInd w:val="0"/>
        <w:snapToGrid w:val="0"/>
        <w:spacing w:before="312" w:beforeLines="100" w:after="160" w:line="360" w:lineRule="auto"/>
        <w:ind w:firstLine="422" w:firstLineChars="150"/>
        <w:rPr>
          <w:rFonts w:hint="eastAsia" w:asciiTheme="minorEastAsia" w:hAnsiTheme="minorEastAsia" w:eastAsiaTheme="minorEastAsia"/>
          <w:b/>
          <w:sz w:val="28"/>
          <w:szCs w:val="28"/>
        </w:rPr>
      </w:pPr>
      <w:r>
        <w:rPr>
          <w:rFonts w:asciiTheme="minorEastAsia" w:hAnsiTheme="minorEastAsia" w:eastAsiaTheme="minorEastAsia"/>
          <w:b/>
          <w:sz w:val="28"/>
          <w:szCs w:val="28"/>
        </w:rPr>
        <w:t>1.4 主要制定过程</w:t>
      </w:r>
    </w:p>
    <w:p w14:paraId="1B963355">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本标准计划下达后，起草组认真制定实施方案，并收集、查阅、整理了</w:t>
      </w:r>
      <w:r>
        <w:rPr>
          <w:rFonts w:eastAsiaTheme="minorEastAsia"/>
          <w:sz w:val="28"/>
          <w:szCs w:val="28"/>
        </w:rPr>
        <w:t>国内外有关</w:t>
      </w:r>
      <w:r>
        <w:rPr>
          <w:rFonts w:hint="eastAsia" w:eastAsiaTheme="minorEastAsia"/>
          <w:sz w:val="28"/>
          <w:szCs w:val="28"/>
        </w:rPr>
        <w:t>退化林修复</w:t>
      </w:r>
      <w:r>
        <w:rPr>
          <w:rFonts w:eastAsiaTheme="minorEastAsia"/>
          <w:sz w:val="28"/>
          <w:szCs w:val="28"/>
        </w:rPr>
        <w:t>的相关文献资料</w:t>
      </w:r>
      <w:r>
        <w:rPr>
          <w:rFonts w:eastAsiaTheme="minorEastAsia"/>
          <w:color w:val="000000"/>
          <w:sz w:val="28"/>
          <w:szCs w:val="28"/>
        </w:rPr>
        <w:t>，并</w:t>
      </w:r>
      <w:r>
        <w:rPr>
          <w:rFonts w:eastAsiaTheme="minorEastAsia"/>
          <w:sz w:val="28"/>
          <w:szCs w:val="28"/>
        </w:rPr>
        <w:t>学习了国家标准化工作的相关政策、法规文件以及相关标准技术资料，同时，</w:t>
      </w:r>
      <w:r>
        <w:rPr>
          <w:rFonts w:eastAsiaTheme="minorEastAsia"/>
          <w:color w:val="000000"/>
          <w:sz w:val="28"/>
          <w:szCs w:val="28"/>
        </w:rPr>
        <w:t>结合我省</w:t>
      </w:r>
      <w:r>
        <w:rPr>
          <w:rFonts w:hint="eastAsia" w:eastAsiaTheme="minorEastAsia"/>
          <w:color w:val="000000"/>
          <w:sz w:val="28"/>
          <w:szCs w:val="28"/>
        </w:rPr>
        <w:t>退化林</w:t>
      </w:r>
      <w:r>
        <w:rPr>
          <w:rFonts w:eastAsiaTheme="minorEastAsia"/>
          <w:color w:val="000000"/>
          <w:sz w:val="28"/>
          <w:szCs w:val="28"/>
        </w:rPr>
        <w:t>现状，</w:t>
      </w:r>
      <w:r>
        <w:rPr>
          <w:rFonts w:eastAsiaTheme="minorEastAsia"/>
          <w:sz w:val="28"/>
          <w:szCs w:val="28"/>
        </w:rPr>
        <w:t>确定了标准的框架。</w:t>
      </w:r>
      <w:r>
        <w:rPr>
          <w:rFonts w:eastAsiaTheme="minorEastAsia"/>
          <w:color w:val="000000"/>
          <w:sz w:val="28"/>
          <w:szCs w:val="28"/>
        </w:rPr>
        <w:t>先后组织科技人员学习了陕西省市场监督管理局地方技术标准编写要求内容，为本标准的编制奠定了稳固的基础。本标准的编制过程大至分成以下四个步骤：</w:t>
      </w:r>
    </w:p>
    <w:p w14:paraId="1F8E7EAE">
      <w:pPr>
        <w:adjustRightInd w:val="0"/>
        <w:snapToGrid w:val="0"/>
        <w:spacing w:before="312" w:beforeLines="100" w:after="160" w:line="360" w:lineRule="auto"/>
        <w:ind w:firstLine="422" w:firstLineChars="150"/>
        <w:rPr>
          <w:rFonts w:hint="eastAsia" w:asciiTheme="minorEastAsia" w:hAnsiTheme="minorEastAsia" w:eastAsiaTheme="minorEastAsia"/>
          <w:b/>
          <w:sz w:val="28"/>
          <w:szCs w:val="28"/>
        </w:rPr>
      </w:pPr>
      <w:r>
        <w:rPr>
          <w:rFonts w:asciiTheme="minorEastAsia" w:hAnsiTheme="minorEastAsia" w:eastAsiaTheme="minorEastAsia"/>
          <w:b/>
          <w:sz w:val="28"/>
          <w:szCs w:val="28"/>
        </w:rPr>
        <w:t>（1）明确标准起草人员分工</w:t>
      </w:r>
    </w:p>
    <w:p w14:paraId="65D1289F">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早在</w:t>
      </w:r>
      <w:r>
        <w:rPr>
          <w:rFonts w:eastAsiaTheme="minorEastAsia"/>
          <w:color w:val="000000"/>
          <w:sz w:val="28"/>
          <w:szCs w:val="28"/>
        </w:rPr>
        <w:t>202</w:t>
      </w:r>
      <w:r>
        <w:rPr>
          <w:rFonts w:hint="eastAsia" w:eastAsiaTheme="minorEastAsia"/>
          <w:color w:val="000000"/>
          <w:sz w:val="28"/>
          <w:szCs w:val="28"/>
        </w:rPr>
        <w:t>2</w:t>
      </w:r>
      <w:r>
        <w:rPr>
          <w:rFonts w:eastAsiaTheme="minorEastAsia"/>
          <w:color w:val="000000"/>
          <w:sz w:val="28"/>
          <w:szCs w:val="28"/>
        </w:rPr>
        <w:t>年</w:t>
      </w:r>
      <w:r>
        <w:rPr>
          <w:rFonts w:hint="eastAsia" w:eastAsiaTheme="minorEastAsia"/>
          <w:color w:val="000000"/>
          <w:sz w:val="28"/>
          <w:szCs w:val="28"/>
        </w:rPr>
        <w:t>8</w:t>
      </w:r>
      <w:r>
        <w:rPr>
          <w:rFonts w:eastAsiaTheme="minorEastAsia"/>
          <w:color w:val="000000"/>
          <w:sz w:val="28"/>
          <w:szCs w:val="28"/>
        </w:rPr>
        <w:t>月</w:t>
      </w:r>
      <w:r>
        <w:rPr>
          <w:rFonts w:hint="eastAsia" w:eastAsiaTheme="minorEastAsia"/>
          <w:color w:val="000000"/>
          <w:sz w:val="28"/>
          <w:szCs w:val="28"/>
        </w:rPr>
        <w:t>，陕西省防护林建设工作站专项项目“陕西省退化林修复技术规程”立项，</w:t>
      </w:r>
      <w:r>
        <w:rPr>
          <w:rFonts w:eastAsiaTheme="minorEastAsia"/>
          <w:color w:val="000000"/>
          <w:sz w:val="28"/>
          <w:szCs w:val="28"/>
        </w:rPr>
        <w:t>项目组及时组织了标准起草小组召开了首次工作会议，确定了标准框架、工作范围，明确了任务分工。</w:t>
      </w:r>
    </w:p>
    <w:p w14:paraId="7672A7B1">
      <w:pPr>
        <w:adjustRightInd w:val="0"/>
        <w:snapToGrid w:val="0"/>
        <w:spacing w:before="312" w:beforeLines="100" w:after="160" w:line="360" w:lineRule="auto"/>
        <w:ind w:firstLine="422" w:firstLineChars="150"/>
        <w:rPr>
          <w:rFonts w:hint="eastAsia" w:asciiTheme="minorEastAsia" w:hAnsiTheme="minorEastAsia" w:eastAsiaTheme="minorEastAsia"/>
          <w:b/>
          <w:sz w:val="28"/>
          <w:szCs w:val="28"/>
        </w:rPr>
      </w:pPr>
      <w:r>
        <w:rPr>
          <w:rFonts w:asciiTheme="minorEastAsia" w:hAnsiTheme="minorEastAsia" w:eastAsiaTheme="minorEastAsia"/>
          <w:b/>
          <w:sz w:val="28"/>
          <w:szCs w:val="28"/>
        </w:rPr>
        <w:t>（2）资料收集与调研</w:t>
      </w:r>
    </w:p>
    <w:p w14:paraId="3D6CFFCE">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2022年</w:t>
      </w:r>
      <w:r>
        <w:rPr>
          <w:rFonts w:hint="eastAsia" w:eastAsiaTheme="minorEastAsia"/>
          <w:color w:val="000000"/>
          <w:sz w:val="28"/>
          <w:szCs w:val="28"/>
        </w:rPr>
        <w:t>8</w:t>
      </w:r>
      <w:r>
        <w:rPr>
          <w:rFonts w:eastAsiaTheme="minorEastAsia"/>
          <w:color w:val="000000"/>
          <w:sz w:val="28"/>
          <w:szCs w:val="28"/>
        </w:rPr>
        <w:t>月-1</w:t>
      </w:r>
      <w:r>
        <w:rPr>
          <w:rFonts w:hint="eastAsia" w:eastAsiaTheme="minorEastAsia"/>
          <w:color w:val="000000"/>
          <w:sz w:val="28"/>
          <w:szCs w:val="28"/>
        </w:rPr>
        <w:t>2</w:t>
      </w:r>
      <w:r>
        <w:rPr>
          <w:rFonts w:eastAsiaTheme="minorEastAsia"/>
          <w:color w:val="000000"/>
          <w:sz w:val="28"/>
          <w:szCs w:val="28"/>
        </w:rPr>
        <w:t>月，搜集、分析国内外有关技术资料，并对相关技术标准进行收集、学习与研判</w:t>
      </w:r>
      <w:r>
        <w:rPr>
          <w:rFonts w:hint="eastAsia" w:eastAsiaTheme="minorEastAsia"/>
          <w:color w:val="000000"/>
          <w:sz w:val="28"/>
          <w:szCs w:val="28"/>
        </w:rPr>
        <w:t>。2023年开始按计划开展我省各个分区退化林的调研，涉及长城沿线毛乌素沙区、黄土丘陵沟壑区、黄河沿岸土石山区、渭北旱塬区、关中平原和陕西秦巴山区共计6个分区，</w:t>
      </w:r>
      <w:r>
        <w:rPr>
          <w:rFonts w:eastAsiaTheme="minorEastAsia"/>
          <w:color w:val="000000"/>
          <w:sz w:val="28"/>
          <w:szCs w:val="28"/>
        </w:rPr>
        <w:t>在此过程中形成了《</w:t>
      </w:r>
      <w:r>
        <w:rPr>
          <w:rFonts w:hint="eastAsia" w:eastAsiaTheme="minorEastAsia"/>
          <w:color w:val="000000"/>
          <w:sz w:val="28"/>
          <w:szCs w:val="28"/>
        </w:rPr>
        <w:t>退化林修复技术规程</w:t>
      </w:r>
      <w:r>
        <w:rPr>
          <w:rFonts w:eastAsiaTheme="minorEastAsia"/>
          <w:color w:val="000000"/>
          <w:sz w:val="28"/>
          <w:szCs w:val="28"/>
        </w:rPr>
        <w:t>》草案</w:t>
      </w:r>
      <w:r>
        <w:rPr>
          <w:rFonts w:hint="eastAsia" w:eastAsiaTheme="minorEastAsia"/>
          <w:color w:val="000000"/>
          <w:sz w:val="28"/>
          <w:szCs w:val="28"/>
        </w:rPr>
        <w:t>。</w:t>
      </w:r>
      <w:r>
        <w:rPr>
          <w:rFonts w:eastAsiaTheme="minorEastAsia"/>
          <w:color w:val="000000"/>
          <w:sz w:val="28"/>
          <w:szCs w:val="28"/>
        </w:rPr>
        <w:t xml:space="preserve"> </w:t>
      </w:r>
    </w:p>
    <w:p w14:paraId="7F45307B">
      <w:pPr>
        <w:adjustRightInd w:val="0"/>
        <w:snapToGrid w:val="0"/>
        <w:spacing w:line="360" w:lineRule="auto"/>
        <w:ind w:left="560" w:firstLine="141" w:firstLineChars="50"/>
        <w:rPr>
          <w:b/>
          <w:sz w:val="28"/>
          <w:szCs w:val="28"/>
        </w:rPr>
      </w:pPr>
      <w:r>
        <w:rPr>
          <w:b/>
          <w:sz w:val="28"/>
          <w:szCs w:val="28"/>
        </w:rPr>
        <w:t>（3）标准文本起草</w:t>
      </w:r>
    </w:p>
    <w:p w14:paraId="343623CD">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202</w:t>
      </w:r>
      <w:r>
        <w:rPr>
          <w:rFonts w:hint="eastAsia" w:eastAsiaTheme="minorEastAsia"/>
          <w:color w:val="000000"/>
          <w:sz w:val="28"/>
          <w:szCs w:val="28"/>
        </w:rPr>
        <w:t>3</w:t>
      </w:r>
      <w:r>
        <w:rPr>
          <w:rFonts w:eastAsiaTheme="minorEastAsia"/>
          <w:color w:val="000000"/>
          <w:sz w:val="28"/>
          <w:szCs w:val="28"/>
        </w:rPr>
        <w:t>年</w:t>
      </w:r>
      <w:r>
        <w:rPr>
          <w:rFonts w:hint="eastAsia" w:eastAsiaTheme="minorEastAsia"/>
          <w:color w:val="000000"/>
          <w:sz w:val="28"/>
          <w:szCs w:val="28"/>
        </w:rPr>
        <w:t>3</w:t>
      </w:r>
      <w:r>
        <w:rPr>
          <w:rFonts w:eastAsiaTheme="minorEastAsia"/>
          <w:color w:val="000000"/>
          <w:sz w:val="28"/>
          <w:szCs w:val="28"/>
        </w:rPr>
        <w:t>月-202</w:t>
      </w:r>
      <w:r>
        <w:rPr>
          <w:rFonts w:hint="eastAsia" w:eastAsiaTheme="minorEastAsia"/>
          <w:color w:val="000000"/>
          <w:sz w:val="28"/>
          <w:szCs w:val="28"/>
        </w:rPr>
        <w:t>3</w:t>
      </w:r>
      <w:r>
        <w:rPr>
          <w:rFonts w:eastAsiaTheme="minorEastAsia"/>
          <w:color w:val="000000"/>
          <w:sz w:val="28"/>
          <w:szCs w:val="28"/>
        </w:rPr>
        <w:t>年</w:t>
      </w:r>
      <w:r>
        <w:rPr>
          <w:rFonts w:hint="eastAsia" w:eastAsiaTheme="minorEastAsia"/>
          <w:color w:val="000000"/>
          <w:sz w:val="28"/>
          <w:szCs w:val="28"/>
        </w:rPr>
        <w:t>11</w:t>
      </w:r>
      <w:r>
        <w:rPr>
          <w:rFonts w:eastAsiaTheme="minorEastAsia"/>
          <w:color w:val="000000"/>
          <w:sz w:val="28"/>
          <w:szCs w:val="28"/>
        </w:rPr>
        <w:t>月，标准起草小组依据GB/T 1.1《标准化工作导则 第1部分：标准的结构和编写》和GB/T 1.2《标准化工作导则 第2部分：标准中规范性技术要素内容的确定方法》与国家有关标准化法律、法规要求，起草了本标准草案。</w:t>
      </w:r>
    </w:p>
    <w:p w14:paraId="6426DD8D">
      <w:pPr>
        <w:adjustRightInd w:val="0"/>
        <w:snapToGrid w:val="0"/>
        <w:spacing w:line="360" w:lineRule="auto"/>
        <w:ind w:left="560" w:firstLine="141" w:firstLineChars="50"/>
        <w:rPr>
          <w:b/>
          <w:sz w:val="28"/>
          <w:szCs w:val="28"/>
        </w:rPr>
      </w:pPr>
      <w:r>
        <w:rPr>
          <w:b/>
          <w:sz w:val="28"/>
          <w:szCs w:val="28"/>
        </w:rPr>
        <w:t>（4）讨论与修改</w:t>
      </w:r>
    </w:p>
    <w:p w14:paraId="4EEF88E6">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2023年</w:t>
      </w:r>
      <w:r>
        <w:rPr>
          <w:rFonts w:hint="eastAsia" w:eastAsiaTheme="minorEastAsia"/>
          <w:color w:val="000000"/>
          <w:sz w:val="28"/>
          <w:szCs w:val="28"/>
        </w:rPr>
        <w:t>12</w:t>
      </w:r>
      <w:r>
        <w:rPr>
          <w:rFonts w:eastAsiaTheme="minorEastAsia"/>
          <w:color w:val="000000"/>
          <w:sz w:val="28"/>
          <w:szCs w:val="28"/>
        </w:rPr>
        <w:t>月-202</w:t>
      </w:r>
      <w:r>
        <w:rPr>
          <w:rFonts w:hint="eastAsia" w:eastAsiaTheme="minorEastAsia"/>
          <w:color w:val="000000"/>
          <w:sz w:val="28"/>
          <w:szCs w:val="28"/>
        </w:rPr>
        <w:t>4</w:t>
      </w:r>
      <w:r>
        <w:rPr>
          <w:rFonts w:eastAsiaTheme="minorEastAsia"/>
          <w:color w:val="000000"/>
          <w:sz w:val="28"/>
          <w:szCs w:val="28"/>
        </w:rPr>
        <w:t>年</w:t>
      </w:r>
      <w:r>
        <w:rPr>
          <w:rFonts w:hint="eastAsia" w:eastAsiaTheme="minorEastAsia"/>
          <w:color w:val="000000"/>
          <w:sz w:val="28"/>
          <w:szCs w:val="28"/>
        </w:rPr>
        <w:t>7</w:t>
      </w:r>
      <w:r>
        <w:rPr>
          <w:rFonts w:eastAsiaTheme="minorEastAsia"/>
          <w:color w:val="000000"/>
          <w:sz w:val="28"/>
          <w:szCs w:val="28"/>
        </w:rPr>
        <w:t>月，标准起草小组经过多次交流、讨论修改之后，向</w:t>
      </w:r>
      <w:r>
        <w:rPr>
          <w:rFonts w:hint="eastAsia" w:eastAsiaTheme="minorEastAsia"/>
          <w:color w:val="000000"/>
          <w:sz w:val="28"/>
          <w:szCs w:val="28"/>
        </w:rPr>
        <w:t>陕西省质量监督管理局申报立项，于9月10日正式发布立项</w:t>
      </w:r>
      <w:r>
        <w:rPr>
          <w:rFonts w:eastAsiaTheme="minorEastAsia"/>
          <w:color w:val="000000"/>
          <w:sz w:val="28"/>
          <w:szCs w:val="28"/>
        </w:rPr>
        <w:t>。</w:t>
      </w:r>
    </w:p>
    <w:p w14:paraId="6B946684">
      <w:pPr>
        <w:adjustRightInd w:val="0"/>
        <w:snapToGrid w:val="0"/>
        <w:spacing w:line="360" w:lineRule="auto"/>
        <w:ind w:left="420" w:leftChars="200"/>
        <w:rPr>
          <w:rFonts w:eastAsia="黑体"/>
          <w:bCs/>
          <w:sz w:val="28"/>
          <w:szCs w:val="28"/>
        </w:rPr>
      </w:pPr>
      <w:r>
        <w:rPr>
          <w:rFonts w:eastAsia="黑体"/>
          <w:bCs/>
          <w:sz w:val="28"/>
          <w:szCs w:val="28"/>
        </w:rPr>
        <w:t>2. 标准的编制原则和主要内容</w:t>
      </w:r>
    </w:p>
    <w:p w14:paraId="224FBB2E">
      <w:pPr>
        <w:adjustRightInd w:val="0"/>
        <w:snapToGrid w:val="0"/>
        <w:spacing w:line="360" w:lineRule="auto"/>
        <w:ind w:left="1005" w:leftChars="211" w:hanging="562" w:hangingChars="200"/>
        <w:rPr>
          <w:rFonts w:eastAsiaTheme="minorEastAsia"/>
          <w:b/>
          <w:sz w:val="28"/>
          <w:szCs w:val="28"/>
        </w:rPr>
      </w:pPr>
      <w:r>
        <w:rPr>
          <w:rFonts w:eastAsiaTheme="minorEastAsia"/>
          <w:b/>
          <w:sz w:val="28"/>
          <w:szCs w:val="28"/>
        </w:rPr>
        <w:t>2.1 编制原则</w:t>
      </w:r>
    </w:p>
    <w:p w14:paraId="79DA109B">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编写格式按照中华人民共和国GB/T 1.1《标准化工作导则 第1部分：标准的结构和编写》和GB/T 1.2《标准化工作导则 第2部分：标准中规范性技术要素内容的确定方法》、《陕西省地方标准制定规范》（DB 61/T 1214—2018）与国家有关标准化法律、法规要求。</w:t>
      </w:r>
    </w:p>
    <w:p w14:paraId="58EF781D">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标准</w:t>
      </w:r>
      <w:r>
        <w:rPr>
          <w:rFonts w:hint="eastAsia" w:eastAsiaTheme="minorEastAsia"/>
          <w:color w:val="000000"/>
          <w:sz w:val="28"/>
          <w:szCs w:val="28"/>
        </w:rPr>
        <w:t>内容考虑到</w:t>
      </w:r>
      <w:r>
        <w:rPr>
          <w:rFonts w:eastAsiaTheme="minorEastAsia"/>
          <w:color w:val="000000"/>
          <w:sz w:val="28"/>
          <w:szCs w:val="28"/>
        </w:rPr>
        <w:t>我省</w:t>
      </w:r>
      <w:r>
        <w:rPr>
          <w:rFonts w:hint="eastAsia" w:eastAsiaTheme="minorEastAsia"/>
          <w:color w:val="000000"/>
          <w:sz w:val="28"/>
          <w:szCs w:val="28"/>
        </w:rPr>
        <w:t>气候及地貌区域典型性，针对缺少因地制宜、针对性强的退化林修复方案这一实际问题，探明不同典型区域退化林现况并剖析原因，以调整林种树种结构、提升林分质量、林地综合效益为目标，因地制宜制订不同典型区域切实可行的退化林修复方案，以期为我省退化林修复、科学绿化和林草事业高质量发展提供技术支持与实践指导。</w:t>
      </w:r>
    </w:p>
    <w:p w14:paraId="07F81E34">
      <w:pPr>
        <w:adjustRightInd w:val="0"/>
        <w:snapToGrid w:val="0"/>
        <w:spacing w:line="360" w:lineRule="auto"/>
        <w:ind w:left="1005" w:leftChars="211" w:hanging="562" w:hangingChars="200"/>
        <w:rPr>
          <w:rFonts w:eastAsiaTheme="minorEastAsia"/>
          <w:b/>
          <w:sz w:val="28"/>
          <w:szCs w:val="28"/>
        </w:rPr>
      </w:pPr>
      <w:r>
        <w:rPr>
          <w:rFonts w:eastAsiaTheme="minorEastAsia"/>
          <w:b/>
          <w:sz w:val="28"/>
          <w:szCs w:val="28"/>
        </w:rPr>
        <w:t>2.2标准确定论据</w:t>
      </w:r>
    </w:p>
    <w:p w14:paraId="3615F3B3">
      <w:pPr>
        <w:adjustRightInd w:val="0"/>
        <w:snapToGrid w:val="0"/>
        <w:spacing w:after="160" w:line="360" w:lineRule="auto"/>
        <w:ind w:firstLine="560" w:firstLineChars="200"/>
        <w:rPr>
          <w:rFonts w:eastAsiaTheme="minorEastAsia"/>
          <w:color w:val="000000"/>
          <w:sz w:val="28"/>
          <w:szCs w:val="28"/>
        </w:rPr>
      </w:pPr>
      <w:r>
        <w:rPr>
          <w:rFonts w:eastAsiaTheme="minorEastAsia"/>
          <w:color w:val="000000"/>
          <w:sz w:val="28"/>
          <w:szCs w:val="28"/>
        </w:rPr>
        <w:t>本标准在起草过程中，充分以现有行业标准为依据，主要包括：</w:t>
      </w:r>
    </w:p>
    <w:p w14:paraId="50E83C8D">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GB/T 15781 森林抚育规程</w:t>
      </w:r>
    </w:p>
    <w:p w14:paraId="6AFEEA2D">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GB/T 15776 造林技术规程</w:t>
      </w:r>
    </w:p>
    <w:p w14:paraId="2FB54113">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GB/T 15163 封山（沙）育林技术规程</w:t>
      </w:r>
    </w:p>
    <w:p w14:paraId="5E11CC12">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GB/T 18337.1 生态公益林建设-导则</w:t>
      </w:r>
    </w:p>
    <w:p w14:paraId="12DA32DC">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GB/T 26424 森林资源规划设计调查技术规程</w:t>
      </w:r>
    </w:p>
    <w:p w14:paraId="2D3E92F5">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GB 6000 主要造林树种苗木质量分级</w:t>
      </w:r>
    </w:p>
    <w:p w14:paraId="469923E5">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LY/T 3179 退化防护林修复技术规程</w:t>
      </w:r>
    </w:p>
    <w:p w14:paraId="707B35CE">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LY/T 2786 三北防护林退化林分修复技术规程</w:t>
      </w:r>
    </w:p>
    <w:p w14:paraId="6F6C7100">
      <w:pPr>
        <w:adjustRightInd w:val="0"/>
        <w:snapToGrid w:val="0"/>
        <w:spacing w:after="160" w:line="360" w:lineRule="auto"/>
        <w:ind w:firstLine="560" w:firstLineChars="200"/>
        <w:rPr>
          <w:rFonts w:eastAsiaTheme="minorEastAsia"/>
          <w:color w:val="000000"/>
          <w:sz w:val="28"/>
          <w:szCs w:val="28"/>
        </w:rPr>
      </w:pPr>
      <w:r>
        <w:rPr>
          <w:rFonts w:hint="eastAsia" w:eastAsiaTheme="minorEastAsia"/>
          <w:color w:val="000000"/>
          <w:sz w:val="28"/>
          <w:szCs w:val="28"/>
        </w:rPr>
        <w:t>LY-T 1646 森林采伐作业规程</w:t>
      </w:r>
    </w:p>
    <w:p w14:paraId="6CAD3641">
      <w:pPr>
        <w:adjustRightInd w:val="0"/>
        <w:snapToGrid w:val="0"/>
        <w:spacing w:line="360" w:lineRule="auto"/>
        <w:ind w:left="1005" w:leftChars="211" w:hanging="562" w:hangingChars="200"/>
        <w:rPr>
          <w:rFonts w:eastAsiaTheme="minorEastAsia"/>
          <w:b/>
          <w:sz w:val="28"/>
          <w:szCs w:val="28"/>
        </w:rPr>
      </w:pPr>
      <w:r>
        <w:rPr>
          <w:rFonts w:eastAsiaTheme="minorEastAsia"/>
          <w:b/>
          <w:sz w:val="28"/>
          <w:szCs w:val="28"/>
        </w:rPr>
        <w:t>2.3标准主要内容</w:t>
      </w:r>
    </w:p>
    <w:p w14:paraId="1C002560">
      <w:pPr>
        <w:adjustRightInd w:val="0"/>
        <w:snapToGrid w:val="0"/>
        <w:spacing w:line="360" w:lineRule="auto"/>
        <w:ind w:firstLine="420" w:firstLineChars="200"/>
        <w:rPr>
          <w:sz w:val="28"/>
          <w:szCs w:val="28"/>
        </w:rPr>
      </w:pPr>
      <w:r>
        <w:drawing>
          <wp:anchor distT="0" distB="0" distL="114300" distR="114300" simplePos="0" relativeHeight="251660288" behindDoc="0" locked="0" layoutInCell="1" allowOverlap="1">
            <wp:simplePos x="0" y="0"/>
            <wp:positionH relativeFrom="column">
              <wp:posOffset>941070</wp:posOffset>
            </wp:positionH>
            <wp:positionV relativeFrom="page">
              <wp:posOffset>4030345</wp:posOffset>
            </wp:positionV>
            <wp:extent cx="3801110" cy="5376545"/>
            <wp:effectExtent l="0" t="0" r="8890" b="0"/>
            <wp:wrapTopAndBottom/>
            <wp:docPr id="14758335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833535" name="图片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3801110" cy="5376545"/>
                    </a:xfrm>
                    <a:prstGeom prst="rect">
                      <a:avLst/>
                    </a:prstGeom>
                    <a:noFill/>
                    <a:ln>
                      <a:noFill/>
                    </a:ln>
                  </pic:spPr>
                </pic:pic>
              </a:graphicData>
            </a:graphic>
          </wp:anchor>
        </w:drawing>
      </w:r>
      <w:r>
        <w:rPr>
          <w:sz w:val="28"/>
          <w:szCs w:val="28"/>
        </w:rPr>
        <w:t>标准主要内容</w:t>
      </w:r>
      <w:r>
        <w:rPr>
          <w:rFonts w:hint="eastAsia"/>
          <w:sz w:val="28"/>
          <w:szCs w:val="28"/>
        </w:rPr>
        <w:t>包含陕西省内退化林的修复对象、修复原则、修复目标、修复措施、调查设计、作业设计和档案管理等，</w:t>
      </w:r>
      <w:r>
        <w:rPr>
          <w:color w:val="000000"/>
          <w:sz w:val="28"/>
          <w:szCs w:val="28"/>
        </w:rPr>
        <w:t>详细</w:t>
      </w:r>
      <w:r>
        <w:rPr>
          <w:sz w:val="28"/>
          <w:szCs w:val="28"/>
        </w:rPr>
        <w:t>规定了</w:t>
      </w:r>
      <w:r>
        <w:rPr>
          <w:rFonts w:hint="eastAsia"/>
          <w:sz w:val="28"/>
          <w:szCs w:val="28"/>
        </w:rPr>
        <w:t>陕西省退化林修复</w:t>
      </w:r>
      <w:r>
        <w:rPr>
          <w:sz w:val="28"/>
          <w:szCs w:val="28"/>
        </w:rPr>
        <w:t>技术的相关内容和技术要求。</w:t>
      </w:r>
      <w:r>
        <w:rPr>
          <w:rFonts w:hint="eastAsia"/>
          <w:sz w:val="28"/>
          <w:szCs w:val="28"/>
        </w:rPr>
        <w:t>退化林修复分区以及技术路线分别见图1与图2。</w:t>
      </w:r>
    </w:p>
    <w:p w14:paraId="3CDCD306">
      <w:pPr>
        <w:adjustRightInd w:val="0"/>
        <w:snapToGrid w:val="0"/>
        <w:spacing w:line="360" w:lineRule="auto"/>
        <w:ind w:left="420" w:leftChars="200"/>
        <w:jc w:val="center"/>
        <w:rPr>
          <w:rFonts w:eastAsia="黑体"/>
          <w:bCs/>
          <w:sz w:val="28"/>
          <w:szCs w:val="28"/>
        </w:rPr>
      </w:pPr>
      <w:r>
        <w:rPr>
          <w:rFonts w:hint="eastAsia" w:eastAsia="黑体"/>
          <w:bCs/>
          <w:sz w:val="28"/>
          <w:szCs w:val="28"/>
        </w:rPr>
        <w:t>图1 陕西省退化林修复分区</w:t>
      </w:r>
    </w:p>
    <w:p w14:paraId="7C04E058">
      <w:pPr>
        <w:adjustRightInd w:val="0"/>
        <w:snapToGrid w:val="0"/>
        <w:spacing w:line="360" w:lineRule="auto"/>
        <w:ind w:left="420" w:leftChars="200"/>
        <w:rPr>
          <w:rFonts w:eastAsia="黑体"/>
          <w:bCs/>
          <w:sz w:val="28"/>
          <w:szCs w:val="28"/>
        </w:rPr>
      </w:pPr>
      <w:r>
        <w:rPr>
          <w:rFonts w:eastAsia="黑体"/>
          <w:bCs/>
          <w:sz w:val="28"/>
          <w:szCs w:val="28"/>
        </w:rPr>
        <w:drawing>
          <wp:anchor distT="0" distB="0" distL="114300" distR="114300" simplePos="0" relativeHeight="251661312" behindDoc="0" locked="0" layoutInCell="1" allowOverlap="1">
            <wp:simplePos x="0" y="0"/>
            <wp:positionH relativeFrom="column">
              <wp:posOffset>86995</wp:posOffset>
            </wp:positionH>
            <wp:positionV relativeFrom="paragraph">
              <wp:posOffset>224155</wp:posOffset>
            </wp:positionV>
            <wp:extent cx="5125720" cy="4610100"/>
            <wp:effectExtent l="0" t="0" r="0" b="0"/>
            <wp:wrapTopAndBottom/>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
                    <a:stretch>
                      <a:fillRect/>
                    </a:stretch>
                  </pic:blipFill>
                  <pic:spPr>
                    <a:xfrm>
                      <a:off x="0" y="0"/>
                      <a:ext cx="5125720" cy="4610100"/>
                    </a:xfrm>
                    <a:prstGeom prst="rect">
                      <a:avLst/>
                    </a:prstGeom>
                  </pic:spPr>
                </pic:pic>
              </a:graphicData>
            </a:graphic>
          </wp:anchor>
        </w:drawing>
      </w:r>
    </w:p>
    <w:p w14:paraId="43DE2857">
      <w:pPr>
        <w:adjustRightInd w:val="0"/>
        <w:snapToGrid w:val="0"/>
        <w:spacing w:line="360" w:lineRule="auto"/>
        <w:ind w:left="420" w:leftChars="200"/>
        <w:jc w:val="center"/>
        <w:rPr>
          <w:rFonts w:eastAsia="黑体"/>
          <w:bCs/>
          <w:sz w:val="28"/>
          <w:szCs w:val="28"/>
        </w:rPr>
      </w:pPr>
      <w:r>
        <w:rPr>
          <w:rFonts w:hint="eastAsia" w:eastAsia="黑体"/>
          <w:bCs/>
          <w:sz w:val="28"/>
          <w:szCs w:val="28"/>
        </w:rPr>
        <w:t>图2 陕西省退化林修复技术路线</w:t>
      </w:r>
    </w:p>
    <w:p w14:paraId="1B3BD073">
      <w:pPr>
        <w:adjustRightInd w:val="0"/>
        <w:snapToGrid w:val="0"/>
        <w:spacing w:line="360" w:lineRule="auto"/>
        <w:ind w:left="1005" w:leftChars="211" w:hanging="562" w:hangingChars="200"/>
        <w:rPr>
          <w:rFonts w:eastAsiaTheme="minorEastAsia"/>
          <w:b/>
          <w:sz w:val="28"/>
          <w:szCs w:val="28"/>
        </w:rPr>
      </w:pPr>
      <w:r>
        <w:rPr>
          <w:rFonts w:hint="eastAsia" w:eastAsiaTheme="minorEastAsia"/>
          <w:b/>
          <w:sz w:val="28"/>
          <w:szCs w:val="28"/>
        </w:rPr>
        <w:t>（1）修复对象</w:t>
      </w:r>
    </w:p>
    <w:p w14:paraId="4B8CA884">
      <w:pPr>
        <w:numPr>
          <w:ilvl w:val="255"/>
          <w:numId w:val="0"/>
        </w:numPr>
        <w:adjustRightInd w:val="0"/>
        <w:snapToGrid w:val="0"/>
        <w:spacing w:after="160" w:line="360" w:lineRule="auto"/>
        <w:ind w:firstLine="560" w:firstLineChars="200"/>
        <w:rPr>
          <w:sz w:val="28"/>
          <w:szCs w:val="28"/>
        </w:rPr>
      </w:pPr>
      <w:r>
        <w:rPr>
          <w:rFonts w:hint="eastAsia"/>
          <w:sz w:val="28"/>
          <w:szCs w:val="28"/>
        </w:rPr>
        <w:t>陕西省境内受人为或自然因素影响，森林生产力和生态服务功能出现逆向改变的林分。</w:t>
      </w:r>
    </w:p>
    <w:p w14:paraId="65CBA5F5">
      <w:pPr>
        <w:adjustRightInd w:val="0"/>
        <w:snapToGrid w:val="0"/>
        <w:spacing w:line="360" w:lineRule="auto"/>
        <w:ind w:left="1005" w:leftChars="211" w:hanging="562" w:hangingChars="200"/>
        <w:rPr>
          <w:rFonts w:eastAsiaTheme="minorEastAsia"/>
          <w:b/>
          <w:sz w:val="28"/>
          <w:szCs w:val="28"/>
        </w:rPr>
      </w:pPr>
      <w:r>
        <w:rPr>
          <w:rFonts w:hint="eastAsia" w:eastAsiaTheme="minorEastAsia"/>
          <w:b/>
          <w:sz w:val="28"/>
          <w:szCs w:val="28"/>
        </w:rPr>
        <w:t>（2）修复原则</w:t>
      </w:r>
    </w:p>
    <w:p w14:paraId="20CC0377">
      <w:pPr>
        <w:numPr>
          <w:ilvl w:val="255"/>
          <w:numId w:val="0"/>
        </w:numPr>
        <w:adjustRightInd w:val="0"/>
        <w:snapToGrid w:val="0"/>
        <w:spacing w:after="160" w:line="360" w:lineRule="auto"/>
        <w:ind w:firstLine="560" w:firstLineChars="200"/>
        <w:rPr>
          <w:sz w:val="28"/>
          <w:szCs w:val="28"/>
        </w:rPr>
      </w:pPr>
      <w:r>
        <w:rPr>
          <w:rFonts w:hint="eastAsia"/>
          <w:sz w:val="28"/>
          <w:szCs w:val="28"/>
        </w:rPr>
        <w:t>分区修复。根据陕西省退化林6个典型分区不同特点，因地制宜，分类失策。</w:t>
      </w:r>
    </w:p>
    <w:p w14:paraId="0DBB4D1E">
      <w:pPr>
        <w:numPr>
          <w:ilvl w:val="255"/>
          <w:numId w:val="0"/>
        </w:numPr>
        <w:adjustRightInd w:val="0"/>
        <w:snapToGrid w:val="0"/>
        <w:spacing w:after="160" w:line="360" w:lineRule="auto"/>
        <w:ind w:firstLine="560" w:firstLineChars="200"/>
        <w:rPr>
          <w:sz w:val="28"/>
          <w:szCs w:val="28"/>
        </w:rPr>
      </w:pPr>
      <w:r>
        <w:rPr>
          <w:rFonts w:hint="eastAsia"/>
          <w:sz w:val="28"/>
          <w:szCs w:val="28"/>
        </w:rPr>
        <w:t>科学修复。宜乔则乔，宜灌则灌，宜草则草，宜荒则荒，优先选用乡土植物种。</w:t>
      </w:r>
    </w:p>
    <w:p w14:paraId="7364390A">
      <w:pPr>
        <w:adjustRightInd w:val="0"/>
        <w:snapToGrid w:val="0"/>
        <w:spacing w:line="360" w:lineRule="auto"/>
        <w:ind w:left="1005" w:leftChars="211" w:hanging="562" w:hangingChars="200"/>
        <w:rPr>
          <w:rFonts w:eastAsiaTheme="minorEastAsia"/>
          <w:b/>
          <w:sz w:val="28"/>
          <w:szCs w:val="28"/>
        </w:rPr>
      </w:pPr>
      <w:r>
        <w:rPr>
          <w:rFonts w:hint="eastAsia" w:eastAsiaTheme="minorEastAsia"/>
          <w:b/>
          <w:sz w:val="28"/>
          <w:szCs w:val="28"/>
        </w:rPr>
        <w:t>（3）修复目标</w:t>
      </w:r>
    </w:p>
    <w:p w14:paraId="19D7B8D6">
      <w:pPr>
        <w:numPr>
          <w:ilvl w:val="255"/>
          <w:numId w:val="0"/>
        </w:numPr>
        <w:adjustRightInd w:val="0"/>
        <w:snapToGrid w:val="0"/>
        <w:spacing w:after="160" w:line="360" w:lineRule="auto"/>
        <w:ind w:firstLine="560" w:firstLineChars="200"/>
        <w:rPr>
          <w:sz w:val="28"/>
          <w:szCs w:val="28"/>
        </w:rPr>
      </w:pPr>
      <w:r>
        <w:rPr>
          <w:rFonts w:hint="eastAsia"/>
          <w:sz w:val="28"/>
          <w:szCs w:val="28"/>
        </w:rPr>
        <w:t>科学规划退化林区、合理制定定修复措施。对退化林区深入调查后，认真分析退化成因，合理确定退化修复对象，科学编制作业设计及改造模式。坚持尊重自然、因地制宜、分类施策、突出重点、合理推进的原则，采取切实有效的措施，优先改造提升退化、老化严重、生态区位重要的退化林，科学选择树种，合理配置密度，优化林分结构，提升林分质量。具体达到以下两个修复目标：</w:t>
      </w:r>
    </w:p>
    <w:p w14:paraId="03188A92">
      <w:pPr>
        <w:numPr>
          <w:ilvl w:val="255"/>
          <w:numId w:val="0"/>
        </w:numPr>
        <w:adjustRightInd w:val="0"/>
        <w:snapToGrid w:val="0"/>
        <w:spacing w:after="160" w:line="360" w:lineRule="auto"/>
        <w:ind w:firstLine="560" w:firstLineChars="200"/>
        <w:rPr>
          <w:sz w:val="28"/>
          <w:szCs w:val="28"/>
        </w:rPr>
      </w:pPr>
      <w:r>
        <w:rPr>
          <w:rFonts w:hint="eastAsia"/>
          <w:sz w:val="28"/>
          <w:szCs w:val="28"/>
        </w:rPr>
        <w:t>a) 恢复或提升退化林森林生产力和生态服务功能。</w:t>
      </w:r>
    </w:p>
    <w:p w14:paraId="251B51A1">
      <w:pPr>
        <w:numPr>
          <w:ilvl w:val="255"/>
          <w:numId w:val="0"/>
        </w:numPr>
        <w:adjustRightInd w:val="0"/>
        <w:snapToGrid w:val="0"/>
        <w:spacing w:after="160" w:line="360" w:lineRule="auto"/>
        <w:ind w:firstLine="560" w:firstLineChars="200"/>
        <w:rPr>
          <w:sz w:val="28"/>
          <w:szCs w:val="28"/>
        </w:rPr>
      </w:pPr>
      <w:r>
        <w:rPr>
          <w:rFonts w:hint="eastAsia"/>
          <w:sz w:val="28"/>
          <w:szCs w:val="28"/>
        </w:rPr>
        <w:t>b) 满足a)的情况下，在立地条件良好的条件下，以形成乔-灌-针-阔混交、层次错落有致、季相多彩分明为修复目标；在立地条件较差的条件下，宜灌则灌宜草则草宜荒则荒。</w:t>
      </w:r>
    </w:p>
    <w:p w14:paraId="40727266">
      <w:pPr>
        <w:adjustRightInd w:val="0"/>
        <w:snapToGrid w:val="0"/>
        <w:spacing w:line="360" w:lineRule="auto"/>
        <w:ind w:left="1005" w:leftChars="211" w:hanging="562" w:hangingChars="200"/>
        <w:rPr>
          <w:rFonts w:eastAsiaTheme="minorEastAsia"/>
          <w:b/>
          <w:sz w:val="28"/>
          <w:szCs w:val="28"/>
        </w:rPr>
      </w:pPr>
      <w:r>
        <w:rPr>
          <w:rFonts w:hint="eastAsia" w:eastAsiaTheme="minorEastAsia"/>
          <w:b/>
          <w:sz w:val="28"/>
          <w:szCs w:val="28"/>
        </w:rPr>
        <w:t>（4）典型修复分区</w:t>
      </w:r>
    </w:p>
    <w:p w14:paraId="22443F8E">
      <w:pPr>
        <w:numPr>
          <w:ilvl w:val="255"/>
          <w:numId w:val="0"/>
        </w:numPr>
        <w:adjustRightInd w:val="0"/>
        <w:snapToGrid w:val="0"/>
        <w:spacing w:after="160" w:line="360" w:lineRule="auto"/>
        <w:ind w:firstLine="560" w:firstLineChars="200"/>
        <w:rPr>
          <w:sz w:val="28"/>
          <w:szCs w:val="28"/>
        </w:rPr>
      </w:pPr>
      <w:r>
        <w:rPr>
          <w:rFonts w:hint="eastAsia"/>
          <w:sz w:val="28"/>
          <w:szCs w:val="28"/>
        </w:rPr>
        <w:t>a)长城沿线毛乌素沙区，沙地面积大,森林资源贫乏,植被覆盖度低,群落稳定性差,生态环境脆弱。林分退化原因主要是生理原因和立地原因，以更替修复、补植补播、平茬复壮和封育修复为主。因人类放牧啃食而衰败退化的乔木林应实行封育和人工促进更新修复，沙柳等灌木林宜实行平茬复壮。</w:t>
      </w:r>
    </w:p>
    <w:p w14:paraId="01D8FEC1">
      <w:pPr>
        <w:numPr>
          <w:ilvl w:val="255"/>
          <w:numId w:val="0"/>
        </w:numPr>
        <w:adjustRightInd w:val="0"/>
        <w:snapToGrid w:val="0"/>
        <w:spacing w:after="160" w:line="360" w:lineRule="auto"/>
        <w:ind w:firstLine="560" w:firstLineChars="200"/>
        <w:rPr>
          <w:sz w:val="28"/>
          <w:szCs w:val="28"/>
        </w:rPr>
      </w:pPr>
      <w:r>
        <w:rPr>
          <w:rFonts w:hint="eastAsia"/>
          <w:sz w:val="28"/>
          <w:szCs w:val="28"/>
        </w:rPr>
        <w:t>b)黄土丘陵沟壑区，气候干旱,降雨量较少,植被稀疏,水土流失严重,造林保存率不高,生态环境脆弱。林分退化原因主要是立地原因和生理原因，局部地区出现灾害原因，以择伐补植和抚育修复为主。因栽植密度大形成的“小老树”林，补植密度不应大于180棵/亩。</w:t>
      </w:r>
    </w:p>
    <w:p w14:paraId="19B2C2A4">
      <w:pPr>
        <w:numPr>
          <w:ilvl w:val="255"/>
          <w:numId w:val="0"/>
        </w:numPr>
        <w:adjustRightInd w:val="0"/>
        <w:snapToGrid w:val="0"/>
        <w:spacing w:after="160" w:line="360" w:lineRule="auto"/>
        <w:ind w:firstLine="560" w:firstLineChars="200"/>
        <w:rPr>
          <w:sz w:val="28"/>
          <w:szCs w:val="28"/>
        </w:rPr>
      </w:pPr>
      <w:r>
        <w:rPr>
          <w:rFonts w:hint="eastAsia"/>
          <w:sz w:val="28"/>
          <w:szCs w:val="28"/>
        </w:rPr>
        <w:t>c)黄河沿岸土石山区，干旱缺水,土壤贫瘠，立地条件差。林分退化原因主要是立地原因，以补植补播和抚育修复为主。补种豆科植物，逐步改善土壤条件，改善植物生长环境。</w:t>
      </w:r>
    </w:p>
    <w:p w14:paraId="0F48A07C">
      <w:pPr>
        <w:numPr>
          <w:ilvl w:val="255"/>
          <w:numId w:val="0"/>
        </w:numPr>
        <w:adjustRightInd w:val="0"/>
        <w:snapToGrid w:val="0"/>
        <w:spacing w:after="160" w:line="360" w:lineRule="auto"/>
        <w:ind w:firstLine="560" w:firstLineChars="200"/>
        <w:rPr>
          <w:sz w:val="28"/>
          <w:szCs w:val="28"/>
        </w:rPr>
      </w:pPr>
      <w:r>
        <w:rPr>
          <w:rFonts w:hint="eastAsia"/>
          <w:sz w:val="28"/>
          <w:szCs w:val="28"/>
        </w:rPr>
        <w:t>d)渭北旱塬区，气候持续干旱,天然植被稀少,人工造林保存率低,水蚀严重,水土流失面积大。林分退化原因主要是立地原因和生理原因，局部地区出现灾害原因，以择伐补植和抚育修复为主。自然灾害原因，应采取造林和补植补播措施；病虫害原因，应做好病虫害防控工作，清除病害林木，及时进行人工更新。</w:t>
      </w:r>
    </w:p>
    <w:p w14:paraId="46935CE4">
      <w:pPr>
        <w:numPr>
          <w:ilvl w:val="255"/>
          <w:numId w:val="0"/>
        </w:numPr>
        <w:adjustRightInd w:val="0"/>
        <w:snapToGrid w:val="0"/>
        <w:spacing w:after="160" w:line="360" w:lineRule="auto"/>
        <w:ind w:firstLine="560" w:firstLineChars="200"/>
        <w:rPr>
          <w:sz w:val="28"/>
          <w:szCs w:val="28"/>
        </w:rPr>
      </w:pPr>
      <w:r>
        <w:rPr>
          <w:rFonts w:hint="eastAsia"/>
          <w:sz w:val="28"/>
          <w:szCs w:val="28"/>
        </w:rPr>
        <w:t>e)关中平原，地势平坦,土壤肥沃,水资源较丰富，立地条件较好。林分退化原因主要是生理原因，以更替修复和抚育修复为主。</w:t>
      </w:r>
    </w:p>
    <w:p w14:paraId="23A8E840">
      <w:pPr>
        <w:numPr>
          <w:ilvl w:val="255"/>
          <w:numId w:val="0"/>
        </w:numPr>
        <w:adjustRightInd w:val="0"/>
        <w:snapToGrid w:val="0"/>
        <w:spacing w:after="160" w:line="360" w:lineRule="auto"/>
        <w:ind w:firstLine="560" w:firstLineChars="200"/>
        <w:rPr>
          <w:sz w:val="28"/>
          <w:szCs w:val="28"/>
        </w:rPr>
      </w:pPr>
      <w:r>
        <w:rPr>
          <w:rFonts w:hint="eastAsia"/>
          <w:sz w:val="28"/>
          <w:szCs w:val="28"/>
        </w:rPr>
        <w:t>f)陕西秦巴山区，土地肥沃，气候温和水资源丰富。林分退化原因主要是松材线虫病害，以择伐补植、抚育修复为主。</w:t>
      </w:r>
    </w:p>
    <w:p w14:paraId="1E0D26E2">
      <w:pPr>
        <w:adjustRightInd w:val="0"/>
        <w:snapToGrid w:val="0"/>
        <w:spacing w:line="360" w:lineRule="auto"/>
        <w:ind w:left="1005" w:leftChars="211" w:hanging="562" w:hangingChars="200"/>
        <w:rPr>
          <w:rFonts w:eastAsiaTheme="minorEastAsia"/>
          <w:b/>
          <w:sz w:val="28"/>
          <w:szCs w:val="28"/>
        </w:rPr>
      </w:pPr>
      <w:r>
        <w:rPr>
          <w:rFonts w:hint="eastAsia" w:eastAsiaTheme="minorEastAsia"/>
          <w:b/>
          <w:sz w:val="28"/>
          <w:szCs w:val="28"/>
        </w:rPr>
        <w:t>（5）修复措施</w:t>
      </w:r>
    </w:p>
    <w:p w14:paraId="29E4E556">
      <w:pPr>
        <w:numPr>
          <w:ilvl w:val="255"/>
          <w:numId w:val="0"/>
        </w:numPr>
        <w:adjustRightInd w:val="0"/>
        <w:snapToGrid w:val="0"/>
        <w:spacing w:after="160" w:line="360" w:lineRule="auto"/>
        <w:ind w:firstLine="560" w:firstLineChars="200"/>
        <w:rPr>
          <w:sz w:val="28"/>
          <w:szCs w:val="28"/>
        </w:rPr>
      </w:pPr>
      <w:r>
        <w:rPr>
          <w:rFonts w:hint="eastAsia"/>
          <w:sz w:val="28"/>
          <w:szCs w:val="28"/>
        </w:rPr>
        <w:t>修复措施包括更替修复、择伐补植、抚育和封育。</w:t>
      </w:r>
    </w:p>
    <w:p w14:paraId="5E1B79A0">
      <w:pPr>
        <w:adjustRightInd w:val="0"/>
        <w:snapToGrid w:val="0"/>
        <w:spacing w:line="360" w:lineRule="auto"/>
        <w:ind w:left="420" w:leftChars="200"/>
        <w:rPr>
          <w:rFonts w:eastAsia="黑体"/>
          <w:bCs/>
          <w:sz w:val="28"/>
          <w:szCs w:val="28"/>
        </w:rPr>
      </w:pPr>
      <w:r>
        <w:rPr>
          <w:rFonts w:hint="eastAsia" w:eastAsia="黑体"/>
          <w:bCs/>
          <w:sz w:val="28"/>
          <w:szCs w:val="28"/>
        </w:rPr>
        <w:t>3.知识产权说明</w:t>
      </w:r>
    </w:p>
    <w:p w14:paraId="052EEC66">
      <w:pPr>
        <w:adjustRightInd w:val="0"/>
        <w:snapToGrid w:val="0"/>
        <w:spacing w:after="160" w:line="360" w:lineRule="auto"/>
        <w:ind w:left="420" w:leftChars="200"/>
        <w:rPr>
          <w:rFonts w:eastAsiaTheme="minorEastAsia"/>
          <w:kern w:val="0"/>
          <w:sz w:val="28"/>
          <w:szCs w:val="28"/>
        </w:rPr>
      </w:pPr>
      <w:r>
        <w:rPr>
          <w:rFonts w:eastAsiaTheme="minorEastAsia"/>
          <w:kern w:val="0"/>
          <w:sz w:val="28"/>
          <w:szCs w:val="28"/>
        </w:rPr>
        <w:t>本标准不涉及专利问题。</w:t>
      </w:r>
    </w:p>
    <w:p w14:paraId="13261821">
      <w:pPr>
        <w:adjustRightInd w:val="0"/>
        <w:snapToGrid w:val="0"/>
        <w:spacing w:line="360" w:lineRule="auto"/>
        <w:ind w:left="420" w:leftChars="200"/>
        <w:rPr>
          <w:rFonts w:hint="eastAsia" w:asciiTheme="minorEastAsia" w:hAnsiTheme="minorEastAsia" w:eastAsiaTheme="minorEastAsia"/>
          <w:b/>
          <w:sz w:val="28"/>
          <w:szCs w:val="28"/>
        </w:rPr>
      </w:pPr>
      <w:r>
        <w:rPr>
          <w:rFonts w:hint="eastAsia" w:eastAsia="黑体"/>
          <w:bCs/>
          <w:sz w:val="28"/>
          <w:szCs w:val="28"/>
        </w:rPr>
        <w:t>4.采用国</w:t>
      </w:r>
      <w:r>
        <w:rPr>
          <w:rFonts w:eastAsia="黑体"/>
          <w:bCs/>
          <w:sz w:val="28"/>
          <w:szCs w:val="28"/>
        </w:rPr>
        <w:t>家</w:t>
      </w:r>
      <w:r>
        <w:rPr>
          <w:rFonts w:hint="eastAsia" w:eastAsia="黑体"/>
          <w:bCs/>
          <w:sz w:val="28"/>
          <w:szCs w:val="28"/>
        </w:rPr>
        <w:t>标准和国</w:t>
      </w:r>
      <w:r>
        <w:rPr>
          <w:rFonts w:eastAsia="黑体"/>
          <w:bCs/>
          <w:sz w:val="28"/>
          <w:szCs w:val="28"/>
        </w:rPr>
        <w:t>内</w:t>
      </w:r>
      <w:r>
        <w:rPr>
          <w:rFonts w:hint="eastAsia" w:eastAsia="黑体"/>
          <w:bCs/>
          <w:sz w:val="28"/>
          <w:szCs w:val="28"/>
        </w:rPr>
        <w:t>先进标准的程度，以及与</w:t>
      </w:r>
      <w:r>
        <w:rPr>
          <w:rFonts w:eastAsia="黑体"/>
          <w:bCs/>
          <w:sz w:val="28"/>
          <w:szCs w:val="28"/>
        </w:rPr>
        <w:t>国内</w:t>
      </w:r>
      <w:r>
        <w:rPr>
          <w:rFonts w:hint="eastAsia" w:eastAsia="黑体"/>
          <w:bCs/>
          <w:sz w:val="28"/>
          <w:szCs w:val="28"/>
        </w:rPr>
        <w:t>同类标准水</w:t>
      </w:r>
      <w:r>
        <w:rPr>
          <w:rFonts w:hint="eastAsia" w:asciiTheme="minorEastAsia" w:hAnsiTheme="minorEastAsia" w:eastAsiaTheme="minorEastAsia"/>
          <w:b/>
          <w:sz w:val="28"/>
          <w:szCs w:val="28"/>
        </w:rPr>
        <w:t>平的对比情况</w:t>
      </w:r>
    </w:p>
    <w:p w14:paraId="232F0E0F">
      <w:pPr>
        <w:adjustRightInd w:val="0"/>
        <w:snapToGrid w:val="0"/>
        <w:spacing w:after="160" w:line="360" w:lineRule="auto"/>
        <w:ind w:firstLine="420"/>
        <w:rPr>
          <w:sz w:val="28"/>
          <w:szCs w:val="28"/>
        </w:rPr>
      </w:pPr>
      <w:r>
        <w:rPr>
          <w:rFonts w:hint="eastAsia"/>
          <w:sz w:val="28"/>
          <w:szCs w:val="28"/>
        </w:rPr>
        <w:t>LY/T 3179-2020《退化防护林修复技术规程》中涉及全国范围内的退化防护林，没有涉及到其他四类林种；LY/T 3179-2020适用范围广，但不能准确反映陕西省退化林分布及状况的典型性。类似的，LY/T 2786-2017《三北防护林退化林分修复技术规程》中仅涉及三北工程范围内的退化防护林。</w:t>
      </w:r>
    </w:p>
    <w:p w14:paraId="20AB6702">
      <w:pPr>
        <w:adjustRightInd w:val="0"/>
        <w:snapToGrid w:val="0"/>
        <w:spacing w:after="160" w:line="360" w:lineRule="auto"/>
        <w:ind w:firstLine="420"/>
        <w:rPr>
          <w:sz w:val="28"/>
          <w:szCs w:val="28"/>
        </w:rPr>
      </w:pPr>
      <w:r>
        <w:rPr>
          <w:rFonts w:hint="eastAsia"/>
          <w:sz w:val="28"/>
          <w:szCs w:val="28"/>
        </w:rPr>
        <w:t>2024年9月由国家林草局最新发布的《退化林修复技术规程（试行）》中是以退化乔木林、退化灌木林和退化竹林为分类体系，本拟制定标准针对陕西省地域和气候特征，划分为6个典型分区，并给出了典型区退化林主要成因和修复措施。</w:t>
      </w:r>
    </w:p>
    <w:p w14:paraId="10A9D55F">
      <w:pPr>
        <w:adjustRightInd w:val="0"/>
        <w:snapToGrid w:val="0"/>
        <w:spacing w:after="160" w:line="360" w:lineRule="auto"/>
        <w:ind w:firstLine="420"/>
        <w:rPr>
          <w:sz w:val="28"/>
          <w:szCs w:val="28"/>
        </w:rPr>
      </w:pPr>
      <w:r>
        <w:rPr>
          <w:rFonts w:hint="eastAsia"/>
          <w:sz w:val="28"/>
          <w:szCs w:val="28"/>
        </w:rPr>
        <w:t>现有标准中没有涉及退化林修复的景观要求，本拟制定标准在恢复或提升退化林森林生产力和生态服务功能的前提下，遵循科学绿化原则，制定了科学的修复目标：在立地条件良好的条件下，以形成乔-灌-针-阔混交、层次错落有致、季相多彩分明为修复目标；在立地条件较差的条件下，宜灌则灌宜草则草宜荒则荒。</w:t>
      </w:r>
    </w:p>
    <w:p w14:paraId="18103A2B">
      <w:pPr>
        <w:adjustRightInd w:val="0"/>
        <w:snapToGrid w:val="0"/>
        <w:spacing w:line="360" w:lineRule="auto"/>
        <w:ind w:firstLine="420"/>
        <w:rPr>
          <w:rFonts w:eastAsia="黑体"/>
          <w:bCs/>
          <w:sz w:val="28"/>
          <w:szCs w:val="28"/>
        </w:rPr>
      </w:pPr>
      <w:r>
        <w:rPr>
          <w:rFonts w:hint="eastAsia" w:eastAsia="黑体"/>
          <w:bCs/>
          <w:sz w:val="28"/>
          <w:szCs w:val="28"/>
        </w:rPr>
        <w:t>5</w:t>
      </w:r>
      <w:r>
        <w:rPr>
          <w:rFonts w:eastAsia="黑体"/>
          <w:bCs/>
          <w:sz w:val="28"/>
          <w:szCs w:val="28"/>
        </w:rPr>
        <w:t>. 重大分歧意见的处理经过和依据</w:t>
      </w:r>
    </w:p>
    <w:p w14:paraId="13496B0F">
      <w:pPr>
        <w:adjustRightInd w:val="0"/>
        <w:snapToGrid w:val="0"/>
        <w:spacing w:after="160" w:line="360" w:lineRule="auto"/>
        <w:ind w:firstLine="560" w:firstLineChars="200"/>
        <w:rPr>
          <w:sz w:val="28"/>
          <w:szCs w:val="28"/>
        </w:rPr>
      </w:pPr>
      <w:r>
        <w:rPr>
          <w:sz w:val="28"/>
          <w:szCs w:val="28"/>
        </w:rPr>
        <w:t>本标准现处于征求意见阶段，欢迎我省有关科研、管理和生产单位提出修改意见。同时本标准属于推荐性省级地方标准，所规定的技术内容和要求具有普遍指导作用，建议使用单位结合生产实际情况，加以灵活应用，有不同意见时欢迎与标准起草人员进行沟通与讨论，在沟通无果的情况下，可本着求同存异的理念加以应用，或修订、研发、执行新的适用技术标准。</w:t>
      </w:r>
    </w:p>
    <w:p w14:paraId="26A86C68">
      <w:pPr>
        <w:adjustRightInd w:val="0"/>
        <w:snapToGrid w:val="0"/>
        <w:spacing w:line="360" w:lineRule="auto"/>
        <w:ind w:firstLine="420"/>
        <w:rPr>
          <w:rFonts w:eastAsia="黑体"/>
          <w:bCs/>
          <w:sz w:val="28"/>
          <w:szCs w:val="28"/>
        </w:rPr>
      </w:pPr>
      <w:r>
        <w:rPr>
          <w:rFonts w:hint="eastAsia" w:eastAsia="黑体"/>
          <w:bCs/>
          <w:sz w:val="28"/>
          <w:szCs w:val="28"/>
        </w:rPr>
        <w:t>6</w:t>
      </w:r>
      <w:r>
        <w:rPr>
          <w:rFonts w:eastAsia="黑体"/>
          <w:bCs/>
          <w:sz w:val="28"/>
          <w:szCs w:val="28"/>
        </w:rPr>
        <w:t>. 其他应予说明的事项</w:t>
      </w:r>
    </w:p>
    <w:p w14:paraId="682021A3">
      <w:pPr>
        <w:adjustRightInd w:val="0"/>
        <w:snapToGrid w:val="0"/>
        <w:spacing w:line="360" w:lineRule="auto"/>
        <w:ind w:firstLine="560" w:firstLineChars="200"/>
        <w:rPr>
          <w:sz w:val="28"/>
          <w:szCs w:val="28"/>
        </w:rPr>
      </w:pPr>
      <w:r>
        <w:rPr>
          <w:color w:val="000000"/>
          <w:sz w:val="28"/>
          <w:szCs w:val="28"/>
        </w:rPr>
        <w:t>无</w:t>
      </w:r>
    </w:p>
    <w:p w14:paraId="631FE6A7">
      <w:pPr>
        <w:spacing w:line="360" w:lineRule="auto"/>
        <w:jc w:val="right"/>
        <w:rPr>
          <w:sz w:val="24"/>
          <w:szCs w:val="24"/>
        </w:rPr>
      </w:pPr>
    </w:p>
    <w:p w14:paraId="6EF6B54D">
      <w:pPr>
        <w:spacing w:line="360" w:lineRule="auto"/>
        <w:jc w:val="right"/>
        <w:rPr>
          <w:sz w:val="24"/>
          <w:szCs w:val="24"/>
        </w:rPr>
      </w:pPr>
    </w:p>
    <w:p w14:paraId="776FFC7C">
      <w:pPr>
        <w:spacing w:line="360" w:lineRule="auto"/>
        <w:jc w:val="right"/>
        <w:rPr>
          <w:sz w:val="28"/>
          <w:szCs w:val="28"/>
        </w:rPr>
      </w:pPr>
      <w:r>
        <w:rPr>
          <w:sz w:val="28"/>
          <w:szCs w:val="28"/>
        </w:rPr>
        <w:t>《</w:t>
      </w:r>
      <w:r>
        <w:rPr>
          <w:rFonts w:hint="eastAsia"/>
          <w:sz w:val="28"/>
          <w:szCs w:val="28"/>
        </w:rPr>
        <w:t>退化林修复技术规程</w:t>
      </w:r>
      <w:r>
        <w:rPr>
          <w:sz w:val="28"/>
          <w:szCs w:val="28"/>
        </w:rPr>
        <w:t>》陕西省地方标准起草组</w:t>
      </w:r>
    </w:p>
    <w:p w14:paraId="273AA5C3">
      <w:pPr>
        <w:jc w:val="center"/>
        <w:rPr>
          <w:b/>
          <w:bCs/>
          <w:sz w:val="28"/>
          <w:szCs w:val="28"/>
        </w:rPr>
      </w:pPr>
      <w:r>
        <w:rPr>
          <w:sz w:val="28"/>
          <w:szCs w:val="28"/>
        </w:rPr>
        <w:t xml:space="preserve">             </w:t>
      </w:r>
      <w:r>
        <w:rPr>
          <w:rFonts w:hint="eastAsia"/>
          <w:sz w:val="28"/>
          <w:szCs w:val="28"/>
        </w:rPr>
        <w:t xml:space="preserve">            </w:t>
      </w:r>
      <w:r>
        <w:rPr>
          <w:sz w:val="28"/>
          <w:szCs w:val="28"/>
        </w:rPr>
        <w:t>二〇二</w:t>
      </w:r>
      <w:r>
        <w:rPr>
          <w:rFonts w:hint="eastAsia"/>
          <w:sz w:val="28"/>
          <w:szCs w:val="28"/>
        </w:rPr>
        <w:t>五</w:t>
      </w:r>
      <w:r>
        <w:rPr>
          <w:sz w:val="28"/>
          <w:szCs w:val="28"/>
        </w:rPr>
        <w:t>年</w:t>
      </w:r>
      <w:r>
        <w:rPr>
          <w:rFonts w:hint="eastAsia"/>
          <w:sz w:val="28"/>
          <w:szCs w:val="28"/>
        </w:rPr>
        <w:t>二</w:t>
      </w:r>
      <w:r>
        <w:rPr>
          <w:sz w:val="28"/>
          <w:szCs w:val="28"/>
        </w:rPr>
        <w:t>月</w:t>
      </w:r>
      <w:r>
        <w:rPr>
          <w:rFonts w:hint="eastAsia"/>
          <w:sz w:val="28"/>
          <w:szCs w:val="28"/>
        </w:rPr>
        <w:t>二十日</w:t>
      </w:r>
    </w:p>
    <w:sectPr>
      <w:footerReference r:id="rId3"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56D4D">
    <w:pPr>
      <w:pStyle w:val="3"/>
      <w:jc w:val="right"/>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2007890825"/>
                          </w:sdtPr>
                          <w:sdtContent>
                            <w:p w14:paraId="317B649C">
                              <w:pPr>
                                <w:pStyle w:val="3"/>
                                <w:jc w:val="right"/>
                              </w:pPr>
                              <w:r>
                                <w:fldChar w:fldCharType="begin"/>
                              </w:r>
                              <w:r>
                                <w:instrText xml:space="preserve">PAGE   \* MERGEFORMAT</w:instrText>
                              </w:r>
                              <w:r>
                                <w:fldChar w:fldCharType="separate"/>
                              </w:r>
                              <w:r>
                                <w:rPr>
                                  <w:lang w:val="zh-CN"/>
                                </w:rPr>
                                <w:t>7</w:t>
                              </w:r>
                              <w:r>
                                <w:fldChar w:fldCharType="end"/>
                              </w:r>
                            </w:p>
                          </w:sdtContent>
                        </w:sdt>
                        <w:p w14:paraId="34E9E626"/>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sdt>
                    <w:sdtPr>
                      <w:id w:val="-2007890825"/>
                    </w:sdtPr>
                    <w:sdtContent>
                      <w:p w14:paraId="317B649C">
                        <w:pPr>
                          <w:pStyle w:val="3"/>
                          <w:jc w:val="right"/>
                        </w:pPr>
                        <w:r>
                          <w:fldChar w:fldCharType="begin"/>
                        </w:r>
                        <w:r>
                          <w:instrText xml:space="preserve">PAGE   \* MERGEFORMAT</w:instrText>
                        </w:r>
                        <w:r>
                          <w:fldChar w:fldCharType="separate"/>
                        </w:r>
                        <w:r>
                          <w:rPr>
                            <w:lang w:val="zh-CN"/>
                          </w:rPr>
                          <w:t>7</w:t>
                        </w:r>
                        <w:r>
                          <w:fldChar w:fldCharType="end"/>
                        </w:r>
                      </w:p>
                    </w:sdtContent>
                  </w:sdt>
                  <w:p w14:paraId="34E9E626"/>
                </w:txbxContent>
              </v:textbox>
            </v:shape>
          </w:pict>
        </mc:Fallback>
      </mc:AlternateContent>
    </w:r>
  </w:p>
  <w:p w14:paraId="79516484">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0"/>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val="bestFit" w:percent="218"/>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ExYmMxMTdjMTU5M2NmMjhmNWU5ZjBmYjMyNjE4ZGQifQ=="/>
  </w:docVars>
  <w:rsids>
    <w:rsidRoot w:val="56D16DB2"/>
    <w:rsid w:val="00052840"/>
    <w:rsid w:val="000A32EC"/>
    <w:rsid w:val="001F4571"/>
    <w:rsid w:val="00346074"/>
    <w:rsid w:val="003C38BE"/>
    <w:rsid w:val="00474333"/>
    <w:rsid w:val="00482349"/>
    <w:rsid w:val="00566593"/>
    <w:rsid w:val="0072716F"/>
    <w:rsid w:val="007824E5"/>
    <w:rsid w:val="007954AF"/>
    <w:rsid w:val="007B2A84"/>
    <w:rsid w:val="007C1BC5"/>
    <w:rsid w:val="0084228F"/>
    <w:rsid w:val="0086470F"/>
    <w:rsid w:val="00886F72"/>
    <w:rsid w:val="008A0356"/>
    <w:rsid w:val="008B2B5A"/>
    <w:rsid w:val="00965388"/>
    <w:rsid w:val="00974CB0"/>
    <w:rsid w:val="009828F6"/>
    <w:rsid w:val="00A1258A"/>
    <w:rsid w:val="00AC3AF6"/>
    <w:rsid w:val="00AF3E79"/>
    <w:rsid w:val="00B7700D"/>
    <w:rsid w:val="00B83DE4"/>
    <w:rsid w:val="00BF3698"/>
    <w:rsid w:val="00C97BBD"/>
    <w:rsid w:val="00CF1C05"/>
    <w:rsid w:val="00D47BBF"/>
    <w:rsid w:val="00E04952"/>
    <w:rsid w:val="00E273AE"/>
    <w:rsid w:val="00EE11E0"/>
    <w:rsid w:val="00F02D55"/>
    <w:rsid w:val="00FF54D7"/>
    <w:rsid w:val="016B65A6"/>
    <w:rsid w:val="017B59B7"/>
    <w:rsid w:val="022B0B3C"/>
    <w:rsid w:val="025A1EC5"/>
    <w:rsid w:val="03C83791"/>
    <w:rsid w:val="045D61F0"/>
    <w:rsid w:val="04E701F7"/>
    <w:rsid w:val="0564241D"/>
    <w:rsid w:val="0620627C"/>
    <w:rsid w:val="06AF73DA"/>
    <w:rsid w:val="06E82F23"/>
    <w:rsid w:val="06F22564"/>
    <w:rsid w:val="078C2910"/>
    <w:rsid w:val="086048D8"/>
    <w:rsid w:val="08C16C50"/>
    <w:rsid w:val="08D35609"/>
    <w:rsid w:val="09404315"/>
    <w:rsid w:val="0975397B"/>
    <w:rsid w:val="0B097EB1"/>
    <w:rsid w:val="0BD053D6"/>
    <w:rsid w:val="0CEF7A91"/>
    <w:rsid w:val="0D3170A0"/>
    <w:rsid w:val="0D4A0ED5"/>
    <w:rsid w:val="0E617A60"/>
    <w:rsid w:val="0EAE737F"/>
    <w:rsid w:val="0EB02DBC"/>
    <w:rsid w:val="0EC111D6"/>
    <w:rsid w:val="0FC84AEB"/>
    <w:rsid w:val="12A678D6"/>
    <w:rsid w:val="1318719B"/>
    <w:rsid w:val="1547747F"/>
    <w:rsid w:val="1637598D"/>
    <w:rsid w:val="171D06E8"/>
    <w:rsid w:val="17252CC3"/>
    <w:rsid w:val="184E17A1"/>
    <w:rsid w:val="186A6FA3"/>
    <w:rsid w:val="19BD0222"/>
    <w:rsid w:val="1BAB273B"/>
    <w:rsid w:val="1C3131D5"/>
    <w:rsid w:val="1E12699A"/>
    <w:rsid w:val="1EAE23F9"/>
    <w:rsid w:val="1FB3071E"/>
    <w:rsid w:val="204A204B"/>
    <w:rsid w:val="205F7396"/>
    <w:rsid w:val="21D629B2"/>
    <w:rsid w:val="22002B93"/>
    <w:rsid w:val="237C29DE"/>
    <w:rsid w:val="25F46469"/>
    <w:rsid w:val="26007DEA"/>
    <w:rsid w:val="260930FE"/>
    <w:rsid w:val="26925EE5"/>
    <w:rsid w:val="272C4D1E"/>
    <w:rsid w:val="274044D7"/>
    <w:rsid w:val="274A7C47"/>
    <w:rsid w:val="293B5591"/>
    <w:rsid w:val="2A160352"/>
    <w:rsid w:val="2A1A2223"/>
    <w:rsid w:val="2C02600D"/>
    <w:rsid w:val="2C674F92"/>
    <w:rsid w:val="2C8C568A"/>
    <w:rsid w:val="2CBA1E2C"/>
    <w:rsid w:val="2DD17E0D"/>
    <w:rsid w:val="2DFD6A4F"/>
    <w:rsid w:val="2EC62A06"/>
    <w:rsid w:val="31171189"/>
    <w:rsid w:val="31852428"/>
    <w:rsid w:val="3295771D"/>
    <w:rsid w:val="33883DA8"/>
    <w:rsid w:val="338E5DBD"/>
    <w:rsid w:val="33F967E4"/>
    <w:rsid w:val="344C2A25"/>
    <w:rsid w:val="347A453F"/>
    <w:rsid w:val="34924082"/>
    <w:rsid w:val="355072FF"/>
    <w:rsid w:val="35F33FA0"/>
    <w:rsid w:val="367C04CD"/>
    <w:rsid w:val="36CC261A"/>
    <w:rsid w:val="373B28C9"/>
    <w:rsid w:val="378D5937"/>
    <w:rsid w:val="386922FA"/>
    <w:rsid w:val="38AB3D29"/>
    <w:rsid w:val="396F339E"/>
    <w:rsid w:val="3BFF074C"/>
    <w:rsid w:val="3C2939EE"/>
    <w:rsid w:val="3CEB0B31"/>
    <w:rsid w:val="3CED0BC5"/>
    <w:rsid w:val="3D412AB7"/>
    <w:rsid w:val="3F0F6BC8"/>
    <w:rsid w:val="3FC841CB"/>
    <w:rsid w:val="42B44134"/>
    <w:rsid w:val="435C52A3"/>
    <w:rsid w:val="43656F27"/>
    <w:rsid w:val="43E6278E"/>
    <w:rsid w:val="44F0464C"/>
    <w:rsid w:val="45542EFC"/>
    <w:rsid w:val="458C479E"/>
    <w:rsid w:val="461B2047"/>
    <w:rsid w:val="46E939E1"/>
    <w:rsid w:val="47457781"/>
    <w:rsid w:val="47C577B2"/>
    <w:rsid w:val="49DD605F"/>
    <w:rsid w:val="4A636DA8"/>
    <w:rsid w:val="4B034CBE"/>
    <w:rsid w:val="4BB52448"/>
    <w:rsid w:val="4C18627A"/>
    <w:rsid w:val="4C382EA9"/>
    <w:rsid w:val="4CFC1210"/>
    <w:rsid w:val="4D572788"/>
    <w:rsid w:val="4E64434A"/>
    <w:rsid w:val="4E905059"/>
    <w:rsid w:val="4EE80659"/>
    <w:rsid w:val="4F3477BA"/>
    <w:rsid w:val="4F71003B"/>
    <w:rsid w:val="50614D2B"/>
    <w:rsid w:val="515F2B18"/>
    <w:rsid w:val="51907EDF"/>
    <w:rsid w:val="527B367F"/>
    <w:rsid w:val="529D1870"/>
    <w:rsid w:val="53A23438"/>
    <w:rsid w:val="54E92677"/>
    <w:rsid w:val="54FF694D"/>
    <w:rsid w:val="557F58AF"/>
    <w:rsid w:val="561314A7"/>
    <w:rsid w:val="56D16DB2"/>
    <w:rsid w:val="583C529F"/>
    <w:rsid w:val="5D5C4D6F"/>
    <w:rsid w:val="5F425BF7"/>
    <w:rsid w:val="607B6BA3"/>
    <w:rsid w:val="6092593B"/>
    <w:rsid w:val="61096CE2"/>
    <w:rsid w:val="622F7A0F"/>
    <w:rsid w:val="62EF063B"/>
    <w:rsid w:val="6429218F"/>
    <w:rsid w:val="652178E8"/>
    <w:rsid w:val="65644F21"/>
    <w:rsid w:val="66786110"/>
    <w:rsid w:val="69154E61"/>
    <w:rsid w:val="692B208F"/>
    <w:rsid w:val="6A3F0E9C"/>
    <w:rsid w:val="6A6E7712"/>
    <w:rsid w:val="6ACE6642"/>
    <w:rsid w:val="6B0C4EE7"/>
    <w:rsid w:val="6B504C03"/>
    <w:rsid w:val="6C1E00F4"/>
    <w:rsid w:val="6D493989"/>
    <w:rsid w:val="6E156678"/>
    <w:rsid w:val="6E3A5E15"/>
    <w:rsid w:val="6F333CDE"/>
    <w:rsid w:val="6F4D5ABF"/>
    <w:rsid w:val="6FC83683"/>
    <w:rsid w:val="72471D65"/>
    <w:rsid w:val="73F633C4"/>
    <w:rsid w:val="75920A47"/>
    <w:rsid w:val="78045B4D"/>
    <w:rsid w:val="7854526D"/>
    <w:rsid w:val="78AD2025"/>
    <w:rsid w:val="79450780"/>
    <w:rsid w:val="79772270"/>
    <w:rsid w:val="7A1031AF"/>
    <w:rsid w:val="7A4F217A"/>
    <w:rsid w:val="7A51191E"/>
    <w:rsid w:val="7AAA775F"/>
    <w:rsid w:val="7CB8513D"/>
    <w:rsid w:val="7DCB49BC"/>
    <w:rsid w:val="7E256432"/>
    <w:rsid w:val="7E3F4E42"/>
    <w:rsid w:val="7E9611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pPr>
    <w:rPr>
      <w:rFonts w:ascii="Times New Roman" w:hAnsi="Times New Roman" w:eastAsia="宋体" w:cs="Times New Roman"/>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sz w:val="24"/>
    </w:rPr>
  </w:style>
  <w:style w:type="paragraph" w:styleId="3">
    <w:name w:val="footer"/>
    <w:basedOn w:val="1"/>
    <w:qFormat/>
    <w:uiPriority w:val="0"/>
    <w:pPr>
      <w:tabs>
        <w:tab w:val="center" w:pos="4153"/>
        <w:tab w:val="right" w:pos="8306"/>
      </w:tabs>
      <w:snapToGrid w:val="0"/>
    </w:pPr>
    <w:rPr>
      <w:sz w:val="18"/>
      <w:szCs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5">
    <w:name w:val="Normal (Web)"/>
    <w:basedOn w:val="1"/>
    <w:qFormat/>
    <w:uiPriority w:val="0"/>
    <w:pPr>
      <w:widowControl/>
      <w:spacing w:before="100" w:beforeAutospacing="1" w:after="100" w:afterAutospacing="1"/>
    </w:pPr>
    <w:rPr>
      <w:rFonts w:ascii="宋体" w:hAnsi="宋体" w:cs="宋体"/>
      <w:kern w:val="0"/>
      <w:sz w:val="24"/>
      <w:szCs w:val="24"/>
    </w:rPr>
  </w:style>
  <w:style w:type="table" w:styleId="7">
    <w:name w:val="Table Grid"/>
    <w:basedOn w:val="6"/>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9">
    <w:name w:val="段"/>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0">
    <w:name w:val="一级条标题"/>
    <w:next w:val="9"/>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1">
    <w:name w:val="Revision"/>
    <w:hidden/>
    <w:unhideWhenUsed/>
    <w:qFormat/>
    <w:uiPriority w:val="99"/>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emf"/><Relationship Id="rId5" Type="http://schemas.openxmlformats.org/officeDocument/2006/relationships/image" Target="media/image1.tiff"/><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4675</Words>
  <Characters>4962</Characters>
  <Lines>36</Lines>
  <Paragraphs>10</Paragraphs>
  <TotalTime>1</TotalTime>
  <ScaleCrop>false</ScaleCrop>
  <LinksUpToDate>false</LinksUpToDate>
  <CharactersWithSpaces>5044</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2024-03-22T08:16:00Z</dcterms:created>
  <dc:creator>Administrator</dc:creator>
  <cp:lastModifiedBy>吾心飞扬</cp:lastModifiedBy>
  <cp:lastPrinted>2024-08-20T02:51:00Z</cp:lastPrinted>
  <dcterms:modified xsi:type="dcterms:W3CDTF">2025-03-03T08:02:01Z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D7919F5BDFC64FFBADCDD22FC41E7C9E</vt:lpwstr>
  </property>
  <property fmtid="{D5CDD505-2E9C-101B-9397-08002B2CF9AE}" pid="4" name="KSOTemplateDocerSaveRecord">
    <vt:lpwstr>eyJoZGlkIjoiMjkxM2I1ZjJlM2NjYjFjYmU2N2EwMTY1ZTBiZTcxYzgiLCJ1c2VySWQiOiIzMTIxMzk1NDgifQ==</vt:lpwstr>
  </property>
</Properties>
</file>