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04D96">
      <w:pPr>
        <w:pStyle w:val="127"/>
        <w:framePr w:wrap="around"/>
      </w:pPr>
      <w:r>
        <w:rPr>
          <w:rFonts w:ascii="Times New Roman"/>
        </w:rPr>
        <w:t>ICS 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点击此处添加ICS号</w:t>
      </w:r>
      <w:r>
        <w:fldChar w:fldCharType="end"/>
      </w:r>
      <w:bookmarkEnd w:id="0"/>
    </w:p>
    <w:p w14:paraId="13DD7053">
      <w:pPr>
        <w:pStyle w:val="127"/>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6"/>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5691F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shd w:val="clear" w:color="auto" w:fill="auto"/>
          </w:tcPr>
          <w:p w14:paraId="312AEB4F">
            <w:pPr>
              <w:pStyle w:val="127"/>
              <w:framePr w:wrap="around"/>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3l+66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y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D3l+&#10;668BAABnAwAADgAAAAAAAAABACAAAAAkAQAAZHJzL2Uyb0RvYy54bWxQSwUGAAAAAAYABgBZAQAA&#10;RQU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37BC48BC">
      <w:pPr>
        <w:pStyle w:val="113"/>
        <w:framePr w:wrap="around"/>
      </w:pPr>
      <w:r>
        <w:rPr>
          <w:rFonts w:hint="eastAsia"/>
        </w:rPr>
        <w:t>DB61</w:t>
      </w:r>
    </w:p>
    <w:p w14:paraId="4D3F25D2">
      <w:pPr>
        <w:pStyle w:val="114"/>
        <w:framePr w:wrap="around"/>
      </w:pPr>
      <w:r>
        <w:rPr>
          <w:rFonts w:hint="eastAsia"/>
        </w:rPr>
        <w:t>陕西省地方标准</w:t>
      </w:r>
    </w:p>
    <w:p w14:paraId="0A9AB4BF">
      <w:pPr>
        <w:pStyle w:val="51"/>
        <w:framePr w:wrap="around"/>
        <w:rPr>
          <w:rFonts w:hAnsi="黑体"/>
        </w:rPr>
      </w:pPr>
      <w:r>
        <w:rPr>
          <w:rFonts w:hint="eastAsia" w:hAnsi="黑体"/>
        </w:rPr>
        <w:t>DB61</w:t>
      </w:r>
      <w:r>
        <w:rPr>
          <w:rFonts w:hAnsi="黑体"/>
        </w:rPr>
        <w:t>/</w:t>
      </w:r>
      <w:r>
        <w:rPr>
          <w:rFonts w:hint="eastAsia" w:hAnsi="黑体"/>
        </w:rPr>
        <w:t>T</w:t>
      </w:r>
      <w:r>
        <w:rPr>
          <w:rFonts w:hAnsi="黑体"/>
        </w:rPr>
        <w:t xml:space="preserve"> </w:t>
      </w:r>
      <w:r>
        <w:rPr>
          <w:rFonts w:hint="eastAsia" w:hAnsi="黑体"/>
        </w:rPr>
        <w:t>XXXX</w:t>
      </w:r>
      <w:r>
        <w:rPr>
          <w:rFonts w:hAnsi="黑体"/>
        </w:rPr>
        <w:t>—</w:t>
      </w:r>
      <w:r>
        <w:rPr>
          <w:rFonts w:hint="eastAsia" w:hAnsi="黑体"/>
        </w:rPr>
        <w:t>20XX</w:t>
      </w:r>
    </w:p>
    <w:tbl>
      <w:tblPr>
        <w:tblStyle w:val="36"/>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7136B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6C14B37D">
            <w:pPr>
              <w:pStyle w:val="80"/>
              <w:framePr w:wrap="around"/>
            </w:pPr>
            <w:bookmarkStart w:id="3" w:name="DT"/>
            <w:r>
              <w:fldChar w:fldCharType="begin">
                <w:ffData>
                  <w:name w:val="DT"/>
                  <w:enabled/>
                  <w:calcOnExit w:val="0"/>
                  <w:textInput/>
                </w:ffData>
              </w:fldChar>
            </w:r>
            <w:r>
              <w:instrText xml:space="preserve"> FORMTEXT </w:instrText>
            </w:r>
            <w:r>
              <w:fldChar w:fldCharType="separate"/>
            </w:r>
            <w:r>
              <w:t>     </w:t>
            </w:r>
            <w:r>
              <w:fldChar w:fldCharType="end"/>
            </w:r>
            <w:bookmarkEnd w:id="3"/>
          </w:p>
        </w:tc>
      </w:tr>
    </w:tbl>
    <w:p w14:paraId="5A9BAC63">
      <w:pPr>
        <w:pStyle w:val="51"/>
        <w:framePr w:wrap="around"/>
        <w:rPr>
          <w:rFonts w:hAnsi="黑体"/>
        </w:rPr>
      </w:pPr>
    </w:p>
    <w:p w14:paraId="21313CBD">
      <w:pPr>
        <w:pStyle w:val="51"/>
        <w:framePr w:wrap="around"/>
        <w:rPr>
          <w:rFonts w:hAnsi="黑体"/>
        </w:rPr>
      </w:pPr>
    </w:p>
    <w:p w14:paraId="78F3F247">
      <w:pPr>
        <w:pStyle w:val="82"/>
        <w:framePr w:wrap="around"/>
      </w:pPr>
      <w:r>
        <w:rPr>
          <w:rFonts w:hint="eastAsia"/>
        </w:rPr>
        <w:t>翻白草栽培技术规程</w:t>
      </w:r>
    </w:p>
    <w:p w14:paraId="41A282E8">
      <w:pPr>
        <w:pStyle w:val="83"/>
        <w:framePr w:wrap="around"/>
      </w:pPr>
      <w:r>
        <w:rPr>
          <w:rFonts w:hint="eastAsia"/>
        </w:rPr>
        <w:t xml:space="preserve">Potentillae Discoloris Herba Cultivation technology regulation </w:t>
      </w:r>
    </w:p>
    <w:p w14:paraId="1284D487">
      <w:pPr>
        <w:pStyle w:val="84"/>
        <w:framePr w:wrap="around"/>
      </w:pPr>
    </w:p>
    <w:tbl>
      <w:tblPr>
        <w:tblStyle w:val="36"/>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209E4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64BE577">
            <w:pPr>
              <w:pStyle w:val="86"/>
              <w:framePr w:wrap="around"/>
              <w:rPr>
                <w:b/>
                <w:bCs/>
                <w:sz w:val="52"/>
                <w:szCs w:val="52"/>
              </w:rPr>
            </w:pPr>
            <w:r>
              <w:rPr>
                <w:rFonts w:hint="eastAsia"/>
                <w:b/>
                <w:bCs/>
                <w:sz w:val="52"/>
                <w:szCs w:val="52"/>
              </w:rPr>
              <w:t>（征求意见稿）</w:t>
            </w:r>
          </w:p>
          <w:p w14:paraId="1F9BFFE7">
            <w:pPr>
              <w:pStyle w:val="86"/>
              <w:framePr w:wrap="around"/>
              <w:rPr>
                <w:b/>
                <w:bCs/>
                <w:sz w:val="52"/>
                <w:szCs w:val="52"/>
              </w:rPr>
            </w:pPr>
          </w:p>
          <w:p w14:paraId="24270102">
            <w:pPr>
              <w:pStyle w:val="86"/>
              <w:framePr w:wrap="around"/>
              <w:rPr>
                <w:b/>
                <w:bCs/>
                <w:sz w:val="52"/>
                <w:szCs w:val="52"/>
              </w:rPr>
            </w:pPr>
          </w:p>
          <w:p w14:paraId="1CAC06FB">
            <w:pPr>
              <w:pStyle w:val="86"/>
              <w:framePr w:wrap="around"/>
              <w:rPr>
                <w:b/>
                <w:bCs/>
                <w:sz w:val="52"/>
                <w:szCs w:val="52"/>
              </w:rPr>
            </w:pPr>
          </w:p>
          <w:p w14:paraId="398A1B27">
            <w:pPr>
              <w:pStyle w:val="86"/>
              <w:framePr w:wrap="around"/>
              <w:rPr>
                <w:b/>
                <w:bCs/>
                <w:sz w:val="52"/>
                <w:szCs w:val="52"/>
              </w:rPr>
            </w:pPr>
          </w:p>
          <w:p w14:paraId="57A0D6B0">
            <w:pPr>
              <w:pStyle w:val="86"/>
              <w:framePr w:wrap="around"/>
              <w:rPr>
                <w:b/>
                <w:bCs/>
                <w:sz w:val="52"/>
                <w:szCs w:val="52"/>
              </w:rPr>
            </w:pPr>
          </w:p>
          <w:p w14:paraId="3964A678">
            <w:pPr>
              <w:pStyle w:val="86"/>
              <w:framePr w:wrap="around"/>
              <w:rPr>
                <w:b/>
                <w:bCs/>
                <w:sz w:val="52"/>
                <w:szCs w:val="52"/>
              </w:rPr>
            </w:pPr>
          </w:p>
          <w:p w14:paraId="0CD9F525">
            <w:pPr>
              <w:pStyle w:val="86"/>
              <w:framePr w:wrap="around"/>
            </w:pPr>
          </w:p>
        </w:tc>
      </w:tr>
    </w:tbl>
    <w:p w14:paraId="3875F8E2">
      <w:pPr>
        <w:pStyle w:val="134"/>
        <w:framePr w:wrap="around"/>
      </w:pPr>
      <w:r>
        <w:rPr>
          <w:rFonts w:hint="eastAsia" w:ascii="黑体"/>
        </w:rPr>
        <w:t>2024</w:t>
      </w:r>
      <w:r>
        <w:t xml:space="preserve"> </w:t>
      </w:r>
      <w:r>
        <w:rPr>
          <w:rFonts w:ascii="黑体"/>
        </w:rPr>
        <w:t>-</w:t>
      </w:r>
      <w:r>
        <w:t xml:space="preserve"> </w:t>
      </w:r>
      <w:r>
        <w:rPr>
          <w:rFonts w:hint="eastAsia" w:ascii="黑体"/>
        </w:rPr>
        <w:t>03</w:t>
      </w:r>
      <w:r>
        <w:t xml:space="preserve"> </w:t>
      </w:r>
      <w:r>
        <w:rPr>
          <w:rFonts w:ascii="黑体"/>
        </w:rPr>
        <w:t>-</w:t>
      </w:r>
      <w:r>
        <w:t xml:space="preserve"> </w:t>
      </w:r>
      <w:bookmarkStart w:id="4"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72DBA278">
      <w:pPr>
        <w:pStyle w:val="134"/>
        <w:framePr w:wrap="around"/>
      </w:pP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WHazzWAAAACwEAAA8AAAAA&#10;AAAAAQAgAAAAIgAAAGRycy9kb3ducmV2LnhtbFBLAQIUABQAAAAIAIdO4kDk1Pyn3QEAANADAAAO&#10;AAAAAAAAAAEAIAAAACUBAABkcnMvZTJvRG9jLnhtbFBLBQYAAAAABgAGAFkBAAB0BQAAAAA=&#10;">
                <v:fill on="f" focussize="0,0"/>
                <v:stroke color="#000000" joinstyle="round"/>
                <v:imagedata o:title=""/>
                <o:lock v:ext="edit" aspectratio="f"/>
                <w10:anchorlock/>
              </v:line>
            </w:pict>
          </mc:Fallback>
        </mc:AlternateContent>
      </w:r>
    </w:p>
    <w:p w14:paraId="6EF4D74B">
      <w:pPr>
        <w:pStyle w:val="135"/>
        <w:framePr w:wrap="around" w:vAnchor="page" w:hAnchor="page" w:x="7555"/>
      </w:pPr>
      <w:r>
        <w:rPr>
          <w:rFonts w:hint="eastAsia" w:ascii="黑体"/>
        </w:rPr>
        <w:t>2024</w:t>
      </w:r>
      <w:r>
        <w:t xml:space="preserve"> </w:t>
      </w:r>
      <w:r>
        <w:rPr>
          <w:rFonts w:ascii="黑体"/>
        </w:rPr>
        <w:t>-</w:t>
      </w:r>
      <w:r>
        <w:t xml:space="preserve"> </w:t>
      </w:r>
      <w:r>
        <w:rPr>
          <w:rFonts w:hint="eastAsia" w:ascii="黑体"/>
        </w:rPr>
        <w:t>04</w:t>
      </w:r>
      <w:r>
        <w:t xml:space="preserve"> </w:t>
      </w:r>
      <w:r>
        <w:rPr>
          <w:rFonts w:ascii="黑体"/>
        </w:rPr>
        <w:t>-</w:t>
      </w:r>
      <w:r>
        <w:t xml:space="preserve"> </w:t>
      </w:r>
      <w:bookmarkStart w:id="5"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41F44245">
      <w:pPr>
        <w:pStyle w:val="115"/>
        <w:framePr w:wrap="around"/>
      </w:pPr>
      <w:bookmarkStart w:id="6" w:name="fm"/>
      <w:r>
        <w:rPr>
          <w:szCs w:val="28"/>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Pm17tbZAAAA&#10;DQEAAA8AAAAAAAAAAQAgAAAAIgAAAGRycy9kb3ducmV2LnhtbFBLAQIUABQAAAAIAIdO4kDXAL7S&#10;qgEAAGcDAAAOAAAAAAAAAAEAIAAAACgBAABkcnMvZTJvRG9jLnhtbFBLBQYAAAAABgAGAFkBAABE&#10;BQAAAAA=&#10;">
                <v:fill on="t" focussize="0,0"/>
                <v:stroke on="f"/>
                <v:imagedata o:title=""/>
                <o:lock v:ext="edit" aspectratio="f"/>
              </v:rect>
            </w:pict>
          </mc:Fallback>
        </mc:AlternateContent>
      </w:r>
      <w:r>
        <w:rPr>
          <w:szCs w:val="28"/>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SNXH&#10;LaoBAABnAwAADgAAAAAAAAABACAAAAApAQAAZHJzL2Uyb0RvYy54bWxQSwUGAAAAAAYABgBZAQAA&#10;RQUAAAAA&#10;">
                <v:fill on="t" focussize="0,0"/>
                <v:stroke on="f"/>
                <v:imagedata o:title=""/>
                <o:lock v:ext="edit" aspectratio="f"/>
              </v:rect>
            </w:pict>
          </mc:Fallback>
        </mc:AlternateContent>
      </w:r>
      <w:r>
        <w:rPr>
          <w:szCs w:val="28"/>
        </w:rPr>
        <mc:AlternateContent>
          <mc:Choice Requires="wps">
            <w:drawing>
              <wp:anchor distT="0" distB="0" distL="114300" distR="114300" simplePos="0" relativeHeight="251660288"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36.6pt;margin-top:-552.85pt;height:0pt;width:481.9pt;z-index:25166028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7JZGg2AAAAA8BAAAP&#10;AAAAAAAAAAEAIAAAACIAAABkcnMvZG93bnJldi54bWxQSwECFAAUAAAACACHTuJAJe8nBt8BAADQ&#10;AwAADgAAAAAAAAABACAAAAAnAQAAZHJzL2Uyb0RvYy54bWxQSwUGAAAAAAYABgBZAQAAeAUAAAAA&#10;">
                <v:fill on="f" focussize="0,0"/>
                <v:stroke color="#000000" joinstyle="round"/>
                <v:imagedata o:title=""/>
                <o:lock v:ext="edit" aspectratio="f"/>
              </v:line>
            </w:pict>
          </mc:Fallback>
        </mc:AlternateContent>
      </w:r>
      <w:bookmarkEnd w:id="6"/>
      <w:r>
        <w:rPr>
          <w:rFonts w:hint="eastAsia"/>
          <w:szCs w:val="28"/>
        </w:rPr>
        <w:t>陕西省市场监督管理局</w:t>
      </w:r>
      <w:r>
        <w:rPr>
          <w:rFonts w:hAnsi="黑体"/>
        </w:rPr>
        <w:t>   </w:t>
      </w:r>
      <w:r>
        <w:rPr>
          <w:rStyle w:val="77"/>
          <w:rFonts w:hint="eastAsia"/>
        </w:rPr>
        <w:t>发布</w:t>
      </w:r>
    </w:p>
    <w:p w14:paraId="2DC554B6">
      <w:pPr>
        <w:pStyle w:val="25"/>
      </w:pPr>
    </w:p>
    <w:p w14:paraId="7BDFAC8B">
      <w:pPr>
        <w:pStyle w:val="25"/>
      </w:pPr>
    </w:p>
    <w:p w14:paraId="569EEB3C">
      <w:pPr>
        <w:pStyle w:val="25"/>
      </w:pPr>
    </w:p>
    <w:p w14:paraId="5D4B42F7">
      <w:pPr>
        <w:pStyle w:val="25"/>
      </w:pPr>
    </w:p>
    <w:p w14:paraId="4F0C66AF">
      <w:pPr>
        <w:pStyle w:val="25"/>
        <w:sectPr>
          <w:headerReference r:id="rId3" w:type="even"/>
          <w:footerReference r:id="rId4" w:type="even"/>
          <w:pgSz w:w="11906" w:h="16838"/>
          <w:pgMar w:top="567" w:right="1134" w:bottom="1134" w:left="1417" w:header="0" w:footer="0" w:gutter="0"/>
          <w:pgNumType w:start="1"/>
          <w:cols w:space="425" w:num="1"/>
          <w:docGrid w:type="lines" w:linePitch="312" w:charSpace="0"/>
        </w:sectPr>
      </w:pPr>
      <w:bookmarkStart w:id="30" w:name="_GoBack"/>
      <w:bookmarkEnd w:id="30"/>
    </w:p>
    <w:p w14:paraId="30B731D4">
      <w:pPr>
        <w:widowControl/>
        <w:tabs>
          <w:tab w:val="center" w:pos="4201"/>
          <w:tab w:val="right" w:leader="dot" w:pos="9298"/>
        </w:tabs>
        <w:autoSpaceDE w:val="0"/>
        <w:autoSpaceDN w:val="0"/>
        <w:jc w:val="center"/>
        <w:rPr>
          <w:rFonts w:ascii="黑体" w:hAnsi="黑体" w:eastAsia="黑体"/>
          <w:kern w:val="0"/>
          <w:sz w:val="32"/>
          <w:szCs w:val="32"/>
        </w:rPr>
      </w:pPr>
      <w:bookmarkStart w:id="7" w:name="BKQY"/>
      <w:r>
        <w:rPr>
          <w:rFonts w:hint="eastAsia" w:ascii="黑体" w:hAnsi="黑体" w:eastAsia="黑体"/>
          <w:kern w:val="0"/>
          <w:sz w:val="32"/>
          <w:szCs w:val="32"/>
        </w:rPr>
        <w:t>目    次</w:t>
      </w:r>
    </w:p>
    <w:sdt>
      <w:sdtPr>
        <w:rPr>
          <w:rFonts w:ascii="Times New Roman" w:hAnsi="Times New Roman" w:eastAsia="宋体" w:cs="Times New Roman"/>
          <w:color w:val="auto"/>
          <w:kern w:val="2"/>
          <w:sz w:val="21"/>
          <w:szCs w:val="24"/>
          <w:lang w:val="zh-CN"/>
        </w:rPr>
        <w:id w:val="1070466900"/>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0BDB81B3">
          <w:pPr>
            <w:pStyle w:val="147"/>
          </w:pPr>
        </w:p>
        <w:p w14:paraId="311B741D">
          <w:pPr>
            <w:pStyle w:val="21"/>
            <w:spacing w:before="78" w:after="78"/>
            <w:rPr>
              <w:rFonts w:asciiTheme="minorHAnsi" w:hAnsiTheme="minorHAnsi" w:eastAsiaTheme="minorEastAsia" w:cstheme="minorBidi"/>
              <w:sz w:val="22"/>
              <w:szCs w:val="24"/>
              <w14:ligatures w14:val="standardContextual"/>
            </w:rPr>
          </w:pPr>
          <w:r>
            <w:fldChar w:fldCharType="begin"/>
          </w:r>
          <w:r>
            <w:instrText xml:space="preserve"> TOC \o "1-3" \h \z \u </w:instrText>
          </w:r>
          <w:r>
            <w:fldChar w:fldCharType="separate"/>
          </w:r>
          <w:r>
            <w:fldChar w:fldCharType="begin"/>
          </w:r>
          <w:r>
            <w:instrText xml:space="preserve"> HYPERLINK \l "_Toc190849074" </w:instrText>
          </w:r>
          <w:r>
            <w:fldChar w:fldCharType="separate"/>
          </w:r>
          <w:r>
            <w:rPr>
              <w:rStyle w:val="42"/>
              <w:rFonts w:hint="eastAsia" w:hAnsi="黑体"/>
            </w:rPr>
            <w:t xml:space="preserve">前    </w:t>
          </w:r>
          <w:r>
            <w:rPr>
              <w:rStyle w:val="42"/>
              <w:rFonts w:hint="eastAsia"/>
            </w:rPr>
            <w:t>言</w:t>
          </w:r>
          <w:r>
            <w:rPr>
              <w:rFonts w:hint="eastAsia"/>
            </w:rPr>
            <w:tab/>
          </w:r>
          <w:r>
            <w:t>II</w:t>
          </w:r>
          <w:r>
            <w:fldChar w:fldCharType="end"/>
          </w:r>
        </w:p>
        <w:p w14:paraId="05423F00">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"_Toc190849075" </w:instrText>
          </w:r>
          <w:r>
            <w:fldChar w:fldCharType="separate"/>
          </w:r>
          <w:r>
            <w:rPr>
              <w:rStyle w:val="42"/>
              <w:rFonts w:hint="eastAsia" w:cs="仿宋"/>
            </w:rPr>
            <w:t>1</w:t>
          </w:r>
          <w:r>
            <w:rPr>
              <w:rStyle w:val="42"/>
              <w:rFonts w:hint="eastAsia" w:hAnsi="黑体" w:cs="仿宋"/>
            </w:rPr>
            <w:t xml:space="preserve"> 范围</w:t>
          </w:r>
          <w:r>
            <w:rPr>
              <w:rFonts w:hint="eastAsia"/>
            </w:rPr>
            <w:tab/>
          </w:r>
          <w:r>
            <w:rPr>
              <w:rFonts w:hint="eastAsia"/>
            </w:rPr>
            <w:fldChar w:fldCharType="begin"/>
          </w:r>
          <w:r>
            <w:rPr>
              <w:rFonts w:hint="eastAsia"/>
            </w:rPr>
            <w:instrText xml:space="preserve"> </w:instrText>
          </w:r>
          <w:r>
            <w:instrText xml:space="preserve">PAGEREF _Toc190849075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9779AE5">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"_Toc190849076" </w:instrText>
          </w:r>
          <w:r>
            <w:fldChar w:fldCharType="separate"/>
          </w:r>
          <w:r>
            <w:rPr>
              <w:rStyle w:val="42"/>
              <w:rFonts w:hint="eastAsia" w:cs="仿宋"/>
            </w:rPr>
            <w:t>2</w:t>
          </w:r>
          <w:r>
            <w:rPr>
              <w:rStyle w:val="42"/>
              <w:rFonts w:hint="eastAsia" w:hAnsi="黑体" w:cs="仿宋"/>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_Toc190849076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C7E305C">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"_Toc190849077" </w:instrText>
          </w:r>
          <w:r>
            <w:fldChar w:fldCharType="separate"/>
          </w:r>
          <w:r>
            <w:rPr>
              <w:rStyle w:val="42"/>
              <w:rFonts w:hint="eastAsia" w:cs="仿宋"/>
            </w:rPr>
            <w:t>3</w:t>
          </w:r>
          <w:r>
            <w:rPr>
              <w:rStyle w:val="42"/>
              <w:rFonts w:hint="eastAsia" w:hAnsi="黑体" w:cs="仿宋"/>
            </w:rPr>
            <w:t xml:space="preserve"> 术语与定义</w:t>
          </w:r>
          <w:r>
            <w:rPr>
              <w:rFonts w:hint="eastAsia"/>
            </w:rPr>
            <w:tab/>
          </w:r>
          <w:r>
            <w:rPr>
              <w:rFonts w:hint="eastAsia"/>
            </w:rPr>
            <w:fldChar w:fldCharType="begin"/>
          </w:r>
          <w:r>
            <w:rPr>
              <w:rFonts w:hint="eastAsia"/>
            </w:rPr>
            <w:instrText xml:space="preserve"> </w:instrText>
          </w:r>
          <w:r>
            <w:instrText xml:space="preserve">PAGEREF _Toc190849077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0122C36">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"_Toc190849078" </w:instrText>
          </w:r>
          <w:r>
            <w:fldChar w:fldCharType="separate"/>
          </w:r>
          <w:r>
            <w:rPr>
              <w:rStyle w:val="42"/>
              <w:rFonts w:hint="eastAsia" w:cs="仿宋"/>
            </w:rPr>
            <w:t>4</w:t>
          </w:r>
          <w:r>
            <w:rPr>
              <w:rStyle w:val="42"/>
              <w:rFonts w:hint="eastAsia" w:hAnsi="黑体" w:cs="仿宋"/>
            </w:rPr>
            <w:t xml:space="preserve"> 产地环境</w:t>
          </w:r>
          <w:r>
            <w:rPr>
              <w:rFonts w:hint="eastAsia"/>
            </w:rPr>
            <w:tab/>
          </w:r>
          <w:r>
            <w:rPr>
              <w:rFonts w:hint="eastAsia"/>
            </w:rPr>
            <w:fldChar w:fldCharType="begin"/>
          </w:r>
          <w:r>
            <w:rPr>
              <w:rFonts w:hint="eastAsia"/>
            </w:rPr>
            <w:instrText xml:space="preserve"> </w:instrText>
          </w:r>
          <w:r>
            <w:instrText xml:space="preserve">PAGEREF _Toc190849078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436F7F3">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"_Toc190849079" </w:instrText>
          </w:r>
          <w:r>
            <w:fldChar w:fldCharType="separate"/>
          </w:r>
          <w:r>
            <w:rPr>
              <w:rStyle w:val="42"/>
              <w:rFonts w:hint="eastAsia" w:cs="仿宋"/>
            </w:rPr>
            <w:t>5</w:t>
          </w:r>
          <w:r>
            <w:rPr>
              <w:rStyle w:val="42"/>
              <w:rFonts w:hint="eastAsia" w:hAnsi="黑体" w:cs="仿宋"/>
            </w:rPr>
            <w:t xml:space="preserve"> 地块选择</w:t>
          </w:r>
          <w:r>
            <w:rPr>
              <w:rFonts w:hint="eastAsia"/>
            </w:rPr>
            <w:tab/>
          </w:r>
          <w:r>
            <w:rPr>
              <w:rFonts w:hint="eastAsia"/>
            </w:rPr>
            <w:fldChar w:fldCharType="begin"/>
          </w:r>
          <w:r>
            <w:rPr>
              <w:rFonts w:hint="eastAsia"/>
            </w:rPr>
            <w:instrText xml:space="preserve"> </w:instrText>
          </w:r>
          <w:r>
            <w:instrText xml:space="preserve">PAGEREF _Toc190849079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BD2E125">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"_Toc190849080" </w:instrText>
          </w:r>
          <w:r>
            <w:fldChar w:fldCharType="separate"/>
          </w:r>
          <w:r>
            <w:rPr>
              <w:rStyle w:val="42"/>
              <w:rFonts w:hint="eastAsia" w:cs="仿宋"/>
            </w:rPr>
            <w:t>6</w:t>
          </w:r>
          <w:r>
            <w:rPr>
              <w:rStyle w:val="42"/>
              <w:rFonts w:hint="eastAsia" w:hAnsi="黑体" w:cs="仿宋"/>
            </w:rPr>
            <w:t xml:space="preserve"> 整地施肥</w:t>
          </w:r>
          <w:r>
            <w:rPr>
              <w:rFonts w:hint="eastAsia"/>
            </w:rPr>
            <w:tab/>
          </w:r>
          <w:r>
            <w:rPr>
              <w:rFonts w:hint="eastAsia"/>
            </w:rPr>
            <w:fldChar w:fldCharType="begin"/>
          </w:r>
          <w:r>
            <w:rPr>
              <w:rFonts w:hint="eastAsia"/>
            </w:rPr>
            <w:instrText xml:space="preserve"> </w:instrText>
          </w:r>
          <w:r>
            <w:instrText xml:space="preserve">PAGEREF _Toc190849080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414274C">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"_Toc190849081" </w:instrText>
          </w:r>
          <w:r>
            <w:fldChar w:fldCharType="separate"/>
          </w:r>
          <w:r>
            <w:rPr>
              <w:rStyle w:val="42"/>
              <w:rFonts w:hint="eastAsia" w:cs="仿宋"/>
            </w:rPr>
            <w:t>7</w:t>
          </w:r>
          <w:r>
            <w:rPr>
              <w:rStyle w:val="42"/>
              <w:rFonts w:hint="eastAsia" w:hAnsi="黑体" w:cs="仿宋"/>
            </w:rPr>
            <w:t xml:space="preserve"> 品种选择</w:t>
          </w:r>
          <w:r>
            <w:rPr>
              <w:rFonts w:hint="eastAsia"/>
            </w:rPr>
            <w:tab/>
          </w:r>
          <w:r>
            <w:rPr>
              <w:rFonts w:hint="eastAsia"/>
            </w:rPr>
            <w:fldChar w:fldCharType="begin"/>
          </w:r>
          <w:r>
            <w:rPr>
              <w:rFonts w:hint="eastAsia"/>
            </w:rPr>
            <w:instrText xml:space="preserve"> </w:instrText>
          </w:r>
          <w:r>
            <w:instrText xml:space="preserve">PAGEREF _Toc190849081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4348D2A">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"_Toc190849082" </w:instrText>
          </w:r>
          <w:r>
            <w:fldChar w:fldCharType="separate"/>
          </w:r>
          <w:r>
            <w:rPr>
              <w:rStyle w:val="42"/>
              <w:rFonts w:hint="eastAsia" w:cs="仿宋"/>
            </w:rPr>
            <w:t>8</w:t>
          </w:r>
          <w:r>
            <w:rPr>
              <w:rStyle w:val="42"/>
              <w:rFonts w:hint="eastAsia" w:hAnsi="黑体" w:cs="仿宋"/>
            </w:rPr>
            <w:t xml:space="preserve"> 种子处理</w:t>
          </w:r>
          <w:r>
            <w:rPr>
              <w:rFonts w:hint="eastAsia"/>
            </w:rPr>
            <w:tab/>
          </w:r>
          <w:r>
            <w:rPr>
              <w:rFonts w:hint="eastAsia"/>
            </w:rPr>
            <w:fldChar w:fldCharType="begin"/>
          </w:r>
          <w:r>
            <w:rPr>
              <w:rFonts w:hint="eastAsia"/>
            </w:rPr>
            <w:instrText xml:space="preserve"> </w:instrText>
          </w:r>
          <w:r>
            <w:instrText xml:space="preserve">PAGEREF _Toc190849082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F185628">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"_Toc190849083" </w:instrText>
          </w:r>
          <w:r>
            <w:fldChar w:fldCharType="separate"/>
          </w:r>
          <w:r>
            <w:rPr>
              <w:rStyle w:val="42"/>
              <w:rFonts w:hint="eastAsia" w:cs="仿宋"/>
            </w:rPr>
            <w:t>9</w:t>
          </w:r>
          <w:r>
            <w:rPr>
              <w:rStyle w:val="42"/>
              <w:rFonts w:hint="eastAsia" w:hAnsi="黑体" w:cs="仿宋"/>
            </w:rPr>
            <w:t xml:space="preserve"> 播种</w:t>
          </w:r>
          <w:r>
            <w:rPr>
              <w:rFonts w:hint="eastAsia"/>
            </w:rPr>
            <w:tab/>
          </w:r>
          <w:r>
            <w:rPr>
              <w:rFonts w:hint="eastAsia"/>
            </w:rPr>
            <w:fldChar w:fldCharType="begin"/>
          </w:r>
          <w:r>
            <w:rPr>
              <w:rFonts w:hint="eastAsia"/>
            </w:rPr>
            <w:instrText xml:space="preserve"> </w:instrText>
          </w:r>
          <w:r>
            <w:instrText xml:space="preserve">PAGEREF _Toc190849083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3AE0476">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"_Toc190849084" </w:instrText>
          </w:r>
          <w:r>
            <w:fldChar w:fldCharType="separate"/>
          </w:r>
          <w:r>
            <w:rPr>
              <w:rStyle w:val="42"/>
              <w:rFonts w:hint="eastAsia" w:cs="仿宋"/>
            </w:rPr>
            <w:t>10</w:t>
          </w:r>
          <w:r>
            <w:rPr>
              <w:rStyle w:val="42"/>
              <w:rFonts w:hint="eastAsia" w:hAnsi="黑体" w:cs="仿宋"/>
            </w:rPr>
            <w:t xml:space="preserve"> 栽植</w:t>
          </w:r>
          <w:r>
            <w:rPr>
              <w:rFonts w:hint="eastAsia"/>
            </w:rPr>
            <w:tab/>
          </w:r>
          <w:r>
            <w:rPr>
              <w:rFonts w:hint="eastAsia"/>
            </w:rPr>
            <w:fldChar w:fldCharType="begin"/>
          </w:r>
          <w:r>
            <w:rPr>
              <w:rFonts w:hint="eastAsia"/>
            </w:rPr>
            <w:instrText xml:space="preserve"> </w:instrText>
          </w:r>
          <w:r>
            <w:instrText xml:space="preserve">PAGEREF _Toc190849084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5EE0B17">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"_Toc190849085" </w:instrText>
          </w:r>
          <w:r>
            <w:fldChar w:fldCharType="separate"/>
          </w:r>
          <w:r>
            <w:rPr>
              <w:rStyle w:val="42"/>
              <w:rFonts w:hint="eastAsia" w:cs="仿宋"/>
            </w:rPr>
            <w:t>11</w:t>
          </w:r>
          <w:r>
            <w:rPr>
              <w:rStyle w:val="42"/>
              <w:rFonts w:hint="eastAsia" w:hAnsi="黑体" w:cs="仿宋"/>
            </w:rPr>
            <w:t xml:space="preserve"> 苗期管理</w:t>
          </w:r>
          <w:r>
            <w:rPr>
              <w:rFonts w:hint="eastAsia"/>
            </w:rPr>
            <w:tab/>
          </w:r>
          <w:r>
            <w:rPr>
              <w:rFonts w:hint="eastAsia"/>
            </w:rPr>
            <w:fldChar w:fldCharType="begin"/>
          </w:r>
          <w:r>
            <w:rPr>
              <w:rFonts w:hint="eastAsia"/>
            </w:rPr>
            <w:instrText xml:space="preserve"> </w:instrText>
          </w:r>
          <w:r>
            <w:instrText xml:space="preserve">PAGEREF _Toc190849085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82C6499">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"_Toc190849086" </w:instrText>
          </w:r>
          <w:r>
            <w:fldChar w:fldCharType="separate"/>
          </w:r>
          <w:r>
            <w:rPr>
              <w:rStyle w:val="42"/>
              <w:rFonts w:hint="eastAsia" w:cs="仿宋"/>
            </w:rPr>
            <w:t>12</w:t>
          </w:r>
          <w:r>
            <w:rPr>
              <w:rStyle w:val="42"/>
              <w:rFonts w:hint="eastAsia" w:hAnsi="黑体" w:cs="仿宋"/>
            </w:rPr>
            <w:t xml:space="preserve"> 田间管理</w:t>
          </w:r>
          <w:r>
            <w:rPr>
              <w:rFonts w:hint="eastAsia"/>
            </w:rPr>
            <w:tab/>
          </w:r>
          <w:r>
            <w:rPr>
              <w:rFonts w:hint="eastAsia"/>
            </w:rPr>
            <w:fldChar w:fldCharType="begin"/>
          </w:r>
          <w:r>
            <w:rPr>
              <w:rFonts w:hint="eastAsia"/>
            </w:rPr>
            <w:instrText xml:space="preserve"> </w:instrText>
          </w:r>
          <w:r>
            <w:instrText xml:space="preserve">PAGEREF _Toc190849086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A1C02FF">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"_Toc190849087" </w:instrText>
          </w:r>
          <w:r>
            <w:fldChar w:fldCharType="separate"/>
          </w:r>
          <w:r>
            <w:rPr>
              <w:rStyle w:val="42"/>
              <w:rFonts w:hint="eastAsia" w:cs="仿宋"/>
            </w:rPr>
            <w:t>13</w:t>
          </w:r>
          <w:r>
            <w:rPr>
              <w:rStyle w:val="42"/>
              <w:rFonts w:hint="eastAsia" w:hAnsi="黑体" w:cs="仿宋"/>
            </w:rPr>
            <w:t xml:space="preserve"> 病虫害防治</w:t>
          </w:r>
          <w:r>
            <w:rPr>
              <w:rFonts w:hint="eastAsia"/>
            </w:rPr>
            <w:tab/>
          </w:r>
          <w:r>
            <w:rPr>
              <w:rFonts w:hint="eastAsia"/>
            </w:rPr>
            <w:fldChar w:fldCharType="begin"/>
          </w:r>
          <w:r>
            <w:rPr>
              <w:rFonts w:hint="eastAsia"/>
            </w:rPr>
            <w:instrText xml:space="preserve"> </w:instrText>
          </w:r>
          <w:r>
            <w:instrText xml:space="preserve">PAGEREF _Toc190849087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FABBA11">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"_Toc190849088" </w:instrText>
          </w:r>
          <w:r>
            <w:fldChar w:fldCharType="separate"/>
          </w:r>
          <w:r>
            <w:rPr>
              <w:rStyle w:val="42"/>
              <w:rFonts w:hint="eastAsia" w:cs="仿宋"/>
            </w:rPr>
            <w:t>14</w:t>
          </w:r>
          <w:r>
            <w:rPr>
              <w:rStyle w:val="42"/>
              <w:rFonts w:hint="eastAsia" w:hAnsi="黑体" w:cs="仿宋"/>
            </w:rPr>
            <w:t xml:space="preserve"> 采收</w:t>
          </w:r>
          <w:r>
            <w:rPr>
              <w:rFonts w:hint="eastAsia"/>
            </w:rPr>
            <w:tab/>
          </w:r>
          <w:r>
            <w:rPr>
              <w:rFonts w:hint="eastAsia"/>
            </w:rPr>
            <w:fldChar w:fldCharType="begin"/>
          </w:r>
          <w:r>
            <w:rPr>
              <w:rFonts w:hint="eastAsia"/>
            </w:rPr>
            <w:instrText xml:space="preserve"> </w:instrText>
          </w:r>
          <w:r>
            <w:instrText xml:space="preserve">PAGEREF _Toc190849088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A0DF850">
          <w:pPr>
            <w:pStyle w:val="30"/>
            <w:rPr>
              <w:rFonts w:asciiTheme="minorHAnsi" w:hAnsiTheme="minorHAnsi" w:eastAsiaTheme="minorEastAsia" w:cstheme="minorBidi"/>
              <w:sz w:val="22"/>
              <w:szCs w:val="24"/>
              <w14:ligatures w14:val="standardContextual"/>
            </w:rPr>
          </w:pPr>
          <w:r>
            <w:fldChar w:fldCharType="begin"/>
          </w:r>
          <w:r>
            <w:instrText xml:space="preserve"> HYPERLINK \l "_Toc190849089" </w:instrText>
          </w:r>
          <w:r>
            <w:fldChar w:fldCharType="separate"/>
          </w:r>
          <w:r>
            <w:rPr>
              <w:rStyle w:val="42"/>
              <w:rFonts w:hint="eastAsia" w:cs="仿宋"/>
            </w:rPr>
            <w:t>15</w:t>
          </w:r>
          <w:r>
            <w:rPr>
              <w:rStyle w:val="42"/>
              <w:rFonts w:hint="eastAsia" w:hAnsi="黑体" w:cs="仿宋"/>
            </w:rPr>
            <w:t xml:space="preserve"> 档案管理</w:t>
          </w:r>
          <w:r>
            <w:rPr>
              <w:rFonts w:hint="eastAsia"/>
            </w:rPr>
            <w:tab/>
          </w:r>
          <w:r>
            <w:rPr>
              <w:rFonts w:hint="eastAsia"/>
            </w:rPr>
            <w:fldChar w:fldCharType="begin"/>
          </w:r>
          <w:r>
            <w:rPr>
              <w:rFonts w:hint="eastAsia"/>
            </w:rPr>
            <w:instrText xml:space="preserve"> </w:instrText>
          </w:r>
          <w:r>
            <w:instrText xml:space="preserve">PAGEREF _Toc190849089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4FC029C">
          <w:pPr>
            <w:pStyle w:val="21"/>
            <w:spacing w:before="78" w:after="78"/>
            <w:rPr>
              <w:rFonts w:asciiTheme="minorHAnsi" w:hAnsiTheme="minorHAnsi" w:eastAsiaTheme="minorEastAsia" w:cstheme="minorBidi"/>
              <w:sz w:val="22"/>
              <w:szCs w:val="24"/>
              <w14:ligatures w14:val="standardContextual"/>
            </w:rPr>
          </w:pPr>
          <w:r>
            <w:fldChar w:fldCharType="begin"/>
          </w:r>
          <w:r>
            <w:instrText xml:space="preserve"> HYPERLINK \l "_Toc190849090" </w:instrText>
          </w:r>
          <w:r>
            <w:fldChar w:fldCharType="separate"/>
          </w:r>
          <w:r>
            <w:rPr>
              <w:rStyle w:val="42"/>
              <w:rFonts w:hint="eastAsia" w:hAnsi="宋体" w:cs="宋体"/>
            </w:rPr>
            <w:t>附 录 A</w:t>
          </w:r>
          <w:r>
            <w:rPr>
              <w:rFonts w:hint="eastAsia"/>
            </w:rPr>
            <w:tab/>
          </w:r>
          <w:r>
            <w:rPr>
              <w:rFonts w:hint="eastAsia"/>
            </w:rPr>
            <w:fldChar w:fldCharType="begin"/>
          </w:r>
          <w:r>
            <w:rPr>
              <w:rFonts w:hint="eastAsia"/>
            </w:rPr>
            <w:instrText xml:space="preserve"> </w:instrText>
          </w:r>
          <w:r>
            <w:instrText xml:space="preserve">PAGEREF _Toc190849090 \h</w:instrText>
          </w:r>
          <w:r>
            <w:rPr>
              <w:rFonts w:hint="eastAsia"/>
            </w:rPr>
            <w:instrText xml:space="preserve"> </w:instrText>
          </w:r>
          <w:r>
            <w:rPr>
              <w:rFonts w:hint="eastAsia"/>
            </w:rPr>
            <w:fldChar w:fldCharType="separate"/>
          </w:r>
          <w:r>
            <w:t>6</w:t>
          </w:r>
          <w:r>
            <w:rPr>
              <w:rFonts w:hint="eastAsia"/>
            </w:rPr>
            <w:fldChar w:fldCharType="end"/>
          </w:r>
          <w:r>
            <w:fldChar w:fldCharType="end"/>
          </w:r>
        </w:p>
        <w:p w14:paraId="42FCE394">
          <w:pPr>
            <w:pStyle w:val="21"/>
            <w:spacing w:before="78" w:after="78"/>
            <w:rPr>
              <w:rFonts w:asciiTheme="minorHAnsi" w:hAnsiTheme="minorHAnsi" w:eastAsiaTheme="minorEastAsia" w:cstheme="minorBidi"/>
              <w:sz w:val="22"/>
              <w:szCs w:val="24"/>
              <w14:ligatures w14:val="standardContextual"/>
            </w:rPr>
          </w:pPr>
          <w:r>
            <w:fldChar w:fldCharType="begin"/>
          </w:r>
          <w:r>
            <w:instrText xml:space="preserve"> HYPERLINK \l "_Toc190849091" </w:instrText>
          </w:r>
          <w:r>
            <w:fldChar w:fldCharType="separate"/>
          </w:r>
          <w:r>
            <w:rPr>
              <w:rStyle w:val="42"/>
              <w:rFonts w:hint="eastAsia" w:hAnsi="宋体" w:cs="宋体"/>
            </w:rPr>
            <w:t>附 录 B</w:t>
          </w:r>
          <w:r>
            <w:rPr>
              <w:rFonts w:hint="eastAsia"/>
            </w:rPr>
            <w:tab/>
          </w:r>
          <w:r>
            <w:rPr>
              <w:rFonts w:hint="eastAsia"/>
            </w:rPr>
            <w:fldChar w:fldCharType="begin"/>
          </w:r>
          <w:r>
            <w:rPr>
              <w:rFonts w:hint="eastAsia"/>
            </w:rPr>
            <w:instrText xml:space="preserve"> </w:instrText>
          </w:r>
          <w:r>
            <w:instrText xml:space="preserve">PAGEREF _Toc190849091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F0B6632">
          <w:r>
            <w:rPr>
              <w:b/>
              <w:bCs/>
              <w:lang w:val="zh-CN"/>
            </w:rPr>
            <w:fldChar w:fldCharType="end"/>
          </w:r>
        </w:p>
      </w:sdtContent>
    </w:sdt>
    <w:p w14:paraId="6F533909">
      <w:pPr>
        <w:pStyle w:val="25"/>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14:paraId="3F605667">
      <w:pPr>
        <w:pStyle w:val="116"/>
      </w:pPr>
      <w:bookmarkStart w:id="8" w:name="_Toc190849074"/>
      <w:r>
        <w:rPr>
          <w:rFonts w:hAnsi="黑体"/>
        </w:rPr>
        <w:t>  </w:t>
      </w:r>
      <w:r>
        <w:rPr>
          <w:rFonts w:hint="eastAsia" w:hAnsi="黑体"/>
        </w:rPr>
        <w:t xml:space="preserve">前    </w:t>
      </w:r>
      <w:r>
        <w:rPr>
          <w:rFonts w:hint="eastAsia"/>
        </w:rPr>
        <w:t>言</w:t>
      </w:r>
      <w:bookmarkEnd w:id="7"/>
      <w:bookmarkEnd w:id="8"/>
    </w:p>
    <w:p w14:paraId="6DDF7BB7">
      <w:pPr>
        <w:pStyle w:val="25"/>
      </w:pPr>
      <w:r>
        <w:rPr>
          <w:rFonts w:hint="eastAsia"/>
        </w:rPr>
        <w:t>本文件按照GB/T 1.1-2020《标准化工作导则  第1部分：标准化文件的结构和起草规则》的规定起草。</w:t>
      </w:r>
    </w:p>
    <w:p w14:paraId="319A1491">
      <w:pPr>
        <w:tabs>
          <w:tab w:val="center" w:pos="4201"/>
          <w:tab w:val="right" w:leader="dot" w:pos="9298"/>
        </w:tabs>
        <w:adjustRightInd w:val="0"/>
        <w:ind w:firstLine="420" w:firstLineChars="200"/>
        <w:jc w:val="left"/>
      </w:pPr>
      <w:r>
        <w:rPr>
          <w:rFonts w:hint="eastAsia" w:ascii="宋体" w:hAnsi="宋体" w:cs="宋体"/>
          <w:color w:val="000000"/>
          <w:kern w:val="0"/>
          <w:szCs w:val="21"/>
        </w:rPr>
        <w:t>请注意本文件的某些内容可能涉及专利。本文件的发布机构不承担识别专利的责任。</w:t>
      </w:r>
    </w:p>
    <w:p w14:paraId="7F13C687">
      <w:pPr>
        <w:pStyle w:val="25"/>
      </w:pPr>
      <w:r>
        <w:rPr>
          <w:rFonts w:hint="eastAsia"/>
        </w:rPr>
        <w:t>本文件由陕西省林业局提出并归口。</w:t>
      </w:r>
    </w:p>
    <w:p w14:paraId="34B430AA">
      <w:pPr>
        <w:pStyle w:val="25"/>
      </w:pPr>
      <w:r>
        <w:t>本文件起草单位：</w:t>
      </w:r>
      <w:r>
        <w:rPr>
          <w:rFonts w:hint="eastAsia"/>
        </w:rPr>
        <w:t>陕西省林业科学院、西北农林科技大学、杨凌职业技术学院、杨凌金山农业科技有限责任公司。</w:t>
      </w:r>
    </w:p>
    <w:p w14:paraId="7FBBBAE7">
      <w:pPr>
        <w:pStyle w:val="25"/>
      </w:pPr>
      <w:r>
        <w:rPr>
          <w:rFonts w:hint="eastAsia"/>
        </w:rPr>
        <w:t>本文件主要起草人：王海燕、王拉岐、黄璞、李欢欢、张馨之、王渭玲、张跃进、王嘉豪、冯长虹、周博、王菲、刘扬、樊卫东。</w:t>
      </w:r>
    </w:p>
    <w:p w14:paraId="5FFE2541">
      <w:pPr>
        <w:pStyle w:val="25"/>
      </w:pPr>
      <w:r>
        <w:rPr>
          <w:rFonts w:hint="eastAsia"/>
        </w:rPr>
        <w:t>本文本由陕西省林业科学院负责解释。</w:t>
      </w:r>
    </w:p>
    <w:p w14:paraId="33E819D6">
      <w:pPr>
        <w:pStyle w:val="25"/>
      </w:pPr>
      <w:r>
        <w:rPr>
          <w:rFonts w:hint="eastAsia"/>
        </w:rPr>
        <w:t>本文件首次发布。</w:t>
      </w:r>
    </w:p>
    <w:p w14:paraId="5B783B3D">
      <w:pPr>
        <w:pStyle w:val="25"/>
      </w:pPr>
    </w:p>
    <w:p w14:paraId="6A33FDCE">
      <w:pPr>
        <w:pStyle w:val="25"/>
      </w:pPr>
      <w:r>
        <w:rPr>
          <w:rFonts w:hint="eastAsia"/>
        </w:rPr>
        <w:t>联系信息如下：</w:t>
      </w:r>
    </w:p>
    <w:p w14:paraId="679CCA95">
      <w:pPr>
        <w:pStyle w:val="25"/>
      </w:pPr>
      <w:r>
        <w:rPr>
          <w:rFonts w:hint="eastAsia"/>
        </w:rPr>
        <w:t>单位：陕西省林业科学院</w:t>
      </w:r>
    </w:p>
    <w:p w14:paraId="0514B4E9">
      <w:pPr>
        <w:pStyle w:val="25"/>
      </w:pPr>
      <w:r>
        <w:rPr>
          <w:rFonts w:hint="eastAsia"/>
        </w:rPr>
        <w:t>电话：18829266513</w:t>
      </w:r>
    </w:p>
    <w:p w14:paraId="066D0F03">
      <w:pPr>
        <w:pStyle w:val="25"/>
      </w:pPr>
      <w:r>
        <w:rPr>
          <w:rFonts w:hint="eastAsia"/>
        </w:rPr>
        <w:t>地址：陕西省西安市未央区大白杨东路7号</w:t>
      </w:r>
    </w:p>
    <w:p w14:paraId="626EF9CE">
      <w:pPr>
        <w:pStyle w:val="25"/>
      </w:pPr>
      <w:r>
        <w:rPr>
          <w:rFonts w:hint="eastAsia"/>
        </w:rPr>
        <w:t>邮编：710016</w:t>
      </w:r>
    </w:p>
    <w:p w14:paraId="5233D41F">
      <w:pPr>
        <w:pStyle w:val="25"/>
      </w:pPr>
    </w:p>
    <w:p w14:paraId="64692DFA">
      <w:pPr>
        <w:pStyle w:val="25"/>
      </w:pPr>
    </w:p>
    <w:p w14:paraId="6B947408">
      <w:pPr>
        <w:pStyle w:val="25"/>
      </w:pPr>
    </w:p>
    <w:p w14:paraId="2394E7AF">
      <w:pPr>
        <w:pStyle w:val="25"/>
      </w:pPr>
    </w:p>
    <w:p w14:paraId="7B10EBA3">
      <w:pPr>
        <w:pStyle w:val="25"/>
      </w:pPr>
    </w:p>
    <w:p w14:paraId="75BCB872">
      <w:pPr>
        <w:pStyle w:val="25"/>
      </w:pPr>
    </w:p>
    <w:p w14:paraId="75B0E0B2">
      <w:pPr>
        <w:pStyle w:val="25"/>
      </w:pPr>
    </w:p>
    <w:p w14:paraId="793A1426">
      <w:pPr>
        <w:pStyle w:val="25"/>
      </w:pPr>
    </w:p>
    <w:p w14:paraId="1EC07203">
      <w:pPr>
        <w:pStyle w:val="25"/>
      </w:pPr>
    </w:p>
    <w:p w14:paraId="2B12CDDD">
      <w:pPr>
        <w:pStyle w:val="25"/>
      </w:pPr>
    </w:p>
    <w:p w14:paraId="73716D24">
      <w:pPr>
        <w:pStyle w:val="25"/>
      </w:pPr>
    </w:p>
    <w:p w14:paraId="5C918CD6">
      <w:pPr>
        <w:pStyle w:val="25"/>
      </w:pPr>
    </w:p>
    <w:p w14:paraId="40C4D994">
      <w:pPr>
        <w:pStyle w:val="25"/>
      </w:pPr>
    </w:p>
    <w:p w14:paraId="405A5018">
      <w:pPr>
        <w:pStyle w:val="25"/>
      </w:pPr>
    </w:p>
    <w:p w14:paraId="41C1BEFF">
      <w:pPr>
        <w:pStyle w:val="25"/>
      </w:pPr>
    </w:p>
    <w:p w14:paraId="7DA0F5CA">
      <w:pPr>
        <w:pStyle w:val="25"/>
      </w:pPr>
    </w:p>
    <w:p w14:paraId="2A494F95">
      <w:pPr>
        <w:pStyle w:val="25"/>
      </w:pPr>
    </w:p>
    <w:p w14:paraId="704AA123">
      <w:pPr>
        <w:pStyle w:val="25"/>
      </w:pPr>
    </w:p>
    <w:p w14:paraId="08AAD5D9">
      <w:pPr>
        <w:pStyle w:val="25"/>
      </w:pPr>
    </w:p>
    <w:p w14:paraId="0A29B283">
      <w:pPr>
        <w:pStyle w:val="25"/>
      </w:pPr>
    </w:p>
    <w:p w14:paraId="683D8920">
      <w:pPr>
        <w:pStyle w:val="25"/>
      </w:pPr>
    </w:p>
    <w:p w14:paraId="0E89313D">
      <w:pPr>
        <w:pStyle w:val="25"/>
      </w:pPr>
    </w:p>
    <w:p w14:paraId="7F61EBAB">
      <w:pPr>
        <w:pStyle w:val="25"/>
      </w:pPr>
    </w:p>
    <w:p w14:paraId="6A9E3679">
      <w:pPr>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翻白草栽培技术规程</w:t>
      </w:r>
    </w:p>
    <w:p w14:paraId="5E3D87D7">
      <w:pPr>
        <w:pStyle w:val="49"/>
        <w:rPr>
          <w:rFonts w:hAnsi="黑体" w:cs="仿宋"/>
          <w:szCs w:val="21"/>
        </w:rPr>
      </w:pPr>
      <w:bookmarkStart w:id="9" w:name="_Toc190849075"/>
      <w:r>
        <w:rPr>
          <w:rFonts w:hint="eastAsia" w:hAnsi="黑体" w:cs="仿宋"/>
          <w:szCs w:val="21"/>
        </w:rPr>
        <w:t>范围</w:t>
      </w:r>
      <w:bookmarkEnd w:id="9"/>
    </w:p>
    <w:p w14:paraId="799119B8">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本文件规定了翻白草药材种植的术语与定义、种植及田间管理技术等内容。</w:t>
      </w:r>
    </w:p>
    <w:p w14:paraId="4E94A725">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本文件用于翻白草的栽培。</w:t>
      </w:r>
    </w:p>
    <w:p w14:paraId="37DD27A9">
      <w:pPr>
        <w:pStyle w:val="49"/>
        <w:rPr>
          <w:rFonts w:hAnsi="黑体" w:cs="仿宋"/>
          <w:szCs w:val="21"/>
        </w:rPr>
      </w:pPr>
      <w:bookmarkStart w:id="10" w:name="_Toc190849076"/>
      <w:r>
        <w:rPr>
          <w:rFonts w:hint="eastAsia" w:hAnsi="黑体" w:cs="仿宋"/>
          <w:szCs w:val="21"/>
        </w:rPr>
        <w:t>规范性引用文件</w:t>
      </w:r>
      <w:bookmarkEnd w:id="10"/>
    </w:p>
    <w:p w14:paraId="3A47437B">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AF48B4A">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GB 3095  环境空气质量标准</w:t>
      </w:r>
    </w:p>
    <w:p w14:paraId="72908C44">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GB/T 3543  农作物检验规程</w:t>
      </w:r>
    </w:p>
    <w:p w14:paraId="2E620C9B">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GB 5084  农田灌溉水质标准</w:t>
      </w:r>
    </w:p>
    <w:p w14:paraId="028A728D">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GB 5749  生活饮用水卫生标准</w:t>
      </w:r>
    </w:p>
    <w:p w14:paraId="14592F57">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GB/T 8321.1～8321.10  农药合理使用准则</w:t>
      </w:r>
    </w:p>
    <w:p w14:paraId="3C79E537">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GB 15618 土壤环境质量农用地土壤污染风险管控标准（试行）</w:t>
      </w:r>
    </w:p>
    <w:p w14:paraId="2B5B39D6">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SB/T 11182  中药材包装技术规范</w:t>
      </w:r>
    </w:p>
    <w:p w14:paraId="0CEF09A1">
      <w:pPr>
        <w:pStyle w:val="49"/>
        <w:rPr>
          <w:rFonts w:hAnsi="黑体" w:cs="仿宋"/>
          <w:szCs w:val="21"/>
        </w:rPr>
      </w:pPr>
      <w:bookmarkStart w:id="11" w:name="_Toc190849077"/>
      <w:r>
        <w:rPr>
          <w:rFonts w:hint="eastAsia" w:hAnsi="黑体" w:cs="仿宋"/>
          <w:szCs w:val="21"/>
        </w:rPr>
        <w:t>术语与定义</w:t>
      </w:r>
      <w:bookmarkEnd w:id="11"/>
    </w:p>
    <w:p w14:paraId="49510F26">
      <w:pPr>
        <w:pStyle w:val="25"/>
        <w:rPr>
          <w:rFonts w:cs="仿宋" w:asciiTheme="minorEastAsia" w:hAnsiTheme="minorEastAsia" w:eastAsiaTheme="minorEastAsia"/>
          <w:szCs w:val="21"/>
        </w:rPr>
      </w:pPr>
      <w:r>
        <w:rPr>
          <w:rFonts w:hint="eastAsia" w:cs="仿宋" w:asciiTheme="minorEastAsia" w:hAnsiTheme="minorEastAsia" w:eastAsiaTheme="minorEastAsia"/>
          <w:szCs w:val="21"/>
        </w:rPr>
        <w:t>下列术语与定义适用于本文件。</w:t>
      </w:r>
    </w:p>
    <w:p w14:paraId="45BEFE58">
      <w:pPr>
        <w:rPr>
          <w:rFonts w:ascii="黑体" w:hAnsi="黑体" w:eastAsia="黑体"/>
        </w:rPr>
      </w:pPr>
      <w:r>
        <w:rPr>
          <w:rFonts w:hint="eastAsia" w:ascii="黑体" w:hAnsi="黑体" w:eastAsia="黑体"/>
        </w:rPr>
        <w:t>3.1</w:t>
      </w:r>
    </w:p>
    <w:p w14:paraId="4B305221">
      <w:pPr>
        <w:ind w:firstLine="422" w:firstLineChars="200"/>
        <w:rPr>
          <w:rFonts w:ascii="黑体" w:hAnsi="黑体" w:eastAsia="黑体"/>
          <w:b/>
          <w:bCs/>
          <w:i/>
          <w:iCs/>
        </w:rPr>
      </w:pPr>
      <w:r>
        <w:rPr>
          <w:rFonts w:hint="eastAsia" w:ascii="黑体" w:hAnsi="黑体" w:eastAsia="黑体"/>
          <w:b/>
          <w:bCs/>
        </w:rPr>
        <w:t xml:space="preserve">翻白草 </w:t>
      </w:r>
      <w:r>
        <w:rPr>
          <w:rFonts w:ascii="黑体" w:hAnsi="黑体" w:eastAsia="黑体"/>
          <w:b/>
          <w:bCs/>
        </w:rPr>
        <w:t xml:space="preserve"> </w:t>
      </w:r>
      <w:r>
        <w:rPr>
          <w:rFonts w:ascii="黑体" w:hAnsi="黑体" w:eastAsia="黑体"/>
          <w:b/>
          <w:bCs/>
          <w:i/>
          <w:iCs/>
        </w:rPr>
        <w:t>Potentilla discolor Bunge</w:t>
      </w:r>
    </w:p>
    <w:p w14:paraId="17CBA5DD">
      <w:pPr>
        <w:pStyle w:val="25"/>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 xml:space="preserve">蔷薇科委陵菜属多年生草本植物。根粗壮，下部常肥厚呈纺锤形。花茎直立，上升或微铺散，高10cm～45cm，密被白色绵毛。基生叶有小叶2对～4对。聚伞花序有花数朵至多朵，疏散。瘦果近肾形，宽约1mm，光滑。花果期5月～9月。  </w:t>
      </w:r>
    </w:p>
    <w:p w14:paraId="6E5338ED">
      <w:pPr>
        <w:pStyle w:val="49"/>
        <w:rPr>
          <w:rFonts w:hAnsi="黑体" w:cs="仿宋"/>
          <w:szCs w:val="21"/>
        </w:rPr>
      </w:pPr>
      <w:r>
        <w:rPr>
          <w:rFonts w:hint="eastAsia" w:hAnsi="黑体" w:cs="仿宋"/>
          <w:szCs w:val="21"/>
        </w:rPr>
        <w:t xml:space="preserve"> </w:t>
      </w:r>
      <w:bookmarkStart w:id="12" w:name="_Toc190849078"/>
      <w:r>
        <w:rPr>
          <w:rFonts w:hint="eastAsia" w:hAnsi="黑体" w:cs="仿宋"/>
          <w:szCs w:val="21"/>
        </w:rPr>
        <w:t>产地环境</w:t>
      </w:r>
      <w:bookmarkEnd w:id="12"/>
    </w:p>
    <w:p w14:paraId="09BBD436">
      <w:pPr>
        <w:pStyle w:val="25"/>
        <w:ind w:firstLine="640" w:firstLineChars="0"/>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4.1 空气应符合GB 3095的规定。</w:t>
      </w:r>
    </w:p>
    <w:p w14:paraId="05C8D5B1">
      <w:pPr>
        <w:pStyle w:val="25"/>
        <w:ind w:firstLine="640" w:firstLineChars="0"/>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 xml:space="preserve">4.2 农田灌溉水应符合GB 5084的规定。 </w:t>
      </w:r>
    </w:p>
    <w:p w14:paraId="04BA9204">
      <w:pPr>
        <w:pStyle w:val="25"/>
        <w:ind w:firstLine="640" w:firstLineChars="0"/>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4.3 饮用水应符合GB 5749的规定。</w:t>
      </w:r>
    </w:p>
    <w:p w14:paraId="0480451A">
      <w:pPr>
        <w:pStyle w:val="25"/>
        <w:ind w:firstLine="640" w:firstLineChars="0"/>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4.4 土壤应符合GB 15618的规定。</w:t>
      </w:r>
    </w:p>
    <w:p w14:paraId="47E798EA">
      <w:pPr>
        <w:pStyle w:val="49"/>
        <w:rPr>
          <w:rFonts w:hAnsi="黑体" w:cs="仿宋"/>
          <w:szCs w:val="21"/>
        </w:rPr>
      </w:pPr>
      <w:bookmarkStart w:id="13" w:name="_Toc190849079"/>
      <w:r>
        <w:rPr>
          <w:rFonts w:hint="eastAsia" w:hAnsi="黑体" w:cs="仿宋"/>
          <w:szCs w:val="21"/>
        </w:rPr>
        <w:t>地块选择</w:t>
      </w:r>
      <w:bookmarkEnd w:id="13"/>
    </w:p>
    <w:p w14:paraId="1AE211C4">
      <w:pPr>
        <w:pStyle w:val="25"/>
        <w:ind w:firstLine="640" w:firstLineChars="0"/>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5.1 平地、山地均可种植。宜在腐殖质深厚的林下、阴坡地种植。肥沃砂质壤土为宜，pH4.5～6.5，不应连作。</w:t>
      </w:r>
    </w:p>
    <w:p w14:paraId="6DD04DFD">
      <w:pPr>
        <w:pStyle w:val="25"/>
        <w:ind w:firstLine="640" w:firstLineChars="0"/>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5.2 育苗地应选择阴坡，坡度小于 15°～30°的荒地或熟地，土层疏松肥沃，无积水。需要时搭建遮荫设施，遮光率 50%～75%。</w:t>
      </w:r>
    </w:p>
    <w:p w14:paraId="475B20AC">
      <w:pPr>
        <w:pStyle w:val="49"/>
        <w:rPr>
          <w:rFonts w:hAnsi="黑体" w:cs="仿宋"/>
          <w:szCs w:val="21"/>
        </w:rPr>
      </w:pPr>
      <w:r>
        <w:rPr>
          <w:rFonts w:hint="eastAsia" w:hAnsi="黑体" w:cs="仿宋"/>
          <w:szCs w:val="21"/>
        </w:rPr>
        <w:t xml:space="preserve"> </w:t>
      </w:r>
      <w:bookmarkStart w:id="14" w:name="_Toc190849080"/>
      <w:r>
        <w:rPr>
          <w:rFonts w:hint="eastAsia" w:hAnsi="黑体" w:cs="仿宋"/>
          <w:szCs w:val="21"/>
        </w:rPr>
        <w:t>整地施肥</w:t>
      </w:r>
      <w:bookmarkEnd w:id="14"/>
    </w:p>
    <w:p w14:paraId="0E014712">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播种前翻耕土地 1次～2次, 深25cm～30cm，施入厩肥或堆肥,耙细整平；作畦宽约1.5m～2m，畦面开沟，深 6cm～7cm, 沟距 18cm～ 21cm。</w:t>
      </w:r>
    </w:p>
    <w:p w14:paraId="6210362F">
      <w:pPr>
        <w:pStyle w:val="49"/>
        <w:rPr>
          <w:rFonts w:hAnsi="黑体" w:cs="仿宋"/>
          <w:szCs w:val="21"/>
        </w:rPr>
      </w:pPr>
      <w:bookmarkStart w:id="15" w:name="_Toc190849081"/>
      <w:r>
        <w:rPr>
          <w:rFonts w:hint="eastAsia" w:hAnsi="黑体" w:cs="仿宋"/>
          <w:szCs w:val="21"/>
        </w:rPr>
        <w:t>品种选择</w:t>
      </w:r>
      <w:bookmarkEnd w:id="15"/>
    </w:p>
    <w:p w14:paraId="22FB8F34">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应根据种植区域和用途选择。常见品种为普通翻白草、大花翻白草、红花翻白草。</w:t>
      </w:r>
    </w:p>
    <w:p w14:paraId="27B18779">
      <w:pPr>
        <w:pStyle w:val="49"/>
        <w:rPr>
          <w:rFonts w:hAnsi="黑体" w:cs="仿宋"/>
          <w:szCs w:val="21"/>
        </w:rPr>
      </w:pPr>
      <w:bookmarkStart w:id="16" w:name="_Toc190849082"/>
      <w:r>
        <w:rPr>
          <w:rFonts w:hint="eastAsia" w:hAnsi="黑体" w:cs="仿宋"/>
          <w:szCs w:val="21"/>
        </w:rPr>
        <w:t>种子处理</w:t>
      </w:r>
      <w:bookmarkEnd w:id="16"/>
    </w:p>
    <w:p w14:paraId="60A6EEAB">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8.1采种</w:t>
      </w:r>
    </w:p>
    <w:p w14:paraId="7F1EFB6C">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夏秋季6月～10月, 种子成熟时采收，采后自然阴干, 避光保存。</w:t>
      </w:r>
    </w:p>
    <w:p w14:paraId="62A04E40">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8.2播前处理</w:t>
      </w:r>
    </w:p>
    <w:p w14:paraId="3AE6DC5F">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播种前浸种24h，直到种子在水中浸出少量黄色细胞质后，浸泡过的种子放冰箱内侵壳冷藏3d，取出晾干备用。</w:t>
      </w:r>
    </w:p>
    <w:p w14:paraId="45A0EA4C">
      <w:pPr>
        <w:pStyle w:val="49"/>
        <w:rPr>
          <w:rFonts w:hAnsi="黑体" w:cs="仿宋"/>
          <w:szCs w:val="21"/>
        </w:rPr>
      </w:pPr>
      <w:bookmarkStart w:id="17" w:name="_Toc190849083"/>
      <w:r>
        <w:rPr>
          <w:rFonts w:hint="eastAsia" w:hAnsi="黑体" w:cs="仿宋"/>
          <w:szCs w:val="21"/>
        </w:rPr>
        <w:t>播种</w:t>
      </w:r>
      <w:bookmarkEnd w:id="17"/>
    </w:p>
    <w:p w14:paraId="494951E1">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9.1时间</w:t>
      </w:r>
    </w:p>
    <w:p w14:paraId="1CD710A3">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种植可以选择春季3月中旬至4月中旬、9月中旬至10月中旬。</w:t>
      </w:r>
    </w:p>
    <w:p w14:paraId="01A60646">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9.2方法</w:t>
      </w:r>
    </w:p>
    <w:p w14:paraId="4980D6D2">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采用条播或撒播。将浸泡过的种子均匀撒在预选地块，将种子轻轻压实，深浅一致，覆土0.5cm～1cm。</w:t>
      </w:r>
    </w:p>
    <w:p w14:paraId="3C17555C">
      <w:pPr>
        <w:pStyle w:val="49"/>
        <w:rPr>
          <w:rFonts w:hAnsi="黑体" w:cs="仿宋"/>
          <w:szCs w:val="21"/>
        </w:rPr>
      </w:pPr>
      <w:bookmarkStart w:id="18" w:name="_Toc190849084"/>
      <w:r>
        <w:rPr>
          <w:rFonts w:hint="eastAsia" w:hAnsi="黑体" w:cs="仿宋"/>
          <w:szCs w:val="21"/>
        </w:rPr>
        <w:t>栽植</w:t>
      </w:r>
      <w:bookmarkEnd w:id="18"/>
    </w:p>
    <w:p w14:paraId="66327CEA">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10.1直播法</w:t>
      </w:r>
    </w:p>
    <w:p w14:paraId="39EF1CB0">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3月～4月，翻耕土地，深25cm～30cm，施厩肥或堆肥,耙细整平，作成1m～2m宽的畦。</w:t>
      </w:r>
      <w:bookmarkStart w:id="19" w:name="_Hlk190703672"/>
      <w:r>
        <w:rPr>
          <w:rFonts w:hint="eastAsia" w:cs="仿宋" w:asciiTheme="minorEastAsia" w:hAnsiTheme="minorEastAsia" w:eastAsiaTheme="minorEastAsia"/>
          <w:color w:val="333333"/>
          <w:sz w:val="21"/>
          <w:szCs w:val="21"/>
          <w:shd w:val="clear" w:color="auto" w:fill="FFFFFF"/>
        </w:rPr>
        <w:t>畦</w:t>
      </w:r>
      <w:bookmarkEnd w:id="19"/>
      <w:r>
        <w:rPr>
          <w:rFonts w:hint="eastAsia" w:cs="仿宋" w:asciiTheme="minorEastAsia" w:hAnsiTheme="minorEastAsia" w:eastAsiaTheme="minorEastAsia"/>
          <w:color w:val="333333"/>
          <w:sz w:val="21"/>
          <w:szCs w:val="21"/>
          <w:shd w:val="clear" w:color="auto" w:fill="FFFFFF"/>
        </w:rPr>
        <w:t xml:space="preserve">面上开沟，深6cm～7cm，沟距18cm～21 cm，将种子与细土混和, 疏播于沟中, 覆土3cm～5cm, 浇水。 </w:t>
      </w:r>
    </w:p>
    <w:p w14:paraId="252C5332">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10.2育苗移栽法</w:t>
      </w:r>
    </w:p>
    <w:p w14:paraId="3080750A">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4月下旬移植，株行距12cm～15cm，穴深15cm，每穴植苗1株。</w:t>
      </w:r>
    </w:p>
    <w:p w14:paraId="4B16CC3C">
      <w:pPr>
        <w:pStyle w:val="49"/>
        <w:rPr>
          <w:rFonts w:hAnsi="黑体" w:cs="仿宋"/>
          <w:szCs w:val="21"/>
        </w:rPr>
      </w:pPr>
      <w:bookmarkStart w:id="20" w:name="_Toc190849085"/>
      <w:r>
        <w:rPr>
          <w:rFonts w:hint="eastAsia" w:hAnsi="黑体" w:cs="仿宋"/>
          <w:szCs w:val="21"/>
        </w:rPr>
        <w:t>苗期管理</w:t>
      </w:r>
      <w:bookmarkEnd w:id="20"/>
    </w:p>
    <w:p w14:paraId="44A5FE33">
      <w:pPr>
        <w:pStyle w:val="32"/>
        <w:widowControl/>
        <w:shd w:val="clear" w:color="auto" w:fill="FFFFFF"/>
        <w:spacing w:beforeAutospacing="0" w:after="150" w:afterAutospacing="0"/>
        <w:rPr>
          <w:rFonts w:ascii="仿宋" w:hAnsi="仿宋" w:eastAsia="仿宋" w:cs="仿宋"/>
          <w:color w:val="353535"/>
          <w:sz w:val="32"/>
          <w:szCs w:val="32"/>
          <w:shd w:val="clear" w:color="auto" w:fill="FFFFFF"/>
        </w:rPr>
      </w:pPr>
      <w:r>
        <w:rPr>
          <w:rFonts w:hint="eastAsia" w:ascii="黑体" w:hAnsi="黑体" w:eastAsia="黑体" w:cs="仿宋"/>
          <w:sz w:val="21"/>
          <w:szCs w:val="21"/>
        </w:rPr>
        <w:t>11.1</w:t>
      </w:r>
      <w:r>
        <w:rPr>
          <w:rFonts w:hint="eastAsia" w:cs="仿宋" w:asciiTheme="minorEastAsia" w:hAnsiTheme="minorEastAsia" w:eastAsiaTheme="minorEastAsia"/>
          <w:color w:val="333333"/>
          <w:sz w:val="21"/>
          <w:szCs w:val="21"/>
          <w:shd w:val="clear" w:color="auto" w:fill="FFFFFF"/>
        </w:rPr>
        <w:t>播种后3周, 苗高3cm～6cm间苗, 株距 12cm～15cm。</w:t>
      </w:r>
    </w:p>
    <w:p w14:paraId="2F15D3A7">
      <w:pPr>
        <w:pStyle w:val="32"/>
        <w:widowControl/>
        <w:shd w:val="clear" w:color="auto" w:fill="FFFFFF"/>
        <w:spacing w:beforeAutospacing="0" w:after="150" w:afterAutospacing="0"/>
        <w:rPr>
          <w:rFonts w:cs="仿宋" w:asciiTheme="minorEastAsia" w:hAnsiTheme="minorEastAsia" w:eastAsiaTheme="minorEastAsia"/>
          <w:color w:val="333333"/>
          <w:sz w:val="21"/>
          <w:szCs w:val="21"/>
          <w:shd w:val="clear" w:color="auto" w:fill="FFFFFF"/>
        </w:rPr>
      </w:pPr>
      <w:r>
        <w:rPr>
          <w:rFonts w:hint="eastAsia" w:ascii="黑体" w:hAnsi="黑体" w:eastAsia="黑体" w:cs="仿宋"/>
          <w:sz w:val="21"/>
          <w:szCs w:val="21"/>
        </w:rPr>
        <w:t xml:space="preserve">11.2 </w:t>
      </w:r>
      <w:r>
        <w:rPr>
          <w:rFonts w:hint="eastAsia" w:cs="仿宋" w:asciiTheme="minorEastAsia" w:hAnsiTheme="minorEastAsia" w:eastAsiaTheme="minorEastAsia"/>
          <w:color w:val="333333"/>
          <w:sz w:val="21"/>
          <w:szCs w:val="21"/>
          <w:shd w:val="clear" w:color="auto" w:fill="FFFFFF"/>
        </w:rPr>
        <w:t xml:space="preserve">翻白草育苗期为5～6个月，育苗期应保持土壤湿润，光照强度适宜。 </w:t>
      </w:r>
    </w:p>
    <w:p w14:paraId="7365816F">
      <w:pPr>
        <w:pStyle w:val="49"/>
        <w:rPr>
          <w:rFonts w:hAnsi="黑体" w:cs="仿宋"/>
          <w:szCs w:val="21"/>
        </w:rPr>
      </w:pPr>
      <w:bookmarkStart w:id="21" w:name="_Toc190849086"/>
      <w:r>
        <w:rPr>
          <w:rFonts w:hint="eastAsia" w:hAnsi="黑体" w:cs="仿宋"/>
          <w:szCs w:val="21"/>
        </w:rPr>
        <w:t>田间管理</w:t>
      </w:r>
      <w:bookmarkEnd w:id="21"/>
      <w:r>
        <w:rPr>
          <w:rFonts w:hint="eastAsia" w:hAnsi="黑体" w:cs="仿宋"/>
          <w:szCs w:val="21"/>
        </w:rPr>
        <w:t xml:space="preserve"> </w:t>
      </w:r>
    </w:p>
    <w:p w14:paraId="16B275D5">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12.1松土除草</w:t>
      </w:r>
      <w:r>
        <w:rPr>
          <w:rFonts w:hint="eastAsia" w:cs="仿宋" w:asciiTheme="minorEastAsia" w:hAnsiTheme="minorEastAsia" w:eastAsiaTheme="minorEastAsia"/>
          <w:color w:val="333333"/>
          <w:sz w:val="21"/>
          <w:szCs w:val="21"/>
          <w:shd w:val="clear" w:color="auto" w:fill="FFFFFF"/>
        </w:rPr>
        <w:t xml:space="preserve">   </w:t>
      </w:r>
    </w:p>
    <w:p w14:paraId="254D6AE1">
      <w:pPr>
        <w:pStyle w:val="32"/>
        <w:widowControl/>
        <w:shd w:val="clear" w:color="auto" w:fill="FFFFFF"/>
        <w:spacing w:beforeAutospacing="0" w:after="150" w:afterAutospacing="0"/>
        <w:ind w:firstLine="420" w:firstLineChars="200"/>
        <w:rPr>
          <w:rFonts w:ascii="仿宋" w:hAnsi="仿宋" w:eastAsia="仿宋" w:cs="仿宋"/>
          <w:color w:val="353535"/>
          <w:sz w:val="32"/>
          <w:szCs w:val="32"/>
          <w:shd w:val="clear" w:color="auto" w:fill="FFFFFF"/>
        </w:rPr>
      </w:pPr>
      <w:r>
        <w:rPr>
          <w:rFonts w:hint="eastAsia" w:cs="仿宋" w:asciiTheme="minorEastAsia" w:hAnsiTheme="minorEastAsia" w:eastAsiaTheme="minorEastAsia"/>
          <w:color w:val="333333"/>
          <w:sz w:val="21"/>
          <w:szCs w:val="21"/>
          <w:shd w:val="clear" w:color="auto" w:fill="FFFFFF"/>
        </w:rPr>
        <w:t>幼苗期应松土除草</w:t>
      </w:r>
    </w:p>
    <w:p w14:paraId="2609F096">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12.2施肥</w:t>
      </w:r>
    </w:p>
    <w:p w14:paraId="42EA70BB">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每年施肥2次</w:t>
      </w:r>
      <w:bookmarkStart w:id="22" w:name="_Hlk190787609"/>
      <w:r>
        <w:rPr>
          <w:rFonts w:hint="eastAsia" w:cs="仿宋" w:asciiTheme="minorEastAsia" w:hAnsiTheme="minorEastAsia" w:eastAsiaTheme="minorEastAsia"/>
          <w:color w:val="333333"/>
          <w:sz w:val="21"/>
          <w:szCs w:val="21"/>
          <w:shd w:val="clear" w:color="auto" w:fill="FFFFFF"/>
        </w:rPr>
        <w:t>～</w:t>
      </w:r>
      <w:bookmarkEnd w:id="22"/>
      <w:r>
        <w:rPr>
          <w:rFonts w:hint="eastAsia" w:cs="仿宋" w:asciiTheme="minorEastAsia" w:hAnsiTheme="minorEastAsia" w:eastAsiaTheme="minorEastAsia"/>
          <w:color w:val="333333"/>
          <w:sz w:val="21"/>
          <w:szCs w:val="21"/>
          <w:shd w:val="clear" w:color="auto" w:fill="FFFFFF"/>
        </w:rPr>
        <w:t>3次。施用肥料应根据土壤的情况和作物的需要选择；幼苗生长出2枚～3枚针叶时追施氮肥 1 次，生长花蕾前追施磷肥 1 次。开花期再次追肥，肥料使用应符合NY/T 496的规定。</w:t>
      </w:r>
    </w:p>
    <w:p w14:paraId="792B0522">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12.3灌溉</w:t>
      </w:r>
    </w:p>
    <w:p w14:paraId="0270EECE">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干旱期7月～9月，采用畦灌法灌溉或机械喷洒，适当增加浇水量。高温期6月～8月，及时降温。</w:t>
      </w:r>
    </w:p>
    <w:p w14:paraId="16072A77">
      <w:pPr>
        <w:pStyle w:val="49"/>
        <w:rPr>
          <w:rFonts w:hAnsi="黑体" w:cs="仿宋"/>
          <w:szCs w:val="21"/>
        </w:rPr>
      </w:pPr>
      <w:bookmarkStart w:id="23" w:name="_Toc190849087"/>
      <w:r>
        <w:rPr>
          <w:rFonts w:hint="eastAsia" w:hAnsi="黑体" w:cs="仿宋"/>
          <w:szCs w:val="21"/>
        </w:rPr>
        <w:t>病虫害防治</w:t>
      </w:r>
      <w:bookmarkEnd w:id="23"/>
      <w:r>
        <w:rPr>
          <w:rFonts w:hint="eastAsia" w:hAnsi="黑体" w:cs="仿宋"/>
          <w:szCs w:val="21"/>
        </w:rPr>
        <w:t xml:space="preserve"> </w:t>
      </w:r>
    </w:p>
    <w:p w14:paraId="68F494B8">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13.1 农业防治</w:t>
      </w:r>
    </w:p>
    <w:p w14:paraId="09FA3316">
      <w:pPr>
        <w:pStyle w:val="25"/>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排除田间积水，发现病株立即拔除，集中烧毁或深埋，并用5%石灰水灌病窝消毒。</w:t>
      </w:r>
    </w:p>
    <w:p w14:paraId="5E86771B">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13.2 物理防治</w:t>
      </w:r>
    </w:p>
    <w:p w14:paraId="679435C6">
      <w:pPr>
        <w:pStyle w:val="25"/>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采用频振式杀虫灯、黑光灯诱杀金龟子、飞虱、叶蝉等，悬挂张黄板扑杀蚜虫等。</w:t>
      </w:r>
    </w:p>
    <w:p w14:paraId="3BDFED82">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13.3 生物防治</w:t>
      </w:r>
    </w:p>
    <w:p w14:paraId="18A76261">
      <w:pPr>
        <w:pStyle w:val="25"/>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可利用草蛉成虫、深点食螨瓢虫、红蜘蛛（短须螨）等控制二斑叶螨；利用瓢虫、蜘蛛类天敌捕食蚜虫等。</w:t>
      </w:r>
    </w:p>
    <w:p w14:paraId="6875E805">
      <w:pPr>
        <w:pStyle w:val="32"/>
        <w:widowControl/>
        <w:shd w:val="clear" w:color="auto" w:fill="FFFFFF"/>
        <w:spacing w:beforeAutospacing="0" w:after="150" w:afterAutospacing="0"/>
        <w:rPr>
          <w:rFonts w:ascii="黑体" w:hAnsi="黑体" w:eastAsia="黑体" w:cs="仿宋"/>
          <w:sz w:val="21"/>
          <w:szCs w:val="21"/>
        </w:rPr>
      </w:pPr>
      <w:r>
        <w:rPr>
          <w:rFonts w:hint="eastAsia" w:ascii="黑体" w:hAnsi="黑体" w:eastAsia="黑体" w:cs="仿宋"/>
          <w:sz w:val="21"/>
          <w:szCs w:val="21"/>
        </w:rPr>
        <w:t>13.4 化学防治</w:t>
      </w:r>
    </w:p>
    <w:p w14:paraId="0E52FE48">
      <w:pPr>
        <w:pStyle w:val="25"/>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施用生物源农药为主。优先选用高效、低毒的生物农药。不应使用除草剂、杀虫剂和杀菌剂等化学农药及禁限用农药，见附录A.1。主要病虫害防治见附录B。</w:t>
      </w:r>
    </w:p>
    <w:p w14:paraId="20F1CA4E">
      <w:pPr>
        <w:pStyle w:val="49"/>
        <w:rPr>
          <w:rFonts w:hAnsi="黑体" w:cs="仿宋"/>
          <w:szCs w:val="21"/>
        </w:rPr>
      </w:pPr>
      <w:bookmarkStart w:id="24" w:name="_Toc190849088"/>
      <w:r>
        <w:rPr>
          <w:rFonts w:hint="eastAsia" w:hAnsi="黑体" w:cs="仿宋"/>
          <w:szCs w:val="21"/>
        </w:rPr>
        <w:t>采收</w:t>
      </w:r>
      <w:bookmarkEnd w:id="24"/>
    </w:p>
    <w:p w14:paraId="76EAC403">
      <w:pPr>
        <w:pStyle w:val="32"/>
        <w:widowControl/>
        <w:shd w:val="clear" w:color="auto" w:fill="FFFFFF"/>
        <w:spacing w:beforeAutospacing="0" w:after="150" w:afterAutospacing="0"/>
        <w:ind w:firstLine="420" w:firstLineChars="200"/>
        <w:rPr>
          <w:rFonts w:cs="仿宋" w:asciiTheme="minorEastAsia" w:hAnsiTheme="minorEastAsia" w:eastAsiaTheme="minorEastAsia"/>
          <w:color w:val="333333"/>
          <w:sz w:val="21"/>
          <w:szCs w:val="21"/>
          <w:shd w:val="clear" w:color="auto" w:fill="FFFFFF"/>
        </w:rPr>
      </w:pPr>
      <w:r>
        <w:rPr>
          <w:rFonts w:hint="eastAsia" w:cs="仿宋" w:asciiTheme="minorEastAsia" w:hAnsiTheme="minorEastAsia" w:eastAsiaTheme="minorEastAsia"/>
          <w:color w:val="333333"/>
          <w:sz w:val="21"/>
          <w:szCs w:val="21"/>
          <w:shd w:val="clear" w:color="auto" w:fill="FFFFFF"/>
        </w:rPr>
        <w:t>9月-11月采摘根茎，晾干储存。</w:t>
      </w:r>
    </w:p>
    <w:p w14:paraId="276E9157">
      <w:pPr>
        <w:pStyle w:val="49"/>
        <w:rPr>
          <w:rFonts w:hAnsi="黑体" w:cs="仿宋"/>
          <w:szCs w:val="21"/>
        </w:rPr>
      </w:pPr>
      <w:bookmarkStart w:id="25" w:name="_Toc190849089"/>
      <w:r>
        <w:rPr>
          <w:rFonts w:hint="eastAsia" w:hAnsi="黑体" w:cs="仿宋"/>
          <w:szCs w:val="21"/>
        </w:rPr>
        <w:t>档案管理</w:t>
      </w:r>
      <w:bookmarkEnd w:id="25"/>
    </w:p>
    <w:p w14:paraId="57CA7FF6">
      <w:pPr>
        <w:pStyle w:val="25"/>
        <w:rPr>
          <w:rFonts w:cs="仿宋" w:asciiTheme="minorEastAsia" w:hAnsiTheme="minorEastAsia" w:eastAsiaTheme="minorEastAsia"/>
          <w:color w:val="333333"/>
          <w:szCs w:val="21"/>
          <w:shd w:val="clear" w:color="auto" w:fill="FFFFFF"/>
        </w:rPr>
      </w:pPr>
      <w:r>
        <w:rPr>
          <w:rFonts w:hint="eastAsia" w:cs="仿宋" w:asciiTheme="minorEastAsia" w:hAnsiTheme="minorEastAsia" w:eastAsiaTheme="minorEastAsia"/>
          <w:color w:val="333333"/>
          <w:szCs w:val="21"/>
          <w:shd w:val="clear" w:color="auto" w:fill="FFFFFF"/>
        </w:rPr>
        <w:t>按照</w:t>
      </w:r>
      <w:r>
        <w:rPr>
          <w:rFonts w:cs="仿宋" w:asciiTheme="minorEastAsia" w:hAnsiTheme="minorEastAsia" w:eastAsiaTheme="minorEastAsia"/>
          <w:color w:val="333333"/>
          <w:szCs w:val="21"/>
          <w:shd w:val="clear" w:color="auto" w:fill="FFFFFF"/>
        </w:rPr>
        <w:t xml:space="preserve"> LY/T 2280</w:t>
      </w:r>
      <w:r>
        <w:rPr>
          <w:rFonts w:hint="eastAsia" w:cs="仿宋" w:asciiTheme="minorEastAsia" w:hAnsiTheme="minorEastAsia" w:eastAsiaTheme="minorEastAsia"/>
          <w:color w:val="333333"/>
          <w:szCs w:val="21"/>
          <w:shd w:val="clear" w:color="auto" w:fill="FFFFFF"/>
        </w:rPr>
        <w:t>的规定执行。</w:t>
      </w:r>
    </w:p>
    <w:p w14:paraId="0E9BD38A">
      <w:pPr>
        <w:pStyle w:val="25"/>
        <w:rPr>
          <w:rFonts w:ascii="Arial" w:hAnsi="Arial" w:cs="Arial"/>
          <w:color w:val="0000FF"/>
          <w:szCs w:val="21"/>
          <w:shd w:val="clear" w:color="auto" w:fill="FFFFFF"/>
        </w:rPr>
      </w:pPr>
    </w:p>
    <w:p w14:paraId="0B0F2070">
      <w:pPr>
        <w:pStyle w:val="25"/>
        <w:ind w:firstLine="0" w:firstLineChars="0"/>
      </w:pPr>
    </w:p>
    <w:p w14:paraId="6F418BE1">
      <w:pPr>
        <w:pStyle w:val="25"/>
        <w:ind w:firstLine="0" w:firstLineChars="0"/>
      </w:pPr>
    </w:p>
    <w:p w14:paraId="36DAC24B">
      <w:pPr>
        <w:pStyle w:val="25"/>
        <w:ind w:firstLine="0" w:firstLineChars="0"/>
      </w:pPr>
    </w:p>
    <w:p w14:paraId="083965F9">
      <w:pPr>
        <w:pStyle w:val="25"/>
        <w:ind w:firstLine="0" w:firstLineChars="0"/>
      </w:pPr>
    </w:p>
    <w:p w14:paraId="13A5B1EF">
      <w:pPr>
        <w:pStyle w:val="25"/>
        <w:ind w:firstLine="0" w:firstLineChars="0"/>
      </w:pPr>
    </w:p>
    <w:p w14:paraId="5E5C3137">
      <w:pPr>
        <w:pStyle w:val="25"/>
        <w:ind w:firstLine="0" w:firstLineChars="0"/>
      </w:pPr>
    </w:p>
    <w:p w14:paraId="11D90498">
      <w:pPr>
        <w:pStyle w:val="25"/>
        <w:ind w:firstLine="0" w:firstLineChars="0"/>
      </w:pPr>
    </w:p>
    <w:p w14:paraId="24539A82">
      <w:pPr>
        <w:pStyle w:val="25"/>
        <w:ind w:firstLine="0" w:firstLineChars="0"/>
      </w:pPr>
    </w:p>
    <w:p w14:paraId="16426706">
      <w:pPr>
        <w:pStyle w:val="25"/>
        <w:ind w:firstLine="0" w:firstLineChars="0"/>
      </w:pPr>
    </w:p>
    <w:p w14:paraId="6264C0FA">
      <w:pPr>
        <w:wordWrap w:val="0"/>
        <w:autoSpaceDE w:val="0"/>
        <w:autoSpaceDN w:val="0"/>
        <w:spacing w:line="440" w:lineRule="exact"/>
        <w:ind w:firstLine="4410" w:firstLineChars="2100"/>
        <w:outlineLvl w:val="0"/>
        <w:rPr>
          <w:rFonts w:ascii="宋体" w:hAnsi="宋体" w:cs="宋体"/>
          <w:szCs w:val="21"/>
        </w:rPr>
      </w:pPr>
      <w:bookmarkStart w:id="26" w:name="_Toc24082"/>
      <w:bookmarkStart w:id="27" w:name="_Toc190849090"/>
      <w:r>
        <w:rPr>
          <w:rFonts w:hint="eastAsia" w:ascii="宋体" w:hAnsi="宋体" w:cs="宋体"/>
          <w:szCs w:val="21"/>
        </w:rPr>
        <w:t>附 录 A</w:t>
      </w:r>
      <w:bookmarkEnd w:id="26"/>
      <w:bookmarkEnd w:id="27"/>
    </w:p>
    <w:p w14:paraId="4E4C335A">
      <w:pPr>
        <w:wordWrap w:val="0"/>
        <w:autoSpaceDE w:val="0"/>
        <w:autoSpaceDN w:val="0"/>
        <w:spacing w:line="440" w:lineRule="exact"/>
        <w:jc w:val="center"/>
        <w:rPr>
          <w:rFonts w:ascii="宋体" w:hAnsi="宋体" w:cs="宋体"/>
          <w:szCs w:val="21"/>
        </w:rPr>
      </w:pPr>
      <w:r>
        <w:rPr>
          <w:rFonts w:hint="eastAsia" w:ascii="宋体" w:hAnsi="宋体" w:cs="宋体"/>
          <w:szCs w:val="21"/>
        </w:rPr>
        <w:t>（规范性）</w:t>
      </w:r>
    </w:p>
    <w:p w14:paraId="5C5AD930">
      <w:pPr>
        <w:wordWrap w:val="0"/>
        <w:autoSpaceDE w:val="0"/>
        <w:autoSpaceDN w:val="0"/>
        <w:spacing w:line="440" w:lineRule="exact"/>
        <w:jc w:val="center"/>
        <w:rPr>
          <w:rFonts w:ascii="宋体" w:hAnsi="宋体" w:cs="宋体"/>
          <w:szCs w:val="21"/>
        </w:rPr>
      </w:pPr>
      <w:r>
        <w:rPr>
          <w:rFonts w:hint="eastAsia" w:ascii="宋体" w:hAnsi="宋体" w:cs="宋体"/>
          <w:szCs w:val="21"/>
        </w:rPr>
        <w:t>禁限用农药名单</w:t>
      </w:r>
    </w:p>
    <w:p w14:paraId="244AE9F2">
      <w:pPr>
        <w:wordWrap w:val="0"/>
        <w:autoSpaceDE w:val="0"/>
        <w:autoSpaceDN w:val="0"/>
        <w:spacing w:line="440" w:lineRule="exact"/>
        <w:rPr>
          <w:rFonts w:ascii="宋体" w:hAnsi="宋体" w:cs="宋体"/>
          <w:szCs w:val="21"/>
        </w:rPr>
      </w:pPr>
      <w:r>
        <w:rPr>
          <w:rFonts w:hint="eastAsia" w:ascii="宋体" w:hAnsi="宋体" w:cs="宋体"/>
          <w:szCs w:val="21"/>
        </w:rPr>
        <w:t>禁限用农药名单及禁用范围见表A.1、表A.2。</w:t>
      </w:r>
    </w:p>
    <w:p w14:paraId="68FDA4C8">
      <w:pPr>
        <w:autoSpaceDE w:val="0"/>
        <w:autoSpaceDN w:val="0"/>
        <w:spacing w:line="440" w:lineRule="exact"/>
        <w:jc w:val="center"/>
        <w:rPr>
          <w:rFonts w:ascii="宋体" w:hAnsi="宋体" w:cs="宋体"/>
          <w:szCs w:val="21"/>
        </w:rPr>
      </w:pPr>
      <w:r>
        <w:rPr>
          <w:rFonts w:hint="eastAsia" w:ascii="宋体" w:hAnsi="宋体" w:cs="宋体"/>
          <w:szCs w:val="21"/>
        </w:rPr>
        <w:t>表A.1 禁限用农药名单</w:t>
      </w:r>
    </w:p>
    <w:p w14:paraId="662B71AA">
      <w:pPr>
        <w:wordWrap w:val="0"/>
        <w:autoSpaceDE w:val="0"/>
        <w:autoSpaceDN w:val="0"/>
        <w:spacing w:line="440" w:lineRule="exact"/>
        <w:rPr>
          <w:sz w:val="24"/>
        </w:rPr>
      </w:pPr>
      <w:r>
        <w:rPr>
          <w:sz w:val="20"/>
        </w:rPr>
        <mc:AlternateContent>
          <mc:Choice Requires="wps">
            <w:drawing>
              <wp:anchor distT="0" distB="0" distL="114300" distR="114300" simplePos="0" relativeHeight="251664384" behindDoc="0" locked="0" layoutInCell="1" allowOverlap="1">
                <wp:simplePos x="0" y="0"/>
                <wp:positionH relativeFrom="column">
                  <wp:posOffset>41275</wp:posOffset>
                </wp:positionH>
                <wp:positionV relativeFrom="paragraph">
                  <wp:posOffset>117475</wp:posOffset>
                </wp:positionV>
                <wp:extent cx="6105525" cy="1277620"/>
                <wp:effectExtent l="4445" t="4445" r="5080" b="13335"/>
                <wp:wrapNone/>
                <wp:docPr id="109" name="文本框 75"/>
                <wp:cNvGraphicFramePr/>
                <a:graphic xmlns:a="http://schemas.openxmlformats.org/drawingml/2006/main">
                  <a:graphicData uri="http://schemas.microsoft.com/office/word/2010/wordprocessingShape">
                    <wps:wsp>
                      <wps:cNvSpPr txBox="1"/>
                      <wps:spPr>
                        <a:xfrm>
                          <a:off x="0" y="0"/>
                          <a:ext cx="6106160" cy="1278255"/>
                        </a:xfrm>
                        <a:prstGeom prst="rect">
                          <a:avLst/>
                        </a:prstGeom>
                        <a:solidFill>
                          <a:prstClr val="white"/>
                        </a:solidFill>
                        <a:ln w="9525" cap="flat" cmpd="sng">
                          <a:solidFill>
                            <a:prstClr val="black"/>
                          </a:solidFill>
                          <a:prstDash val="solid"/>
                          <a:miter lim="800000"/>
                          <a:headEnd type="none" w="med" len="med"/>
                          <a:tailEnd type="none" w="med" len="med"/>
                        </a:ln>
                      </wps:spPr>
                      <wps:txbx>
                        <w:txbxContent>
                          <w:p w14:paraId="512B5598">
                            <w:pPr>
                              <w:autoSpaceDE w:val="0"/>
                              <w:autoSpaceDN w:val="0"/>
                              <w:spacing w:line="440" w:lineRule="exact"/>
                            </w:pPr>
                            <w:r>
                              <w:rPr>
                                <w:rFonts w:hint="eastAsia" w:ascii="宋体" w:hAnsi="宋体" w:cs="宋体"/>
                                <w:sz w:val="18"/>
                                <w:szCs w:val="18"/>
                              </w:rPr>
                              <w:t>六六六、滴滴涕、毒杀芬、二溴氯丙烷、杀虫脒、二溴乙烷、除草醚、艾氏剂、狄氏剂、汞制剂、砷类、铅类、敌枯双、氟乙酰胺、甘氟、毒鼠强、氟乙酸钠、毒鼠硅、甲胺磷、对硫磷、甲基对硫磷、久效磷、磷胺、苯线磷、地虫硫磷、甲基硫环磷、磷化钙、磷化镁、磷化锌、硫线磷、蝇毒磷、治螟磷、特丁硫磷、氯磺隆、胺苯磺隆、甲磺隆、福美胂、福美甲胂、三氯杀螨醇、林丹、硫丹、溴甲烷、氟虫胺、杀扑磷、百草枯、2,4-滴丁酯</w:t>
                            </w:r>
                          </w:p>
                        </w:txbxContent>
                      </wps:txbx>
                      <wps:bodyPr rot="0" spcFirstLastPara="0" vertOverflow="overflow" horzOverflow="overflow" vert="horz" wrap="square" lIns="91440" tIns="45720" rIns="91440" bIns="45720" numCol="1" spcCol="0" rtlCol="0" fromWordArt="0" anchor="ctr" anchorCtr="0" forceAA="0" upright="1" compatLnSpc="0"/>
                    </wps:wsp>
                  </a:graphicData>
                </a:graphic>
              </wp:anchor>
            </w:drawing>
          </mc:Choice>
          <mc:Fallback>
            <w:pict>
              <v:shape id="文本框 75" o:spid="_x0000_s1026" o:spt="202" type="#_x0000_t202" style="position:absolute;left:0pt;margin-left:3.25pt;margin-top:9.25pt;height:100.6pt;width:480.75pt;z-index:251664384;v-text-anchor:middle;mso-width-relative:page;mso-height-relative:page;" fillcolor="#FFFFFF" filled="t" stroked="t" coordsize="21600,21600" o:gfxdata="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AZm28TVAAAACAEAAA8AAAAAAAAAAQAgAAAAIgAAAGRycy9kb3ducmV2LnhtbFBLAQIUABQAAAAI&#10;AIdO4kA3S2kcmwIAAEgFAAAOAAAAAAAAAAEAIAAAACQBAABkcnMvZTJvRG9jLnhtbFBLBQYAAAAA&#10;BgAGAFkBAAAxBgAAAAA=&#10;">
                <v:fill on="t" focussize="0,0"/>
                <v:stroke color="#000000" miterlimit="8" joinstyle="miter"/>
                <v:imagedata o:title=""/>
                <o:lock v:ext="edit" aspectratio="f"/>
                <v:textbox>
                  <w:txbxContent>
                    <w:p w14:paraId="512B5598">
                      <w:pPr>
                        <w:autoSpaceDE w:val="0"/>
                        <w:autoSpaceDN w:val="0"/>
                        <w:spacing w:line="440" w:lineRule="exact"/>
                      </w:pPr>
                      <w:r>
                        <w:rPr>
                          <w:rFonts w:hint="eastAsia" w:ascii="宋体" w:hAnsi="宋体" w:cs="宋体"/>
                          <w:sz w:val="18"/>
                          <w:szCs w:val="18"/>
                        </w:rPr>
                        <w:t>六六六、滴滴涕、毒杀芬、二溴氯丙烷、杀虫脒、二溴乙烷、除草醚、艾氏剂、狄氏剂、汞制剂、砷类、铅类、敌枯双、氟乙酰胺、甘氟、毒鼠强、氟乙酸钠、毒鼠硅、甲胺磷、对硫磷、甲基对硫磷、久效磷、磷胺、苯线磷、地虫硫磷、甲基硫环磷、磷化钙、磷化镁、磷化锌、硫线磷、蝇毒磷、治螟磷、特丁硫磷、氯磺隆、胺苯磺隆、甲磺隆、福美胂、福美甲胂、三氯杀螨醇、林丹、硫丹、溴甲烷、氟虫胺、杀扑磷、百草枯、2,4-滴丁酯</w:t>
                      </w:r>
                    </w:p>
                  </w:txbxContent>
                </v:textbox>
              </v:shape>
            </w:pict>
          </mc:Fallback>
        </mc:AlternateContent>
      </w:r>
    </w:p>
    <w:p w14:paraId="2BB4731B">
      <w:pPr>
        <w:wordWrap w:val="0"/>
        <w:autoSpaceDE w:val="0"/>
        <w:autoSpaceDN w:val="0"/>
        <w:spacing w:line="440" w:lineRule="exact"/>
        <w:rPr>
          <w:sz w:val="24"/>
        </w:rPr>
      </w:pPr>
      <w:r>
        <w:rPr>
          <w:sz w:val="24"/>
        </w:rPr>
        <w:t>一、禁止（停止）使用的农药（46 种）</w:t>
      </w:r>
    </w:p>
    <w:p w14:paraId="44B09F4F">
      <w:pPr>
        <w:wordWrap w:val="0"/>
        <w:autoSpaceDE w:val="0"/>
        <w:autoSpaceDN w:val="0"/>
        <w:spacing w:line="440" w:lineRule="exact"/>
        <w:rPr>
          <w:sz w:val="24"/>
        </w:rPr>
      </w:pPr>
    </w:p>
    <w:p w14:paraId="46DC84FF">
      <w:pPr>
        <w:wordWrap w:val="0"/>
        <w:autoSpaceDE w:val="0"/>
        <w:autoSpaceDN w:val="0"/>
        <w:spacing w:line="440" w:lineRule="exact"/>
        <w:rPr>
          <w:sz w:val="24"/>
        </w:rPr>
      </w:pPr>
    </w:p>
    <w:p w14:paraId="7E4486BF">
      <w:pPr>
        <w:wordWrap w:val="0"/>
        <w:autoSpaceDE w:val="0"/>
        <w:autoSpaceDN w:val="0"/>
        <w:spacing w:line="440" w:lineRule="exact"/>
        <w:rPr>
          <w:sz w:val="24"/>
        </w:rPr>
      </w:pPr>
    </w:p>
    <w:p w14:paraId="6A225AAA">
      <w:pPr>
        <w:pStyle w:val="25"/>
        <w:wordWrap w:val="0"/>
        <w:spacing w:line="440" w:lineRule="exact"/>
      </w:pPr>
      <w:r>
        <w:rPr>
          <w:rFonts w:hint="eastAsia"/>
        </w:rPr>
        <w:t>注：氟虫胺自 2020 年1月1日起禁止使用。百草枯可溶胶剂自2020年9月26日起禁止使用。2,4-滴丁酯自2023年1月29日起禁止使用。溴甲烷可用于“检疫熏蒸处理”。杀扑磷已无制剂登记。</w:t>
      </w:r>
    </w:p>
    <w:p w14:paraId="5B6F2D69">
      <w:pPr>
        <w:pStyle w:val="25"/>
        <w:wordWrap w:val="0"/>
        <w:spacing w:line="440" w:lineRule="exact"/>
        <w:ind w:firstLine="3360" w:firstLineChars="1600"/>
      </w:pPr>
      <w:r>
        <w:rPr>
          <w:rFonts w:hint="eastAsia"/>
        </w:rPr>
        <w:t>表A.2 农药禁止使用范围</w:t>
      </w:r>
    </w:p>
    <w:tbl>
      <w:tblPr>
        <w:tblStyle w:val="35"/>
        <w:tblW w:w="9573" w:type="dxa"/>
        <w:jc w:val="center"/>
        <w:tblLayout w:type="fixed"/>
        <w:tblCellMar>
          <w:top w:w="0" w:type="dxa"/>
          <w:left w:w="108" w:type="dxa"/>
          <w:bottom w:w="0" w:type="dxa"/>
          <w:right w:w="108" w:type="dxa"/>
        </w:tblCellMar>
      </w:tblPr>
      <w:tblGrid>
        <w:gridCol w:w="4200"/>
        <w:gridCol w:w="5373"/>
      </w:tblGrid>
      <w:tr w14:paraId="653DF103">
        <w:tblPrEx>
          <w:tblCellMar>
            <w:top w:w="0" w:type="dxa"/>
            <w:left w:w="108" w:type="dxa"/>
            <w:bottom w:w="0" w:type="dxa"/>
            <w:right w:w="108" w:type="dxa"/>
          </w:tblCellMar>
        </w:tblPrEx>
        <w:trPr>
          <w:trHeight w:val="542"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532E08D5">
            <w:pPr>
              <w:pStyle w:val="141"/>
              <w:kinsoku w:val="0"/>
              <w:overflowPunct w:val="0"/>
              <w:spacing w:before="3"/>
              <w:ind w:left="107" w:right="-15"/>
              <w:jc w:val="center"/>
              <w:rPr>
                <w:rFonts w:hint="default"/>
                <w:b/>
                <w:spacing w:val="-6"/>
                <w:sz w:val="18"/>
                <w:szCs w:val="18"/>
              </w:rPr>
            </w:pPr>
            <w:r>
              <w:rPr>
                <w:b/>
                <w:spacing w:val="-6"/>
                <w:sz w:val="18"/>
                <w:szCs w:val="18"/>
              </w:rPr>
              <w:t>通用名</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2815BE9A">
            <w:pPr>
              <w:pStyle w:val="141"/>
              <w:kinsoku w:val="0"/>
              <w:overflowPunct w:val="0"/>
              <w:spacing w:before="3"/>
              <w:ind w:left="107"/>
              <w:jc w:val="center"/>
              <w:rPr>
                <w:rFonts w:hint="default"/>
                <w:b/>
                <w:sz w:val="18"/>
                <w:szCs w:val="18"/>
              </w:rPr>
            </w:pPr>
            <w:r>
              <w:rPr>
                <w:b/>
                <w:sz w:val="18"/>
                <w:szCs w:val="18"/>
              </w:rPr>
              <w:t>禁止使用范围</w:t>
            </w:r>
          </w:p>
        </w:tc>
      </w:tr>
      <w:tr w14:paraId="177B6F07">
        <w:tblPrEx>
          <w:tblCellMar>
            <w:top w:w="0" w:type="dxa"/>
            <w:left w:w="108" w:type="dxa"/>
            <w:bottom w:w="0" w:type="dxa"/>
            <w:right w:w="108" w:type="dxa"/>
          </w:tblCellMar>
        </w:tblPrEx>
        <w:trPr>
          <w:trHeight w:val="612"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1453DC7B">
            <w:pPr>
              <w:pStyle w:val="141"/>
              <w:kinsoku w:val="0"/>
              <w:overflowPunct w:val="0"/>
              <w:spacing w:before="3"/>
              <w:ind w:left="107" w:right="-15"/>
              <w:jc w:val="both"/>
              <w:rPr>
                <w:rFonts w:hint="default"/>
                <w:sz w:val="18"/>
                <w:szCs w:val="18"/>
              </w:rPr>
            </w:pPr>
            <w:r>
              <w:rPr>
                <w:spacing w:val="-6"/>
                <w:sz w:val="18"/>
                <w:szCs w:val="18"/>
              </w:rPr>
              <w:t>甲拌磷、甲基异柳磷、克百威、水胺硫磷、</w:t>
            </w:r>
            <w:r>
              <w:rPr>
                <w:sz w:val="18"/>
                <w:szCs w:val="18"/>
              </w:rPr>
              <w:t>氧乐果、灭多威、涕灭威、灭线磷</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703E0CBC">
            <w:pPr>
              <w:pStyle w:val="141"/>
              <w:kinsoku w:val="0"/>
              <w:overflowPunct w:val="0"/>
              <w:spacing w:before="3"/>
              <w:ind w:left="107"/>
              <w:jc w:val="both"/>
              <w:rPr>
                <w:rFonts w:hint="default"/>
                <w:sz w:val="18"/>
                <w:szCs w:val="18"/>
              </w:rPr>
            </w:pPr>
            <w:r>
              <w:rPr>
                <w:sz w:val="18"/>
                <w:szCs w:val="18"/>
              </w:rPr>
              <w:t>禁止在蔬菜、瓜果、茶叶、菌类、中草药材上使用，禁止用于防治卫生害虫，禁止用于水生植物的病虫害防治</w:t>
            </w:r>
          </w:p>
        </w:tc>
      </w:tr>
      <w:tr w14:paraId="5CA6CB33">
        <w:tblPrEx>
          <w:tblCellMar>
            <w:top w:w="0" w:type="dxa"/>
            <w:left w:w="108" w:type="dxa"/>
            <w:bottom w:w="0" w:type="dxa"/>
            <w:right w:w="108" w:type="dxa"/>
          </w:tblCellMar>
        </w:tblPrEx>
        <w:trPr>
          <w:trHeight w:val="407"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755F1437">
            <w:pPr>
              <w:pStyle w:val="141"/>
              <w:kinsoku w:val="0"/>
              <w:overflowPunct w:val="0"/>
              <w:spacing w:before="1"/>
              <w:ind w:left="107"/>
              <w:jc w:val="both"/>
              <w:rPr>
                <w:rFonts w:hint="default"/>
                <w:sz w:val="18"/>
                <w:szCs w:val="18"/>
              </w:rPr>
            </w:pPr>
            <w:r>
              <w:rPr>
                <w:sz w:val="18"/>
                <w:szCs w:val="18"/>
              </w:rPr>
              <w:t>甲拌磷、甲基异柳磷、克百威</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5B97766B">
            <w:pPr>
              <w:pStyle w:val="141"/>
              <w:kinsoku w:val="0"/>
              <w:overflowPunct w:val="0"/>
              <w:spacing w:before="1"/>
              <w:ind w:left="107"/>
              <w:jc w:val="both"/>
              <w:rPr>
                <w:rFonts w:hint="default"/>
                <w:sz w:val="18"/>
                <w:szCs w:val="18"/>
              </w:rPr>
            </w:pPr>
            <w:r>
              <w:rPr>
                <w:sz w:val="18"/>
                <w:szCs w:val="18"/>
              </w:rPr>
              <w:t>禁止在甘蔗作物上使用</w:t>
            </w:r>
          </w:p>
        </w:tc>
      </w:tr>
      <w:tr w14:paraId="17BB0B8B">
        <w:tblPrEx>
          <w:tblCellMar>
            <w:top w:w="0" w:type="dxa"/>
            <w:left w:w="108" w:type="dxa"/>
            <w:bottom w:w="0" w:type="dxa"/>
            <w:right w:w="108" w:type="dxa"/>
          </w:tblCellMar>
        </w:tblPrEx>
        <w:trPr>
          <w:trHeight w:val="409"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05CE45B0">
            <w:pPr>
              <w:pStyle w:val="141"/>
              <w:kinsoku w:val="0"/>
              <w:overflowPunct w:val="0"/>
              <w:spacing w:before="3"/>
              <w:ind w:left="107"/>
              <w:jc w:val="both"/>
              <w:rPr>
                <w:rFonts w:hint="default"/>
                <w:sz w:val="18"/>
                <w:szCs w:val="18"/>
              </w:rPr>
            </w:pPr>
            <w:r>
              <w:rPr>
                <w:sz w:val="18"/>
                <w:szCs w:val="18"/>
              </w:rPr>
              <w:t>内吸磷、硫环磷、氯唑磷</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55542277">
            <w:pPr>
              <w:pStyle w:val="141"/>
              <w:kinsoku w:val="0"/>
              <w:overflowPunct w:val="0"/>
              <w:spacing w:before="3"/>
              <w:ind w:left="107"/>
              <w:jc w:val="both"/>
              <w:rPr>
                <w:rFonts w:hint="default"/>
                <w:sz w:val="18"/>
                <w:szCs w:val="18"/>
              </w:rPr>
            </w:pPr>
            <w:r>
              <w:rPr>
                <w:sz w:val="18"/>
                <w:szCs w:val="18"/>
              </w:rPr>
              <w:t>禁止在蔬菜、瓜果、茶叶、中草药材上使用</w:t>
            </w:r>
          </w:p>
        </w:tc>
      </w:tr>
      <w:tr w14:paraId="2A96CFCB">
        <w:tblPrEx>
          <w:tblCellMar>
            <w:top w:w="0" w:type="dxa"/>
            <w:left w:w="108" w:type="dxa"/>
            <w:bottom w:w="0" w:type="dxa"/>
            <w:right w:w="108" w:type="dxa"/>
          </w:tblCellMar>
        </w:tblPrEx>
        <w:trPr>
          <w:trHeight w:val="407"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7DB6A4F1">
            <w:pPr>
              <w:pStyle w:val="141"/>
              <w:kinsoku w:val="0"/>
              <w:overflowPunct w:val="0"/>
              <w:spacing w:before="1"/>
              <w:ind w:left="107"/>
              <w:jc w:val="both"/>
              <w:rPr>
                <w:rFonts w:hint="default"/>
                <w:sz w:val="18"/>
                <w:szCs w:val="18"/>
              </w:rPr>
            </w:pPr>
            <w:r>
              <w:rPr>
                <w:sz w:val="18"/>
                <w:szCs w:val="18"/>
              </w:rPr>
              <w:t>乙酰甲胺磷、丁硫克百威、乐果</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62E29C66">
            <w:pPr>
              <w:pStyle w:val="141"/>
              <w:kinsoku w:val="0"/>
              <w:overflowPunct w:val="0"/>
              <w:spacing w:before="1"/>
              <w:ind w:left="107"/>
              <w:jc w:val="both"/>
              <w:rPr>
                <w:rFonts w:hint="default"/>
                <w:sz w:val="18"/>
                <w:szCs w:val="18"/>
              </w:rPr>
            </w:pPr>
            <w:r>
              <w:rPr>
                <w:sz w:val="18"/>
                <w:szCs w:val="18"/>
              </w:rPr>
              <w:t>禁止在蔬菜、瓜果、茶叶、菌类和中草药材上使用</w:t>
            </w:r>
          </w:p>
        </w:tc>
      </w:tr>
      <w:tr w14:paraId="6714F094">
        <w:tblPrEx>
          <w:tblCellMar>
            <w:top w:w="0" w:type="dxa"/>
            <w:left w:w="108" w:type="dxa"/>
            <w:bottom w:w="0" w:type="dxa"/>
            <w:right w:w="108" w:type="dxa"/>
          </w:tblCellMar>
        </w:tblPrEx>
        <w:trPr>
          <w:trHeight w:val="410"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76AE774F">
            <w:pPr>
              <w:pStyle w:val="141"/>
              <w:kinsoku w:val="0"/>
              <w:overflowPunct w:val="0"/>
              <w:spacing w:before="1"/>
              <w:ind w:left="107"/>
              <w:jc w:val="both"/>
              <w:rPr>
                <w:rFonts w:hint="default"/>
                <w:sz w:val="18"/>
                <w:szCs w:val="18"/>
              </w:rPr>
            </w:pPr>
            <w:r>
              <w:rPr>
                <w:sz w:val="18"/>
                <w:szCs w:val="18"/>
              </w:rPr>
              <w:t>毒死蜱、三唑磷</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1E24065D">
            <w:pPr>
              <w:pStyle w:val="141"/>
              <w:kinsoku w:val="0"/>
              <w:overflowPunct w:val="0"/>
              <w:spacing w:before="1"/>
              <w:ind w:left="107"/>
              <w:jc w:val="both"/>
              <w:rPr>
                <w:rFonts w:hint="default"/>
                <w:sz w:val="18"/>
                <w:szCs w:val="18"/>
              </w:rPr>
            </w:pPr>
            <w:r>
              <w:rPr>
                <w:sz w:val="18"/>
                <w:szCs w:val="18"/>
              </w:rPr>
              <w:t>禁止在蔬菜上使用</w:t>
            </w:r>
          </w:p>
        </w:tc>
      </w:tr>
      <w:tr w14:paraId="1DE59EAB">
        <w:tblPrEx>
          <w:tblCellMar>
            <w:top w:w="0" w:type="dxa"/>
            <w:left w:w="108" w:type="dxa"/>
            <w:bottom w:w="0" w:type="dxa"/>
            <w:right w:w="108" w:type="dxa"/>
          </w:tblCellMar>
        </w:tblPrEx>
        <w:trPr>
          <w:trHeight w:val="407"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295E52F5">
            <w:pPr>
              <w:pStyle w:val="141"/>
              <w:kinsoku w:val="0"/>
              <w:overflowPunct w:val="0"/>
              <w:spacing w:before="1"/>
              <w:ind w:left="107"/>
              <w:jc w:val="both"/>
              <w:rPr>
                <w:rFonts w:hint="default"/>
                <w:sz w:val="18"/>
                <w:szCs w:val="18"/>
              </w:rPr>
            </w:pPr>
            <w:r>
              <w:rPr>
                <w:sz w:val="18"/>
                <w:szCs w:val="18"/>
              </w:rPr>
              <w:t>丁酰肼（比久）</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22A137C7">
            <w:pPr>
              <w:pStyle w:val="141"/>
              <w:kinsoku w:val="0"/>
              <w:overflowPunct w:val="0"/>
              <w:spacing w:before="1"/>
              <w:ind w:left="107"/>
              <w:jc w:val="both"/>
              <w:rPr>
                <w:rFonts w:hint="default"/>
                <w:sz w:val="18"/>
                <w:szCs w:val="18"/>
              </w:rPr>
            </w:pPr>
            <w:r>
              <w:rPr>
                <w:sz w:val="18"/>
                <w:szCs w:val="18"/>
              </w:rPr>
              <w:t>禁止在花生上使用</w:t>
            </w:r>
          </w:p>
        </w:tc>
      </w:tr>
      <w:tr w14:paraId="3A92A85A">
        <w:tblPrEx>
          <w:tblCellMar>
            <w:top w:w="0" w:type="dxa"/>
            <w:left w:w="108" w:type="dxa"/>
            <w:bottom w:w="0" w:type="dxa"/>
            <w:right w:w="108" w:type="dxa"/>
          </w:tblCellMar>
        </w:tblPrEx>
        <w:trPr>
          <w:trHeight w:val="408"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0D04C3A4">
            <w:pPr>
              <w:pStyle w:val="141"/>
              <w:kinsoku w:val="0"/>
              <w:overflowPunct w:val="0"/>
              <w:spacing w:before="1"/>
              <w:ind w:left="107"/>
              <w:jc w:val="both"/>
              <w:rPr>
                <w:rFonts w:hint="default"/>
                <w:sz w:val="18"/>
                <w:szCs w:val="18"/>
              </w:rPr>
            </w:pPr>
            <w:r>
              <w:rPr>
                <w:sz w:val="18"/>
                <w:szCs w:val="18"/>
              </w:rPr>
              <w:t>氰戊菊酯</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0AD222EE">
            <w:pPr>
              <w:pStyle w:val="141"/>
              <w:kinsoku w:val="0"/>
              <w:overflowPunct w:val="0"/>
              <w:spacing w:before="1"/>
              <w:ind w:left="107"/>
              <w:jc w:val="both"/>
              <w:rPr>
                <w:rFonts w:hint="default"/>
                <w:sz w:val="18"/>
                <w:szCs w:val="18"/>
              </w:rPr>
            </w:pPr>
            <w:r>
              <w:rPr>
                <w:sz w:val="18"/>
                <w:szCs w:val="18"/>
              </w:rPr>
              <w:t>禁止在茶叶上使用</w:t>
            </w:r>
          </w:p>
        </w:tc>
      </w:tr>
      <w:tr w14:paraId="478D291D">
        <w:tblPrEx>
          <w:tblCellMar>
            <w:top w:w="0" w:type="dxa"/>
            <w:left w:w="108" w:type="dxa"/>
            <w:bottom w:w="0" w:type="dxa"/>
            <w:right w:w="108" w:type="dxa"/>
          </w:tblCellMar>
        </w:tblPrEx>
        <w:trPr>
          <w:trHeight w:val="410"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27515EC3">
            <w:pPr>
              <w:pStyle w:val="141"/>
              <w:kinsoku w:val="0"/>
              <w:overflowPunct w:val="0"/>
              <w:spacing w:before="3"/>
              <w:ind w:left="107"/>
              <w:jc w:val="both"/>
              <w:rPr>
                <w:rFonts w:hint="default"/>
                <w:sz w:val="18"/>
                <w:szCs w:val="18"/>
              </w:rPr>
            </w:pPr>
            <w:r>
              <w:rPr>
                <w:sz w:val="18"/>
                <w:szCs w:val="18"/>
              </w:rPr>
              <w:t>氟虫腈</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77AD1F0D">
            <w:pPr>
              <w:pStyle w:val="141"/>
              <w:kinsoku w:val="0"/>
              <w:overflowPunct w:val="0"/>
              <w:spacing w:before="3"/>
              <w:ind w:left="107" w:right="-15"/>
              <w:jc w:val="both"/>
              <w:rPr>
                <w:rFonts w:hint="default"/>
                <w:sz w:val="18"/>
                <w:szCs w:val="18"/>
              </w:rPr>
            </w:pPr>
            <w:r>
              <w:rPr>
                <w:spacing w:val="-9"/>
                <w:sz w:val="18"/>
                <w:szCs w:val="18"/>
              </w:rPr>
              <w:t>禁止在所有农作物上使用</w:t>
            </w:r>
            <w:r>
              <w:rPr>
                <w:spacing w:val="-3"/>
                <w:sz w:val="18"/>
                <w:szCs w:val="18"/>
              </w:rPr>
              <w:t>（玉米等部分旱田种子包衣除外</w:t>
            </w:r>
            <w:r>
              <w:rPr>
                <w:spacing w:val="-110"/>
                <w:sz w:val="18"/>
                <w:szCs w:val="18"/>
              </w:rPr>
              <w:t>）</w:t>
            </w:r>
          </w:p>
        </w:tc>
      </w:tr>
      <w:tr w14:paraId="686DDE8E">
        <w:tblPrEx>
          <w:tblCellMar>
            <w:top w:w="0" w:type="dxa"/>
            <w:left w:w="108" w:type="dxa"/>
            <w:bottom w:w="0" w:type="dxa"/>
            <w:right w:w="108" w:type="dxa"/>
          </w:tblCellMar>
        </w:tblPrEx>
        <w:trPr>
          <w:trHeight w:val="407" w:hRule="atLeast"/>
          <w:jc w:val="center"/>
        </w:trPr>
        <w:tc>
          <w:tcPr>
            <w:tcW w:w="4200" w:type="dxa"/>
            <w:tcBorders>
              <w:top w:val="single" w:color="000000" w:sz="4" w:space="0"/>
              <w:left w:val="single" w:color="000000" w:sz="4" w:space="0"/>
              <w:bottom w:val="single" w:color="000000" w:sz="4" w:space="0"/>
              <w:right w:val="single" w:color="000000" w:sz="4" w:space="0"/>
              <w:tl2br w:val="nil"/>
              <w:tr2bl w:val="nil"/>
            </w:tcBorders>
            <w:vAlign w:val="center"/>
          </w:tcPr>
          <w:p w14:paraId="0D6F0CE3">
            <w:pPr>
              <w:pStyle w:val="141"/>
              <w:kinsoku w:val="0"/>
              <w:overflowPunct w:val="0"/>
              <w:spacing w:before="1"/>
              <w:ind w:left="107"/>
              <w:rPr>
                <w:rFonts w:hint="default"/>
                <w:sz w:val="18"/>
                <w:szCs w:val="18"/>
              </w:rPr>
            </w:pPr>
            <w:r>
              <w:rPr>
                <w:sz w:val="18"/>
                <w:szCs w:val="18"/>
              </w:rPr>
              <w:t>氟苯虫酰胺</w:t>
            </w:r>
          </w:p>
        </w:tc>
        <w:tc>
          <w:tcPr>
            <w:tcW w:w="5373" w:type="dxa"/>
            <w:tcBorders>
              <w:top w:val="single" w:color="000000" w:sz="4" w:space="0"/>
              <w:left w:val="single" w:color="000000" w:sz="4" w:space="0"/>
              <w:bottom w:val="single" w:color="000000" w:sz="4" w:space="0"/>
              <w:right w:val="single" w:color="000000" w:sz="4" w:space="0"/>
              <w:tl2br w:val="nil"/>
              <w:tr2bl w:val="nil"/>
            </w:tcBorders>
            <w:vAlign w:val="center"/>
          </w:tcPr>
          <w:p w14:paraId="784E21A6">
            <w:pPr>
              <w:pStyle w:val="141"/>
              <w:kinsoku w:val="0"/>
              <w:overflowPunct w:val="0"/>
              <w:spacing w:before="1"/>
              <w:ind w:left="107"/>
              <w:rPr>
                <w:rFonts w:hint="default"/>
                <w:sz w:val="18"/>
                <w:szCs w:val="18"/>
              </w:rPr>
            </w:pPr>
            <w:r>
              <w:rPr>
                <w:sz w:val="18"/>
                <w:szCs w:val="18"/>
              </w:rPr>
              <w:t>禁止在水稻上使用</w:t>
            </w:r>
          </w:p>
        </w:tc>
      </w:tr>
    </w:tbl>
    <w:p w14:paraId="5E6CCA56">
      <w:pPr>
        <w:jc w:val="center"/>
        <w:rPr>
          <w:sz w:val="24"/>
        </w:rPr>
        <w:sectPr>
          <w:headerReference r:id="rId7" w:type="default"/>
          <w:footerReference r:id="rId8" w:type="default"/>
          <w:pgSz w:w="11906" w:h="16838"/>
          <w:pgMar w:top="1463" w:right="1179" w:bottom="1463" w:left="1179" w:header="851" w:footer="992" w:gutter="0"/>
          <w:cols w:space="720" w:num="1"/>
          <w:docGrid w:type="lines" w:linePitch="312" w:charSpace="0"/>
        </w:sectPr>
      </w:pPr>
    </w:p>
    <w:p w14:paraId="467B1C49">
      <w:pPr>
        <w:wordWrap w:val="0"/>
        <w:autoSpaceDE w:val="0"/>
        <w:autoSpaceDN w:val="0"/>
        <w:spacing w:line="440" w:lineRule="exact"/>
        <w:jc w:val="center"/>
        <w:outlineLvl w:val="0"/>
        <w:rPr>
          <w:rFonts w:ascii="宋体" w:hAnsi="宋体" w:cs="宋体"/>
          <w:szCs w:val="21"/>
        </w:rPr>
      </w:pPr>
      <w:bookmarkStart w:id="28" w:name="_Toc190849091"/>
      <w:bookmarkStart w:id="29" w:name="_Toc12112"/>
      <w:r>
        <w:rPr>
          <w:rFonts w:hint="eastAsia" w:ascii="宋体" w:hAnsi="宋体" w:cs="宋体"/>
          <w:szCs w:val="21"/>
        </w:rPr>
        <w:t>附 录 B</w:t>
      </w:r>
      <w:bookmarkEnd w:id="28"/>
      <w:bookmarkEnd w:id="29"/>
    </w:p>
    <w:p w14:paraId="7BF8EBDE">
      <w:pPr>
        <w:wordWrap w:val="0"/>
        <w:autoSpaceDE w:val="0"/>
        <w:autoSpaceDN w:val="0"/>
        <w:spacing w:line="440" w:lineRule="exact"/>
        <w:jc w:val="center"/>
        <w:rPr>
          <w:rFonts w:ascii="宋体" w:hAnsi="宋体" w:cs="宋体"/>
          <w:szCs w:val="21"/>
        </w:rPr>
      </w:pPr>
      <w:r>
        <w:rPr>
          <w:rFonts w:hint="eastAsia" w:ascii="宋体" w:hAnsi="宋体" w:cs="宋体"/>
          <w:szCs w:val="21"/>
        </w:rPr>
        <w:t>（资料性）</w:t>
      </w:r>
    </w:p>
    <w:p w14:paraId="177D8B34">
      <w:pPr>
        <w:wordWrap w:val="0"/>
        <w:autoSpaceDE w:val="0"/>
        <w:autoSpaceDN w:val="0"/>
        <w:spacing w:line="440" w:lineRule="exact"/>
        <w:jc w:val="center"/>
        <w:rPr>
          <w:rFonts w:ascii="宋体" w:hAnsi="宋体" w:cs="宋体"/>
          <w:szCs w:val="21"/>
        </w:rPr>
      </w:pPr>
      <w:r>
        <w:rPr>
          <w:rFonts w:hint="eastAsia" w:ascii="宋体" w:hAnsi="宋体" w:cs="宋体"/>
          <w:szCs w:val="21"/>
        </w:rPr>
        <w:t>翻白草常见病虫害防治方法</w:t>
      </w:r>
    </w:p>
    <w:p w14:paraId="4651FE91">
      <w:pPr>
        <w:wordWrap w:val="0"/>
        <w:autoSpaceDE w:val="0"/>
        <w:autoSpaceDN w:val="0"/>
        <w:spacing w:line="440" w:lineRule="exact"/>
        <w:rPr>
          <w:rFonts w:ascii="宋体" w:hAnsi="宋体" w:cs="宋体"/>
          <w:szCs w:val="21"/>
        </w:rPr>
      </w:pPr>
      <w:r>
        <w:rPr>
          <w:rFonts w:hint="eastAsia" w:ascii="宋体" w:hAnsi="宋体" w:cs="宋体"/>
          <w:szCs w:val="21"/>
        </w:rPr>
        <w:t>翻白草常见病虫害防治方法见表B 。</w:t>
      </w:r>
    </w:p>
    <w:p w14:paraId="529FCEC0">
      <w:pPr>
        <w:wordWrap w:val="0"/>
        <w:autoSpaceDE w:val="0"/>
        <w:autoSpaceDN w:val="0"/>
        <w:spacing w:line="440" w:lineRule="exact"/>
        <w:jc w:val="center"/>
        <w:rPr>
          <w:rFonts w:ascii="宋体" w:hAnsi="宋体" w:cs="宋体"/>
          <w:szCs w:val="21"/>
        </w:rPr>
      </w:pPr>
      <w:r>
        <w:rPr>
          <w:rFonts w:hint="eastAsia" w:ascii="宋体" w:hAnsi="宋体" w:cs="宋体"/>
          <w:szCs w:val="21"/>
        </w:rPr>
        <w:t>表B 翻白草常见病虫害防治方法</w:t>
      </w:r>
    </w:p>
    <w:tbl>
      <w:tblPr>
        <w:tblStyle w:val="36"/>
        <w:tblW w:w="13743" w:type="dxa"/>
        <w:tblInd w:w="-2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4"/>
        <w:gridCol w:w="1085"/>
        <w:gridCol w:w="3689"/>
        <w:gridCol w:w="6570"/>
        <w:gridCol w:w="1125"/>
      </w:tblGrid>
      <w:tr w14:paraId="52DEC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1274" w:type="dxa"/>
            <w:vAlign w:val="center"/>
          </w:tcPr>
          <w:p w14:paraId="57CB7FEE">
            <w:pPr>
              <w:wordWrap w:val="0"/>
              <w:autoSpaceDE w:val="0"/>
              <w:autoSpaceDN w:val="0"/>
              <w:jc w:val="center"/>
              <w:rPr>
                <w:rFonts w:ascii="宋体" w:hAnsi="宋体" w:cs="宋体"/>
                <w:b/>
                <w:sz w:val="18"/>
                <w:szCs w:val="18"/>
              </w:rPr>
            </w:pPr>
            <w:r>
              <w:rPr>
                <w:rFonts w:hint="eastAsia" w:ascii="宋体" w:hAnsi="宋体" w:cs="宋体"/>
                <w:b/>
                <w:sz w:val="18"/>
                <w:szCs w:val="18"/>
              </w:rPr>
              <w:t>病虫害名称</w:t>
            </w:r>
          </w:p>
        </w:tc>
        <w:tc>
          <w:tcPr>
            <w:tcW w:w="1085" w:type="dxa"/>
            <w:vAlign w:val="center"/>
          </w:tcPr>
          <w:p w14:paraId="34F7A1AE">
            <w:pPr>
              <w:wordWrap w:val="0"/>
              <w:autoSpaceDE w:val="0"/>
              <w:autoSpaceDN w:val="0"/>
              <w:jc w:val="center"/>
              <w:rPr>
                <w:rFonts w:ascii="宋体" w:hAnsi="宋体" w:cs="宋体"/>
                <w:b/>
                <w:sz w:val="18"/>
                <w:szCs w:val="18"/>
              </w:rPr>
            </w:pPr>
            <w:r>
              <w:rPr>
                <w:rFonts w:hint="eastAsia" w:ascii="宋体" w:hAnsi="宋体" w:cs="宋体"/>
                <w:b/>
                <w:sz w:val="18"/>
                <w:szCs w:val="18"/>
              </w:rPr>
              <w:t>防治时期</w:t>
            </w:r>
          </w:p>
        </w:tc>
        <w:tc>
          <w:tcPr>
            <w:tcW w:w="3689" w:type="dxa"/>
            <w:vAlign w:val="center"/>
          </w:tcPr>
          <w:p w14:paraId="1B027059">
            <w:pPr>
              <w:wordWrap w:val="0"/>
              <w:autoSpaceDE w:val="0"/>
              <w:autoSpaceDN w:val="0"/>
              <w:jc w:val="center"/>
              <w:rPr>
                <w:rFonts w:ascii="宋体" w:hAnsi="宋体" w:cs="宋体"/>
                <w:b/>
                <w:sz w:val="18"/>
                <w:szCs w:val="18"/>
              </w:rPr>
            </w:pPr>
            <w:r>
              <w:rPr>
                <w:rFonts w:hint="eastAsia" w:ascii="宋体" w:hAnsi="宋体" w:cs="宋体"/>
                <w:b/>
                <w:sz w:val="18"/>
                <w:szCs w:val="18"/>
              </w:rPr>
              <w:t>危害症状</w:t>
            </w:r>
          </w:p>
        </w:tc>
        <w:tc>
          <w:tcPr>
            <w:tcW w:w="6570" w:type="dxa"/>
            <w:vAlign w:val="center"/>
          </w:tcPr>
          <w:p w14:paraId="479CBB88">
            <w:pPr>
              <w:wordWrap w:val="0"/>
              <w:autoSpaceDE w:val="0"/>
              <w:autoSpaceDN w:val="0"/>
              <w:jc w:val="center"/>
              <w:rPr>
                <w:rFonts w:ascii="宋体" w:hAnsi="宋体" w:cs="宋体"/>
                <w:b/>
                <w:sz w:val="18"/>
                <w:szCs w:val="18"/>
              </w:rPr>
            </w:pPr>
            <w:r>
              <w:rPr>
                <w:rFonts w:hint="eastAsia" w:ascii="宋体" w:hAnsi="宋体" w:cs="宋体"/>
                <w:b/>
                <w:sz w:val="18"/>
                <w:szCs w:val="18"/>
              </w:rPr>
              <w:t>推荐防治方法</w:t>
            </w:r>
          </w:p>
        </w:tc>
        <w:tc>
          <w:tcPr>
            <w:tcW w:w="1125" w:type="dxa"/>
            <w:vAlign w:val="center"/>
          </w:tcPr>
          <w:p w14:paraId="62D328E5">
            <w:pPr>
              <w:wordWrap w:val="0"/>
              <w:autoSpaceDE w:val="0"/>
              <w:autoSpaceDN w:val="0"/>
              <w:jc w:val="center"/>
              <w:rPr>
                <w:rFonts w:ascii="宋体" w:hAnsi="宋体" w:cs="宋体"/>
                <w:b/>
                <w:sz w:val="18"/>
                <w:szCs w:val="18"/>
              </w:rPr>
            </w:pPr>
            <w:r>
              <w:rPr>
                <w:rFonts w:hint="eastAsia" w:ascii="宋体" w:hAnsi="宋体" w:cs="宋体"/>
                <w:b/>
                <w:sz w:val="18"/>
                <w:szCs w:val="18"/>
              </w:rPr>
              <w:t>安全间隔期</w:t>
            </w:r>
          </w:p>
          <w:p w14:paraId="59D4C6E3">
            <w:pPr>
              <w:wordWrap w:val="0"/>
              <w:autoSpaceDE w:val="0"/>
              <w:autoSpaceDN w:val="0"/>
              <w:jc w:val="center"/>
              <w:rPr>
                <w:rFonts w:ascii="宋体" w:hAnsi="宋体" w:cs="宋体"/>
                <w:b/>
                <w:sz w:val="18"/>
                <w:szCs w:val="18"/>
              </w:rPr>
            </w:pPr>
            <w:r>
              <w:rPr>
                <w:rFonts w:hint="eastAsia" w:ascii="宋体" w:hAnsi="宋体" w:cs="宋体"/>
                <w:b/>
                <w:sz w:val="18"/>
                <w:szCs w:val="18"/>
              </w:rPr>
              <w:t>（天）</w:t>
            </w:r>
          </w:p>
        </w:tc>
      </w:tr>
      <w:tr w14:paraId="33252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4" w:type="dxa"/>
            <w:vAlign w:val="center"/>
          </w:tcPr>
          <w:p w14:paraId="47DDA32E">
            <w:pPr>
              <w:wordWrap w:val="0"/>
              <w:autoSpaceDE w:val="0"/>
              <w:autoSpaceDN w:val="0"/>
              <w:jc w:val="center"/>
              <w:rPr>
                <w:rFonts w:ascii="宋体" w:hAnsi="宋体" w:cs="宋体"/>
                <w:sz w:val="18"/>
                <w:szCs w:val="18"/>
              </w:rPr>
            </w:pPr>
            <w:r>
              <w:rPr>
                <w:rFonts w:hint="eastAsia" w:ascii="宋体" w:hAnsi="宋体" w:cs="宋体"/>
                <w:sz w:val="18"/>
                <w:szCs w:val="18"/>
              </w:rPr>
              <w:t>叶斑病</w:t>
            </w:r>
          </w:p>
        </w:tc>
        <w:tc>
          <w:tcPr>
            <w:tcW w:w="1085" w:type="dxa"/>
            <w:vAlign w:val="center"/>
          </w:tcPr>
          <w:p w14:paraId="1CCA007E">
            <w:pPr>
              <w:wordWrap w:val="0"/>
              <w:autoSpaceDE w:val="0"/>
              <w:autoSpaceDN w:val="0"/>
              <w:jc w:val="center"/>
              <w:rPr>
                <w:rFonts w:ascii="宋体" w:hAnsi="宋体" w:cs="宋体"/>
                <w:sz w:val="18"/>
                <w:szCs w:val="18"/>
              </w:rPr>
            </w:pPr>
            <w:r>
              <w:rPr>
                <w:rFonts w:hint="eastAsia" w:ascii="宋体" w:hAnsi="宋体" w:cs="宋体"/>
                <w:sz w:val="18"/>
                <w:szCs w:val="18"/>
              </w:rPr>
              <w:t>6月～8月</w:t>
            </w:r>
          </w:p>
        </w:tc>
        <w:tc>
          <w:tcPr>
            <w:tcW w:w="3689" w:type="dxa"/>
            <w:vAlign w:val="center"/>
          </w:tcPr>
          <w:p w14:paraId="0C81A104">
            <w:pPr>
              <w:wordWrap w:val="0"/>
              <w:autoSpaceDE w:val="0"/>
              <w:autoSpaceDN w:val="0"/>
              <w:rPr>
                <w:rFonts w:ascii="宋体" w:hAnsi="宋体" w:cs="宋体"/>
                <w:sz w:val="18"/>
                <w:szCs w:val="18"/>
              </w:rPr>
            </w:pPr>
            <w:r>
              <w:rPr>
                <w:rFonts w:hint="eastAsia" w:ascii="宋体" w:hAnsi="宋体" w:cs="宋体"/>
                <w:sz w:val="18"/>
                <w:szCs w:val="18"/>
              </w:rPr>
              <w:t>多在夏秋雨季发生，7月和10月为高峰期。发病初期叶片开始褪色斑点，出现褐色圆形病斑（中间为淡白色，边缘褐色），后扩大至全叶，严重时全株叶片枯死。</w:t>
            </w:r>
          </w:p>
        </w:tc>
        <w:tc>
          <w:tcPr>
            <w:tcW w:w="6570" w:type="dxa"/>
            <w:vAlign w:val="center"/>
          </w:tcPr>
          <w:p w14:paraId="640AD59E">
            <w:pPr>
              <w:wordWrap w:val="0"/>
              <w:autoSpaceDE w:val="0"/>
              <w:autoSpaceDN w:val="0"/>
              <w:rPr>
                <w:rFonts w:ascii="宋体" w:hAnsi="宋体" w:cs="宋体"/>
                <w:sz w:val="18"/>
                <w:szCs w:val="18"/>
              </w:rPr>
            </w:pPr>
            <w:r>
              <w:rPr>
                <w:rFonts w:hint="eastAsia" w:ascii="宋体" w:hAnsi="宋体" w:cs="宋体"/>
                <w:sz w:val="18"/>
                <w:szCs w:val="18"/>
              </w:rPr>
              <w:t>1:100 倍波尔多液喷洒</w:t>
            </w:r>
          </w:p>
          <w:p w14:paraId="0EB1ECF6">
            <w:pPr>
              <w:wordWrap w:val="0"/>
              <w:autoSpaceDE w:val="0"/>
              <w:autoSpaceDN w:val="0"/>
              <w:rPr>
                <w:rFonts w:ascii="宋体" w:hAnsi="宋体" w:cs="宋体"/>
                <w:sz w:val="18"/>
                <w:szCs w:val="18"/>
              </w:rPr>
            </w:pPr>
            <w:r>
              <w:rPr>
                <w:rFonts w:hint="eastAsia" w:ascii="宋体" w:hAnsi="宋体" w:cs="宋体"/>
                <w:sz w:val="18"/>
                <w:szCs w:val="18"/>
              </w:rPr>
              <w:t>65%代森锌可湿性粉剂 500～600 倍液喷洒</w:t>
            </w:r>
          </w:p>
          <w:p w14:paraId="5ADC55AF">
            <w:pPr>
              <w:wordWrap w:val="0"/>
              <w:autoSpaceDE w:val="0"/>
              <w:autoSpaceDN w:val="0"/>
              <w:rPr>
                <w:rFonts w:ascii="宋体" w:hAnsi="宋体" w:cs="宋体"/>
                <w:sz w:val="18"/>
                <w:szCs w:val="18"/>
              </w:rPr>
            </w:pPr>
            <w:r>
              <w:rPr>
                <w:rFonts w:hint="eastAsia" w:ascii="宋体" w:hAnsi="宋体" w:cs="宋体"/>
                <w:sz w:val="18"/>
                <w:szCs w:val="18"/>
              </w:rPr>
              <w:t>50%退菌特1000倍液喷洒</w:t>
            </w:r>
          </w:p>
        </w:tc>
        <w:tc>
          <w:tcPr>
            <w:tcW w:w="1125" w:type="dxa"/>
            <w:vAlign w:val="center"/>
          </w:tcPr>
          <w:p w14:paraId="51CFFCE1">
            <w:pPr>
              <w:wordWrap w:val="0"/>
              <w:autoSpaceDE w:val="0"/>
              <w:autoSpaceDN w:val="0"/>
              <w:jc w:val="center"/>
              <w:rPr>
                <w:rFonts w:ascii="宋体" w:hAnsi="宋体" w:cs="宋体"/>
                <w:sz w:val="18"/>
                <w:szCs w:val="18"/>
              </w:rPr>
            </w:pPr>
            <w:r>
              <w:rPr>
                <w:rFonts w:hint="eastAsia" w:ascii="宋体" w:hAnsi="宋体" w:cs="宋体"/>
                <w:sz w:val="18"/>
                <w:szCs w:val="18"/>
              </w:rPr>
              <w:t>7</w:t>
            </w:r>
          </w:p>
        </w:tc>
      </w:tr>
      <w:tr w14:paraId="57DAD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4" w:type="dxa"/>
            <w:vAlign w:val="center"/>
          </w:tcPr>
          <w:p w14:paraId="33B873BF">
            <w:pPr>
              <w:wordWrap w:val="0"/>
              <w:autoSpaceDE w:val="0"/>
              <w:autoSpaceDN w:val="0"/>
              <w:jc w:val="center"/>
              <w:rPr>
                <w:rFonts w:ascii="宋体" w:hAnsi="宋体" w:cs="宋体"/>
                <w:sz w:val="18"/>
                <w:szCs w:val="18"/>
              </w:rPr>
            </w:pPr>
            <w:r>
              <w:rPr>
                <w:rFonts w:hint="eastAsia" w:ascii="宋体" w:hAnsi="宋体" w:cs="宋体"/>
                <w:sz w:val="18"/>
                <w:szCs w:val="18"/>
              </w:rPr>
              <w:t>黑斑病</w:t>
            </w:r>
          </w:p>
        </w:tc>
        <w:tc>
          <w:tcPr>
            <w:tcW w:w="1085" w:type="dxa"/>
            <w:vAlign w:val="center"/>
          </w:tcPr>
          <w:p w14:paraId="463D3895">
            <w:pPr>
              <w:wordWrap w:val="0"/>
              <w:autoSpaceDE w:val="0"/>
              <w:autoSpaceDN w:val="0"/>
              <w:jc w:val="center"/>
              <w:rPr>
                <w:rFonts w:ascii="宋体" w:hAnsi="宋体" w:cs="宋体"/>
                <w:sz w:val="18"/>
                <w:szCs w:val="18"/>
              </w:rPr>
            </w:pPr>
            <w:r>
              <w:rPr>
                <w:rFonts w:hint="eastAsia" w:ascii="宋体" w:hAnsi="宋体" w:cs="宋体"/>
                <w:sz w:val="18"/>
                <w:szCs w:val="18"/>
              </w:rPr>
              <w:t>5月～8月</w:t>
            </w:r>
          </w:p>
        </w:tc>
        <w:tc>
          <w:tcPr>
            <w:tcW w:w="3689" w:type="dxa"/>
            <w:vAlign w:val="center"/>
          </w:tcPr>
          <w:p w14:paraId="35B08FEF">
            <w:pPr>
              <w:wordWrap w:val="0"/>
              <w:autoSpaceDE w:val="0"/>
              <w:autoSpaceDN w:val="0"/>
              <w:rPr>
                <w:rFonts w:ascii="宋体" w:hAnsi="宋体" w:cs="宋体"/>
                <w:sz w:val="18"/>
                <w:szCs w:val="18"/>
              </w:rPr>
            </w:pPr>
            <w:r>
              <w:rPr>
                <w:rFonts w:hint="eastAsia" w:ascii="宋体" w:hAnsi="宋体" w:cs="宋体"/>
                <w:sz w:val="18"/>
                <w:szCs w:val="18"/>
              </w:rPr>
              <w:t>叶尖部位开始出现黄褐色不规则病斑，病斑边缘为紫红色，后蔓延至全株，叶片枯萎。也危害果实，幼果上形成褐色圆形病斑。</w:t>
            </w:r>
          </w:p>
        </w:tc>
        <w:tc>
          <w:tcPr>
            <w:tcW w:w="6570" w:type="dxa"/>
            <w:vAlign w:val="center"/>
          </w:tcPr>
          <w:p w14:paraId="518E9B91">
            <w:pPr>
              <w:wordWrap w:val="0"/>
              <w:autoSpaceDE w:val="0"/>
              <w:autoSpaceDN w:val="0"/>
              <w:rPr>
                <w:rFonts w:ascii="宋体" w:hAnsi="宋体" w:cs="宋体"/>
                <w:sz w:val="18"/>
                <w:szCs w:val="18"/>
              </w:rPr>
            </w:pPr>
            <w:r>
              <w:rPr>
                <w:rFonts w:hint="eastAsia" w:ascii="宋体" w:hAnsi="宋体" w:cs="宋体"/>
                <w:sz w:val="18"/>
                <w:szCs w:val="18"/>
              </w:rPr>
              <w:t>1:100 倍波尔多液喷洒，7 d～10 d一次，连续3次。</w:t>
            </w:r>
          </w:p>
          <w:p w14:paraId="66F2D80C">
            <w:pPr>
              <w:wordWrap w:val="0"/>
              <w:autoSpaceDE w:val="0"/>
              <w:autoSpaceDN w:val="0"/>
              <w:rPr>
                <w:rFonts w:ascii="宋体" w:hAnsi="宋体" w:cs="宋体"/>
                <w:sz w:val="18"/>
                <w:szCs w:val="18"/>
              </w:rPr>
            </w:pPr>
            <w:r>
              <w:rPr>
                <w:rFonts w:hint="eastAsia" w:ascii="宋体" w:hAnsi="宋体" w:cs="宋体"/>
                <w:sz w:val="18"/>
                <w:szCs w:val="18"/>
              </w:rPr>
              <w:t>65%代森锌可湿性粉剂 500～600 倍液喷洒</w:t>
            </w:r>
          </w:p>
          <w:p w14:paraId="0D57446A">
            <w:pPr>
              <w:wordWrap w:val="0"/>
              <w:autoSpaceDE w:val="0"/>
              <w:autoSpaceDN w:val="0"/>
              <w:rPr>
                <w:rFonts w:ascii="宋体" w:hAnsi="宋体" w:cs="宋体"/>
                <w:sz w:val="18"/>
                <w:szCs w:val="18"/>
              </w:rPr>
            </w:pPr>
            <w:r>
              <w:rPr>
                <w:rFonts w:hint="eastAsia" w:ascii="宋体" w:hAnsi="宋体" w:cs="宋体"/>
                <w:sz w:val="18"/>
                <w:szCs w:val="18"/>
              </w:rPr>
              <w:t>50%退菌特1000倍液喷洒，每周1次，连续2～3次</w:t>
            </w:r>
          </w:p>
        </w:tc>
        <w:tc>
          <w:tcPr>
            <w:tcW w:w="1125" w:type="dxa"/>
            <w:vAlign w:val="center"/>
          </w:tcPr>
          <w:p w14:paraId="67E85A3E">
            <w:pPr>
              <w:wordWrap w:val="0"/>
              <w:autoSpaceDE w:val="0"/>
              <w:autoSpaceDN w:val="0"/>
              <w:jc w:val="center"/>
              <w:rPr>
                <w:rFonts w:ascii="宋体" w:hAnsi="宋体" w:cs="宋体"/>
                <w:sz w:val="18"/>
                <w:szCs w:val="18"/>
              </w:rPr>
            </w:pPr>
            <w:r>
              <w:rPr>
                <w:rFonts w:hint="eastAsia" w:ascii="宋体" w:hAnsi="宋体" w:cs="宋体"/>
                <w:sz w:val="18"/>
                <w:szCs w:val="18"/>
              </w:rPr>
              <w:t>7</w:t>
            </w:r>
          </w:p>
        </w:tc>
      </w:tr>
      <w:tr w14:paraId="4236A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4" w:type="dxa"/>
            <w:vAlign w:val="center"/>
          </w:tcPr>
          <w:p w14:paraId="20B9347E">
            <w:pPr>
              <w:wordWrap w:val="0"/>
              <w:autoSpaceDE w:val="0"/>
              <w:autoSpaceDN w:val="0"/>
              <w:jc w:val="center"/>
              <w:rPr>
                <w:rFonts w:ascii="宋体" w:hAnsi="宋体" w:cs="宋体"/>
                <w:sz w:val="18"/>
                <w:szCs w:val="18"/>
              </w:rPr>
            </w:pPr>
            <w:r>
              <w:rPr>
                <w:rFonts w:hint="eastAsia" w:ascii="宋体" w:hAnsi="宋体" w:cs="宋体"/>
                <w:sz w:val="18"/>
                <w:szCs w:val="18"/>
              </w:rPr>
              <w:t>地老虎、蛴螬（金龟子幼虫）</w:t>
            </w:r>
          </w:p>
        </w:tc>
        <w:tc>
          <w:tcPr>
            <w:tcW w:w="1085" w:type="dxa"/>
            <w:vAlign w:val="center"/>
          </w:tcPr>
          <w:p w14:paraId="7C1F8589">
            <w:pPr>
              <w:wordWrap w:val="0"/>
              <w:autoSpaceDE w:val="0"/>
              <w:autoSpaceDN w:val="0"/>
              <w:jc w:val="center"/>
              <w:rPr>
                <w:rFonts w:ascii="宋体" w:hAnsi="宋体" w:cs="宋体"/>
                <w:sz w:val="18"/>
                <w:szCs w:val="18"/>
              </w:rPr>
            </w:pPr>
            <w:r>
              <w:rPr>
                <w:rFonts w:hint="eastAsia" w:ascii="宋体" w:hAnsi="宋体" w:cs="宋体"/>
                <w:sz w:val="18"/>
                <w:szCs w:val="18"/>
              </w:rPr>
              <w:t>5月～8月</w:t>
            </w:r>
          </w:p>
        </w:tc>
        <w:tc>
          <w:tcPr>
            <w:tcW w:w="3689" w:type="dxa"/>
            <w:vAlign w:val="center"/>
          </w:tcPr>
          <w:p w14:paraId="6052C8B6">
            <w:pPr>
              <w:wordWrap w:val="0"/>
              <w:autoSpaceDE w:val="0"/>
              <w:autoSpaceDN w:val="0"/>
              <w:rPr>
                <w:rFonts w:ascii="宋体" w:hAnsi="宋体" w:cs="宋体"/>
                <w:sz w:val="18"/>
                <w:szCs w:val="18"/>
              </w:rPr>
            </w:pPr>
            <w:r>
              <w:rPr>
                <w:rFonts w:hint="eastAsia" w:ascii="宋体" w:hAnsi="宋体" w:cs="宋体"/>
                <w:sz w:val="18"/>
                <w:szCs w:val="18"/>
              </w:rPr>
              <w:t>危害黄精根部，咬断苗根或咬食未出土的幼苗，使种苗枯萎死亡。每年5月底至6月中旬比较严重。</w:t>
            </w:r>
          </w:p>
        </w:tc>
        <w:tc>
          <w:tcPr>
            <w:tcW w:w="6570" w:type="dxa"/>
            <w:vAlign w:val="center"/>
          </w:tcPr>
          <w:p w14:paraId="62EAD657">
            <w:pPr>
              <w:wordWrap w:val="0"/>
              <w:autoSpaceDE w:val="0"/>
              <w:autoSpaceDN w:val="0"/>
              <w:rPr>
                <w:rFonts w:ascii="宋体" w:hAnsi="宋体" w:cs="宋体"/>
                <w:sz w:val="18"/>
                <w:szCs w:val="18"/>
              </w:rPr>
            </w:pPr>
            <w:r>
              <w:rPr>
                <w:rFonts w:hint="eastAsia" w:ascii="宋体" w:hAnsi="宋体" w:cs="宋体"/>
                <w:sz w:val="18"/>
                <w:szCs w:val="18"/>
              </w:rPr>
              <w:t>①每亩用 2.5%敌百虫粉剂 2 kg～2.5 kg，加细土75 kg 拌匀后，沿黄精行开沟撒入，防治蛴螬；②地老虎防治方法同上，但用量加大 2 kg～2.5 kg，配细土20 kg；亦可用敌百虫混入香饵里，于傍晚在地里每隔 1m 投放一小堆诱杀。在幼虫期用40%辛硫磷乳油用灌根枪灌根防治。</w:t>
            </w:r>
          </w:p>
          <w:p w14:paraId="662DBAD8">
            <w:pPr>
              <w:wordWrap w:val="0"/>
              <w:autoSpaceDE w:val="0"/>
              <w:autoSpaceDN w:val="0"/>
              <w:rPr>
                <w:rFonts w:ascii="宋体" w:hAnsi="宋体" w:cs="宋体"/>
                <w:sz w:val="18"/>
                <w:szCs w:val="18"/>
              </w:rPr>
            </w:pPr>
            <w:r>
              <w:rPr>
                <w:rFonts w:hint="eastAsia" w:ascii="宋体" w:hAnsi="宋体" w:cs="宋体"/>
                <w:sz w:val="18"/>
                <w:szCs w:val="18"/>
              </w:rPr>
              <w:t>③可用15%乐斯本GR0.75kg/667m</w:t>
            </w:r>
            <w:r>
              <w:rPr>
                <w:rFonts w:hint="eastAsia" w:ascii="宋体" w:hAnsi="宋体" w:cs="宋体"/>
                <w:sz w:val="18"/>
                <w:szCs w:val="18"/>
                <w:vertAlign w:val="superscript"/>
              </w:rPr>
              <w:t>2</w:t>
            </w:r>
            <w:r>
              <w:rPr>
                <w:rFonts w:hint="eastAsia" w:ascii="宋体" w:hAnsi="宋体" w:cs="宋体"/>
                <w:sz w:val="18"/>
                <w:szCs w:val="18"/>
              </w:rPr>
              <w:t>防治蛴螬</w:t>
            </w:r>
          </w:p>
          <w:p w14:paraId="0365D840">
            <w:pPr>
              <w:wordWrap w:val="0"/>
              <w:autoSpaceDE w:val="0"/>
              <w:autoSpaceDN w:val="0"/>
              <w:rPr>
                <w:rFonts w:ascii="宋体" w:hAnsi="宋体" w:cs="宋体"/>
                <w:sz w:val="18"/>
                <w:szCs w:val="18"/>
              </w:rPr>
            </w:pPr>
            <w:r>
              <w:rPr>
                <w:rFonts w:hint="eastAsia" w:ascii="宋体" w:hAnsi="宋体" w:cs="宋体"/>
                <w:sz w:val="18"/>
                <w:szCs w:val="18"/>
              </w:rPr>
              <w:t>④蔗糖、醋、酒、水和90%敌百虫原液配置糖醋液（比例为10:40:10:160:1）诱杀地老虎等害虫，每90 m</w:t>
            </w:r>
            <w:r>
              <w:rPr>
                <w:rFonts w:hint="eastAsia" w:ascii="宋体" w:hAnsi="宋体" w:cs="宋体"/>
                <w:sz w:val="18"/>
                <w:szCs w:val="18"/>
                <w:vertAlign w:val="superscript"/>
              </w:rPr>
              <w:t>2</w:t>
            </w:r>
            <w:r>
              <w:rPr>
                <w:rFonts w:hint="eastAsia" w:ascii="宋体" w:hAnsi="宋体" w:cs="宋体"/>
                <w:sz w:val="18"/>
                <w:szCs w:val="18"/>
              </w:rPr>
              <w:t>～150 m</w:t>
            </w:r>
            <w:r>
              <w:rPr>
                <w:rFonts w:hint="eastAsia" w:ascii="宋体" w:hAnsi="宋体" w:cs="宋体"/>
                <w:sz w:val="18"/>
                <w:szCs w:val="18"/>
                <w:vertAlign w:val="superscript"/>
              </w:rPr>
              <w:t>2</w:t>
            </w:r>
            <w:r>
              <w:rPr>
                <w:rFonts w:hint="eastAsia" w:ascii="宋体" w:hAnsi="宋体" w:cs="宋体"/>
                <w:sz w:val="18"/>
                <w:szCs w:val="18"/>
              </w:rPr>
              <w:t>放置一盆。</w:t>
            </w:r>
          </w:p>
        </w:tc>
        <w:tc>
          <w:tcPr>
            <w:tcW w:w="1125" w:type="dxa"/>
            <w:vAlign w:val="center"/>
          </w:tcPr>
          <w:p w14:paraId="7525B250">
            <w:pPr>
              <w:wordWrap w:val="0"/>
              <w:autoSpaceDE w:val="0"/>
              <w:autoSpaceDN w:val="0"/>
              <w:jc w:val="center"/>
              <w:rPr>
                <w:rFonts w:ascii="宋体" w:hAnsi="宋体" w:cs="宋体"/>
                <w:sz w:val="18"/>
                <w:szCs w:val="18"/>
              </w:rPr>
            </w:pPr>
            <w:r>
              <w:rPr>
                <w:rFonts w:hint="eastAsia" w:ascii="宋体" w:hAnsi="宋体" w:cs="宋体"/>
                <w:sz w:val="18"/>
                <w:szCs w:val="18"/>
              </w:rPr>
              <w:t>≥30</w:t>
            </w:r>
          </w:p>
        </w:tc>
      </w:tr>
      <w:tr w14:paraId="561DE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9" w:hRule="atLeast"/>
        </w:trPr>
        <w:tc>
          <w:tcPr>
            <w:tcW w:w="1274" w:type="dxa"/>
            <w:vAlign w:val="center"/>
          </w:tcPr>
          <w:p w14:paraId="45C72CEF">
            <w:pPr>
              <w:wordWrap w:val="0"/>
              <w:autoSpaceDE w:val="0"/>
              <w:autoSpaceDN w:val="0"/>
              <w:jc w:val="center"/>
              <w:rPr>
                <w:rFonts w:ascii="宋体" w:hAnsi="宋体" w:cs="宋体"/>
                <w:sz w:val="18"/>
                <w:szCs w:val="18"/>
              </w:rPr>
            </w:pPr>
            <w:r>
              <w:rPr>
                <w:rFonts w:hint="eastAsia" w:ascii="宋体" w:hAnsi="宋体" w:cs="宋体"/>
                <w:sz w:val="18"/>
                <w:szCs w:val="18"/>
              </w:rPr>
              <w:t>螨虫</w:t>
            </w:r>
          </w:p>
        </w:tc>
        <w:tc>
          <w:tcPr>
            <w:tcW w:w="1085" w:type="dxa"/>
            <w:vAlign w:val="center"/>
          </w:tcPr>
          <w:p w14:paraId="05139CB4">
            <w:pPr>
              <w:wordWrap w:val="0"/>
              <w:autoSpaceDE w:val="0"/>
              <w:autoSpaceDN w:val="0"/>
              <w:jc w:val="center"/>
              <w:rPr>
                <w:rFonts w:ascii="宋体" w:hAnsi="宋体" w:cs="宋体"/>
                <w:sz w:val="18"/>
                <w:szCs w:val="18"/>
              </w:rPr>
            </w:pPr>
            <w:r>
              <w:rPr>
                <w:rFonts w:hint="eastAsia" w:ascii="宋体" w:hAnsi="宋体" w:cs="宋体"/>
                <w:sz w:val="18"/>
                <w:szCs w:val="18"/>
              </w:rPr>
              <w:t>5月～10月</w:t>
            </w:r>
          </w:p>
        </w:tc>
        <w:tc>
          <w:tcPr>
            <w:tcW w:w="3689" w:type="dxa"/>
            <w:vAlign w:val="center"/>
          </w:tcPr>
          <w:p w14:paraId="5C6F4AA1">
            <w:pPr>
              <w:wordWrap w:val="0"/>
              <w:autoSpaceDE w:val="0"/>
              <w:autoSpaceDN w:val="0"/>
              <w:rPr>
                <w:rFonts w:ascii="宋体" w:hAnsi="宋体" w:cs="宋体"/>
                <w:sz w:val="18"/>
                <w:szCs w:val="18"/>
              </w:rPr>
            </w:pPr>
            <w:r>
              <w:rPr>
                <w:rFonts w:hint="eastAsia" w:ascii="宋体" w:hAnsi="宋体" w:cs="宋体"/>
                <w:sz w:val="18"/>
                <w:szCs w:val="18"/>
              </w:rPr>
              <w:t>叶片出现细小失绿斑点，受害叶片由初期的绿色变为灰白色、黄褐色至红褐色，变硬变脆，最后枯焦脱落。6～8月是全年发生的高峰期。</w:t>
            </w:r>
          </w:p>
        </w:tc>
        <w:tc>
          <w:tcPr>
            <w:tcW w:w="6570" w:type="dxa"/>
            <w:vAlign w:val="center"/>
          </w:tcPr>
          <w:p w14:paraId="348EE6E5">
            <w:pPr>
              <w:wordWrap w:val="0"/>
              <w:autoSpaceDE w:val="0"/>
              <w:autoSpaceDN w:val="0"/>
              <w:rPr>
                <w:rFonts w:ascii="宋体" w:hAnsi="宋体" w:cs="宋体"/>
                <w:sz w:val="18"/>
                <w:szCs w:val="18"/>
              </w:rPr>
            </w:pPr>
            <w:r>
              <w:rPr>
                <w:rFonts w:hint="eastAsia" w:ascii="宋体" w:hAnsi="宋体" w:cs="宋体"/>
                <w:sz w:val="18"/>
                <w:szCs w:val="18"/>
              </w:rPr>
              <w:t>10%浏阳霉素乳油，和 1.8 g/l（或 18%）阿维菌素乳油（虫螨兼治）、2.5%华光霉素可湿性粉剂、以及苦参碱等；也可使用10%苯丁哒螨灵乳油1000倍液喷雾防治，间隔7 d～10 d，间隔2次，在刚达到防治指标时，交替使用对卵、幼、若、成螨均有抑制的药物。</w:t>
            </w:r>
          </w:p>
        </w:tc>
        <w:tc>
          <w:tcPr>
            <w:tcW w:w="1125" w:type="dxa"/>
          </w:tcPr>
          <w:p w14:paraId="693CA1F3">
            <w:pPr>
              <w:wordWrap w:val="0"/>
              <w:autoSpaceDE w:val="0"/>
              <w:autoSpaceDN w:val="0"/>
              <w:ind w:firstLine="200"/>
              <w:rPr>
                <w:rFonts w:ascii="宋体" w:hAnsi="宋体" w:cs="宋体"/>
                <w:sz w:val="18"/>
                <w:szCs w:val="18"/>
              </w:rPr>
            </w:pPr>
            <w:r>
              <w:rPr>
                <w:rFonts w:hint="eastAsia" w:ascii="宋体" w:hAnsi="宋体" w:cs="宋体"/>
                <w:sz w:val="18"/>
                <w:szCs w:val="18"/>
              </w:rPr>
              <w:t>≥30</w:t>
            </w:r>
          </w:p>
        </w:tc>
      </w:tr>
    </w:tbl>
    <w:p w14:paraId="153823C1">
      <w:pPr>
        <w:wordWrap w:val="0"/>
        <w:autoSpaceDE w:val="0"/>
        <w:autoSpaceDN w:val="0"/>
        <w:spacing w:line="440" w:lineRule="exact"/>
        <w:rPr>
          <w:sz w:val="24"/>
        </w:rPr>
        <w:sectPr>
          <w:pgSz w:w="16838" w:h="11906" w:orient="landscape"/>
          <w:pgMar w:top="1179" w:right="1463" w:bottom="1179" w:left="1463" w:header="851" w:footer="992" w:gutter="0"/>
          <w:cols w:space="720" w:num="1"/>
          <w:docGrid w:type="lines" w:linePitch="312" w:charSpace="0"/>
        </w:sectPr>
      </w:pPr>
    </w:p>
    <w:p w14:paraId="78D72D22">
      <w:pPr>
        <w:pStyle w:val="25"/>
        <w:ind w:firstLine="0" w:firstLineChars="0"/>
        <w:jc w:val="center"/>
        <w:rPr>
          <w:rFonts w:ascii="黑体" w:hAnsi="黑体" w:eastAsia="黑体"/>
        </w:rPr>
      </w:pPr>
      <w:r>
        <w:rPr>
          <w:rFonts w:hint="eastAsia" w:ascii="黑体" w:hAnsi="黑体" w:eastAsia="黑体"/>
        </w:rPr>
        <w:t>参考文献</w:t>
      </w:r>
    </w:p>
    <w:p w14:paraId="1A93E520">
      <w:pPr>
        <w:pStyle w:val="25"/>
        <w:ind w:firstLine="360"/>
        <w:rPr>
          <w:rFonts w:hAnsi="宋体" w:cs="宋体"/>
          <w:kern w:val="2"/>
          <w:sz w:val="18"/>
          <w:szCs w:val="18"/>
        </w:rPr>
      </w:pPr>
      <w:r>
        <w:rPr>
          <w:rFonts w:hint="eastAsia" w:hAnsi="宋体" w:cs="宋体"/>
          <w:kern w:val="2"/>
          <w:sz w:val="18"/>
          <w:szCs w:val="18"/>
        </w:rPr>
        <w:t xml:space="preserve">[1]《中华人民共和国药典》2020 </w:t>
      </w:r>
    </w:p>
    <w:p w14:paraId="41796D80">
      <w:pPr>
        <w:pStyle w:val="25"/>
        <w:ind w:firstLine="0" w:firstLineChars="0"/>
      </w:pPr>
    </w:p>
    <w:p w14:paraId="13FF2F66">
      <w:pPr>
        <w:pStyle w:val="25"/>
        <w:ind w:firstLine="0" w:firstLineChars="0"/>
      </w:pPr>
    </w:p>
    <w:p w14:paraId="3FCA1DFE">
      <w:pPr>
        <w:pStyle w:val="25"/>
      </w:pPr>
    </w:p>
    <w:p w14:paraId="47ED6D1E">
      <w:pPr>
        <w:pStyle w:val="25"/>
      </w:pPr>
    </w:p>
    <w:p w14:paraId="7A7FFB8D">
      <w:pPr>
        <w:pStyle w:val="25"/>
      </w:pPr>
    </w:p>
    <w:p w14:paraId="1AE24065">
      <w:pPr>
        <w:pStyle w:val="25"/>
      </w:pPr>
    </w:p>
    <w:p w14:paraId="74CD1304">
      <w:pPr>
        <w:pStyle w:val="25"/>
      </w:pPr>
    </w:p>
    <w:p w14:paraId="7A5F86B9">
      <w:pPr>
        <w:pStyle w:val="25"/>
      </w:pPr>
    </w:p>
    <w:p w14:paraId="3DC0543A">
      <w:pPr>
        <w:pStyle w:val="25"/>
      </w:pPr>
    </w:p>
    <w:p w14:paraId="166C1A00">
      <w:pPr>
        <w:pStyle w:val="25"/>
      </w:pPr>
    </w:p>
    <w:p w14:paraId="4C2E3F2D">
      <w:pPr>
        <w:pStyle w:val="25"/>
      </w:pPr>
    </w:p>
    <w:p w14:paraId="253A7EA3">
      <w:pPr>
        <w:pStyle w:val="25"/>
      </w:pPr>
    </w:p>
    <w:p w14:paraId="5018EC29">
      <w:pPr>
        <w:pStyle w:val="25"/>
      </w:pPr>
    </w:p>
    <w:p w14:paraId="6728BC88">
      <w:pPr>
        <w:pStyle w:val="25"/>
      </w:pPr>
    </w:p>
    <w:p w14:paraId="20D58CDE">
      <w:pPr>
        <w:pStyle w:val="25"/>
      </w:pPr>
    </w:p>
    <w:p w14:paraId="3B89E3DC">
      <w:pPr>
        <w:pStyle w:val="25"/>
      </w:pPr>
    </w:p>
    <w:p w14:paraId="33F74624">
      <w:pPr>
        <w:pStyle w:val="25"/>
      </w:pPr>
    </w:p>
    <w:p w14:paraId="304A970A">
      <w:pPr>
        <w:pStyle w:val="25"/>
      </w:pPr>
    </w:p>
    <w:p w14:paraId="38912ACF">
      <w:pPr>
        <w:pStyle w:val="25"/>
      </w:pPr>
    </w:p>
    <w:p w14:paraId="34240850">
      <w:pPr>
        <w:pStyle w:val="25"/>
      </w:pPr>
    </w:p>
    <w:sectPr>
      <w:footerReference r:id="rId9" w:type="default"/>
      <w:pgSz w:w="11906" w:h="16838"/>
      <w:pgMar w:top="567" w:right="1134" w:bottom="1134" w:left="1417"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162AC">
    <w:pPr>
      <w:pStyle w:val="72"/>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26B3">
    <w:pPr>
      <w:pStyle w:val="4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5EBDA">
    <w:pPr>
      <w:pStyle w:val="47"/>
    </w:pPr>
    <w:r>
      <w:fldChar w:fldCharType="begin"/>
    </w:r>
    <w:r>
      <w:instrText xml:space="preserve">PAGE   \* MERGEFORMAT</w:instrText>
    </w:r>
    <w:r>
      <w:fldChar w:fldCharType="separate"/>
    </w:r>
    <w:r>
      <w:rPr>
        <w:lang w:val="zh-CN"/>
      </w:rPr>
      <w:t>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8F8B">
    <w:pPr>
      <w:pStyle w:val="47"/>
    </w:pPr>
    <w:r>
      <w:rPr>
        <w:rFonts w:hint="eastAsia"/>
      </w:rPr>
      <w:t>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971D1">
    <w:pPr>
      <w:pStyle w:val="73"/>
    </w:pPr>
    <w:r>
      <w:t>DB61/T XXXX—</w:t>
    </w:r>
    <w:r>
      <w:rPr>
        <w:rFonts w:hint="eastAsia"/>
      </w:rPr>
      <w:t>20</w:t>
    </w:r>
    <w:r>
      <w:t>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5541B">
    <w:pPr>
      <w:pStyle w:val="48"/>
    </w:pPr>
    <w:r>
      <w:rPr>
        <w:rFonts w:hint="eastAsia"/>
      </w:rPr>
      <w:t>DB61</w:t>
    </w:r>
    <w:r>
      <w:t>/</w:t>
    </w:r>
    <w:r>
      <w:rPr>
        <w:rFonts w:hint="eastAsia"/>
      </w:rPr>
      <w:t>T</w:t>
    </w:r>
    <w:r>
      <w:t xml:space="preserve"> </w:t>
    </w:r>
    <w:r>
      <w:rPr>
        <w:rFonts w:hint="eastAsia"/>
      </w:rPr>
      <w:t>XXX</w:t>
    </w:r>
    <w:r>
      <w:t>—</w:t>
    </w:r>
    <w:r>
      <w:rPr>
        <w:rFonts w:hint="eastAsia"/>
      </w:rPr>
      <w:t>20</w:t>
    </w:r>
    <w: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7D35">
    <w:pPr>
      <w:pStyle w:val="48"/>
    </w:pPr>
    <w:r>
      <w:rPr>
        <w:rFonts w:hint="eastAsia"/>
      </w:rPr>
      <w:t>DB61</w:t>
    </w:r>
    <w:r>
      <w:t>/</w:t>
    </w:r>
    <w:r>
      <w:rPr>
        <w:rFonts w:hint="eastAsia"/>
      </w:rPr>
      <w:t>T</w:t>
    </w:r>
    <w:r>
      <w:t xml:space="preserve"> </w:t>
    </w:r>
    <w:r>
      <w:rPr>
        <w:rFonts w:hint="eastAsia"/>
      </w:rPr>
      <w:t>XXX</w:t>
    </w:r>
    <w:r>
      <w:t>—</w:t>
    </w:r>
    <w:r>
      <w:rPr>
        <w:rFonts w:hint="eastAsia"/>
      </w:rPr>
      <w:t>20</w:t>
    </w:r>
    <w: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0"/>
      <w:suff w:val="nothing"/>
      <w:lvlText w:val="%1.%2.%3　"/>
      <w:lvlJc w:val="left"/>
      <w:pPr>
        <w:ind w:left="0" w:firstLine="0"/>
      </w:pPr>
      <w:rPr>
        <w:rFonts w:hint="eastAsia" w:ascii="黑体" w:hAnsi="Times New Roman" w:eastAsia="黑体"/>
        <w:b w:val="0"/>
        <w:i w:val="0"/>
        <w:sz w:val="21"/>
      </w:rPr>
    </w:lvl>
    <w:lvl w:ilvl="3" w:tentative="0">
      <w:start w:val="1"/>
      <w:numFmt w:val="decimal"/>
      <w:pStyle w:val="55"/>
      <w:suff w:val="nothing"/>
      <w:lvlText w:val="%1.%2.%3.%4　"/>
      <w:lvlJc w:val="left"/>
      <w:pPr>
        <w:ind w:left="0" w:firstLine="0"/>
      </w:pPr>
      <w:rPr>
        <w:rFonts w:hint="eastAsia" w:ascii="黑体" w:hAnsi="Times New Roman" w:eastAsia="黑体"/>
        <w:b w:val="0"/>
        <w:i w:val="0"/>
        <w:sz w:val="21"/>
      </w:rPr>
    </w:lvl>
    <w:lvl w:ilvl="4" w:tentative="0">
      <w:start w:val="1"/>
      <w:numFmt w:val="decimal"/>
      <w:pStyle w:val="59"/>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2"/>
      <w:suff w:val="space"/>
      <w:lvlText w:val="%1"/>
      <w:lvlJc w:val="left"/>
      <w:pPr>
        <w:ind w:left="623" w:hanging="425"/>
      </w:pPr>
      <w:rPr>
        <w:rFonts w:hint="eastAsia"/>
      </w:rPr>
    </w:lvl>
    <w:lvl w:ilvl="1" w:tentative="0">
      <w:start w:val="1"/>
      <w:numFmt w:val="decimal"/>
      <w:pStyle w:val="10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2"/>
      <w:suff w:val="nothing"/>
      <w:lvlText w:val="%1——"/>
      <w:lvlJc w:val="left"/>
      <w:pPr>
        <w:ind w:left="833" w:hanging="408"/>
      </w:pPr>
      <w:rPr>
        <w:rFonts w:hint="eastAsia"/>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8"/>
      <w:lvlText w:val="%2)"/>
      <w:lvlJc w:val="left"/>
      <w:pPr>
        <w:tabs>
          <w:tab w:val="left" w:pos="1260"/>
        </w:tabs>
        <w:ind w:left="1259" w:hanging="419"/>
      </w:pPr>
      <w:rPr>
        <w:rFonts w:hint="eastAsia"/>
      </w:rPr>
    </w:lvl>
    <w:lvl w:ilvl="2" w:tentative="0">
      <w:start w:val="1"/>
      <w:numFmt w:val="decimal"/>
      <w:pStyle w:val="6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90"/>
      <w:lvlText w:val="%1"/>
      <w:lvlJc w:val="left"/>
      <w:pPr>
        <w:tabs>
          <w:tab w:val="left" w:pos="0"/>
        </w:tabs>
        <w:ind w:left="0" w:hanging="425"/>
      </w:pPr>
      <w:rPr>
        <w:rFonts w:hint="eastAsia"/>
      </w:rPr>
    </w:lvl>
    <w:lvl w:ilvl="1" w:tentative="0">
      <w:start w:val="1"/>
      <w:numFmt w:val="decimal"/>
      <w:pStyle w:val="9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7"/>
      <w:suff w:val="nothing"/>
      <w:lvlText w:val="%1.%2.%3　"/>
      <w:lvlJc w:val="left"/>
      <w:pPr>
        <w:ind w:left="0" w:firstLine="0"/>
      </w:pPr>
      <w:rPr>
        <w:rFonts w:hint="eastAsia" w:ascii="黑体" w:hAnsi="Times New Roman" w:eastAsia="黑体"/>
        <w:b w:val="0"/>
        <w:i w:val="0"/>
        <w:sz w:val="21"/>
      </w:rPr>
    </w:lvl>
    <w:lvl w:ilvl="3" w:tentative="0">
      <w:start w:val="1"/>
      <w:numFmt w:val="decimal"/>
      <w:pStyle w:val="92"/>
      <w:suff w:val="nothing"/>
      <w:lvlText w:val="%1.%2.%3.%4　"/>
      <w:lvlJc w:val="left"/>
      <w:pPr>
        <w:ind w:left="0" w:firstLine="0"/>
      </w:pPr>
      <w:rPr>
        <w:rFonts w:hint="eastAsia" w:ascii="黑体" w:hAnsi="Times New Roman" w:eastAsia="黑体"/>
        <w:b w:val="0"/>
        <w:i w:val="0"/>
        <w:sz w:val="21"/>
      </w:rPr>
    </w:lvl>
    <w:lvl w:ilvl="4" w:tentative="0">
      <w:start w:val="1"/>
      <w:numFmt w:val="decimal"/>
      <w:pStyle w:val="97"/>
      <w:suff w:val="nothing"/>
      <w:lvlText w:val="%1.%2.%3.%4.%5　"/>
      <w:lvlJc w:val="left"/>
      <w:pPr>
        <w:ind w:left="0" w:firstLine="0"/>
      </w:pPr>
      <w:rPr>
        <w:rFonts w:hint="eastAsia" w:ascii="黑体" w:hAnsi="Times New Roman" w:eastAsia="黑体"/>
        <w:b w:val="0"/>
        <w:i w:val="0"/>
        <w:sz w:val="21"/>
      </w:rPr>
    </w:lvl>
    <w:lvl w:ilvl="5" w:tentative="0">
      <w:start w:val="1"/>
      <w:numFmt w:val="decimal"/>
      <w:pStyle w:val="100"/>
      <w:suff w:val="nothing"/>
      <w:lvlText w:val="%1.%2.%3.%4.%5.%6　"/>
      <w:lvlJc w:val="left"/>
      <w:pPr>
        <w:ind w:left="0" w:firstLine="0"/>
      </w:pPr>
      <w:rPr>
        <w:rFonts w:hint="eastAsia" w:ascii="黑体" w:hAnsi="Times New Roman" w:eastAsia="黑体"/>
        <w:b w:val="0"/>
        <w:i w:val="0"/>
        <w:sz w:val="21"/>
      </w:rPr>
    </w:lvl>
    <w:lvl w:ilvl="6" w:tentative="0">
      <w:start w:val="1"/>
      <w:numFmt w:val="decimal"/>
      <w:pStyle w:val="1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9"/>
      <w:lvlText w:val="%1)"/>
      <w:lvlJc w:val="left"/>
      <w:pPr>
        <w:tabs>
          <w:tab w:val="left" w:pos="839"/>
        </w:tabs>
        <w:ind w:left="839" w:hanging="419"/>
      </w:pPr>
      <w:rPr>
        <w:rFonts w:hint="eastAsia" w:ascii="宋体" w:eastAsia="宋体"/>
        <w:b w:val="0"/>
        <w:i w:val="0"/>
        <w:sz w:val="21"/>
      </w:rPr>
    </w:lvl>
    <w:lvl w:ilvl="1" w:tentative="0">
      <w:start w:val="1"/>
      <w:numFmt w:val="decimal"/>
      <w:pStyle w:val="9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6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1"/>
  <w:removePersonalInformation/>
  <w:mirrorMargins w:val="1"/>
  <w:bordersDoNotSurroundHeader w:val="1"/>
  <w:bordersDoNotSurroundFooter w:val="1"/>
  <w:attachedTemplate r:id="rId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1ZjMxODM0N2NiZjdiZjMxNDI3NjcwMWVkNjUwNGEifQ=="/>
  </w:docVars>
  <w:rsids>
    <w:rsidRoot w:val="309564EB"/>
    <w:rsid w:val="00000244"/>
    <w:rsid w:val="0000185F"/>
    <w:rsid w:val="0000586F"/>
    <w:rsid w:val="00013D86"/>
    <w:rsid w:val="00013E02"/>
    <w:rsid w:val="000175FD"/>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186"/>
    <w:rsid w:val="000F129C"/>
    <w:rsid w:val="001056DE"/>
    <w:rsid w:val="001124C0"/>
    <w:rsid w:val="0013175F"/>
    <w:rsid w:val="001512B4"/>
    <w:rsid w:val="001620A5"/>
    <w:rsid w:val="00164E53"/>
    <w:rsid w:val="0016699D"/>
    <w:rsid w:val="00175159"/>
    <w:rsid w:val="00176208"/>
    <w:rsid w:val="0018053C"/>
    <w:rsid w:val="0018211B"/>
    <w:rsid w:val="001840D3"/>
    <w:rsid w:val="001900F8"/>
    <w:rsid w:val="00191258"/>
    <w:rsid w:val="00192680"/>
    <w:rsid w:val="00193037"/>
    <w:rsid w:val="00193A2C"/>
    <w:rsid w:val="00195423"/>
    <w:rsid w:val="001A288E"/>
    <w:rsid w:val="001B6DC2"/>
    <w:rsid w:val="001C149C"/>
    <w:rsid w:val="001C21AC"/>
    <w:rsid w:val="001C47BA"/>
    <w:rsid w:val="001C59EA"/>
    <w:rsid w:val="001D406C"/>
    <w:rsid w:val="001D41EE"/>
    <w:rsid w:val="001E0380"/>
    <w:rsid w:val="001E13B1"/>
    <w:rsid w:val="001F3A19"/>
    <w:rsid w:val="001F633E"/>
    <w:rsid w:val="00234467"/>
    <w:rsid w:val="00237D8D"/>
    <w:rsid w:val="00241DA2"/>
    <w:rsid w:val="0024297E"/>
    <w:rsid w:val="00247FEE"/>
    <w:rsid w:val="00250E7D"/>
    <w:rsid w:val="002565D5"/>
    <w:rsid w:val="002622C0"/>
    <w:rsid w:val="002635CD"/>
    <w:rsid w:val="00263C19"/>
    <w:rsid w:val="002778AE"/>
    <w:rsid w:val="0028269A"/>
    <w:rsid w:val="00283590"/>
    <w:rsid w:val="00286973"/>
    <w:rsid w:val="00294E70"/>
    <w:rsid w:val="002A0C28"/>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57C87"/>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0389"/>
    <w:rsid w:val="003E1867"/>
    <w:rsid w:val="003E5729"/>
    <w:rsid w:val="003F4EE0"/>
    <w:rsid w:val="00402153"/>
    <w:rsid w:val="00402FC1"/>
    <w:rsid w:val="0040767C"/>
    <w:rsid w:val="00412934"/>
    <w:rsid w:val="00421C10"/>
    <w:rsid w:val="00425082"/>
    <w:rsid w:val="00431DEB"/>
    <w:rsid w:val="00442503"/>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53941"/>
    <w:rsid w:val="005703DE"/>
    <w:rsid w:val="0058464E"/>
    <w:rsid w:val="005941F2"/>
    <w:rsid w:val="005A01CB"/>
    <w:rsid w:val="005A58FF"/>
    <w:rsid w:val="005A5EAF"/>
    <w:rsid w:val="005A64C0"/>
    <w:rsid w:val="005B3C11"/>
    <w:rsid w:val="005C1C28"/>
    <w:rsid w:val="005C6DB5"/>
    <w:rsid w:val="005E19E7"/>
    <w:rsid w:val="005F001A"/>
    <w:rsid w:val="0061716C"/>
    <w:rsid w:val="006243A1"/>
    <w:rsid w:val="00632E56"/>
    <w:rsid w:val="00635CBA"/>
    <w:rsid w:val="0064338B"/>
    <w:rsid w:val="00646542"/>
    <w:rsid w:val="006504F4"/>
    <w:rsid w:val="00654BC9"/>
    <w:rsid w:val="006552FD"/>
    <w:rsid w:val="00663AF3"/>
    <w:rsid w:val="00666B6C"/>
    <w:rsid w:val="00681932"/>
    <w:rsid w:val="00682682"/>
    <w:rsid w:val="00682702"/>
    <w:rsid w:val="006903A8"/>
    <w:rsid w:val="00692368"/>
    <w:rsid w:val="006A2EBC"/>
    <w:rsid w:val="006A5EA0"/>
    <w:rsid w:val="006A783B"/>
    <w:rsid w:val="006A784C"/>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56F"/>
    <w:rsid w:val="007419C3"/>
    <w:rsid w:val="007467A7"/>
    <w:rsid w:val="007469DD"/>
    <w:rsid w:val="0074741B"/>
    <w:rsid w:val="0074759E"/>
    <w:rsid w:val="007478EA"/>
    <w:rsid w:val="00750A3F"/>
    <w:rsid w:val="0075415C"/>
    <w:rsid w:val="00763502"/>
    <w:rsid w:val="007913AB"/>
    <w:rsid w:val="007914F7"/>
    <w:rsid w:val="007B1625"/>
    <w:rsid w:val="007B706E"/>
    <w:rsid w:val="007B71EB"/>
    <w:rsid w:val="007C6205"/>
    <w:rsid w:val="007C686A"/>
    <w:rsid w:val="007C728E"/>
    <w:rsid w:val="007D2C53"/>
    <w:rsid w:val="007D3D60"/>
    <w:rsid w:val="007E1980"/>
    <w:rsid w:val="007E374D"/>
    <w:rsid w:val="007E4B76"/>
    <w:rsid w:val="007E5EA8"/>
    <w:rsid w:val="007F0CF1"/>
    <w:rsid w:val="007F12A5"/>
    <w:rsid w:val="007F4CF1"/>
    <w:rsid w:val="007F758D"/>
    <w:rsid w:val="007F7D52"/>
    <w:rsid w:val="0080654C"/>
    <w:rsid w:val="008071C6"/>
    <w:rsid w:val="00807E7C"/>
    <w:rsid w:val="00817A00"/>
    <w:rsid w:val="00835DB3"/>
    <w:rsid w:val="0083617B"/>
    <w:rsid w:val="008371BD"/>
    <w:rsid w:val="008504A8"/>
    <w:rsid w:val="0085282E"/>
    <w:rsid w:val="00854860"/>
    <w:rsid w:val="0087198C"/>
    <w:rsid w:val="00872C1F"/>
    <w:rsid w:val="00873B42"/>
    <w:rsid w:val="008856D8"/>
    <w:rsid w:val="00892E82"/>
    <w:rsid w:val="008C1B58"/>
    <w:rsid w:val="008C39AE"/>
    <w:rsid w:val="008C590D"/>
    <w:rsid w:val="008E031B"/>
    <w:rsid w:val="008E7029"/>
    <w:rsid w:val="008E7EF6"/>
    <w:rsid w:val="008F1EDB"/>
    <w:rsid w:val="008F1F98"/>
    <w:rsid w:val="008F6758"/>
    <w:rsid w:val="009040DD"/>
    <w:rsid w:val="00905B47"/>
    <w:rsid w:val="0091331C"/>
    <w:rsid w:val="009279DE"/>
    <w:rsid w:val="00930116"/>
    <w:rsid w:val="0094212C"/>
    <w:rsid w:val="00942D88"/>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C57DD"/>
    <w:rsid w:val="009D5362"/>
    <w:rsid w:val="009E1415"/>
    <w:rsid w:val="009E168F"/>
    <w:rsid w:val="009E6116"/>
    <w:rsid w:val="00A02E43"/>
    <w:rsid w:val="00A065F9"/>
    <w:rsid w:val="00A07F34"/>
    <w:rsid w:val="00A22154"/>
    <w:rsid w:val="00A23E41"/>
    <w:rsid w:val="00A24E68"/>
    <w:rsid w:val="00A25C38"/>
    <w:rsid w:val="00A36BBE"/>
    <w:rsid w:val="00A4307A"/>
    <w:rsid w:val="00A47EBB"/>
    <w:rsid w:val="00A51CDD"/>
    <w:rsid w:val="00A5428E"/>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13A47"/>
    <w:rsid w:val="00B277F8"/>
    <w:rsid w:val="00B353EB"/>
    <w:rsid w:val="00B439C4"/>
    <w:rsid w:val="00B4535E"/>
    <w:rsid w:val="00B458F7"/>
    <w:rsid w:val="00B52A8C"/>
    <w:rsid w:val="00B636A8"/>
    <w:rsid w:val="00B665C6"/>
    <w:rsid w:val="00B7069C"/>
    <w:rsid w:val="00B805AF"/>
    <w:rsid w:val="00B869EC"/>
    <w:rsid w:val="00B9397A"/>
    <w:rsid w:val="00B9633D"/>
    <w:rsid w:val="00BA2EBE"/>
    <w:rsid w:val="00BB0F28"/>
    <w:rsid w:val="00BB1BC0"/>
    <w:rsid w:val="00BB458A"/>
    <w:rsid w:val="00BD00D3"/>
    <w:rsid w:val="00BD1659"/>
    <w:rsid w:val="00BD3AA9"/>
    <w:rsid w:val="00BD4A18"/>
    <w:rsid w:val="00BD6DB2"/>
    <w:rsid w:val="00BE11CF"/>
    <w:rsid w:val="00BE21AB"/>
    <w:rsid w:val="00BE2220"/>
    <w:rsid w:val="00BE55CB"/>
    <w:rsid w:val="00BF617A"/>
    <w:rsid w:val="00C0379D"/>
    <w:rsid w:val="00C03931"/>
    <w:rsid w:val="00C05FE3"/>
    <w:rsid w:val="00C14D02"/>
    <w:rsid w:val="00C2136D"/>
    <w:rsid w:val="00C214EE"/>
    <w:rsid w:val="00C2314B"/>
    <w:rsid w:val="00C24971"/>
    <w:rsid w:val="00C26BE5"/>
    <w:rsid w:val="00C26E4D"/>
    <w:rsid w:val="00C27909"/>
    <w:rsid w:val="00C27B03"/>
    <w:rsid w:val="00C314E1"/>
    <w:rsid w:val="00C34397"/>
    <w:rsid w:val="00C4095D"/>
    <w:rsid w:val="00C429D5"/>
    <w:rsid w:val="00C4513C"/>
    <w:rsid w:val="00C601D2"/>
    <w:rsid w:val="00C657AB"/>
    <w:rsid w:val="00C65BCC"/>
    <w:rsid w:val="00C66970"/>
    <w:rsid w:val="00C8691C"/>
    <w:rsid w:val="00C91A2D"/>
    <w:rsid w:val="00CA168A"/>
    <w:rsid w:val="00CA357E"/>
    <w:rsid w:val="00CA44F9"/>
    <w:rsid w:val="00CA4A69"/>
    <w:rsid w:val="00CC3E0C"/>
    <w:rsid w:val="00CC58D3"/>
    <w:rsid w:val="00CC784D"/>
    <w:rsid w:val="00CE69D5"/>
    <w:rsid w:val="00D0337B"/>
    <w:rsid w:val="00D079B2"/>
    <w:rsid w:val="00D114E9"/>
    <w:rsid w:val="00D429C6"/>
    <w:rsid w:val="00D47748"/>
    <w:rsid w:val="00D54CC3"/>
    <w:rsid w:val="00D6041A"/>
    <w:rsid w:val="00D633EB"/>
    <w:rsid w:val="00D65D40"/>
    <w:rsid w:val="00D82FF7"/>
    <w:rsid w:val="00D847FE"/>
    <w:rsid w:val="00D92B9F"/>
    <w:rsid w:val="00D964EA"/>
    <w:rsid w:val="00D966D0"/>
    <w:rsid w:val="00DA0C59"/>
    <w:rsid w:val="00DA3991"/>
    <w:rsid w:val="00DB7E6C"/>
    <w:rsid w:val="00DD5A29"/>
    <w:rsid w:val="00DD5D9D"/>
    <w:rsid w:val="00DE35CB"/>
    <w:rsid w:val="00DF21E9"/>
    <w:rsid w:val="00E00F14"/>
    <w:rsid w:val="00E06386"/>
    <w:rsid w:val="00E11B22"/>
    <w:rsid w:val="00E24EB4"/>
    <w:rsid w:val="00E320ED"/>
    <w:rsid w:val="00E33AFB"/>
    <w:rsid w:val="00E34218"/>
    <w:rsid w:val="00E3759A"/>
    <w:rsid w:val="00E46282"/>
    <w:rsid w:val="00E5216E"/>
    <w:rsid w:val="00E53438"/>
    <w:rsid w:val="00E82344"/>
    <w:rsid w:val="00E84C82"/>
    <w:rsid w:val="00E84D64"/>
    <w:rsid w:val="00E87408"/>
    <w:rsid w:val="00E914C4"/>
    <w:rsid w:val="00E934F5"/>
    <w:rsid w:val="00E96961"/>
    <w:rsid w:val="00EA0D39"/>
    <w:rsid w:val="00EA72EC"/>
    <w:rsid w:val="00EB11CB"/>
    <w:rsid w:val="00EB275A"/>
    <w:rsid w:val="00EB786A"/>
    <w:rsid w:val="00EC1578"/>
    <w:rsid w:val="00EC1C72"/>
    <w:rsid w:val="00EC3CC9"/>
    <w:rsid w:val="00EC680A"/>
    <w:rsid w:val="00EE2BED"/>
    <w:rsid w:val="00EE374B"/>
    <w:rsid w:val="00F11BB5"/>
    <w:rsid w:val="00F1417B"/>
    <w:rsid w:val="00F163E2"/>
    <w:rsid w:val="00F34B99"/>
    <w:rsid w:val="00F50375"/>
    <w:rsid w:val="00F52DAB"/>
    <w:rsid w:val="00F543F0"/>
    <w:rsid w:val="00F81D29"/>
    <w:rsid w:val="00F91C4D"/>
    <w:rsid w:val="00F92FD9"/>
    <w:rsid w:val="00FA6684"/>
    <w:rsid w:val="00FA731E"/>
    <w:rsid w:val="00FB2B38"/>
    <w:rsid w:val="00FC6358"/>
    <w:rsid w:val="00FD320D"/>
    <w:rsid w:val="00FE23DE"/>
    <w:rsid w:val="01BD410B"/>
    <w:rsid w:val="05EE5E0D"/>
    <w:rsid w:val="087A7FA4"/>
    <w:rsid w:val="0A1F1FC9"/>
    <w:rsid w:val="10F72D04"/>
    <w:rsid w:val="11214C6B"/>
    <w:rsid w:val="12D255C7"/>
    <w:rsid w:val="28490A9C"/>
    <w:rsid w:val="309564EB"/>
    <w:rsid w:val="31EE1EDC"/>
    <w:rsid w:val="37886865"/>
    <w:rsid w:val="3A375181"/>
    <w:rsid w:val="3EDC6A5F"/>
    <w:rsid w:val="41FC11E0"/>
    <w:rsid w:val="436A53F7"/>
    <w:rsid w:val="44D91535"/>
    <w:rsid w:val="462D292B"/>
    <w:rsid w:val="485B09F4"/>
    <w:rsid w:val="4D096C71"/>
    <w:rsid w:val="4D64034B"/>
    <w:rsid w:val="4E7E5B19"/>
    <w:rsid w:val="57CC546B"/>
    <w:rsid w:val="58790582"/>
    <w:rsid w:val="618346B5"/>
    <w:rsid w:val="6818409E"/>
    <w:rsid w:val="74106F04"/>
    <w:rsid w:val="7427029B"/>
    <w:rsid w:val="742E1F5B"/>
    <w:rsid w:val="76397D18"/>
    <w:rsid w:val="767F1350"/>
    <w:rsid w:val="7B235457"/>
    <w:rsid w:val="7BA774D1"/>
    <w:rsid w:val="7BEA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6"/>
    <w:qFormat/>
    <w:uiPriority w:val="0"/>
    <w:pPr>
      <w:keepNext/>
      <w:keepLines/>
      <w:spacing w:before="340" w:after="330" w:line="578" w:lineRule="auto"/>
      <w:outlineLvl w:val="0"/>
    </w:pPr>
    <w:rPr>
      <w:rFonts w:eastAsia="黑体"/>
      <w:b/>
      <w:bCs/>
      <w:kern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37">
    <w:name w:val="Default Paragraph Font"/>
    <w:semiHidden/>
    <w:unhideWhenUsed/>
    <w:qFormat/>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0"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44"/>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142"/>
    <w:uiPriority w:val="0"/>
    <w:rPr>
      <w:sz w:val="18"/>
      <w:szCs w:val="18"/>
    </w:rPr>
  </w:style>
  <w:style w:type="paragraph" w:styleId="18">
    <w:name w:val="footer"/>
    <w:basedOn w:val="19"/>
    <w:qFormat/>
    <w:uiPriority w:val="0"/>
    <w:pPr>
      <w:snapToGrid w:val="0"/>
      <w:ind w:right="210" w:rightChars="100"/>
      <w:jc w:val="right"/>
    </w:pPr>
    <w:rPr>
      <w:sz w:val="18"/>
      <w:szCs w:val="18"/>
    </w:rPr>
  </w:style>
  <w:style w:type="paragraph" w:customStyle="1" w:styleId="19">
    <w:name w:val="正文1"/>
    <w:qFormat/>
    <w:uiPriority w:val="0"/>
    <w:pPr>
      <w:jc w:val="both"/>
    </w:pPr>
    <w:rPr>
      <w:rFonts w:ascii="Times New Roman" w:hAnsi="Times New Roman" w:eastAsia="宋体" w:cs="Times New Roman"/>
      <w:kern w:val="2"/>
      <w:sz w:val="21"/>
      <w:szCs w:val="21"/>
      <w:lang w:val="en-US" w:eastAsia="zh-CN" w:bidi="ar-SA"/>
    </w:rPr>
  </w:style>
  <w:style w:type="paragraph" w:styleId="20">
    <w:name w:val="header"/>
    <w:basedOn w:val="1"/>
    <w:qFormat/>
    <w:uiPriority w:val="0"/>
    <w:pPr>
      <w:snapToGrid w:val="0"/>
      <w:jc w:val="left"/>
    </w:pPr>
    <w:rPr>
      <w:sz w:val="18"/>
      <w:szCs w:val="18"/>
    </w:rPr>
  </w:style>
  <w:style w:type="paragraph" w:styleId="21">
    <w:name w:val="toc 1"/>
    <w:basedOn w:val="1"/>
    <w:next w:val="1"/>
    <w:qFormat/>
    <w:uiPriority w:val="39"/>
    <w:pPr>
      <w:tabs>
        <w:tab w:val="right" w:leader="dot" w:pos="9242"/>
      </w:tabs>
      <w:spacing w:before="25" w:beforeLines="25" w:after="25" w:afterLines="25"/>
      <w:jc w:val="left"/>
    </w:pPr>
    <w:rPr>
      <w:rFonts w:ascii="宋体"/>
      <w:szCs w:val="21"/>
    </w:rPr>
  </w:style>
  <w:style w:type="paragraph" w:styleId="22">
    <w:name w:val="toc 4"/>
    <w:basedOn w:val="1"/>
    <w:next w:val="1"/>
    <w:semiHidden/>
    <w:qFormat/>
    <w:uiPriority w:val="0"/>
    <w:pPr>
      <w:tabs>
        <w:tab w:val="right" w:leader="dot" w:pos="9241"/>
      </w:tabs>
      <w:ind w:firstLine="200"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0"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qFormat/>
    <w:uiPriority w:val="39"/>
    <w:pPr>
      <w:tabs>
        <w:tab w:val="right" w:leader="dot" w:pos="9242"/>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Normal (Web)"/>
    <w:basedOn w:val="1"/>
    <w:qFormat/>
    <w:uiPriority w:val="0"/>
    <w:pPr>
      <w:spacing w:beforeAutospacing="1" w:afterAutospacing="1"/>
      <w:jc w:val="left"/>
    </w:pPr>
    <w:rPr>
      <w:kern w:val="0"/>
      <w:sz w:val="24"/>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9"/>
    <w:next w:val="9"/>
    <w:link w:val="145"/>
    <w:uiPriority w:val="0"/>
    <w:rPr>
      <w:b/>
      <w:bCs/>
    </w:rPr>
  </w:style>
  <w:style w:type="table" w:styleId="36">
    <w:name w:val="Table Grid"/>
    <w:basedOn w:val="3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basedOn w:val="37"/>
    <w:qFormat/>
    <w:uiPriority w:val="0"/>
    <w:rPr>
      <w:b/>
    </w:rPr>
  </w:style>
  <w:style w:type="character" w:styleId="39">
    <w:name w:val="endnote reference"/>
    <w:basedOn w:val="37"/>
    <w:semiHidden/>
    <w:qFormat/>
    <w:uiPriority w:val="0"/>
    <w:rPr>
      <w:vertAlign w:val="superscript"/>
    </w:rPr>
  </w:style>
  <w:style w:type="character" w:styleId="40">
    <w:name w:val="page number"/>
    <w:basedOn w:val="37"/>
    <w:qFormat/>
    <w:uiPriority w:val="0"/>
    <w:rPr>
      <w:rFonts w:ascii="Times New Roman" w:hAnsi="Times New Roman" w:eastAsia="宋体"/>
      <w:sz w:val="18"/>
    </w:rPr>
  </w:style>
  <w:style w:type="character" w:styleId="41">
    <w:name w:val="FollowedHyperlink"/>
    <w:basedOn w:val="37"/>
    <w:qFormat/>
    <w:uiPriority w:val="0"/>
    <w:rPr>
      <w:color w:val="800080"/>
      <w:u w:val="single"/>
    </w:rPr>
  </w:style>
  <w:style w:type="character" w:styleId="42">
    <w:name w:val="Hyperlink"/>
    <w:basedOn w:val="37"/>
    <w:qFormat/>
    <w:uiPriority w:val="99"/>
    <w:rPr>
      <w:color w:val="0000FF"/>
      <w:spacing w:val="0"/>
      <w:w w:val="100"/>
      <w:szCs w:val="21"/>
      <w:u w:val="single"/>
    </w:rPr>
  </w:style>
  <w:style w:type="character" w:styleId="43">
    <w:name w:val="annotation reference"/>
    <w:basedOn w:val="37"/>
    <w:uiPriority w:val="0"/>
    <w:rPr>
      <w:sz w:val="21"/>
      <w:szCs w:val="21"/>
    </w:rPr>
  </w:style>
  <w:style w:type="character" w:styleId="44">
    <w:name w:val="footnote reference"/>
    <w:basedOn w:val="37"/>
    <w:semiHidden/>
    <w:qFormat/>
    <w:uiPriority w:val="0"/>
    <w:rPr>
      <w:vertAlign w:val="superscript"/>
    </w:rPr>
  </w:style>
  <w:style w:type="character" w:customStyle="1" w:styleId="45">
    <w:name w:val="段 Char"/>
    <w:basedOn w:val="37"/>
    <w:link w:val="25"/>
    <w:qFormat/>
    <w:uiPriority w:val="0"/>
    <w:rPr>
      <w:rFonts w:ascii="宋体"/>
      <w:sz w:val="21"/>
      <w:lang w:val="en-US" w:eastAsia="zh-CN" w:bidi="ar-SA"/>
    </w:rPr>
  </w:style>
  <w:style w:type="paragraph" w:customStyle="1" w:styleId="46">
    <w:name w:val="一级条标题"/>
    <w:next w:val="25"/>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章标题"/>
    <w:next w:val="25"/>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6"/>
    <w:next w:val="25"/>
    <w:qFormat/>
    <w:uiPriority w:val="0"/>
    <w:pPr>
      <w:numPr>
        <w:ilvl w:val="2"/>
      </w:numPr>
      <w:spacing w:before="50" w:after="50"/>
      <w:outlineLvl w:val="3"/>
    </w:p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三级条标题"/>
    <w:basedOn w:val="50"/>
    <w:next w:val="25"/>
    <w:qFormat/>
    <w:uiPriority w:val="0"/>
    <w:pPr>
      <w:numPr>
        <w:ilvl w:val="3"/>
      </w:numPr>
      <w:outlineLvl w:val="4"/>
    </w:pPr>
  </w:style>
  <w:style w:type="paragraph" w:customStyle="1" w:styleId="56">
    <w:name w:val="示例"/>
    <w:next w:val="57"/>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8">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9">
    <w:name w:val="四级条标题"/>
    <w:basedOn w:val="55"/>
    <w:next w:val="25"/>
    <w:qFormat/>
    <w:uiPriority w:val="0"/>
    <w:pPr>
      <w:numPr>
        <w:ilvl w:val="4"/>
      </w:numPr>
      <w:outlineLvl w:val="5"/>
    </w:pPr>
  </w:style>
  <w:style w:type="paragraph" w:customStyle="1" w:styleId="60">
    <w:name w:val="五级条标题"/>
    <w:basedOn w:val="59"/>
    <w:next w:val="25"/>
    <w:qFormat/>
    <w:uiPriority w:val="0"/>
    <w:pPr>
      <w:numPr>
        <w:ilvl w:val="5"/>
      </w:numPr>
      <w:outlineLvl w:val="6"/>
    </w:pPr>
  </w:style>
  <w:style w:type="paragraph" w:customStyle="1" w:styleId="61">
    <w:name w:val="注："/>
    <w:next w:val="25"/>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2">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3">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4">
    <w:name w:val="列项◆（三级）"/>
    <w:basedOn w:val="1"/>
    <w:qFormat/>
    <w:uiPriority w:val="0"/>
    <w:pPr>
      <w:numPr>
        <w:ilvl w:val="2"/>
        <w:numId w:val="3"/>
      </w:numPr>
    </w:pPr>
    <w:rPr>
      <w:rFonts w:ascii="宋体"/>
      <w:szCs w:val="21"/>
    </w:rPr>
  </w:style>
  <w:style w:type="paragraph" w:customStyle="1" w:styleId="65">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6">
    <w:name w:val="示例×："/>
    <w:basedOn w:val="49"/>
    <w:qFormat/>
    <w:uiPriority w:val="0"/>
    <w:pPr>
      <w:numPr>
        <w:numId w:val="8"/>
      </w:numPr>
      <w:spacing w:before="0" w:beforeLines="0" w:after="0" w:afterLines="0"/>
      <w:outlineLvl w:val="9"/>
    </w:pPr>
    <w:rPr>
      <w:rFonts w:ascii="宋体" w:eastAsia="宋体"/>
      <w:sz w:val="18"/>
      <w:szCs w:val="18"/>
    </w:rPr>
  </w:style>
  <w:style w:type="paragraph" w:customStyle="1" w:styleId="67">
    <w:name w:val="二级无"/>
    <w:basedOn w:val="50"/>
    <w:qFormat/>
    <w:uiPriority w:val="0"/>
    <w:pPr>
      <w:spacing w:before="0" w:beforeLines="0" w:after="0" w:afterLines="0"/>
    </w:pPr>
    <w:rPr>
      <w:rFonts w:ascii="宋体" w:eastAsia="宋体"/>
    </w:rPr>
  </w:style>
  <w:style w:type="paragraph" w:customStyle="1" w:styleId="68">
    <w:name w:val="注：（正文）"/>
    <w:basedOn w:val="61"/>
    <w:next w:val="25"/>
    <w:qFormat/>
    <w:uiPriority w:val="0"/>
  </w:style>
  <w:style w:type="paragraph" w:customStyle="1" w:styleId="69">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0">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3">
    <w:name w:val="标准书眉_偶数页"/>
    <w:basedOn w:val="48"/>
    <w:next w:val="1"/>
    <w:qFormat/>
    <w:uiPriority w:val="0"/>
    <w:pPr>
      <w:jc w:val="left"/>
    </w:pPr>
  </w:style>
  <w:style w:type="paragraph" w:customStyle="1" w:styleId="74">
    <w:name w:val="标准书眉一"/>
    <w:qFormat/>
    <w:uiPriority w:val="0"/>
    <w:pPr>
      <w:jc w:val="both"/>
    </w:pPr>
    <w:rPr>
      <w:rFonts w:ascii="Times New Roman" w:hAnsi="Times New Roman" w:eastAsia="宋体" w:cs="Times New Roman"/>
      <w:lang w:val="en-US" w:eastAsia="zh-CN" w:bidi="ar-SA"/>
    </w:rPr>
  </w:style>
  <w:style w:type="paragraph" w:customStyle="1" w:styleId="75">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6">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7">
    <w:name w:val="发布"/>
    <w:basedOn w:val="37"/>
    <w:qFormat/>
    <w:uiPriority w:val="0"/>
    <w:rPr>
      <w:rFonts w:ascii="黑体" w:eastAsia="黑体"/>
      <w:spacing w:val="85"/>
      <w:w w:val="100"/>
      <w:position w:val="3"/>
      <w:sz w:val="28"/>
      <w:szCs w:val="28"/>
    </w:rPr>
  </w:style>
  <w:style w:type="paragraph" w:customStyle="1" w:styleId="78">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3">
    <w:name w:val="封面标准英文名称"/>
    <w:basedOn w:val="82"/>
    <w:qFormat/>
    <w:uiPriority w:val="0"/>
    <w:pPr>
      <w:framePr w:wrap="around"/>
      <w:spacing w:before="370" w:line="400" w:lineRule="exact"/>
    </w:pPr>
    <w:rPr>
      <w:rFonts w:ascii="Times New Roman"/>
      <w:sz w:val="28"/>
      <w:szCs w:val="28"/>
    </w:rPr>
  </w:style>
  <w:style w:type="paragraph" w:customStyle="1" w:styleId="84">
    <w:name w:val="封面一致性程度标识"/>
    <w:basedOn w:val="83"/>
    <w:qFormat/>
    <w:uiPriority w:val="0"/>
    <w:pPr>
      <w:framePr w:wrap="around"/>
      <w:spacing w:before="440"/>
    </w:pPr>
    <w:rPr>
      <w:rFonts w:ascii="宋体" w:eastAsia="宋体"/>
    </w:rPr>
  </w:style>
  <w:style w:type="paragraph" w:customStyle="1" w:styleId="85">
    <w:name w:val="封面标准文稿类别"/>
    <w:basedOn w:val="84"/>
    <w:qFormat/>
    <w:uiPriority w:val="0"/>
    <w:pPr>
      <w:framePr w:wrap="around"/>
      <w:spacing w:after="160" w:line="240" w:lineRule="auto"/>
    </w:pPr>
    <w:rPr>
      <w:sz w:val="24"/>
    </w:rPr>
  </w:style>
  <w:style w:type="paragraph" w:customStyle="1" w:styleId="86">
    <w:name w:val="封面标准文稿编辑信息"/>
    <w:basedOn w:val="85"/>
    <w:qFormat/>
    <w:uiPriority w:val="0"/>
    <w:pPr>
      <w:framePr w:wrap="around"/>
      <w:spacing w:before="180" w:line="180" w:lineRule="exact"/>
    </w:pPr>
    <w:rPr>
      <w:sz w:val="21"/>
    </w:rPr>
  </w:style>
  <w:style w:type="paragraph" w:customStyle="1" w:styleId="87">
    <w:name w:val="封面正文"/>
    <w:qFormat/>
    <w:uiPriority w:val="0"/>
    <w:pPr>
      <w:jc w:val="both"/>
    </w:pPr>
    <w:rPr>
      <w:rFonts w:ascii="Times New Roman" w:hAnsi="Times New Roman" w:eastAsia="宋体" w:cs="Times New Roman"/>
      <w:lang w:val="en-US" w:eastAsia="zh-CN" w:bidi="ar-SA"/>
    </w:rPr>
  </w:style>
  <w:style w:type="paragraph" w:customStyle="1" w:styleId="88">
    <w:name w:val="附录标识"/>
    <w:basedOn w:val="1"/>
    <w:next w:val="25"/>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9">
    <w:name w:val="附录标题"/>
    <w:basedOn w:val="25"/>
    <w:next w:val="25"/>
    <w:qFormat/>
    <w:uiPriority w:val="0"/>
    <w:pPr>
      <w:ind w:firstLine="0" w:firstLineChars="0"/>
      <w:jc w:val="center"/>
    </w:pPr>
    <w:rPr>
      <w:rFonts w:ascii="黑体" w:eastAsia="黑体"/>
    </w:rPr>
  </w:style>
  <w:style w:type="paragraph" w:customStyle="1" w:styleId="90">
    <w:name w:val="附录表标号"/>
    <w:basedOn w:val="1"/>
    <w:next w:val="25"/>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1">
    <w:name w:val="附录表标题"/>
    <w:basedOn w:val="1"/>
    <w:next w:val="25"/>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2">
    <w:name w:val="附录二级条标题"/>
    <w:basedOn w:val="1"/>
    <w:next w:val="25"/>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3">
    <w:name w:val="附录二级无"/>
    <w:basedOn w:val="92"/>
    <w:qFormat/>
    <w:uiPriority w:val="0"/>
    <w:pPr>
      <w:tabs>
        <w:tab w:val="clear" w:pos="360"/>
      </w:tabs>
      <w:spacing w:before="0" w:beforeLines="0" w:after="0" w:afterLines="0"/>
    </w:pPr>
    <w:rPr>
      <w:rFonts w:ascii="宋体" w:eastAsia="宋体"/>
      <w:szCs w:val="21"/>
    </w:rPr>
  </w:style>
  <w:style w:type="paragraph" w:customStyle="1" w:styleId="94">
    <w:name w:val="附录公式"/>
    <w:basedOn w:val="25"/>
    <w:next w:val="25"/>
    <w:link w:val="95"/>
    <w:qFormat/>
    <w:uiPriority w:val="0"/>
  </w:style>
  <w:style w:type="character" w:customStyle="1" w:styleId="95">
    <w:name w:val="附录公式 Char"/>
    <w:basedOn w:val="45"/>
    <w:link w:val="94"/>
    <w:qFormat/>
    <w:uiPriority w:val="0"/>
    <w:rPr>
      <w:rFonts w:ascii="宋体"/>
      <w:sz w:val="21"/>
      <w:lang w:val="en-US" w:eastAsia="zh-CN" w:bidi="ar-SA"/>
    </w:rPr>
  </w:style>
  <w:style w:type="paragraph" w:customStyle="1" w:styleId="96">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7">
    <w:name w:val="附录三级条标题"/>
    <w:basedOn w:val="92"/>
    <w:next w:val="25"/>
    <w:qFormat/>
    <w:uiPriority w:val="0"/>
    <w:pPr>
      <w:numPr>
        <w:ilvl w:val="4"/>
      </w:numPr>
      <w:outlineLvl w:val="4"/>
    </w:pPr>
  </w:style>
  <w:style w:type="paragraph" w:customStyle="1" w:styleId="98">
    <w:name w:val="附录三级无"/>
    <w:basedOn w:val="97"/>
    <w:qFormat/>
    <w:uiPriority w:val="0"/>
    <w:pPr>
      <w:tabs>
        <w:tab w:val="clear" w:pos="360"/>
      </w:tabs>
      <w:spacing w:before="0" w:beforeLines="0" w:after="0" w:afterLines="0"/>
    </w:pPr>
    <w:rPr>
      <w:rFonts w:ascii="宋体" w:eastAsia="宋体"/>
      <w:szCs w:val="21"/>
    </w:rPr>
  </w:style>
  <w:style w:type="paragraph" w:customStyle="1" w:styleId="99">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0">
    <w:name w:val="附录四级条标题"/>
    <w:basedOn w:val="97"/>
    <w:next w:val="25"/>
    <w:qFormat/>
    <w:uiPriority w:val="0"/>
    <w:pPr>
      <w:numPr>
        <w:ilvl w:val="5"/>
      </w:numPr>
      <w:outlineLvl w:val="5"/>
    </w:pPr>
  </w:style>
  <w:style w:type="paragraph" w:customStyle="1" w:styleId="101">
    <w:name w:val="附录四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3">
    <w:name w:val="附录图标题"/>
    <w:basedOn w:val="1"/>
    <w:next w:val="25"/>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4">
    <w:name w:val="附录五级条标题"/>
    <w:basedOn w:val="100"/>
    <w:next w:val="25"/>
    <w:qFormat/>
    <w:uiPriority w:val="0"/>
    <w:pPr>
      <w:numPr>
        <w:ilvl w:val="6"/>
      </w:numPr>
      <w:outlineLvl w:val="6"/>
    </w:pPr>
  </w:style>
  <w:style w:type="paragraph" w:customStyle="1" w:styleId="105">
    <w:name w:val="附录五级无"/>
    <w:basedOn w:val="104"/>
    <w:qFormat/>
    <w:uiPriority w:val="0"/>
    <w:pPr>
      <w:tabs>
        <w:tab w:val="clear" w:pos="360"/>
      </w:tabs>
      <w:spacing w:before="0" w:beforeLines="0" w:after="0" w:afterLines="0"/>
    </w:pPr>
    <w:rPr>
      <w:rFonts w:ascii="宋体" w:eastAsia="宋体"/>
      <w:szCs w:val="21"/>
    </w:rPr>
  </w:style>
  <w:style w:type="paragraph" w:customStyle="1" w:styleId="106">
    <w:name w:val="附录章标题"/>
    <w:next w:val="25"/>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7">
    <w:name w:val="附录一级条标题"/>
    <w:basedOn w:val="106"/>
    <w:next w:val="25"/>
    <w:qFormat/>
    <w:uiPriority w:val="0"/>
    <w:pPr>
      <w:numPr>
        <w:ilvl w:val="2"/>
      </w:numPr>
      <w:autoSpaceDN w:val="0"/>
      <w:spacing w:before="50" w:beforeLines="50" w:after="50" w:afterLines="50"/>
      <w:outlineLvl w:val="2"/>
    </w:pPr>
  </w:style>
  <w:style w:type="paragraph" w:customStyle="1" w:styleId="108">
    <w:name w:val="附录一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3">
    <w:name w:val="其他标准标志"/>
    <w:basedOn w:val="70"/>
    <w:qFormat/>
    <w:uiPriority w:val="0"/>
    <w:pPr>
      <w:framePr w:w="6101" w:wrap="around" w:vAnchor="page" w:hAnchor="page" w:x="4673" w:y="942"/>
    </w:pPr>
    <w:rPr>
      <w:w w:val="130"/>
    </w:rPr>
  </w:style>
  <w:style w:type="paragraph" w:customStyle="1" w:styleId="1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5">
    <w:name w:val="其他发布部门"/>
    <w:basedOn w:val="78"/>
    <w:qFormat/>
    <w:uiPriority w:val="0"/>
    <w:pPr>
      <w:framePr w:wrap="around" w:y="15310"/>
      <w:spacing w:line="0" w:lineRule="atLeast"/>
    </w:pPr>
    <w:rPr>
      <w:rFonts w:ascii="黑体" w:eastAsia="黑体"/>
      <w:b w:val="0"/>
    </w:rPr>
  </w:style>
  <w:style w:type="paragraph" w:customStyle="1" w:styleId="116">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无"/>
    <w:basedOn w:val="55"/>
    <w:qFormat/>
    <w:uiPriority w:val="0"/>
    <w:pPr>
      <w:spacing w:before="0" w:beforeLines="0" w:after="0" w:afterLines="0"/>
    </w:pPr>
    <w:rPr>
      <w:rFonts w:ascii="宋体" w:eastAsia="宋体"/>
    </w:rPr>
  </w:style>
  <w:style w:type="paragraph" w:customStyle="1" w:styleId="118">
    <w:name w:val="实施日期"/>
    <w:basedOn w:val="79"/>
    <w:qFormat/>
    <w:uiPriority w:val="0"/>
    <w:pPr>
      <w:framePr w:wrap="around" w:vAnchor="page" w:hAnchor="text"/>
      <w:jc w:val="right"/>
    </w:pPr>
  </w:style>
  <w:style w:type="paragraph" w:customStyle="1" w:styleId="119">
    <w:name w:val="示例后文字"/>
    <w:basedOn w:val="25"/>
    <w:next w:val="25"/>
    <w:qFormat/>
    <w:uiPriority w:val="0"/>
    <w:pPr>
      <w:ind w:firstLine="360"/>
    </w:pPr>
    <w:rPr>
      <w:sz w:val="18"/>
    </w:rPr>
  </w:style>
  <w:style w:type="paragraph" w:customStyle="1" w:styleId="120">
    <w:name w:val="首示例"/>
    <w:next w:val="25"/>
    <w:link w:val="121"/>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1">
    <w:name w:val="首示例 Char"/>
    <w:basedOn w:val="37"/>
    <w:link w:val="120"/>
    <w:qFormat/>
    <w:uiPriority w:val="0"/>
    <w:rPr>
      <w:rFonts w:ascii="宋体" w:hAnsi="宋体"/>
      <w:kern w:val="2"/>
      <w:sz w:val="18"/>
      <w:szCs w:val="18"/>
      <w:lang w:val="en-US" w:eastAsia="zh-CN" w:bidi="ar-SA"/>
    </w:rPr>
  </w:style>
  <w:style w:type="paragraph" w:customStyle="1" w:styleId="122">
    <w:name w:val="四级无"/>
    <w:basedOn w:val="59"/>
    <w:qFormat/>
    <w:uiPriority w:val="0"/>
    <w:pPr>
      <w:spacing w:before="0" w:beforeLines="0" w:after="0" w:afterLines="0"/>
    </w:pPr>
    <w:rPr>
      <w:rFonts w:ascii="宋体" w:eastAsia="宋体"/>
    </w:rPr>
  </w:style>
  <w:style w:type="paragraph" w:customStyle="1" w:styleId="123">
    <w:name w:val="条文脚注"/>
    <w:basedOn w:val="26"/>
    <w:qFormat/>
    <w:uiPriority w:val="0"/>
    <w:pPr>
      <w:numPr>
        <w:numId w:val="0"/>
      </w:numPr>
      <w:tabs>
        <w:tab w:val="clear" w:pos="0"/>
      </w:tabs>
      <w:jc w:val="both"/>
    </w:pPr>
  </w:style>
  <w:style w:type="paragraph" w:customStyle="1" w:styleId="124">
    <w:name w:val="图标脚注说明"/>
    <w:basedOn w:val="25"/>
    <w:qFormat/>
    <w:uiPriority w:val="0"/>
    <w:pPr>
      <w:ind w:left="840" w:hanging="420" w:firstLineChars="0"/>
    </w:pPr>
    <w:rPr>
      <w:sz w:val="18"/>
      <w:szCs w:val="18"/>
    </w:rPr>
  </w:style>
  <w:style w:type="paragraph" w:customStyle="1" w:styleId="125">
    <w:name w:val="图表脚注说明"/>
    <w:basedOn w:val="1"/>
    <w:qFormat/>
    <w:uiPriority w:val="0"/>
    <w:pPr>
      <w:numPr>
        <w:ilvl w:val="0"/>
        <w:numId w:val="15"/>
      </w:numPr>
    </w:pPr>
    <w:rPr>
      <w:rFonts w:ascii="宋体"/>
      <w:sz w:val="18"/>
      <w:szCs w:val="18"/>
    </w:rPr>
  </w:style>
  <w:style w:type="paragraph" w:customStyle="1" w:styleId="126">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8">
    <w:name w:val="五级无"/>
    <w:basedOn w:val="60"/>
    <w:qFormat/>
    <w:uiPriority w:val="0"/>
    <w:pPr>
      <w:spacing w:before="0" w:beforeLines="0" w:after="0" w:afterLines="0"/>
    </w:pPr>
    <w:rPr>
      <w:rFonts w:ascii="宋体" w:eastAsia="宋体"/>
    </w:rPr>
  </w:style>
  <w:style w:type="paragraph" w:customStyle="1" w:styleId="129">
    <w:name w:val="一级无"/>
    <w:basedOn w:val="46"/>
    <w:qFormat/>
    <w:uiPriority w:val="0"/>
    <w:pPr>
      <w:spacing w:before="0" w:beforeLines="0" w:after="0" w:afterLines="0"/>
    </w:pPr>
    <w:rPr>
      <w:rFonts w:ascii="宋体" w:eastAsia="宋体"/>
    </w:rPr>
  </w:style>
  <w:style w:type="paragraph" w:customStyle="1" w:styleId="130">
    <w:name w:val="正文表标题"/>
    <w:next w:val="25"/>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5"/>
    <w:next w:val="25"/>
    <w:qFormat/>
    <w:uiPriority w:val="0"/>
    <w:pPr>
      <w:ind w:firstLine="0" w:firstLineChars="0"/>
    </w:pPr>
  </w:style>
  <w:style w:type="paragraph" w:customStyle="1" w:styleId="132">
    <w:name w:val="正文图标题"/>
    <w:next w:val="25"/>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basedOn w:val="79"/>
    <w:qFormat/>
    <w:uiPriority w:val="0"/>
    <w:pPr>
      <w:framePr w:wrap="around" w:vAnchor="page" w:hAnchor="text" w:x="1419"/>
    </w:pPr>
  </w:style>
  <w:style w:type="paragraph" w:customStyle="1" w:styleId="135">
    <w:name w:val="其他实施日期"/>
    <w:basedOn w:val="118"/>
    <w:qFormat/>
    <w:uiPriority w:val="0"/>
    <w:pPr>
      <w:framePr w:wrap="around"/>
    </w:pPr>
  </w:style>
  <w:style w:type="paragraph" w:customStyle="1" w:styleId="136">
    <w:name w:val="封面标准名称2"/>
    <w:basedOn w:val="82"/>
    <w:qFormat/>
    <w:uiPriority w:val="0"/>
    <w:pPr>
      <w:framePr w:wrap="around" w:y="4469"/>
      <w:spacing w:before="630" w:beforeLines="630"/>
    </w:pPr>
  </w:style>
  <w:style w:type="paragraph" w:customStyle="1" w:styleId="137">
    <w:name w:val="封面标准英文名称2"/>
    <w:basedOn w:val="83"/>
    <w:qFormat/>
    <w:uiPriority w:val="0"/>
    <w:pPr>
      <w:framePr w:wrap="around" w:y="4469"/>
    </w:pPr>
  </w:style>
  <w:style w:type="paragraph" w:customStyle="1" w:styleId="138">
    <w:name w:val="封面一致性程度标识2"/>
    <w:basedOn w:val="84"/>
    <w:qFormat/>
    <w:uiPriority w:val="0"/>
    <w:pPr>
      <w:framePr w:wrap="around" w:y="4469"/>
    </w:pPr>
  </w:style>
  <w:style w:type="paragraph" w:customStyle="1" w:styleId="139">
    <w:name w:val="封面标准文稿类别2"/>
    <w:basedOn w:val="85"/>
    <w:qFormat/>
    <w:uiPriority w:val="0"/>
    <w:pPr>
      <w:framePr w:wrap="around" w:y="4469"/>
    </w:pPr>
  </w:style>
  <w:style w:type="paragraph" w:customStyle="1" w:styleId="140">
    <w:name w:val="封面标准文稿编辑信息2"/>
    <w:basedOn w:val="86"/>
    <w:qFormat/>
    <w:uiPriority w:val="0"/>
    <w:pPr>
      <w:framePr w:wrap="around" w:y="4469"/>
    </w:pPr>
  </w:style>
  <w:style w:type="paragraph" w:customStyle="1" w:styleId="141">
    <w:name w:val="Table Paragraph"/>
    <w:unhideWhenUsed/>
    <w:qFormat/>
    <w:uiPriority w:val="0"/>
    <w:rPr>
      <w:rFonts w:hint="eastAsia" w:ascii="Times New Roman" w:hAnsi="Times New Roman" w:eastAsia="宋体" w:cs="Times New Roman"/>
      <w:sz w:val="24"/>
      <w:szCs w:val="24"/>
      <w:lang w:val="en-US" w:eastAsia="zh-CN" w:bidi="ar-SA"/>
    </w:rPr>
  </w:style>
  <w:style w:type="character" w:customStyle="1" w:styleId="142">
    <w:name w:val="批注框文本 字符"/>
    <w:basedOn w:val="37"/>
    <w:link w:val="17"/>
    <w:uiPriority w:val="0"/>
    <w:rPr>
      <w:kern w:val="2"/>
      <w:sz w:val="18"/>
      <w:szCs w:val="18"/>
    </w:rPr>
  </w:style>
  <w:style w:type="paragraph" w:customStyle="1" w:styleId="143">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144">
    <w:name w:val="批注文字 字符"/>
    <w:basedOn w:val="37"/>
    <w:link w:val="9"/>
    <w:uiPriority w:val="0"/>
    <w:rPr>
      <w:kern w:val="2"/>
      <w:sz w:val="21"/>
      <w:szCs w:val="24"/>
    </w:rPr>
  </w:style>
  <w:style w:type="character" w:customStyle="1" w:styleId="145">
    <w:name w:val="批注主题 字符"/>
    <w:basedOn w:val="144"/>
    <w:link w:val="34"/>
    <w:uiPriority w:val="0"/>
    <w:rPr>
      <w:b/>
      <w:bCs/>
      <w:kern w:val="2"/>
      <w:sz w:val="21"/>
      <w:szCs w:val="24"/>
    </w:rPr>
  </w:style>
  <w:style w:type="character" w:customStyle="1" w:styleId="146">
    <w:name w:val="标题 1 字符"/>
    <w:basedOn w:val="37"/>
    <w:link w:val="2"/>
    <w:uiPriority w:val="0"/>
    <w:rPr>
      <w:rFonts w:eastAsia="黑体"/>
      <w:b/>
      <w:bCs/>
      <w:kern w:val="44"/>
      <w:sz w:val="21"/>
      <w:szCs w:val="44"/>
    </w:rPr>
  </w:style>
  <w:style w:type="paragraph" w:customStyle="1" w:styleId="14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ocuments\WeChat%20Files\wangfei8708\FileStorage\File\2022-01\0%20&#38485;&#35199;&#30465;&#22320;&#26041;&#26631;&#20934;&#32534;&#20889;&#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 陕西省地方标准编写模板</Template>
  <Pages>9</Pages>
  <Words>235</Words>
  <Characters>344</Characters>
  <Lines>37</Lines>
  <Paragraphs>10</Paragraphs>
  <TotalTime>0</TotalTime>
  <ScaleCrop>false</ScaleCrop>
  <LinksUpToDate>false</LinksUpToDate>
  <CharactersWithSpaces>416</CharactersWithSpaces>
  <Application>WPS Office_12.1.0.19770_F1E327BC-269C-435d-A152-05C5408002CA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2025-02-25T01:18:00Z</dcterms:created>
  <cp:lastPrinted>2024-03-26T06:41:00Z</cp:lastPrinted>
  <dcterms:modified xsi:type="dcterms:W3CDTF">2025-03-03T07:19:55Z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EC45E0D61F414300945375AC2E544CCC_13</vt:lpwstr>
  </property>
  <property fmtid="{D5CDD505-2E9C-101B-9397-08002B2CF9AE}" pid="3" name="KSOProductBuildVer">
    <vt:lpwstr>2052-12.1.0.19770</vt:lpwstr>
  </property>
  <property fmtid="{D5CDD505-2E9C-101B-9397-08002B2CF9AE}" pid="4" name="KSOTemplateDocerSaveRecord">
    <vt:lpwstr>eyJoZGlkIjoiMjkxM2I1ZjJlM2NjYjFjYmU2N2EwMTY1ZTBiZTcxYzgiLCJ1c2VySWQiOiIzMTIxMzk1NDgifQ==</vt:lpwstr>
  </property>
</Properties>
</file>