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E0A5EE">
      <w:pPr>
        <w:spacing w:line="480" w:lineRule="auto"/>
        <w:ind w:firstLine="6"/>
        <w:jc w:val="center"/>
        <w:rPr>
          <w:rFonts w:hint="eastAsia" w:ascii="黑体" w:hAnsi="黑体" w:eastAsia="黑体" w:cs="宋体"/>
          <w:kern w:val="0"/>
          <w:sz w:val="52"/>
          <w:szCs w:val="52"/>
        </w:rPr>
      </w:pPr>
    </w:p>
    <w:p w14:paraId="73F78045">
      <w:pPr>
        <w:pStyle w:val="2"/>
        <w:rPr>
          <w:rFonts w:hint="eastAsia"/>
        </w:rPr>
      </w:pPr>
    </w:p>
    <w:p w14:paraId="012CCF1C">
      <w:pPr>
        <w:spacing w:line="480" w:lineRule="auto"/>
        <w:ind w:firstLine="6"/>
        <w:jc w:val="center"/>
        <w:rPr>
          <w:rFonts w:ascii="黑体" w:hAnsi="黑体" w:eastAsia="黑体" w:cs="宋体"/>
          <w:kern w:val="0"/>
          <w:sz w:val="44"/>
          <w:szCs w:val="44"/>
        </w:rPr>
      </w:pPr>
      <w:r>
        <w:rPr>
          <w:rFonts w:hint="eastAsia" w:ascii="黑体" w:hAnsi="黑体" w:eastAsia="黑体" w:cs="宋体"/>
          <w:kern w:val="0"/>
          <w:sz w:val="44"/>
          <w:szCs w:val="44"/>
        </w:rPr>
        <w:t>陕西省地方标准</w:t>
      </w:r>
    </w:p>
    <w:p w14:paraId="6AD4DF96">
      <w:pPr>
        <w:spacing w:line="480" w:lineRule="auto"/>
        <w:ind w:firstLine="6"/>
        <w:jc w:val="center"/>
        <w:rPr>
          <w:rFonts w:hint="default" w:ascii="黑体" w:hAnsi="黑体" w:eastAsia="黑体" w:cs="宋体"/>
          <w:kern w:val="0"/>
          <w:sz w:val="44"/>
          <w:szCs w:val="44"/>
          <w:lang w:val="en-US" w:eastAsia="zh-CN"/>
        </w:rPr>
      </w:pPr>
      <w:r>
        <w:rPr>
          <w:rFonts w:hint="eastAsia" w:ascii="黑体" w:hAnsi="黑体" w:eastAsia="黑体" w:cs="宋体"/>
          <w:kern w:val="0"/>
          <w:sz w:val="44"/>
          <w:szCs w:val="44"/>
          <w:lang w:val="en-US" w:eastAsia="zh-CN"/>
        </w:rPr>
        <w:t>古树名木保护管理规范</w:t>
      </w:r>
    </w:p>
    <w:p w14:paraId="09706C5D">
      <w:pPr>
        <w:spacing w:line="480" w:lineRule="auto"/>
        <w:ind w:firstLine="6"/>
        <w:jc w:val="center"/>
        <w:rPr>
          <w:rFonts w:ascii="黑体" w:hAnsi="黑体" w:eastAsia="黑体" w:cs="宋体"/>
          <w:spacing w:val="20"/>
          <w:kern w:val="0"/>
          <w:sz w:val="44"/>
          <w:szCs w:val="44"/>
        </w:rPr>
      </w:pPr>
      <w:r>
        <w:rPr>
          <w:rFonts w:hint="eastAsia" w:ascii="黑体" w:hAnsi="黑体" w:eastAsia="黑体" w:cs="宋体"/>
          <w:spacing w:val="20"/>
          <w:kern w:val="0"/>
          <w:sz w:val="44"/>
          <w:szCs w:val="44"/>
        </w:rPr>
        <w:t>编制说明</w:t>
      </w:r>
    </w:p>
    <w:p w14:paraId="2473CBF4">
      <w:pPr>
        <w:rPr>
          <w:rFonts w:hint="eastAsia"/>
          <w:lang w:val="en-US" w:eastAsia="zh-CN"/>
        </w:rPr>
      </w:pPr>
    </w:p>
    <w:p w14:paraId="7FBAD99E">
      <w:pPr>
        <w:pStyle w:val="2"/>
        <w:rPr>
          <w:rFonts w:hint="eastAsia"/>
          <w:lang w:val="en-US" w:eastAsia="zh-CN"/>
        </w:rPr>
      </w:pPr>
    </w:p>
    <w:p w14:paraId="67153A68">
      <w:pPr>
        <w:rPr>
          <w:rFonts w:hint="eastAsia"/>
          <w:lang w:val="en-US" w:eastAsia="zh-CN"/>
        </w:rPr>
      </w:pPr>
    </w:p>
    <w:p w14:paraId="29577E43">
      <w:pPr>
        <w:rPr>
          <w:rFonts w:hint="eastAsia"/>
          <w:lang w:val="en-US" w:eastAsia="zh-CN"/>
        </w:rPr>
      </w:pPr>
    </w:p>
    <w:p w14:paraId="0F862495">
      <w:pPr>
        <w:pStyle w:val="2"/>
        <w:rPr>
          <w:rFonts w:hint="eastAsia"/>
          <w:lang w:val="en-US" w:eastAsia="zh-CN"/>
        </w:rPr>
      </w:pPr>
    </w:p>
    <w:p w14:paraId="786125CF">
      <w:pPr>
        <w:rPr>
          <w:rFonts w:hint="eastAsia"/>
          <w:lang w:val="en-US" w:eastAsia="zh-CN"/>
        </w:rPr>
      </w:pPr>
    </w:p>
    <w:p w14:paraId="5695C829">
      <w:pPr>
        <w:pStyle w:val="2"/>
        <w:rPr>
          <w:rFonts w:hint="eastAsia"/>
          <w:lang w:val="en-US" w:eastAsia="zh-CN"/>
        </w:rPr>
      </w:pPr>
    </w:p>
    <w:p w14:paraId="7272A8D5">
      <w:pPr>
        <w:rPr>
          <w:rFonts w:hint="eastAsia"/>
          <w:lang w:val="en-US" w:eastAsia="zh-CN"/>
        </w:rPr>
      </w:pPr>
    </w:p>
    <w:p w14:paraId="2B9A717F">
      <w:pPr>
        <w:pStyle w:val="2"/>
        <w:rPr>
          <w:rFonts w:hint="eastAsia"/>
          <w:lang w:val="en-US" w:eastAsia="zh-CN"/>
        </w:rPr>
      </w:pPr>
    </w:p>
    <w:p w14:paraId="2B024426">
      <w:pPr>
        <w:rPr>
          <w:rFonts w:hint="eastAsia"/>
          <w:lang w:val="en-US" w:eastAsia="zh-CN"/>
        </w:rPr>
      </w:pPr>
    </w:p>
    <w:p w14:paraId="55628020">
      <w:pPr>
        <w:pStyle w:val="2"/>
        <w:rPr>
          <w:rFonts w:hint="eastAsia"/>
          <w:lang w:val="en-US" w:eastAsia="zh-CN"/>
        </w:rPr>
      </w:pPr>
    </w:p>
    <w:p w14:paraId="1D850663">
      <w:pPr>
        <w:rPr>
          <w:rFonts w:hint="eastAsia"/>
          <w:lang w:val="en-US" w:eastAsia="zh-CN"/>
        </w:rPr>
      </w:pPr>
    </w:p>
    <w:p w14:paraId="1F36E71A">
      <w:pPr>
        <w:pStyle w:val="2"/>
        <w:rPr>
          <w:rFonts w:hint="eastAsia"/>
          <w:lang w:val="en-US" w:eastAsia="zh-CN"/>
        </w:rPr>
      </w:pPr>
    </w:p>
    <w:p w14:paraId="02A52A4D">
      <w:pPr>
        <w:pStyle w:val="6"/>
        <w:rPr>
          <w:rFonts w:hint="eastAsia"/>
          <w:lang w:val="en-US" w:eastAsia="zh-CN"/>
        </w:rPr>
      </w:pPr>
    </w:p>
    <w:p w14:paraId="5C7527D7">
      <w:pPr>
        <w:rPr>
          <w:rFonts w:hint="eastAsia"/>
          <w:lang w:val="en-US" w:eastAsia="zh-CN"/>
        </w:rPr>
      </w:pPr>
    </w:p>
    <w:p w14:paraId="6E7D275B">
      <w:pPr>
        <w:pStyle w:val="6"/>
        <w:rPr>
          <w:rFonts w:hint="eastAsia"/>
          <w:lang w:val="en-US" w:eastAsia="zh-CN"/>
        </w:rPr>
      </w:pPr>
    </w:p>
    <w:p w14:paraId="110E7938">
      <w:pPr>
        <w:rPr>
          <w:rFonts w:hint="eastAsia"/>
          <w:lang w:val="en-US" w:eastAsia="zh-CN"/>
        </w:rPr>
      </w:pPr>
    </w:p>
    <w:p w14:paraId="1C80C94A">
      <w:pPr>
        <w:rPr>
          <w:rFonts w:hint="eastAsia"/>
          <w:lang w:val="en-US" w:eastAsia="zh-CN"/>
        </w:rPr>
      </w:pPr>
    </w:p>
    <w:p w14:paraId="03FEC21E">
      <w:pPr>
        <w:pStyle w:val="2"/>
        <w:rPr>
          <w:rFonts w:hint="eastAsia"/>
          <w:lang w:val="en-US" w:eastAsia="zh-CN"/>
        </w:rPr>
      </w:pPr>
    </w:p>
    <w:p w14:paraId="06E3F4D3">
      <w:pPr>
        <w:rPr>
          <w:rFonts w:hint="eastAsia"/>
          <w:lang w:val="en-US" w:eastAsia="zh-CN"/>
        </w:rPr>
      </w:pPr>
    </w:p>
    <w:p w14:paraId="3A305121">
      <w:pPr>
        <w:pStyle w:val="2"/>
        <w:rPr>
          <w:rFonts w:hint="eastAsia"/>
          <w:lang w:val="en-US" w:eastAsia="zh-CN"/>
        </w:rPr>
      </w:pPr>
    </w:p>
    <w:p w14:paraId="3D23100C">
      <w:pPr>
        <w:rPr>
          <w:rFonts w:hint="eastAsia"/>
          <w:lang w:val="en-US" w:eastAsia="zh-CN"/>
        </w:rPr>
      </w:pPr>
      <w:bookmarkStart w:id="5" w:name="_GoBack"/>
      <w:bookmarkEnd w:id="5"/>
    </w:p>
    <w:p w14:paraId="2AF968B3">
      <w:pPr>
        <w:spacing w:line="640" w:lineRule="exact"/>
        <w:ind w:firstLine="1800" w:firstLineChars="500"/>
        <w:jc w:val="left"/>
        <w:rPr>
          <w:rFonts w:hint="eastAsia" w:ascii="黑体" w:hAnsi="黑体" w:eastAsia="黑体" w:cs="黑体"/>
          <w:sz w:val="36"/>
          <w:szCs w:val="36"/>
        </w:rPr>
      </w:pPr>
      <w:r>
        <w:rPr>
          <w:rFonts w:hint="eastAsia" w:ascii="黑体" w:hAnsi="黑体" w:eastAsia="黑体" w:cs="黑体"/>
          <w:sz w:val="36"/>
          <w:szCs w:val="36"/>
        </w:rPr>
        <w:t>项目编号：SDBXM 269-2024</w:t>
      </w:r>
    </w:p>
    <w:p w14:paraId="4BBBA44F">
      <w:pPr>
        <w:spacing w:line="640" w:lineRule="exact"/>
        <w:ind w:firstLine="1800" w:firstLineChars="500"/>
        <w:jc w:val="left"/>
        <w:rPr>
          <w:rFonts w:hint="default" w:ascii="黑体" w:hAnsi="黑体" w:eastAsia="黑体" w:cs="黑体"/>
          <w:sz w:val="36"/>
          <w:szCs w:val="36"/>
          <w:lang w:val="en-US" w:eastAsia="zh-CN"/>
        </w:rPr>
      </w:pPr>
      <w:r>
        <w:rPr>
          <w:rFonts w:hint="eastAsia" w:ascii="黑体" w:hAnsi="黑体" w:eastAsia="黑体" w:cs="黑体"/>
          <w:sz w:val="36"/>
          <w:szCs w:val="36"/>
        </w:rPr>
        <w:t>项目名称：</w:t>
      </w:r>
      <w:r>
        <w:rPr>
          <w:rFonts w:hint="eastAsia" w:ascii="黑体" w:hAnsi="黑体" w:eastAsia="黑体" w:cs="黑体"/>
          <w:sz w:val="36"/>
          <w:szCs w:val="36"/>
          <w:lang w:val="en-US" w:eastAsia="zh-CN"/>
        </w:rPr>
        <w:t>古树名木保护管理规范</w:t>
      </w:r>
    </w:p>
    <w:p w14:paraId="3A256D38">
      <w:pPr>
        <w:rPr>
          <w:rFonts w:hint="eastAsia"/>
          <w:lang w:val="en-US" w:eastAsia="zh-CN"/>
        </w:rPr>
      </w:pPr>
    </w:p>
    <w:p w14:paraId="636DDECC">
      <w:pPr>
        <w:pStyle w:val="2"/>
        <w:rPr>
          <w:rFonts w:hint="eastAsia"/>
          <w:lang w:val="en-US" w:eastAsia="zh-CN"/>
        </w:rPr>
      </w:pPr>
    </w:p>
    <w:p w14:paraId="7A8B32FB">
      <w:pPr>
        <w:rPr>
          <w:rFonts w:hint="eastAsia"/>
          <w:lang w:val="en-US" w:eastAsia="zh-CN"/>
        </w:rPr>
      </w:pPr>
    </w:p>
    <w:p w14:paraId="37618752">
      <w:pPr>
        <w:pStyle w:val="2"/>
        <w:rPr>
          <w:rFonts w:hint="eastAsia"/>
          <w:lang w:val="en-US" w:eastAsia="zh-CN"/>
        </w:rPr>
      </w:pPr>
    </w:p>
    <w:p w14:paraId="13F08BB6">
      <w:pPr>
        <w:rPr>
          <w:rFonts w:hint="eastAsia"/>
          <w:lang w:val="en-US" w:eastAsia="zh-CN"/>
        </w:rPr>
      </w:pPr>
    </w:p>
    <w:p w14:paraId="2C7EF3B3">
      <w:pPr>
        <w:pStyle w:val="2"/>
        <w:rPr>
          <w:rFonts w:hint="eastAsia"/>
          <w:lang w:val="en-US" w:eastAsia="zh-CN"/>
        </w:rPr>
      </w:pPr>
    </w:p>
    <w:p w14:paraId="0AC9C35C">
      <w:pPr>
        <w:rPr>
          <w:rFonts w:hint="eastAsia"/>
          <w:lang w:val="en-US" w:eastAsia="zh-CN"/>
        </w:rPr>
      </w:pPr>
    </w:p>
    <w:p w14:paraId="21095458">
      <w:pPr>
        <w:rPr>
          <w:rFonts w:hint="eastAsia"/>
          <w:lang w:val="en-US" w:eastAsia="zh-CN"/>
        </w:rPr>
      </w:pPr>
    </w:p>
    <w:p w14:paraId="5F4163BC">
      <w:pPr>
        <w:pStyle w:val="2"/>
        <w:rPr>
          <w:rFonts w:hint="eastAsia"/>
          <w:lang w:val="en-US" w:eastAsia="zh-CN"/>
        </w:rPr>
      </w:pPr>
    </w:p>
    <w:p w14:paraId="20B69AC6">
      <w:pPr>
        <w:pStyle w:val="2"/>
        <w:rPr>
          <w:rFonts w:hint="eastAsia"/>
          <w:lang w:val="en-US" w:eastAsia="zh-CN"/>
        </w:rPr>
      </w:pPr>
    </w:p>
    <w:p w14:paraId="4E77F70D">
      <w:pPr>
        <w:rPr>
          <w:rFonts w:hint="eastAsia"/>
          <w:lang w:val="en-US" w:eastAsia="zh-CN"/>
        </w:rPr>
      </w:pPr>
    </w:p>
    <w:p w14:paraId="12B96D56">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6C711225">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61E539F2">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3A4CD66E">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50C2F8B5">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699DF2CE">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0991B7D4">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7770BA7D">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0C54EA48">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4339D3E3">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061D3B67">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6E8BE7D6">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3C175B90">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04AB1B35">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01BECEFC">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1D15F3E3">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eastAsia" w:ascii="黑体" w:hAnsi="黑体" w:eastAsia="黑体" w:cs="宋体"/>
          <w:kern w:val="0"/>
          <w:sz w:val="36"/>
          <w:szCs w:val="36"/>
          <w:lang w:val="en-US" w:eastAsia="zh-CN"/>
        </w:rPr>
      </w:pPr>
    </w:p>
    <w:p w14:paraId="5ECF3F67">
      <w:pPr>
        <w:keepNext w:val="0"/>
        <w:keepLines w:val="0"/>
        <w:pageBreakBefore w:val="0"/>
        <w:widowControl w:val="0"/>
        <w:kinsoku/>
        <w:wordWrap/>
        <w:overflowPunct/>
        <w:topLinePunct w:val="0"/>
        <w:autoSpaceDE/>
        <w:autoSpaceDN/>
        <w:bidi w:val="0"/>
        <w:adjustRightInd/>
        <w:snapToGrid/>
        <w:spacing w:line="520" w:lineRule="exact"/>
        <w:jc w:val="both"/>
        <w:textAlignment w:val="auto"/>
        <w:rPr>
          <w:rFonts w:hint="eastAsia" w:ascii="黑体" w:hAnsi="黑体" w:eastAsia="黑体" w:cs="宋体"/>
          <w:kern w:val="0"/>
          <w:sz w:val="36"/>
          <w:szCs w:val="36"/>
          <w:lang w:val="en-US" w:eastAsia="zh-CN"/>
        </w:rPr>
        <w:sectPr>
          <w:pgSz w:w="11906" w:h="16838"/>
          <w:pgMar w:top="1440" w:right="1800" w:bottom="1440" w:left="1800" w:header="851" w:footer="992" w:gutter="0"/>
          <w:cols w:space="425" w:num="1"/>
          <w:docGrid w:type="lines" w:linePitch="312" w:charSpace="0"/>
        </w:sectPr>
      </w:pPr>
    </w:p>
    <w:p w14:paraId="4974BD03">
      <w:pPr>
        <w:keepNext w:val="0"/>
        <w:keepLines w:val="0"/>
        <w:pageBreakBefore w:val="0"/>
        <w:widowControl w:val="0"/>
        <w:kinsoku/>
        <w:wordWrap/>
        <w:overflowPunct/>
        <w:topLinePunct w:val="0"/>
        <w:autoSpaceDE/>
        <w:autoSpaceDN/>
        <w:bidi w:val="0"/>
        <w:adjustRightInd/>
        <w:snapToGrid/>
        <w:spacing w:line="520" w:lineRule="exact"/>
        <w:ind w:firstLine="6"/>
        <w:jc w:val="center"/>
        <w:textAlignment w:val="auto"/>
        <w:rPr>
          <w:rFonts w:hint="default" w:ascii="黑体" w:hAnsi="黑体" w:eastAsia="黑体" w:cs="宋体"/>
          <w:kern w:val="0"/>
          <w:sz w:val="36"/>
          <w:szCs w:val="36"/>
          <w:lang w:val="en-US" w:eastAsia="zh-CN"/>
        </w:rPr>
      </w:pPr>
      <w:r>
        <w:rPr>
          <w:rFonts w:hint="eastAsia" w:ascii="黑体" w:hAnsi="黑体" w:eastAsia="黑体" w:cs="宋体"/>
          <w:kern w:val="0"/>
          <w:sz w:val="36"/>
          <w:szCs w:val="36"/>
          <w:lang w:val="en-US" w:eastAsia="zh-CN"/>
        </w:rPr>
        <w:t>古树名木保护管理规范</w:t>
      </w:r>
    </w:p>
    <w:p w14:paraId="4FF109C1">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ascii="黑体" w:hAnsi="黑体" w:eastAsia="黑体" w:cs="宋体"/>
          <w:spacing w:val="20"/>
          <w:kern w:val="0"/>
          <w:sz w:val="36"/>
          <w:szCs w:val="36"/>
        </w:rPr>
      </w:pPr>
      <w:r>
        <w:rPr>
          <w:rFonts w:hint="eastAsia" w:ascii="黑体" w:hAnsi="黑体" w:eastAsia="黑体" w:cs="宋体"/>
          <w:spacing w:val="20"/>
          <w:kern w:val="0"/>
          <w:sz w:val="36"/>
          <w:szCs w:val="36"/>
        </w:rPr>
        <w:t>编制说明</w:t>
      </w:r>
    </w:p>
    <w:p w14:paraId="1D9436D6">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textAlignment w:val="auto"/>
        <w:rPr>
          <w:rFonts w:hint="eastAsia"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 xml:space="preserve">1 工作概况 </w:t>
      </w:r>
    </w:p>
    <w:p w14:paraId="00398E12">
      <w:pPr>
        <w:spacing w:line="560" w:lineRule="exact"/>
        <w:rPr>
          <w:rFonts w:ascii="Times New Roman" w:hAnsi="Times New Roman" w:eastAsia="宋体" w:cs="Times New Roman"/>
          <w:b/>
          <w:sz w:val="28"/>
          <w:szCs w:val="28"/>
        </w:rPr>
      </w:pPr>
      <w:r>
        <w:rPr>
          <w:rFonts w:hint="eastAsia" w:ascii="Times New Roman" w:hAnsi="Times New Roman" w:eastAsia="宋体" w:cs="Times New Roman"/>
          <w:b/>
          <w:sz w:val="28"/>
          <w:szCs w:val="28"/>
        </w:rPr>
        <w:t xml:space="preserve">1.1 任务来源 </w:t>
      </w:r>
    </w:p>
    <w:p w14:paraId="0302E95E">
      <w:pPr>
        <w:widowControl/>
        <w:spacing w:line="360" w:lineRule="auto"/>
        <w:ind w:firstLine="560" w:firstLineChars="200"/>
        <w:rPr>
          <w:rFonts w:hint="eastAsia" w:ascii="宋体" w:hAnsi="宋体" w:eastAsia="宋体" w:cs="宋体"/>
          <w:color w:val="000000"/>
          <w:kern w:val="0"/>
          <w:sz w:val="28"/>
          <w:szCs w:val="28"/>
          <w:lang w:bidi="ar"/>
        </w:rPr>
      </w:pPr>
      <w:r>
        <w:rPr>
          <w:rFonts w:hint="eastAsia" w:ascii="宋体" w:hAnsi="宋体" w:eastAsia="宋体" w:cs="宋体"/>
          <w:color w:val="000000"/>
          <w:kern w:val="0"/>
          <w:sz w:val="28"/>
          <w:szCs w:val="28"/>
          <w:lang w:bidi="ar"/>
        </w:rPr>
        <w:t>根据《陕西省市场监督管理局关于下达202</w:t>
      </w:r>
      <w:r>
        <w:rPr>
          <w:rFonts w:hint="eastAsia" w:ascii="宋体" w:hAnsi="宋体" w:eastAsia="宋体" w:cs="宋体"/>
          <w:color w:val="000000"/>
          <w:kern w:val="0"/>
          <w:sz w:val="28"/>
          <w:szCs w:val="28"/>
          <w:lang w:val="en-US" w:eastAsia="zh-CN" w:bidi="ar"/>
        </w:rPr>
        <w:t>4</w:t>
      </w:r>
      <w:r>
        <w:rPr>
          <w:rFonts w:hint="eastAsia" w:ascii="宋体" w:hAnsi="宋体" w:eastAsia="宋体" w:cs="宋体"/>
          <w:color w:val="000000"/>
          <w:kern w:val="0"/>
          <w:sz w:val="28"/>
          <w:szCs w:val="28"/>
          <w:lang w:bidi="ar"/>
        </w:rPr>
        <w:t>年度</w:t>
      </w:r>
      <w:r>
        <w:rPr>
          <w:rFonts w:hint="eastAsia" w:ascii="宋体" w:hAnsi="宋体" w:eastAsia="宋体" w:cs="宋体"/>
          <w:color w:val="000000"/>
          <w:kern w:val="0"/>
          <w:sz w:val="28"/>
          <w:szCs w:val="28"/>
          <w:lang w:val="en-US" w:eastAsia="zh-CN" w:bidi="ar"/>
        </w:rPr>
        <w:t>第二批</w:t>
      </w:r>
      <w:r>
        <w:rPr>
          <w:rFonts w:hint="eastAsia" w:ascii="宋体" w:hAnsi="宋体" w:eastAsia="宋体" w:cs="宋体"/>
          <w:color w:val="000000"/>
          <w:kern w:val="0"/>
          <w:sz w:val="28"/>
          <w:szCs w:val="28"/>
          <w:lang w:bidi="ar"/>
        </w:rPr>
        <w:t>地方标准制修订项目计划的</w:t>
      </w:r>
      <w:r>
        <w:rPr>
          <w:rFonts w:hint="eastAsia" w:ascii="宋体" w:hAnsi="宋体" w:eastAsia="宋体" w:cs="宋体"/>
          <w:color w:val="000000"/>
          <w:kern w:val="0"/>
          <w:sz w:val="28"/>
          <w:szCs w:val="28"/>
          <w:lang w:val="en-US" w:eastAsia="zh-CN" w:bidi="ar"/>
        </w:rPr>
        <w:t>函</w:t>
      </w:r>
      <w:r>
        <w:rPr>
          <w:rFonts w:hint="eastAsia" w:ascii="宋体" w:hAnsi="宋体" w:eastAsia="宋体" w:cs="宋体"/>
          <w:color w:val="000000"/>
          <w:kern w:val="0"/>
          <w:sz w:val="28"/>
          <w:szCs w:val="28"/>
          <w:lang w:bidi="ar"/>
        </w:rPr>
        <w:t>》（陕市监函[202</w:t>
      </w:r>
      <w:r>
        <w:rPr>
          <w:rFonts w:hint="eastAsia" w:ascii="宋体" w:hAnsi="宋体" w:eastAsia="宋体" w:cs="宋体"/>
          <w:color w:val="000000"/>
          <w:kern w:val="0"/>
          <w:sz w:val="28"/>
          <w:szCs w:val="28"/>
          <w:lang w:val="en-US" w:eastAsia="zh-CN" w:bidi="ar"/>
        </w:rPr>
        <w:t>4</w:t>
      </w:r>
      <w:r>
        <w:rPr>
          <w:rFonts w:hint="eastAsia" w:ascii="宋体" w:hAnsi="宋体" w:eastAsia="宋体" w:cs="宋体"/>
          <w:color w:val="000000"/>
          <w:kern w:val="0"/>
          <w:sz w:val="28"/>
          <w:szCs w:val="28"/>
          <w:lang w:bidi="ar"/>
        </w:rPr>
        <w:t>]</w:t>
      </w:r>
      <w:r>
        <w:rPr>
          <w:rFonts w:hint="eastAsia" w:ascii="宋体" w:hAnsi="宋体" w:eastAsia="宋体" w:cs="宋体"/>
          <w:color w:val="000000"/>
          <w:kern w:val="0"/>
          <w:sz w:val="28"/>
          <w:szCs w:val="28"/>
          <w:lang w:val="en-US" w:eastAsia="zh-CN" w:bidi="ar"/>
        </w:rPr>
        <w:t>590</w:t>
      </w:r>
      <w:r>
        <w:rPr>
          <w:rFonts w:hint="eastAsia" w:ascii="宋体" w:hAnsi="宋体" w:eastAsia="宋体" w:cs="宋体"/>
          <w:color w:val="000000"/>
          <w:kern w:val="0"/>
          <w:sz w:val="28"/>
          <w:szCs w:val="28"/>
          <w:lang w:bidi="ar"/>
        </w:rPr>
        <w:t>号）文件，《</w:t>
      </w:r>
      <w:r>
        <w:rPr>
          <w:rFonts w:hint="eastAsia" w:ascii="宋体" w:hAnsi="宋体" w:eastAsia="宋体" w:cs="宋体"/>
          <w:color w:val="000000"/>
          <w:kern w:val="0"/>
          <w:sz w:val="28"/>
          <w:szCs w:val="28"/>
          <w:lang w:val="en-US" w:eastAsia="zh-CN" w:bidi="ar"/>
        </w:rPr>
        <w:t>古树名木保护管理规范</w:t>
      </w:r>
      <w:r>
        <w:rPr>
          <w:rFonts w:hint="eastAsia" w:ascii="宋体" w:hAnsi="宋体" w:eastAsia="宋体" w:cs="宋体"/>
          <w:color w:val="000000"/>
          <w:kern w:val="0"/>
          <w:sz w:val="28"/>
          <w:szCs w:val="28"/>
          <w:lang w:bidi="ar"/>
        </w:rPr>
        <w:t>》（项目编号：SDBXM269-2024），被列为202</w:t>
      </w:r>
      <w:r>
        <w:rPr>
          <w:rFonts w:hint="eastAsia" w:ascii="宋体" w:hAnsi="宋体" w:eastAsia="宋体" w:cs="宋体"/>
          <w:color w:val="000000"/>
          <w:kern w:val="0"/>
          <w:sz w:val="28"/>
          <w:szCs w:val="28"/>
          <w:lang w:val="en-US" w:eastAsia="zh-CN" w:bidi="ar"/>
        </w:rPr>
        <w:t>4</w:t>
      </w:r>
      <w:r>
        <w:rPr>
          <w:rFonts w:hint="eastAsia" w:ascii="宋体" w:hAnsi="宋体" w:eastAsia="宋体" w:cs="宋体"/>
          <w:color w:val="000000"/>
          <w:kern w:val="0"/>
          <w:sz w:val="28"/>
          <w:szCs w:val="28"/>
          <w:lang w:bidi="ar"/>
        </w:rPr>
        <w:t>年陕西省地方标准制定计划。本标准为推荐性陕西省地方标准，规范制定工作由陕西省林业局提出，陕西省林业科学院、安康市林业技术推广中心联合申报，并共同编制完成。</w:t>
      </w:r>
    </w:p>
    <w:p w14:paraId="7ECCB742">
      <w:pPr>
        <w:spacing w:line="560" w:lineRule="exact"/>
        <w:rPr>
          <w:rFonts w:hint="eastAsia" w:ascii="Times New Roman" w:hAnsi="Times New Roman" w:eastAsia="宋体" w:cs="Times New Roman"/>
          <w:b/>
          <w:sz w:val="28"/>
          <w:szCs w:val="28"/>
        </w:rPr>
      </w:pPr>
      <w:r>
        <w:rPr>
          <w:rFonts w:hint="eastAsia" w:ascii="Times New Roman" w:hAnsi="Times New Roman" w:eastAsia="宋体" w:cs="Times New Roman"/>
          <w:b/>
          <w:sz w:val="28"/>
          <w:szCs w:val="28"/>
        </w:rPr>
        <w:t>1.2 标准的制定目的与意义</w:t>
      </w:r>
    </w:p>
    <w:p w14:paraId="5028508C">
      <w:pPr>
        <w:widowControl/>
        <w:spacing w:line="360" w:lineRule="auto"/>
        <w:ind w:firstLine="560" w:firstLineChars="200"/>
        <w:rPr>
          <w:rFonts w:hint="eastAsia" w:ascii="宋体" w:hAnsi="宋体" w:eastAsia="宋体" w:cs="宋体"/>
          <w:color w:val="000000"/>
          <w:kern w:val="0"/>
          <w:sz w:val="28"/>
          <w:szCs w:val="28"/>
          <w:lang w:val="en-US" w:eastAsia="zh-CN" w:bidi="ar"/>
        </w:rPr>
      </w:pPr>
      <w:bookmarkStart w:id="0" w:name="OLE_LINK5"/>
      <w:bookmarkStart w:id="1" w:name="OLE_LINK6"/>
      <w:r>
        <w:rPr>
          <w:rFonts w:hint="eastAsia" w:ascii="宋体" w:hAnsi="宋体" w:eastAsia="宋体" w:cs="宋体"/>
          <w:color w:val="000000"/>
          <w:kern w:val="0"/>
          <w:sz w:val="28"/>
          <w:szCs w:val="28"/>
          <w:lang w:val="en-US" w:eastAsia="zh-CN" w:bidi="ar"/>
        </w:rPr>
        <w:t>古树名木既是重要的自然资源，也是人类的宝贵财富</w:t>
      </w:r>
      <w:bookmarkEnd w:id="0"/>
      <w:bookmarkEnd w:id="1"/>
      <w:r>
        <w:rPr>
          <w:rFonts w:hint="eastAsia" w:ascii="宋体" w:hAnsi="宋体" w:eastAsia="宋体" w:cs="宋体"/>
          <w:color w:val="000000"/>
          <w:kern w:val="0"/>
          <w:sz w:val="28"/>
          <w:szCs w:val="28"/>
          <w:lang w:val="en-US" w:eastAsia="zh-CN" w:bidi="ar"/>
        </w:rPr>
        <w:t>，延续着优质的长寿生物基因，是十分重要的物种资源、景观资源和生态资源。古树名木是绿色珍宝，是弘扬生态文明理念，推进生态文明建设的重要载体。陕西地理条件优越，气候独特，人文历史悠久，分布有较多的珍稀古树名木，</w:t>
      </w:r>
      <w:r>
        <w:rPr>
          <w:rFonts w:hint="eastAsia" w:ascii="宋体" w:hAnsi="宋体" w:eastAsia="宋体" w:cs="宋体"/>
          <w:color w:val="000000"/>
          <w:kern w:val="0"/>
          <w:sz w:val="28"/>
          <w:szCs w:val="28"/>
          <w:lang w:bidi="ar"/>
        </w:rPr>
        <w:t>根据2022年9月全国绿化委员会公布的第二次全国古树名木资源普查结果数据，陕西省登记古树名木727297株，位居全国第二。全国仅有5株5000年以上的古树，均分布在陕西省</w:t>
      </w:r>
      <w:r>
        <w:rPr>
          <w:rFonts w:hint="eastAsia" w:ascii="宋体" w:hAnsi="宋体" w:eastAsia="宋体" w:cs="宋体"/>
          <w:color w:val="000000"/>
          <w:kern w:val="0"/>
          <w:sz w:val="28"/>
          <w:szCs w:val="28"/>
          <w:lang w:val="en-US" w:eastAsia="zh-CN" w:bidi="ar"/>
        </w:rPr>
        <w:t>内。由于多种原因，古树名木的生存环境受到多种不利因素的影响，生长状况不容乐观；涉及古树名木保护的内容不够具体，指导性不强；其他省市虽然有颁布古树名木保护等方面的技术规范，但由于树种、地理及气候、病虫害种类、存在问题等差异较大，仅可作为参考。为了对陕西省古树名木及其后续资源实行保护与规范管理，使古树名木得到及时、科学、有效的保护，为古树名木保护、管养等单位提供一个科学、合理的技术参考依据，特制定本规范。</w:t>
      </w:r>
    </w:p>
    <w:p w14:paraId="68F53FCE">
      <w:pPr>
        <w:widowControl/>
        <w:spacing w:line="360" w:lineRule="auto"/>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制定</w:t>
      </w:r>
      <w:r>
        <w:rPr>
          <w:rFonts w:hint="eastAsia" w:ascii="宋体" w:hAnsi="宋体" w:eastAsia="宋体" w:cs="宋体"/>
          <w:color w:val="000000"/>
          <w:kern w:val="0"/>
          <w:sz w:val="28"/>
          <w:szCs w:val="28"/>
          <w:lang w:bidi="ar"/>
        </w:rPr>
        <w:t>《</w:t>
      </w:r>
      <w:r>
        <w:rPr>
          <w:rFonts w:hint="eastAsia" w:ascii="宋体" w:hAnsi="宋体" w:eastAsia="宋体" w:cs="宋体"/>
          <w:color w:val="000000"/>
          <w:kern w:val="0"/>
          <w:sz w:val="28"/>
          <w:szCs w:val="28"/>
          <w:lang w:val="en-US" w:eastAsia="zh-CN" w:bidi="ar"/>
        </w:rPr>
        <w:t>古树名木保护管理规范</w:t>
      </w:r>
      <w:r>
        <w:rPr>
          <w:rFonts w:hint="eastAsia" w:ascii="宋体" w:hAnsi="宋体" w:eastAsia="宋体" w:cs="宋体"/>
          <w:color w:val="000000"/>
          <w:kern w:val="0"/>
          <w:sz w:val="28"/>
          <w:szCs w:val="28"/>
          <w:lang w:bidi="ar"/>
        </w:rPr>
        <w:t>》</w:t>
      </w:r>
      <w:r>
        <w:rPr>
          <w:rFonts w:hint="eastAsia" w:ascii="宋体" w:hAnsi="宋体" w:eastAsia="宋体" w:cs="宋体"/>
          <w:color w:val="000000"/>
          <w:kern w:val="0"/>
          <w:sz w:val="28"/>
          <w:szCs w:val="28"/>
          <w:lang w:val="en-US" w:eastAsia="zh-CN" w:bidi="ar"/>
        </w:rPr>
        <w:t>对于规范保护技术、提高管理效果、保护古树安全、促进技术普及、减少经济损失、维护生态平衡具有重要意义，具体体现在以下几个方面：</w:t>
      </w:r>
    </w:p>
    <w:p w14:paraId="7ADEF0BD">
      <w:pPr>
        <w:widowControl/>
        <w:numPr>
          <w:ilvl w:val="0"/>
          <w:numId w:val="0"/>
        </w:numPr>
        <w:spacing w:line="360" w:lineRule="auto"/>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（1）规范保护技术</w:t>
      </w:r>
    </w:p>
    <w:p w14:paraId="4F477355">
      <w:pPr>
        <w:widowControl/>
        <w:spacing w:line="360" w:lineRule="auto"/>
        <w:ind w:firstLine="560" w:firstLineChars="200"/>
        <w:rPr>
          <w:rFonts w:hint="eastAsia" w:ascii="宋体" w:hAnsi="宋体" w:eastAsia="宋体" w:cs="宋体"/>
          <w:color w:val="000000"/>
          <w:kern w:val="0"/>
          <w:sz w:val="28"/>
          <w:szCs w:val="28"/>
          <w:lang w:val="en-US" w:eastAsia="zh-CN" w:bidi="ar"/>
        </w:rPr>
      </w:pPr>
      <w:r>
        <w:rPr>
          <w:rFonts w:hint="default" w:ascii="宋体" w:hAnsi="宋体" w:eastAsia="宋体" w:cs="宋体"/>
          <w:color w:val="000000"/>
          <w:kern w:val="0"/>
          <w:sz w:val="28"/>
          <w:szCs w:val="28"/>
          <w:lang w:val="en-US" w:eastAsia="zh-CN" w:bidi="ar"/>
        </w:rPr>
        <w:t>通过制定详细的管理规范，可以确保各地在古树名木的保护工作中采用统一的技术标准和操作程序，避免因地域差异或知识不足导致的保护不当。规范中包含最新的科研成果和实践经验，推广科学有效的保护方法，从而提高保护工作的专业性和有效性。</w:t>
      </w:r>
    </w:p>
    <w:p w14:paraId="1FD69F7B">
      <w:pPr>
        <w:widowControl/>
        <w:spacing w:line="360" w:lineRule="auto"/>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（2）提高管理效果</w:t>
      </w:r>
    </w:p>
    <w:p w14:paraId="2FD722FA">
      <w:pPr>
        <w:widowControl/>
        <w:spacing w:line="360" w:lineRule="auto"/>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古树名木保护管理</w:t>
      </w:r>
      <w:r>
        <w:rPr>
          <w:rFonts w:hint="default" w:ascii="宋体" w:hAnsi="宋体" w:eastAsia="宋体" w:cs="宋体"/>
          <w:color w:val="000000"/>
          <w:kern w:val="0"/>
          <w:sz w:val="28"/>
          <w:szCs w:val="28"/>
          <w:lang w:val="en-US" w:eastAsia="zh-CN" w:bidi="ar"/>
        </w:rPr>
        <w:t>规范规定了古树名木的认定、登记、建档、监测、保护、复壮、巡查、应急处置等各个环节的标准化流程，提高了</w:t>
      </w:r>
      <w:r>
        <w:rPr>
          <w:rFonts w:hint="eastAsia" w:ascii="宋体" w:hAnsi="宋体" w:eastAsia="宋体" w:cs="宋体"/>
          <w:color w:val="000000"/>
          <w:kern w:val="0"/>
          <w:sz w:val="28"/>
          <w:szCs w:val="28"/>
          <w:lang w:val="en-US" w:eastAsia="zh-CN" w:bidi="ar"/>
        </w:rPr>
        <w:t>林业管理部门及古树名木管护单位的</w:t>
      </w:r>
      <w:r>
        <w:rPr>
          <w:rFonts w:hint="default" w:ascii="宋体" w:hAnsi="宋体" w:eastAsia="宋体" w:cs="宋体"/>
          <w:color w:val="000000"/>
          <w:kern w:val="0"/>
          <w:sz w:val="28"/>
          <w:szCs w:val="28"/>
          <w:lang w:val="en-US" w:eastAsia="zh-CN" w:bidi="ar"/>
        </w:rPr>
        <w:t>管理效率</w:t>
      </w:r>
      <w:r>
        <w:rPr>
          <w:rFonts w:hint="eastAsia" w:ascii="宋体" w:hAnsi="宋体" w:eastAsia="宋体" w:cs="宋体"/>
          <w:color w:val="000000"/>
          <w:kern w:val="0"/>
          <w:sz w:val="28"/>
          <w:szCs w:val="28"/>
          <w:lang w:val="en-US" w:eastAsia="zh-CN" w:bidi="ar"/>
        </w:rPr>
        <w:t>。</w:t>
      </w:r>
    </w:p>
    <w:p w14:paraId="7BB7F57B">
      <w:pPr>
        <w:widowControl/>
        <w:spacing w:line="360" w:lineRule="auto"/>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（3）保护古树安全</w:t>
      </w:r>
    </w:p>
    <w:p w14:paraId="07D43D7C">
      <w:pPr>
        <w:widowControl/>
        <w:spacing w:line="360" w:lineRule="auto"/>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通过古树名木保护管理规范的实施，可以</w:t>
      </w:r>
      <w:r>
        <w:rPr>
          <w:rFonts w:hint="default" w:ascii="宋体" w:hAnsi="宋体" w:eastAsia="宋体" w:cs="宋体"/>
          <w:color w:val="000000"/>
          <w:kern w:val="0"/>
          <w:sz w:val="28"/>
          <w:szCs w:val="28"/>
          <w:lang w:val="en-US" w:eastAsia="zh-CN" w:bidi="ar"/>
        </w:rPr>
        <w:t>对</w:t>
      </w:r>
      <w:r>
        <w:rPr>
          <w:rFonts w:hint="eastAsia" w:ascii="宋体" w:hAnsi="宋体" w:eastAsia="宋体" w:cs="宋体"/>
          <w:color w:val="000000"/>
          <w:kern w:val="0"/>
          <w:sz w:val="28"/>
          <w:szCs w:val="28"/>
          <w:lang w:val="en-US" w:eastAsia="zh-CN" w:bidi="ar"/>
        </w:rPr>
        <w:t>古树自身伤病、</w:t>
      </w:r>
      <w:r>
        <w:rPr>
          <w:rFonts w:hint="default" w:ascii="宋体" w:hAnsi="宋体" w:eastAsia="宋体" w:cs="宋体"/>
          <w:color w:val="000000"/>
          <w:kern w:val="0"/>
          <w:sz w:val="28"/>
          <w:szCs w:val="28"/>
          <w:lang w:val="en-US" w:eastAsia="zh-CN" w:bidi="ar"/>
        </w:rPr>
        <w:t>自然灾害、人为破坏等潜在威胁，</w:t>
      </w:r>
      <w:r>
        <w:rPr>
          <w:rFonts w:hint="eastAsia" w:ascii="宋体" w:hAnsi="宋体" w:eastAsia="宋体" w:cs="宋体"/>
          <w:color w:val="000000"/>
          <w:kern w:val="0"/>
          <w:sz w:val="28"/>
          <w:szCs w:val="28"/>
          <w:lang w:val="en-US" w:eastAsia="zh-CN" w:bidi="ar"/>
        </w:rPr>
        <w:t>采取对应的</w:t>
      </w:r>
      <w:r>
        <w:rPr>
          <w:rFonts w:hint="default" w:ascii="宋体" w:hAnsi="宋体" w:eastAsia="宋体" w:cs="宋体"/>
          <w:color w:val="000000"/>
          <w:kern w:val="0"/>
          <w:sz w:val="28"/>
          <w:szCs w:val="28"/>
          <w:lang w:val="en-US" w:eastAsia="zh-CN" w:bidi="ar"/>
        </w:rPr>
        <w:t>预防措施和应急预案，减少古树名木受损的风险。</w:t>
      </w:r>
    </w:p>
    <w:p w14:paraId="2ADA22CA">
      <w:pPr>
        <w:widowControl/>
        <w:spacing w:line="360" w:lineRule="auto"/>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（4）促进技术普及</w:t>
      </w:r>
    </w:p>
    <w:p w14:paraId="790120BD">
      <w:pPr>
        <w:pStyle w:val="2"/>
        <w:numPr>
          <w:ilvl w:val="0"/>
          <w:numId w:val="0"/>
        </w:numPr>
        <w:ind w:firstLine="560" w:firstLineChars="200"/>
        <w:rPr>
          <w:rFonts w:hint="default"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规范的发布和实施，有助于将先进的保护管理技术普及到基层林业单位和个人，提高他们对古树名木保护的认识和能力。</w:t>
      </w:r>
    </w:p>
    <w:p w14:paraId="551F7153">
      <w:pPr>
        <w:numPr>
          <w:ilvl w:val="0"/>
          <w:numId w:val="0"/>
        </w:numPr>
        <w:ind w:left="0" w:leftChars="0"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（5）减少经济损失</w:t>
      </w:r>
    </w:p>
    <w:p w14:paraId="3FB76AFC">
      <w:pPr>
        <w:widowControl/>
        <w:spacing w:line="360" w:lineRule="auto"/>
        <w:ind w:firstLine="560" w:firstLineChars="200"/>
        <w:rPr>
          <w:rFonts w:hint="eastAsia" w:ascii="宋体" w:hAnsi="宋体" w:eastAsia="宋体" w:cs="宋体"/>
          <w:color w:val="000000"/>
          <w:kern w:val="0"/>
          <w:sz w:val="28"/>
          <w:szCs w:val="28"/>
          <w:lang w:val="en-US" w:eastAsia="zh-CN" w:bidi="ar"/>
        </w:rPr>
      </w:pPr>
      <w:r>
        <w:rPr>
          <w:rFonts w:hint="default" w:ascii="宋体" w:hAnsi="宋体" w:eastAsia="宋体" w:cs="宋体"/>
          <w:color w:val="000000"/>
          <w:kern w:val="0"/>
          <w:sz w:val="28"/>
          <w:szCs w:val="28"/>
          <w:lang w:val="en-US" w:eastAsia="zh-CN" w:bidi="ar"/>
        </w:rPr>
        <w:t>规范的实施有助于维护</w:t>
      </w:r>
      <w:r>
        <w:rPr>
          <w:rFonts w:hint="eastAsia" w:ascii="宋体" w:hAnsi="宋体" w:eastAsia="宋体" w:cs="宋体"/>
          <w:color w:val="000000"/>
          <w:kern w:val="0"/>
          <w:sz w:val="28"/>
          <w:szCs w:val="28"/>
          <w:lang w:val="en-US" w:eastAsia="zh-CN" w:bidi="ar"/>
        </w:rPr>
        <w:t>古树名木</w:t>
      </w:r>
      <w:r>
        <w:rPr>
          <w:rFonts w:hint="default" w:ascii="宋体" w:hAnsi="宋体" w:eastAsia="宋体" w:cs="宋体"/>
          <w:color w:val="000000"/>
          <w:kern w:val="0"/>
          <w:sz w:val="28"/>
          <w:szCs w:val="28"/>
          <w:lang w:val="en-US" w:eastAsia="zh-CN" w:bidi="ar"/>
        </w:rPr>
        <w:t>资源的长期价值。通过科学管理和有效预防，可以减少因病虫害爆发、树木倒伏等导致的紧急处理费用，长远来看能显著降低保护成本</w:t>
      </w:r>
      <w:r>
        <w:rPr>
          <w:rFonts w:hint="eastAsia" w:ascii="宋体" w:hAnsi="宋体" w:eastAsia="宋体" w:cs="宋体"/>
          <w:color w:val="000000"/>
          <w:kern w:val="0"/>
          <w:sz w:val="28"/>
          <w:szCs w:val="28"/>
          <w:lang w:val="en-US" w:eastAsia="zh-CN" w:bidi="ar"/>
        </w:rPr>
        <w:t>。</w:t>
      </w:r>
    </w:p>
    <w:p w14:paraId="6DD33D45">
      <w:pPr>
        <w:pStyle w:val="2"/>
        <w:numPr>
          <w:ilvl w:val="0"/>
          <w:numId w:val="2"/>
        </w:numPr>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维护生态平衡</w:t>
      </w:r>
    </w:p>
    <w:p w14:paraId="1805D2D2">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6" w:lineRule="atLeast"/>
        <w:ind w:right="0" w:firstLine="560" w:firstLineChars="200"/>
        <w:rPr>
          <w:rFonts w:hint="default"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古树名木在生态系统中扮演着重要的角色，</w:t>
      </w:r>
      <w:r>
        <w:rPr>
          <w:rFonts w:hint="default" w:ascii="宋体" w:hAnsi="宋体" w:eastAsia="宋体" w:cs="宋体"/>
          <w:color w:val="000000"/>
          <w:kern w:val="0"/>
          <w:sz w:val="28"/>
          <w:szCs w:val="28"/>
          <w:lang w:val="en-US" w:eastAsia="zh-CN" w:bidi="ar"/>
        </w:rPr>
        <w:t>它们能够稳定土壤、净化空气、提供生物栖息地等。规范的制定有助于维护这些树木的健康状态，进而保护整个生态系统的平衡和稳定。</w:t>
      </w:r>
    </w:p>
    <w:p w14:paraId="0637A30E">
      <w:pPr>
        <w:spacing w:line="560" w:lineRule="exact"/>
        <w:rPr>
          <w:rFonts w:hint="eastAsia" w:ascii="Times New Roman" w:hAnsi="Times New Roman" w:eastAsia="宋体" w:cs="Times New Roman"/>
          <w:b/>
          <w:sz w:val="28"/>
          <w:szCs w:val="28"/>
          <w:lang w:val="en-US" w:eastAsia="zh-CN"/>
        </w:rPr>
      </w:pPr>
      <w:r>
        <w:rPr>
          <w:rFonts w:hint="default" w:ascii="Times New Roman" w:hAnsi="Times New Roman" w:eastAsia="宋体" w:cs="Times New Roman"/>
          <w:b/>
          <w:sz w:val="28"/>
          <w:szCs w:val="28"/>
          <w:lang w:val="en-US" w:eastAsia="zh-CN"/>
        </w:rPr>
        <w:t>1.</w:t>
      </w:r>
      <w:r>
        <w:rPr>
          <w:rFonts w:hint="eastAsia" w:ascii="Times New Roman" w:hAnsi="Times New Roman" w:eastAsia="宋体" w:cs="Times New Roman"/>
          <w:b/>
          <w:sz w:val="28"/>
          <w:szCs w:val="28"/>
          <w:lang w:val="en-US" w:eastAsia="zh-CN"/>
        </w:rPr>
        <w:t>3主导单位</w:t>
      </w:r>
    </w:p>
    <w:p w14:paraId="571D1C71">
      <w:pPr>
        <w:pStyle w:val="2"/>
        <w:ind w:left="0" w:leftChars="0" w:firstLine="560" w:firstLineChars="200"/>
        <w:rPr>
          <w:rFonts w:hint="eastAsia" w:ascii="Times New Roman" w:hAnsi="Times New Roman" w:eastAsia="宋体" w:cs="Times New Roman"/>
          <w:b/>
          <w:kern w:val="2"/>
          <w:sz w:val="28"/>
          <w:szCs w:val="28"/>
          <w:lang w:val="en-US" w:eastAsia="zh-CN" w:bidi="ar-SA"/>
        </w:rPr>
      </w:pPr>
      <w:r>
        <w:rPr>
          <w:rFonts w:hint="eastAsia" w:ascii="Times New Roman" w:hAnsi="Times New Roman" w:eastAsia="宋体" w:cs="Times New Roman"/>
          <w:sz w:val="28"/>
          <w:szCs w:val="32"/>
        </w:rPr>
        <w:t>本</w:t>
      </w:r>
      <w:r>
        <w:rPr>
          <w:rFonts w:hint="eastAsia" w:ascii="Times New Roman" w:hAnsi="Times New Roman" w:eastAsia="宋体" w:cs="Times New Roman"/>
          <w:sz w:val="28"/>
          <w:szCs w:val="32"/>
          <w:lang w:val="en-US" w:eastAsia="zh-CN"/>
        </w:rPr>
        <w:t>规范</w:t>
      </w:r>
      <w:r>
        <w:rPr>
          <w:rFonts w:hint="eastAsia" w:ascii="Times New Roman" w:hAnsi="Times New Roman" w:eastAsia="宋体" w:cs="Times New Roman"/>
          <w:sz w:val="28"/>
          <w:szCs w:val="32"/>
        </w:rPr>
        <w:t>由陕西省林业科学院承担实施，我院是专门从事林木良种繁育、林业生态治理、荒漠化治理、林业技术研究和推广应用单位。以林业基础研究与应用研究为主的多学科、综合性科研机构，具有林学、生态、治沙、水保、地理、土壤、园艺、森保等专业学科的各类技术人员</w:t>
      </w:r>
      <w:r>
        <w:rPr>
          <w:rFonts w:hint="eastAsia" w:ascii="Times New Roman" w:hAnsi="Times New Roman" w:eastAsia="宋体" w:cs="Times New Roman"/>
          <w:sz w:val="28"/>
          <w:szCs w:val="32"/>
          <w:lang w:eastAsia="zh-CN"/>
        </w:rPr>
        <w:t>。</w:t>
      </w:r>
    </w:p>
    <w:p w14:paraId="355CE29C">
      <w:pPr>
        <w:pStyle w:val="2"/>
        <w:ind w:left="0" w:leftChars="0" w:firstLine="560" w:firstLineChars="200"/>
        <w:rPr>
          <w:rFonts w:hint="default" w:ascii="宋体" w:hAnsi="宋体" w:eastAsia="宋体" w:cs="宋体"/>
          <w:color w:val="000000"/>
          <w:kern w:val="0"/>
          <w:sz w:val="28"/>
          <w:szCs w:val="28"/>
          <w:lang w:val="en-US" w:eastAsia="zh-CN" w:bidi="ar"/>
        </w:rPr>
      </w:pPr>
      <w:r>
        <w:rPr>
          <w:rFonts w:hint="eastAsia" w:ascii="宋体" w:hAnsi="宋体" w:eastAsia="宋体" w:cs="宋体"/>
          <w:color w:val="000000" w:themeColor="text1"/>
          <w:kern w:val="0"/>
          <w:sz w:val="28"/>
          <w:szCs w:val="28"/>
          <w:lang w:val="en-US" w:eastAsia="zh-CN" w:bidi="ar"/>
          <w14:textFill>
            <w14:solidFill>
              <w14:schemeClr w14:val="tx1"/>
            </w14:solidFill>
          </w14:textFill>
        </w:rPr>
        <w:t>我院古树名木保护研究创新团队成立于2021年，现有各专业技术骨干15名，其中高级及以上职称4名、中级职称6名，包含3名博士、5名硕士，</w:t>
      </w:r>
      <w:r>
        <w:rPr>
          <w:rFonts w:hint="eastAsia" w:ascii="宋体" w:hAnsi="宋体" w:eastAsia="宋体" w:cs="宋体"/>
          <w:color w:val="000000"/>
          <w:kern w:val="0"/>
          <w:sz w:val="28"/>
          <w:szCs w:val="28"/>
          <w:lang w:val="en-US" w:eastAsia="zh-CN" w:bidi="ar"/>
        </w:rPr>
        <w:t>人员结构合理，近年来围绕古树名木监测评估、健康诊断、伤病修复、救护复壮、修复材料开发等做了大量开创性的工作。研制的树洞填充材料和伤病修复防腐材料在北京、四川、陕西等省市应用效果良好。迄今为止，团队已在全国10个省30多个市区开展古树伤病诊断、救护复壮等各类工作100余项，目前已申请发明专利3项、实用新型专利5项（已获批1项）、计算机软件著作9项(已获批8项)，编著出版了国内第一部系统、全面、实用的古树保护工具书《古树名木保护与管理》。本标准编写组在团队前期调查诊断、救护复壮、修复材料开发等科学研究和实践的基础上，系统总结了陕西省古树名木保护管理中的关键技术，并将该技术汇编成古树名木保护管理规范，以指导我省古树名木的保护管理工作。</w:t>
      </w:r>
    </w:p>
    <w:p w14:paraId="6B9EA2AF">
      <w:pPr>
        <w:spacing w:line="560" w:lineRule="exact"/>
        <w:rPr>
          <w:rFonts w:hint="eastAsia"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1.4 主要工作过程</w:t>
      </w:r>
    </w:p>
    <w:p w14:paraId="46E6712A">
      <w:pPr>
        <w:pStyle w:val="12"/>
        <w:spacing w:line="360" w:lineRule="auto"/>
        <w:ind w:firstLine="560"/>
        <w:rPr>
          <w:rFonts w:ascii="Times New Roman" w:hAnsi="Times New Roman" w:eastAsia="宋体" w:cs="Times New Roman"/>
          <w:color w:val="auto"/>
          <w:sz w:val="28"/>
          <w:szCs w:val="32"/>
        </w:rPr>
      </w:pPr>
      <w:r>
        <w:rPr>
          <w:rFonts w:ascii="Times New Roman" w:hAnsi="Times New Roman" w:eastAsia="宋体" w:cs="Times New Roman"/>
          <w:sz w:val="28"/>
          <w:szCs w:val="32"/>
        </w:rPr>
        <w:t>本标准计划下达后，编写组认真制定实施方案，收集、查阅并整理了</w:t>
      </w:r>
      <w:r>
        <w:rPr>
          <w:rFonts w:hint="eastAsia" w:ascii="Times New Roman" w:hAnsi="Times New Roman" w:eastAsia="宋体" w:cs="Times New Roman"/>
          <w:sz w:val="28"/>
          <w:szCs w:val="32"/>
          <w:lang w:val="en-US" w:eastAsia="zh-CN"/>
        </w:rPr>
        <w:t>古树名木保护管理</w:t>
      </w:r>
      <w:r>
        <w:rPr>
          <w:rFonts w:ascii="Times New Roman" w:hAnsi="Times New Roman" w:eastAsia="宋体" w:cs="Times New Roman"/>
          <w:sz w:val="28"/>
          <w:szCs w:val="32"/>
        </w:rPr>
        <w:t>的资料，结合</w:t>
      </w:r>
      <w:r>
        <w:rPr>
          <w:rFonts w:hint="eastAsia" w:ascii="Times New Roman" w:hAnsi="Times New Roman" w:eastAsia="宋体" w:cs="Times New Roman"/>
          <w:sz w:val="28"/>
          <w:szCs w:val="32"/>
        </w:rPr>
        <w:t>近几年“</w:t>
      </w:r>
      <w:r>
        <w:rPr>
          <w:rFonts w:hint="eastAsia" w:ascii="Times New Roman" w:hAnsi="Times New Roman" w:eastAsia="宋体" w:cs="Times New Roman"/>
          <w:sz w:val="28"/>
          <w:szCs w:val="32"/>
          <w:lang w:val="en-US" w:eastAsia="zh-CN"/>
        </w:rPr>
        <w:t>古树根系再生与枝段无性扦插繁育及伤病治理技术研究及应用</w:t>
      </w:r>
      <w:r>
        <w:rPr>
          <w:rFonts w:hint="eastAsia" w:ascii="Times New Roman" w:hAnsi="Times New Roman" w:eastAsia="宋体" w:cs="Times New Roman"/>
          <w:sz w:val="28"/>
          <w:szCs w:val="32"/>
        </w:rPr>
        <w:t>”、“</w:t>
      </w:r>
      <w:r>
        <w:rPr>
          <w:rFonts w:hint="eastAsia" w:ascii="Times New Roman" w:hAnsi="Times New Roman" w:eastAsia="宋体" w:cs="Times New Roman"/>
          <w:sz w:val="28"/>
          <w:szCs w:val="32"/>
          <w:lang w:val="en-US" w:eastAsia="zh-CN"/>
        </w:rPr>
        <w:t>陕西古树保护综合管理技术规范研究</w:t>
      </w:r>
      <w:r>
        <w:rPr>
          <w:rFonts w:hint="eastAsia" w:ascii="Times New Roman" w:hAnsi="Times New Roman" w:eastAsia="宋体" w:cs="Times New Roman"/>
          <w:sz w:val="28"/>
          <w:szCs w:val="32"/>
        </w:rPr>
        <w:t>”、“</w:t>
      </w:r>
      <w:r>
        <w:rPr>
          <w:rFonts w:hint="eastAsia" w:ascii="Times New Roman" w:hAnsi="Times New Roman" w:eastAsia="宋体" w:cs="Times New Roman"/>
          <w:sz w:val="28"/>
          <w:szCs w:val="32"/>
          <w:lang w:val="en-US" w:eastAsia="zh-CN"/>
        </w:rPr>
        <w:t>古树名木保护研究创新团队</w:t>
      </w:r>
      <w:r>
        <w:rPr>
          <w:rFonts w:hint="eastAsia" w:ascii="Times New Roman" w:hAnsi="Times New Roman" w:eastAsia="宋体" w:cs="Times New Roman"/>
          <w:sz w:val="28"/>
          <w:szCs w:val="32"/>
        </w:rPr>
        <w:t>”</w:t>
      </w:r>
      <w:r>
        <w:rPr>
          <w:rFonts w:ascii="Times New Roman" w:hAnsi="Times New Roman" w:eastAsia="宋体" w:cs="Times New Roman"/>
          <w:sz w:val="28"/>
          <w:szCs w:val="32"/>
        </w:rPr>
        <w:t>等项目中相关内容，先后组织标准起草组人员学习了陕西省市场监督管理局地方技术标</w:t>
      </w:r>
      <w:r>
        <w:rPr>
          <w:rFonts w:ascii="Times New Roman" w:hAnsi="Times New Roman" w:eastAsia="宋体" w:cs="Times New Roman"/>
          <w:color w:val="auto"/>
          <w:sz w:val="28"/>
          <w:szCs w:val="32"/>
        </w:rPr>
        <w:t>准编写要求内容，</w:t>
      </w:r>
      <w:r>
        <w:rPr>
          <w:rFonts w:hint="eastAsia" w:ascii="Times New Roman" w:hAnsi="Times New Roman" w:eastAsia="宋体" w:cs="Times New Roman"/>
          <w:color w:val="auto"/>
          <w:sz w:val="28"/>
          <w:szCs w:val="32"/>
          <w:lang w:val="en-US" w:eastAsia="zh-CN"/>
        </w:rPr>
        <w:t>并参加2024年</w:t>
      </w:r>
      <w:r>
        <w:rPr>
          <w:rFonts w:hint="eastAsia" w:ascii="Times New Roman" w:hAnsi="Times New Roman" w:eastAsia="宋体" w:cs="Times New Roman"/>
          <w:color w:val="auto"/>
          <w:sz w:val="28"/>
          <w:szCs w:val="32"/>
        </w:rPr>
        <w:t>省级地方标准起草人员培训班</w:t>
      </w:r>
      <w:r>
        <w:rPr>
          <w:rFonts w:hint="eastAsia" w:ascii="Times New Roman" w:hAnsi="Times New Roman" w:eastAsia="宋体" w:cs="Times New Roman"/>
          <w:color w:val="auto"/>
          <w:sz w:val="28"/>
          <w:szCs w:val="32"/>
          <w:lang w:eastAsia="zh-CN"/>
        </w:rPr>
        <w:t>，</w:t>
      </w:r>
      <w:r>
        <w:rPr>
          <w:rFonts w:ascii="Times New Roman" w:hAnsi="Times New Roman" w:eastAsia="宋体" w:cs="Times New Roman"/>
          <w:color w:val="auto"/>
          <w:sz w:val="28"/>
          <w:szCs w:val="32"/>
        </w:rPr>
        <w:t>为本标准的编制奠定了</w:t>
      </w:r>
      <w:r>
        <w:rPr>
          <w:rFonts w:hint="eastAsia" w:ascii="宋体" w:hAnsi="宋体" w:eastAsia="宋体"/>
          <w:color w:val="auto"/>
          <w:sz w:val="28"/>
          <w:szCs w:val="32"/>
        </w:rPr>
        <w:t>稳固的基础。本标准的工作过程</w:t>
      </w:r>
      <w:r>
        <w:rPr>
          <w:rFonts w:hint="eastAsia" w:ascii="宋体" w:hAnsi="宋体" w:eastAsia="宋体"/>
          <w:color w:val="auto"/>
          <w:sz w:val="28"/>
          <w:szCs w:val="32"/>
          <w:lang w:val="en-US" w:eastAsia="zh-CN"/>
        </w:rPr>
        <w:t>大致</w:t>
      </w:r>
      <w:r>
        <w:rPr>
          <w:rFonts w:hint="eastAsia" w:ascii="宋体" w:hAnsi="宋体" w:eastAsia="宋体"/>
          <w:color w:val="auto"/>
          <w:sz w:val="28"/>
          <w:szCs w:val="32"/>
        </w:rPr>
        <w:t>分成以下四个步骤：</w:t>
      </w:r>
    </w:p>
    <w:p w14:paraId="40C73632">
      <w:pPr>
        <w:pStyle w:val="12"/>
        <w:spacing w:line="360" w:lineRule="auto"/>
        <w:ind w:firstLine="560"/>
        <w:rPr>
          <w:rFonts w:ascii="Times New Roman" w:hAnsi="Times New Roman" w:eastAsia="宋体" w:cs="Times New Roman"/>
          <w:color w:val="auto"/>
          <w:sz w:val="28"/>
          <w:szCs w:val="32"/>
        </w:rPr>
      </w:pPr>
      <w:r>
        <w:rPr>
          <w:rFonts w:ascii="Times New Roman" w:hAnsi="Times New Roman" w:eastAsia="宋体" w:cs="Times New Roman"/>
          <w:color w:val="auto"/>
          <w:sz w:val="28"/>
          <w:szCs w:val="32"/>
        </w:rPr>
        <w:t>（1）明确标准起草人员分工</w:t>
      </w:r>
    </w:p>
    <w:p w14:paraId="431BE4AD">
      <w:pPr>
        <w:pStyle w:val="12"/>
        <w:spacing w:line="360" w:lineRule="auto"/>
        <w:ind w:firstLine="560"/>
        <w:rPr>
          <w:rFonts w:ascii="Times New Roman" w:hAnsi="Times New Roman" w:eastAsia="宋体" w:cs="Times New Roman"/>
          <w:color w:val="auto"/>
          <w:sz w:val="28"/>
          <w:szCs w:val="32"/>
        </w:rPr>
      </w:pPr>
      <w:r>
        <w:rPr>
          <w:rFonts w:ascii="Times New Roman" w:hAnsi="Times New Roman" w:eastAsia="宋体" w:cs="Times New Roman"/>
          <w:color w:val="auto"/>
          <w:sz w:val="28"/>
          <w:szCs w:val="32"/>
        </w:rPr>
        <w:t>202</w:t>
      </w:r>
      <w:r>
        <w:rPr>
          <w:rFonts w:hint="eastAsia" w:ascii="Times New Roman" w:hAnsi="Times New Roman" w:eastAsia="宋体" w:cs="Times New Roman"/>
          <w:color w:val="auto"/>
          <w:sz w:val="28"/>
          <w:szCs w:val="32"/>
          <w:lang w:val="en-US" w:eastAsia="zh-CN"/>
        </w:rPr>
        <w:t>4</w:t>
      </w:r>
      <w:r>
        <w:rPr>
          <w:rFonts w:ascii="Times New Roman" w:hAnsi="Times New Roman" w:eastAsia="宋体" w:cs="Times New Roman"/>
          <w:color w:val="auto"/>
          <w:sz w:val="28"/>
          <w:szCs w:val="32"/>
        </w:rPr>
        <w:t>年</w:t>
      </w:r>
      <w:r>
        <w:rPr>
          <w:rFonts w:hint="eastAsia" w:ascii="Times New Roman" w:hAnsi="Times New Roman" w:eastAsia="宋体" w:cs="Times New Roman"/>
          <w:color w:val="auto"/>
          <w:sz w:val="28"/>
          <w:szCs w:val="32"/>
          <w:lang w:val="en-US" w:eastAsia="zh-CN"/>
        </w:rPr>
        <w:t>2月开始项目申报准备工作，2024年3月进行项目申报并组建项目组，</w:t>
      </w:r>
      <w:r>
        <w:rPr>
          <w:rFonts w:hint="eastAsia" w:ascii="Times New Roman" w:hAnsi="Times New Roman" w:eastAsia="宋体" w:cs="Times New Roman"/>
          <w:color w:val="auto"/>
          <w:sz w:val="28"/>
          <w:szCs w:val="32"/>
          <w:lang w:eastAsia="zh-CN"/>
        </w:rPr>
        <w:t>落实</w:t>
      </w:r>
      <w:r>
        <w:rPr>
          <w:rFonts w:ascii="Times New Roman" w:hAnsi="Times New Roman" w:eastAsia="宋体" w:cs="Times New Roman"/>
          <w:color w:val="auto"/>
          <w:sz w:val="28"/>
          <w:szCs w:val="32"/>
        </w:rPr>
        <w:t>标准起草小组</w:t>
      </w:r>
      <w:r>
        <w:rPr>
          <w:rFonts w:hint="eastAsia" w:ascii="Times New Roman" w:hAnsi="Times New Roman" w:eastAsia="宋体" w:cs="Times New Roman"/>
          <w:color w:val="auto"/>
          <w:sz w:val="28"/>
          <w:szCs w:val="32"/>
          <w:lang w:eastAsia="zh-CN"/>
        </w:rPr>
        <w:t>人员，</w:t>
      </w:r>
      <w:r>
        <w:rPr>
          <w:rFonts w:ascii="Times New Roman" w:hAnsi="Times New Roman" w:eastAsia="宋体" w:cs="Times New Roman"/>
          <w:color w:val="auto"/>
          <w:sz w:val="28"/>
          <w:szCs w:val="32"/>
        </w:rPr>
        <w:t>召开首次起草小组会议，确定了标准框架、工作范围，明确了人员的任务分工。</w:t>
      </w:r>
    </w:p>
    <w:p w14:paraId="27A7499C">
      <w:pPr>
        <w:pStyle w:val="12"/>
        <w:spacing w:line="360" w:lineRule="auto"/>
        <w:ind w:firstLine="560"/>
        <w:rPr>
          <w:rFonts w:ascii="Times New Roman" w:hAnsi="Times New Roman" w:eastAsia="宋体" w:cs="Times New Roman"/>
          <w:color w:val="auto"/>
          <w:sz w:val="28"/>
          <w:szCs w:val="32"/>
        </w:rPr>
      </w:pPr>
      <w:r>
        <w:rPr>
          <w:rFonts w:ascii="Times New Roman" w:hAnsi="Times New Roman" w:eastAsia="宋体" w:cs="Times New Roman"/>
          <w:color w:val="auto"/>
          <w:sz w:val="28"/>
          <w:szCs w:val="32"/>
        </w:rPr>
        <w:t>（2）资料收集与调研</w:t>
      </w:r>
    </w:p>
    <w:p w14:paraId="5C2744C2">
      <w:pPr>
        <w:pStyle w:val="12"/>
        <w:spacing w:line="360" w:lineRule="auto"/>
        <w:ind w:firstLine="560"/>
        <w:rPr>
          <w:rFonts w:ascii="Times New Roman" w:hAnsi="Times New Roman" w:eastAsia="宋体" w:cs="Times New Roman"/>
          <w:color w:val="auto"/>
          <w:sz w:val="28"/>
          <w:szCs w:val="32"/>
        </w:rPr>
      </w:pPr>
      <w:r>
        <w:rPr>
          <w:rFonts w:ascii="Times New Roman" w:hAnsi="Times New Roman" w:eastAsia="宋体" w:cs="Times New Roman"/>
          <w:color w:val="auto"/>
          <w:sz w:val="28"/>
          <w:szCs w:val="32"/>
        </w:rPr>
        <w:t>202</w:t>
      </w:r>
      <w:r>
        <w:rPr>
          <w:rFonts w:hint="eastAsia" w:ascii="Times New Roman" w:hAnsi="Times New Roman" w:eastAsia="宋体" w:cs="Times New Roman"/>
          <w:color w:val="auto"/>
          <w:sz w:val="28"/>
          <w:szCs w:val="32"/>
          <w:lang w:val="en-US" w:eastAsia="zh-CN"/>
        </w:rPr>
        <w:t>4</w:t>
      </w:r>
      <w:r>
        <w:rPr>
          <w:rFonts w:ascii="Times New Roman" w:hAnsi="Times New Roman" w:eastAsia="宋体" w:cs="Times New Roman"/>
          <w:color w:val="auto"/>
          <w:sz w:val="28"/>
          <w:szCs w:val="32"/>
        </w:rPr>
        <w:t>年</w:t>
      </w:r>
      <w:r>
        <w:rPr>
          <w:rFonts w:hint="eastAsia" w:ascii="Times New Roman" w:hAnsi="Times New Roman" w:eastAsia="宋体" w:cs="Times New Roman"/>
          <w:color w:val="auto"/>
          <w:sz w:val="28"/>
          <w:szCs w:val="32"/>
          <w:lang w:val="en-US" w:eastAsia="zh-CN"/>
        </w:rPr>
        <w:t>3</w:t>
      </w:r>
      <w:r>
        <w:rPr>
          <w:rFonts w:ascii="Times New Roman" w:hAnsi="Times New Roman" w:eastAsia="宋体" w:cs="Times New Roman"/>
          <w:color w:val="auto"/>
          <w:sz w:val="28"/>
          <w:szCs w:val="32"/>
        </w:rPr>
        <w:t>月，开始搜集、分析有关技术资料，并对相关技术标准进行收集、学习与领会</w:t>
      </w:r>
      <w:r>
        <w:rPr>
          <w:rFonts w:hint="eastAsia" w:ascii="Times New Roman" w:hAnsi="Times New Roman" w:eastAsia="宋体" w:cs="Times New Roman"/>
          <w:color w:val="auto"/>
          <w:sz w:val="28"/>
          <w:szCs w:val="32"/>
        </w:rPr>
        <w:t>，对标准中的相关内容查缺补漏，设置试验研究</w:t>
      </w:r>
      <w:r>
        <w:rPr>
          <w:rFonts w:ascii="Times New Roman" w:hAnsi="Times New Roman" w:eastAsia="宋体" w:cs="Times New Roman"/>
          <w:color w:val="auto"/>
          <w:sz w:val="28"/>
          <w:szCs w:val="32"/>
        </w:rPr>
        <w:t>。</w:t>
      </w:r>
    </w:p>
    <w:p w14:paraId="510164C1">
      <w:pPr>
        <w:widowControl/>
        <w:numPr>
          <w:ilvl w:val="0"/>
          <w:numId w:val="3"/>
        </w:numPr>
        <w:spacing w:line="600" w:lineRule="exact"/>
        <w:ind w:firstLine="560" w:firstLineChars="200"/>
        <w:jc w:val="left"/>
        <w:rPr>
          <w:rFonts w:hint="eastAsia" w:ascii="Times New Roman" w:hAnsi="Times New Roman" w:eastAsia="宋体" w:cs="Times New Roman"/>
          <w:color w:val="auto"/>
          <w:kern w:val="2"/>
          <w:sz w:val="28"/>
          <w:szCs w:val="32"/>
          <w:lang w:val="en-US" w:eastAsia="zh-CN" w:bidi="ar-SA"/>
        </w:rPr>
      </w:pPr>
      <w:r>
        <w:rPr>
          <w:rFonts w:hint="eastAsia" w:ascii="Times New Roman" w:hAnsi="Times New Roman" w:eastAsia="宋体" w:cs="Times New Roman"/>
          <w:color w:val="auto"/>
          <w:kern w:val="2"/>
          <w:sz w:val="28"/>
          <w:szCs w:val="32"/>
          <w:lang w:val="en-US" w:eastAsia="zh-CN" w:bidi="ar-SA"/>
        </w:rPr>
        <w:t>试验与示范</w:t>
      </w:r>
    </w:p>
    <w:p w14:paraId="5B78B325">
      <w:pPr>
        <w:pStyle w:val="12"/>
        <w:spacing w:line="360" w:lineRule="auto"/>
        <w:ind w:firstLine="560"/>
        <w:rPr>
          <w:rFonts w:hint="default"/>
          <w:color w:val="auto"/>
          <w:lang w:val="en-US" w:eastAsia="zh-CN"/>
        </w:rPr>
      </w:pPr>
      <w:r>
        <w:rPr>
          <w:rFonts w:hint="eastAsia" w:ascii="Times New Roman" w:hAnsi="Times New Roman" w:eastAsia="宋体" w:cs="Times New Roman"/>
          <w:color w:val="auto"/>
          <w:sz w:val="28"/>
          <w:szCs w:val="32"/>
        </w:rPr>
        <w:t>2</w:t>
      </w:r>
      <w:r>
        <w:rPr>
          <w:rFonts w:ascii="Times New Roman" w:hAnsi="Times New Roman" w:eastAsia="宋体" w:cs="Times New Roman"/>
          <w:color w:val="auto"/>
          <w:sz w:val="28"/>
          <w:szCs w:val="32"/>
        </w:rPr>
        <w:t>02</w:t>
      </w:r>
      <w:r>
        <w:rPr>
          <w:rFonts w:hint="eastAsia" w:ascii="Times New Roman" w:hAnsi="Times New Roman" w:eastAsia="宋体" w:cs="Times New Roman"/>
          <w:color w:val="auto"/>
          <w:sz w:val="28"/>
          <w:szCs w:val="32"/>
          <w:lang w:val="en-US" w:eastAsia="zh-CN"/>
        </w:rPr>
        <w:t>4</w:t>
      </w:r>
      <w:r>
        <w:rPr>
          <w:rFonts w:hint="eastAsia" w:ascii="Times New Roman" w:hAnsi="Times New Roman" w:eastAsia="宋体" w:cs="Times New Roman"/>
          <w:color w:val="auto"/>
          <w:sz w:val="28"/>
          <w:szCs w:val="32"/>
        </w:rPr>
        <w:t>年</w:t>
      </w:r>
      <w:r>
        <w:rPr>
          <w:rFonts w:hint="eastAsia" w:ascii="Times New Roman" w:hAnsi="Times New Roman" w:eastAsia="宋体" w:cs="Times New Roman"/>
          <w:color w:val="auto"/>
          <w:sz w:val="28"/>
          <w:szCs w:val="32"/>
          <w:lang w:val="en-US" w:eastAsia="zh-CN"/>
        </w:rPr>
        <w:t>3</w:t>
      </w:r>
      <w:r>
        <w:rPr>
          <w:rFonts w:hint="eastAsia" w:ascii="Times New Roman" w:hAnsi="Times New Roman" w:eastAsia="宋体" w:cs="Times New Roman"/>
          <w:color w:val="auto"/>
          <w:sz w:val="28"/>
          <w:szCs w:val="32"/>
        </w:rPr>
        <w:t>月至2</w:t>
      </w:r>
      <w:r>
        <w:rPr>
          <w:rFonts w:ascii="Times New Roman" w:hAnsi="Times New Roman" w:eastAsia="宋体" w:cs="Times New Roman"/>
          <w:color w:val="auto"/>
          <w:sz w:val="28"/>
          <w:szCs w:val="32"/>
        </w:rPr>
        <w:t>024</w:t>
      </w:r>
      <w:r>
        <w:rPr>
          <w:rFonts w:hint="eastAsia" w:ascii="Times New Roman" w:hAnsi="Times New Roman" w:eastAsia="宋体" w:cs="Times New Roman"/>
          <w:color w:val="auto"/>
          <w:sz w:val="28"/>
          <w:szCs w:val="32"/>
        </w:rPr>
        <w:t>年</w:t>
      </w:r>
      <w:r>
        <w:rPr>
          <w:rFonts w:hint="eastAsia" w:ascii="Times New Roman" w:hAnsi="Times New Roman" w:eastAsia="宋体" w:cs="Times New Roman"/>
          <w:color w:val="auto"/>
          <w:sz w:val="28"/>
          <w:szCs w:val="32"/>
          <w:lang w:val="en-US" w:eastAsia="zh-CN"/>
        </w:rPr>
        <w:t>10</w:t>
      </w:r>
      <w:r>
        <w:rPr>
          <w:rFonts w:hint="eastAsia" w:ascii="Times New Roman" w:hAnsi="Times New Roman" w:eastAsia="宋体" w:cs="Times New Roman"/>
          <w:color w:val="auto"/>
          <w:sz w:val="28"/>
          <w:szCs w:val="32"/>
        </w:rPr>
        <w:t>月，</w:t>
      </w:r>
      <w:r>
        <w:rPr>
          <w:rFonts w:hint="eastAsia" w:ascii="Times New Roman" w:hAnsi="Times New Roman" w:cs="Times New Roman"/>
          <w:color w:val="auto"/>
          <w:sz w:val="28"/>
          <w:szCs w:val="28"/>
          <w:lang w:val="en-US" w:eastAsia="zh-CN"/>
        </w:rPr>
        <w:t>对西安市</w:t>
      </w:r>
      <w:r>
        <w:rPr>
          <w:rFonts w:hint="default" w:ascii="Times New Roman" w:hAnsi="Times New Roman" w:cs="Times New Roman"/>
          <w:color w:val="auto"/>
          <w:sz w:val="28"/>
          <w:szCs w:val="28"/>
          <w:lang w:val="en-US" w:eastAsia="zh-CN"/>
        </w:rPr>
        <w:t>、洛南</w:t>
      </w:r>
      <w:r>
        <w:rPr>
          <w:rFonts w:hint="eastAsia" w:ascii="Times New Roman" w:hAnsi="Times New Roman" w:cs="Times New Roman"/>
          <w:color w:val="auto"/>
          <w:sz w:val="28"/>
          <w:szCs w:val="28"/>
          <w:lang w:val="en-US" w:eastAsia="zh-CN"/>
        </w:rPr>
        <w:t>县</w:t>
      </w:r>
      <w:r>
        <w:rPr>
          <w:rFonts w:hint="default" w:ascii="Times New Roman" w:hAnsi="Times New Roman" w:cs="Times New Roman"/>
          <w:color w:val="auto"/>
          <w:sz w:val="28"/>
          <w:szCs w:val="28"/>
          <w:lang w:val="en-US" w:eastAsia="zh-CN"/>
        </w:rPr>
        <w:t>、黄陵</w:t>
      </w:r>
      <w:r>
        <w:rPr>
          <w:rFonts w:hint="eastAsia" w:ascii="Times New Roman" w:hAnsi="Times New Roman" w:cs="Times New Roman"/>
          <w:color w:val="auto"/>
          <w:sz w:val="28"/>
          <w:szCs w:val="28"/>
          <w:lang w:val="en-US" w:eastAsia="zh-CN"/>
        </w:rPr>
        <w:t>县</w:t>
      </w:r>
      <w:r>
        <w:rPr>
          <w:rFonts w:hint="default" w:ascii="Times New Roman" w:hAnsi="Times New Roman" w:cs="Times New Roman"/>
          <w:color w:val="auto"/>
          <w:sz w:val="28"/>
          <w:szCs w:val="28"/>
          <w:lang w:val="en-US" w:eastAsia="zh-CN"/>
        </w:rPr>
        <w:t>、丹凤</w:t>
      </w:r>
      <w:r>
        <w:rPr>
          <w:rFonts w:hint="eastAsia" w:ascii="Times New Roman" w:hAnsi="Times New Roman" w:cs="Times New Roman"/>
          <w:color w:val="auto"/>
          <w:sz w:val="28"/>
          <w:szCs w:val="28"/>
          <w:lang w:val="en-US" w:eastAsia="zh-CN"/>
        </w:rPr>
        <w:t>县</w:t>
      </w:r>
      <w:r>
        <w:rPr>
          <w:rFonts w:hint="default" w:ascii="Times New Roman" w:hAnsi="Times New Roman" w:cs="Times New Roman"/>
          <w:color w:val="auto"/>
          <w:sz w:val="28"/>
          <w:szCs w:val="28"/>
          <w:lang w:val="en-US" w:eastAsia="zh-CN"/>
        </w:rPr>
        <w:t>、神木</w:t>
      </w:r>
      <w:r>
        <w:rPr>
          <w:rFonts w:hint="eastAsia" w:ascii="Times New Roman" w:hAnsi="Times New Roman" w:cs="Times New Roman"/>
          <w:color w:val="auto"/>
          <w:sz w:val="28"/>
          <w:szCs w:val="28"/>
          <w:lang w:val="en-US" w:eastAsia="zh-CN"/>
        </w:rPr>
        <w:t>市</w:t>
      </w:r>
      <w:r>
        <w:rPr>
          <w:rFonts w:hint="default" w:ascii="Times New Roman" w:hAnsi="Times New Roman" w:cs="Times New Roman"/>
          <w:color w:val="auto"/>
          <w:sz w:val="28"/>
          <w:szCs w:val="28"/>
          <w:lang w:val="en-US" w:eastAsia="zh-CN"/>
        </w:rPr>
        <w:t>、宁陕</w:t>
      </w:r>
      <w:r>
        <w:rPr>
          <w:rFonts w:hint="eastAsia" w:ascii="Times New Roman" w:hAnsi="Times New Roman" w:cs="Times New Roman"/>
          <w:color w:val="auto"/>
          <w:sz w:val="28"/>
          <w:szCs w:val="28"/>
          <w:lang w:val="en-US" w:eastAsia="zh-CN"/>
        </w:rPr>
        <w:t>县</w:t>
      </w:r>
      <w:r>
        <w:rPr>
          <w:rFonts w:hint="default" w:ascii="Times New Roman" w:hAnsi="Times New Roman" w:cs="Times New Roman"/>
          <w:color w:val="auto"/>
          <w:sz w:val="28"/>
          <w:szCs w:val="28"/>
          <w:lang w:val="en-US" w:eastAsia="zh-CN"/>
        </w:rPr>
        <w:t>、眉县、合</w:t>
      </w:r>
      <w:r>
        <w:rPr>
          <w:rFonts w:hint="default" w:ascii="Times New Roman" w:hAnsi="Times New Roman" w:cs="Times New Roman"/>
          <w:color w:val="auto"/>
          <w:sz w:val="28"/>
          <w:szCs w:val="28"/>
        </w:rPr>
        <w:t>阳</w:t>
      </w:r>
      <w:r>
        <w:rPr>
          <w:rFonts w:hint="eastAsia" w:ascii="Times New Roman" w:hAnsi="Times New Roman" w:cs="Times New Roman"/>
          <w:color w:val="auto"/>
          <w:sz w:val="28"/>
          <w:szCs w:val="28"/>
          <w:lang w:eastAsia="zh-CN"/>
        </w:rPr>
        <w:t>县</w:t>
      </w:r>
      <w:r>
        <w:rPr>
          <w:rFonts w:hint="default" w:ascii="Times New Roman" w:hAnsi="Times New Roman" w:cs="Times New Roman"/>
          <w:color w:val="auto"/>
          <w:sz w:val="28"/>
          <w:szCs w:val="28"/>
        </w:rPr>
        <w:t>、岚皋</w:t>
      </w:r>
      <w:r>
        <w:rPr>
          <w:rFonts w:hint="eastAsia" w:ascii="Times New Roman" w:hAnsi="Times New Roman" w:cs="Times New Roman"/>
          <w:color w:val="auto"/>
          <w:sz w:val="28"/>
          <w:szCs w:val="28"/>
          <w:lang w:eastAsia="zh-CN"/>
        </w:rPr>
        <w:t>县</w:t>
      </w:r>
      <w:r>
        <w:rPr>
          <w:rFonts w:hint="default" w:ascii="Times New Roman" w:hAnsi="Times New Roman" w:cs="Times New Roman"/>
          <w:color w:val="auto"/>
          <w:sz w:val="28"/>
          <w:szCs w:val="28"/>
        </w:rPr>
        <w:t>等县市</w:t>
      </w:r>
      <w:r>
        <w:rPr>
          <w:rFonts w:hint="eastAsia" w:ascii="Times New Roman" w:hAnsi="Times New Roman" w:cs="Times New Roman"/>
          <w:color w:val="auto"/>
          <w:sz w:val="28"/>
          <w:szCs w:val="28"/>
          <w:lang w:val="en-US" w:eastAsia="zh-CN"/>
        </w:rPr>
        <w:t>的49株古树进行健康诊断及救护复壮工作，</w:t>
      </w:r>
      <w:r>
        <w:rPr>
          <w:rFonts w:hint="eastAsia" w:ascii="Times New Roman" w:hAnsi="Times New Roman" w:eastAsia="宋体" w:cs="Times New Roman"/>
          <w:color w:val="auto"/>
          <w:sz w:val="28"/>
          <w:szCs w:val="32"/>
          <w:lang w:val="en-US" w:eastAsia="zh-CN"/>
        </w:rPr>
        <w:t>并对</w:t>
      </w:r>
      <w:r>
        <w:rPr>
          <w:rFonts w:hint="eastAsia" w:ascii="Times New Roman" w:hAnsi="Times New Roman" w:eastAsia="宋体" w:cs="Times New Roman"/>
          <w:color w:val="auto"/>
          <w:sz w:val="28"/>
          <w:szCs w:val="32"/>
        </w:rPr>
        <w:t>结果</w:t>
      </w:r>
      <w:r>
        <w:rPr>
          <w:rFonts w:hint="eastAsia" w:ascii="Times New Roman" w:hAnsi="Times New Roman" w:eastAsia="宋体" w:cs="Times New Roman"/>
          <w:color w:val="auto"/>
          <w:sz w:val="28"/>
          <w:szCs w:val="32"/>
          <w:lang w:val="en-US" w:eastAsia="zh-CN"/>
        </w:rPr>
        <w:t>进行</w:t>
      </w:r>
      <w:r>
        <w:rPr>
          <w:rFonts w:hint="eastAsia" w:ascii="Times New Roman" w:hAnsi="Times New Roman" w:eastAsia="宋体" w:cs="Times New Roman"/>
          <w:color w:val="auto"/>
          <w:sz w:val="28"/>
          <w:szCs w:val="32"/>
        </w:rPr>
        <w:t>分析。</w:t>
      </w:r>
    </w:p>
    <w:p w14:paraId="6286AD39">
      <w:pPr>
        <w:pStyle w:val="12"/>
        <w:spacing w:line="360" w:lineRule="auto"/>
        <w:ind w:firstLine="560"/>
        <w:rPr>
          <w:rFonts w:ascii="Times New Roman" w:hAnsi="Times New Roman" w:eastAsia="宋体" w:cs="Times New Roman"/>
          <w:color w:val="auto"/>
          <w:sz w:val="28"/>
          <w:szCs w:val="32"/>
        </w:rPr>
      </w:pPr>
      <w:r>
        <w:rPr>
          <w:rFonts w:ascii="Times New Roman" w:hAnsi="Times New Roman" w:eastAsia="宋体" w:cs="Times New Roman"/>
          <w:color w:val="auto"/>
          <w:sz w:val="28"/>
          <w:szCs w:val="32"/>
        </w:rPr>
        <w:t>（</w:t>
      </w:r>
      <w:r>
        <w:rPr>
          <w:rFonts w:hint="eastAsia" w:ascii="Times New Roman" w:hAnsi="Times New Roman" w:eastAsia="宋体" w:cs="Times New Roman"/>
          <w:color w:val="auto"/>
          <w:sz w:val="28"/>
          <w:szCs w:val="32"/>
          <w:lang w:val="en-US" w:eastAsia="zh-CN"/>
        </w:rPr>
        <w:t>4</w:t>
      </w:r>
      <w:r>
        <w:rPr>
          <w:rFonts w:ascii="Times New Roman" w:hAnsi="Times New Roman" w:eastAsia="宋体" w:cs="Times New Roman"/>
          <w:color w:val="auto"/>
          <w:sz w:val="28"/>
          <w:szCs w:val="32"/>
        </w:rPr>
        <w:t>）标准文本起草</w:t>
      </w:r>
    </w:p>
    <w:p w14:paraId="249D1E42">
      <w:pPr>
        <w:pStyle w:val="12"/>
        <w:spacing w:line="360" w:lineRule="auto"/>
        <w:ind w:firstLine="560"/>
        <w:rPr>
          <w:rFonts w:ascii="Times New Roman" w:hAnsi="Times New Roman" w:eastAsia="宋体" w:cs="Times New Roman"/>
          <w:color w:val="auto"/>
          <w:sz w:val="28"/>
          <w:szCs w:val="32"/>
        </w:rPr>
      </w:pPr>
      <w:r>
        <w:rPr>
          <w:rFonts w:ascii="Times New Roman" w:hAnsi="Times New Roman" w:eastAsia="宋体" w:cs="Times New Roman"/>
          <w:color w:val="auto"/>
          <w:sz w:val="28"/>
          <w:szCs w:val="32"/>
        </w:rPr>
        <w:t>2024年</w:t>
      </w:r>
      <w:r>
        <w:rPr>
          <w:rFonts w:hint="eastAsia" w:ascii="Times New Roman" w:hAnsi="Times New Roman" w:eastAsia="宋体" w:cs="Times New Roman"/>
          <w:color w:val="auto"/>
          <w:sz w:val="28"/>
          <w:szCs w:val="32"/>
          <w:lang w:val="en-US" w:eastAsia="zh-CN"/>
        </w:rPr>
        <w:t>10</w:t>
      </w:r>
      <w:r>
        <w:rPr>
          <w:rFonts w:ascii="Times New Roman" w:hAnsi="Times New Roman" w:eastAsia="宋体" w:cs="Times New Roman"/>
          <w:color w:val="auto"/>
          <w:sz w:val="28"/>
          <w:szCs w:val="32"/>
        </w:rPr>
        <w:t>月，标准起草小组依据GB/T 1.1《标准化工作导则 第1部分：标准的结构和编写》和GB/T 1.2《标准化工作导则 第2部分：标准中规范性技术要素内容的确定方法》与国家有关标准化法律、法规要求，起草了本标准草案。</w:t>
      </w:r>
    </w:p>
    <w:p w14:paraId="396B0432">
      <w:pPr>
        <w:pStyle w:val="12"/>
        <w:spacing w:line="360" w:lineRule="auto"/>
        <w:ind w:firstLine="560"/>
        <w:rPr>
          <w:rFonts w:ascii="Times New Roman" w:hAnsi="Times New Roman" w:eastAsia="宋体" w:cs="Times New Roman"/>
          <w:color w:val="auto"/>
          <w:sz w:val="28"/>
          <w:szCs w:val="32"/>
        </w:rPr>
      </w:pPr>
      <w:r>
        <w:rPr>
          <w:rFonts w:ascii="Times New Roman" w:hAnsi="Times New Roman" w:eastAsia="宋体" w:cs="Times New Roman"/>
          <w:color w:val="auto"/>
          <w:sz w:val="28"/>
          <w:szCs w:val="32"/>
        </w:rPr>
        <w:t>（</w:t>
      </w:r>
      <w:r>
        <w:rPr>
          <w:rFonts w:hint="eastAsia" w:ascii="Times New Roman" w:hAnsi="Times New Roman" w:eastAsia="宋体" w:cs="Times New Roman"/>
          <w:color w:val="auto"/>
          <w:sz w:val="28"/>
          <w:szCs w:val="32"/>
          <w:lang w:val="en-US" w:eastAsia="zh-CN"/>
        </w:rPr>
        <w:t>5</w:t>
      </w:r>
      <w:r>
        <w:rPr>
          <w:rFonts w:ascii="Times New Roman" w:hAnsi="Times New Roman" w:eastAsia="宋体" w:cs="Times New Roman"/>
          <w:color w:val="auto"/>
          <w:sz w:val="28"/>
          <w:szCs w:val="32"/>
        </w:rPr>
        <w:t>）讨论与修改</w:t>
      </w:r>
    </w:p>
    <w:p w14:paraId="381D623C">
      <w:pPr>
        <w:pStyle w:val="12"/>
        <w:spacing w:line="360" w:lineRule="auto"/>
        <w:ind w:firstLine="560"/>
        <w:rPr>
          <w:rFonts w:hint="eastAsia"/>
          <w:color w:val="auto"/>
          <w:lang w:val="en-US" w:eastAsia="zh-CN"/>
        </w:rPr>
      </w:pPr>
      <w:r>
        <w:rPr>
          <w:rFonts w:ascii="Times New Roman" w:hAnsi="Times New Roman" w:eastAsia="宋体" w:cs="Times New Roman"/>
          <w:color w:val="auto"/>
          <w:sz w:val="28"/>
          <w:szCs w:val="32"/>
        </w:rPr>
        <w:t>2024年</w:t>
      </w:r>
      <w:r>
        <w:rPr>
          <w:rFonts w:hint="eastAsia" w:ascii="Times New Roman" w:hAnsi="Times New Roman" w:eastAsia="宋体" w:cs="Times New Roman"/>
          <w:color w:val="auto"/>
          <w:sz w:val="28"/>
          <w:szCs w:val="32"/>
          <w:lang w:val="en-US" w:eastAsia="zh-CN"/>
        </w:rPr>
        <w:t>10</w:t>
      </w:r>
      <w:r>
        <w:rPr>
          <w:rFonts w:ascii="Times New Roman" w:hAnsi="Times New Roman" w:eastAsia="宋体" w:cs="Times New Roman"/>
          <w:color w:val="auto"/>
          <w:sz w:val="28"/>
          <w:szCs w:val="32"/>
        </w:rPr>
        <w:t>月起，标准起草小组经过多次交流、讨论与修改，征求相关单位意见，202</w:t>
      </w:r>
      <w:r>
        <w:rPr>
          <w:rFonts w:hint="eastAsia" w:ascii="Times New Roman" w:hAnsi="Times New Roman" w:eastAsia="宋体" w:cs="Times New Roman"/>
          <w:color w:val="auto"/>
          <w:sz w:val="28"/>
          <w:szCs w:val="32"/>
          <w:lang w:val="en-US" w:eastAsia="zh-CN"/>
        </w:rPr>
        <w:t>5</w:t>
      </w:r>
      <w:r>
        <w:rPr>
          <w:rFonts w:ascii="Times New Roman" w:hAnsi="Times New Roman" w:eastAsia="宋体" w:cs="Times New Roman"/>
          <w:color w:val="auto"/>
          <w:sz w:val="28"/>
          <w:szCs w:val="32"/>
        </w:rPr>
        <w:t>年</w:t>
      </w:r>
      <w:r>
        <w:rPr>
          <w:rFonts w:hint="eastAsia" w:ascii="Times New Roman" w:hAnsi="Times New Roman" w:eastAsia="宋体" w:cs="Times New Roman"/>
          <w:color w:val="auto"/>
          <w:sz w:val="28"/>
          <w:szCs w:val="32"/>
          <w:lang w:val="en-US" w:eastAsia="zh-CN"/>
        </w:rPr>
        <w:t>2</w:t>
      </w:r>
      <w:r>
        <w:rPr>
          <w:rFonts w:ascii="Times New Roman" w:hAnsi="Times New Roman" w:eastAsia="宋体" w:cs="Times New Roman"/>
          <w:color w:val="auto"/>
          <w:sz w:val="28"/>
          <w:szCs w:val="32"/>
        </w:rPr>
        <w:t>月完成本标准的征求意见稿。</w:t>
      </w:r>
    </w:p>
    <w:p w14:paraId="6414E075">
      <w:pPr>
        <w:spacing w:line="560" w:lineRule="exact"/>
        <w:rPr>
          <w:rFonts w:hint="eastAsia" w:ascii="Times New Roman" w:hAnsi="Times New Roman" w:eastAsia="宋体" w:cs="Times New Roman"/>
          <w:b/>
          <w:sz w:val="28"/>
          <w:szCs w:val="28"/>
          <w:lang w:val="en-US" w:eastAsia="zh-CN"/>
        </w:rPr>
      </w:pPr>
      <w:r>
        <w:rPr>
          <w:rFonts w:hint="eastAsia" w:ascii="Times New Roman" w:hAnsi="Times New Roman" w:eastAsia="宋体" w:cs="Times New Roman"/>
          <w:b/>
          <w:color w:val="auto"/>
          <w:sz w:val="28"/>
          <w:szCs w:val="28"/>
          <w:lang w:val="en-US" w:eastAsia="zh-CN"/>
        </w:rPr>
        <w:t>1.5 标准起草工作组成员及任务分</w:t>
      </w:r>
      <w:r>
        <w:rPr>
          <w:rFonts w:hint="eastAsia" w:ascii="Times New Roman" w:hAnsi="Times New Roman" w:eastAsia="宋体" w:cs="Times New Roman"/>
          <w:b/>
          <w:sz w:val="28"/>
          <w:szCs w:val="28"/>
          <w:lang w:val="en-US" w:eastAsia="zh-CN"/>
        </w:rPr>
        <w:t>工</w:t>
      </w:r>
    </w:p>
    <w:p w14:paraId="613F2311">
      <w:pPr>
        <w:keepNext w:val="0"/>
        <w:keepLines w:val="0"/>
        <w:widowControl/>
        <w:suppressLineNumbers w:val="0"/>
        <w:jc w:val="left"/>
      </w:pPr>
      <w:r>
        <w:rPr>
          <w:rFonts w:hint="eastAsia" w:ascii="宋体" w:hAnsi="宋体" w:eastAsia="宋体" w:cs="宋体"/>
          <w:color w:val="000000"/>
          <w:kern w:val="0"/>
          <w:sz w:val="28"/>
          <w:szCs w:val="28"/>
          <w:lang w:val="en-US" w:eastAsia="zh-CN" w:bidi="ar"/>
        </w:rPr>
        <w:t xml:space="preserve">起草单位：陕西省林业科学院 </w:t>
      </w:r>
    </w:p>
    <w:p w14:paraId="0F3F27D6">
      <w:pPr>
        <w:keepNext w:val="0"/>
        <w:keepLines w:val="0"/>
        <w:widowControl/>
        <w:suppressLineNumbers w:val="0"/>
        <w:jc w:val="left"/>
      </w:pPr>
      <w:r>
        <w:rPr>
          <w:rFonts w:hint="eastAsia" w:ascii="宋体" w:hAnsi="宋体" w:eastAsia="宋体" w:cs="宋体"/>
          <w:color w:val="000000"/>
          <w:kern w:val="0"/>
          <w:sz w:val="28"/>
          <w:szCs w:val="28"/>
          <w:lang w:val="en-US" w:eastAsia="zh-CN" w:bidi="ar"/>
        </w:rPr>
        <w:t>参与单位：</w:t>
      </w:r>
      <w:r>
        <w:rPr>
          <w:rFonts w:hint="eastAsia" w:ascii="宋体" w:hAnsi="宋体" w:eastAsia="宋体" w:cs="宋体"/>
          <w:color w:val="000000"/>
          <w:kern w:val="0"/>
          <w:sz w:val="28"/>
          <w:szCs w:val="28"/>
          <w:lang w:bidi="ar"/>
        </w:rPr>
        <w:t>安康市林业技术推广中心</w:t>
      </w:r>
      <w:r>
        <w:rPr>
          <w:rFonts w:hint="eastAsia" w:ascii="宋体" w:hAnsi="宋体" w:eastAsia="宋体" w:cs="宋体"/>
          <w:color w:val="000000"/>
          <w:kern w:val="0"/>
          <w:sz w:val="28"/>
          <w:szCs w:val="28"/>
          <w:lang w:val="en-US" w:eastAsia="zh-CN" w:bidi="ar"/>
        </w:rPr>
        <w:t xml:space="preserve"> </w:t>
      </w:r>
    </w:p>
    <w:p w14:paraId="21E30626">
      <w:pPr>
        <w:keepNext w:val="0"/>
        <w:keepLines w:val="0"/>
        <w:widowControl/>
        <w:suppressLineNumbers w:val="0"/>
        <w:jc w:val="left"/>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主要起草人及任务分工如下表：</w:t>
      </w:r>
    </w:p>
    <w:tbl>
      <w:tblPr>
        <w:tblStyle w:val="8"/>
        <w:tblW w:w="91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9"/>
        <w:gridCol w:w="813"/>
        <w:gridCol w:w="2050"/>
        <w:gridCol w:w="3348"/>
        <w:gridCol w:w="1690"/>
      </w:tblGrid>
      <w:tr w14:paraId="72BD7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289" w:type="dxa"/>
            <w:vAlign w:val="center"/>
          </w:tcPr>
          <w:p w14:paraId="7778A3C0">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姓名</w:t>
            </w:r>
          </w:p>
        </w:tc>
        <w:tc>
          <w:tcPr>
            <w:tcW w:w="813" w:type="dxa"/>
            <w:vAlign w:val="center"/>
          </w:tcPr>
          <w:p w14:paraId="43F9ABF8">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性别</w:t>
            </w:r>
          </w:p>
        </w:tc>
        <w:tc>
          <w:tcPr>
            <w:tcW w:w="2050" w:type="dxa"/>
            <w:vAlign w:val="center"/>
          </w:tcPr>
          <w:p w14:paraId="51C2F2B3">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职务/职称</w:t>
            </w:r>
          </w:p>
        </w:tc>
        <w:tc>
          <w:tcPr>
            <w:tcW w:w="3348" w:type="dxa"/>
            <w:vAlign w:val="center"/>
          </w:tcPr>
          <w:p w14:paraId="74F0F917">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工作单位</w:t>
            </w:r>
          </w:p>
        </w:tc>
        <w:tc>
          <w:tcPr>
            <w:tcW w:w="1690" w:type="dxa"/>
            <w:vAlign w:val="center"/>
          </w:tcPr>
          <w:p w14:paraId="57E08043">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任务分工</w:t>
            </w:r>
          </w:p>
        </w:tc>
      </w:tr>
      <w:tr w14:paraId="572BE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289" w:type="dxa"/>
            <w:vAlign w:val="center"/>
          </w:tcPr>
          <w:p w14:paraId="11F5A891">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李衡钧</w:t>
            </w:r>
          </w:p>
        </w:tc>
        <w:tc>
          <w:tcPr>
            <w:tcW w:w="813" w:type="dxa"/>
            <w:vAlign w:val="center"/>
          </w:tcPr>
          <w:p w14:paraId="19FD5EB8">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男</w:t>
            </w:r>
          </w:p>
        </w:tc>
        <w:tc>
          <w:tcPr>
            <w:tcW w:w="2050" w:type="dxa"/>
            <w:vAlign w:val="center"/>
          </w:tcPr>
          <w:p w14:paraId="04809678">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lang w:val="en-US" w:eastAsia="zh-CN"/>
              </w:rPr>
              <w:t>高级</w:t>
            </w:r>
            <w:r>
              <w:rPr>
                <w:rFonts w:hint="eastAsia" w:ascii="Times New Roman" w:hAnsi="Times New Roman" w:eastAsia="宋体" w:cs="Times New Roman"/>
                <w:kern w:val="0"/>
                <w:sz w:val="28"/>
                <w:szCs w:val="32"/>
              </w:rPr>
              <w:t>工程师</w:t>
            </w:r>
          </w:p>
        </w:tc>
        <w:tc>
          <w:tcPr>
            <w:tcW w:w="3348" w:type="dxa"/>
            <w:vAlign w:val="center"/>
          </w:tcPr>
          <w:p w14:paraId="4B27ACBD">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陕西省林业科学院</w:t>
            </w:r>
          </w:p>
        </w:tc>
        <w:tc>
          <w:tcPr>
            <w:tcW w:w="1690" w:type="dxa"/>
            <w:vAlign w:val="center"/>
          </w:tcPr>
          <w:p w14:paraId="1F19D2D4">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项目负责</w:t>
            </w:r>
          </w:p>
        </w:tc>
      </w:tr>
      <w:tr w14:paraId="03A22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289" w:type="dxa"/>
            <w:vAlign w:val="center"/>
          </w:tcPr>
          <w:p w14:paraId="1B4F90A9">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陈艳</w:t>
            </w:r>
          </w:p>
        </w:tc>
        <w:tc>
          <w:tcPr>
            <w:tcW w:w="813" w:type="dxa"/>
            <w:vAlign w:val="center"/>
          </w:tcPr>
          <w:p w14:paraId="64D20C24">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女</w:t>
            </w:r>
          </w:p>
        </w:tc>
        <w:tc>
          <w:tcPr>
            <w:tcW w:w="2050" w:type="dxa"/>
            <w:vAlign w:val="center"/>
          </w:tcPr>
          <w:p w14:paraId="68D6D345">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工程师</w:t>
            </w:r>
          </w:p>
        </w:tc>
        <w:tc>
          <w:tcPr>
            <w:tcW w:w="3348" w:type="dxa"/>
            <w:vAlign w:val="center"/>
          </w:tcPr>
          <w:p w14:paraId="0A4052B1">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陕西省林业科学院</w:t>
            </w:r>
          </w:p>
        </w:tc>
        <w:tc>
          <w:tcPr>
            <w:tcW w:w="1690" w:type="dxa"/>
            <w:vAlign w:val="center"/>
          </w:tcPr>
          <w:p w14:paraId="06803A83">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标准起草</w:t>
            </w:r>
          </w:p>
        </w:tc>
      </w:tr>
      <w:tr w14:paraId="4FA4A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289" w:type="dxa"/>
            <w:vAlign w:val="center"/>
          </w:tcPr>
          <w:p w14:paraId="6CB05E20">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陈敏</w:t>
            </w:r>
          </w:p>
        </w:tc>
        <w:tc>
          <w:tcPr>
            <w:tcW w:w="813" w:type="dxa"/>
            <w:vAlign w:val="center"/>
          </w:tcPr>
          <w:p w14:paraId="366D1D48">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女</w:t>
            </w:r>
          </w:p>
        </w:tc>
        <w:tc>
          <w:tcPr>
            <w:tcW w:w="2050" w:type="dxa"/>
            <w:vAlign w:val="center"/>
          </w:tcPr>
          <w:p w14:paraId="5D4940FB">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工程师</w:t>
            </w:r>
          </w:p>
        </w:tc>
        <w:tc>
          <w:tcPr>
            <w:tcW w:w="3348" w:type="dxa"/>
            <w:vAlign w:val="center"/>
          </w:tcPr>
          <w:p w14:paraId="5955DF8F">
            <w:pPr>
              <w:jc w:val="center"/>
              <w:rPr>
                <w:rFonts w:ascii="Times New Roman" w:hAnsi="Times New Roman" w:eastAsia="宋体" w:cs="Times New Roman"/>
                <w:kern w:val="0"/>
                <w:sz w:val="28"/>
                <w:szCs w:val="32"/>
              </w:rPr>
            </w:pPr>
            <w:r>
              <w:rPr>
                <w:rFonts w:hint="eastAsia" w:ascii="Times New Roman" w:hAnsi="Times New Roman" w:eastAsia="宋体" w:cs="Times New Roman"/>
                <w:color w:val="000000" w:themeColor="text1"/>
                <w:kern w:val="0"/>
                <w:sz w:val="28"/>
                <w:szCs w:val="32"/>
                <w14:textFill>
                  <w14:solidFill>
                    <w14:schemeClr w14:val="tx1"/>
                  </w14:solidFill>
                </w14:textFill>
              </w:rPr>
              <w:t>陕西省林业科学院</w:t>
            </w:r>
          </w:p>
        </w:tc>
        <w:tc>
          <w:tcPr>
            <w:tcW w:w="1690" w:type="dxa"/>
            <w:vAlign w:val="center"/>
          </w:tcPr>
          <w:p w14:paraId="5D5BB3A4">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标准起草</w:t>
            </w:r>
          </w:p>
        </w:tc>
      </w:tr>
      <w:tr w14:paraId="566D2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289" w:type="dxa"/>
            <w:vAlign w:val="center"/>
          </w:tcPr>
          <w:p w14:paraId="454EFFF9">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任俊澎</w:t>
            </w:r>
          </w:p>
        </w:tc>
        <w:tc>
          <w:tcPr>
            <w:tcW w:w="813" w:type="dxa"/>
            <w:vAlign w:val="center"/>
          </w:tcPr>
          <w:p w14:paraId="45F65244">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女</w:t>
            </w:r>
          </w:p>
        </w:tc>
        <w:tc>
          <w:tcPr>
            <w:tcW w:w="2050" w:type="dxa"/>
            <w:vAlign w:val="center"/>
          </w:tcPr>
          <w:p w14:paraId="36B00A59">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工程师</w:t>
            </w:r>
          </w:p>
        </w:tc>
        <w:tc>
          <w:tcPr>
            <w:tcW w:w="3348" w:type="dxa"/>
            <w:vAlign w:val="center"/>
          </w:tcPr>
          <w:p w14:paraId="0A19DB4D">
            <w:pPr>
              <w:pStyle w:val="12"/>
              <w:spacing w:line="300" w:lineRule="exact"/>
              <w:ind w:firstLine="0" w:firstLineChars="0"/>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陕西省林业科学院</w:t>
            </w:r>
          </w:p>
        </w:tc>
        <w:tc>
          <w:tcPr>
            <w:tcW w:w="1690" w:type="dxa"/>
            <w:vAlign w:val="center"/>
          </w:tcPr>
          <w:p w14:paraId="28134B0E">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标准起草</w:t>
            </w:r>
          </w:p>
        </w:tc>
      </w:tr>
      <w:tr w14:paraId="2E8E4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289" w:type="dxa"/>
            <w:vAlign w:val="center"/>
          </w:tcPr>
          <w:p w14:paraId="6AD31CAE">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富世文</w:t>
            </w:r>
          </w:p>
        </w:tc>
        <w:tc>
          <w:tcPr>
            <w:tcW w:w="813" w:type="dxa"/>
            <w:vAlign w:val="center"/>
          </w:tcPr>
          <w:p w14:paraId="6BAC7C29">
            <w:pPr>
              <w:jc w:val="center"/>
              <w:rPr>
                <w:rFonts w:hint="eastAsia" w:ascii="Times New Roman" w:hAnsi="Times New Roman" w:eastAsia="宋体" w:cs="Times New Roman"/>
                <w:kern w:val="0"/>
                <w:sz w:val="28"/>
                <w:szCs w:val="32"/>
                <w:lang w:eastAsia="zh-CN"/>
              </w:rPr>
            </w:pPr>
            <w:r>
              <w:rPr>
                <w:rFonts w:hint="eastAsia" w:ascii="Times New Roman" w:hAnsi="Times New Roman" w:eastAsia="宋体" w:cs="Times New Roman"/>
                <w:kern w:val="0"/>
                <w:sz w:val="28"/>
                <w:szCs w:val="32"/>
                <w:lang w:val="en-US" w:eastAsia="zh-CN"/>
              </w:rPr>
              <w:t>男</w:t>
            </w:r>
          </w:p>
        </w:tc>
        <w:tc>
          <w:tcPr>
            <w:tcW w:w="2050" w:type="dxa"/>
            <w:vAlign w:val="center"/>
          </w:tcPr>
          <w:p w14:paraId="398FF452">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工程师</w:t>
            </w:r>
          </w:p>
        </w:tc>
        <w:tc>
          <w:tcPr>
            <w:tcW w:w="3348" w:type="dxa"/>
            <w:vAlign w:val="center"/>
          </w:tcPr>
          <w:p w14:paraId="65C0E896">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陕西省林业科学院</w:t>
            </w:r>
          </w:p>
        </w:tc>
        <w:tc>
          <w:tcPr>
            <w:tcW w:w="1690" w:type="dxa"/>
            <w:vAlign w:val="center"/>
          </w:tcPr>
          <w:p w14:paraId="317C3817">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标准起草</w:t>
            </w:r>
          </w:p>
        </w:tc>
      </w:tr>
      <w:tr w14:paraId="59059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289" w:type="dxa"/>
            <w:vAlign w:val="center"/>
          </w:tcPr>
          <w:p w14:paraId="3EE98175">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梁超琼</w:t>
            </w:r>
          </w:p>
        </w:tc>
        <w:tc>
          <w:tcPr>
            <w:tcW w:w="813" w:type="dxa"/>
            <w:vAlign w:val="center"/>
          </w:tcPr>
          <w:p w14:paraId="34E4A8B6">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女</w:t>
            </w:r>
          </w:p>
        </w:tc>
        <w:tc>
          <w:tcPr>
            <w:tcW w:w="2050" w:type="dxa"/>
            <w:vAlign w:val="center"/>
          </w:tcPr>
          <w:p w14:paraId="3758E571">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lang w:val="en-US" w:eastAsia="zh-CN"/>
              </w:rPr>
              <w:t>高级</w:t>
            </w:r>
            <w:r>
              <w:rPr>
                <w:rFonts w:hint="eastAsia" w:ascii="Times New Roman" w:hAnsi="Times New Roman" w:eastAsia="宋体" w:cs="Times New Roman"/>
                <w:kern w:val="0"/>
                <w:sz w:val="28"/>
                <w:szCs w:val="32"/>
              </w:rPr>
              <w:t>工程师</w:t>
            </w:r>
          </w:p>
        </w:tc>
        <w:tc>
          <w:tcPr>
            <w:tcW w:w="3348" w:type="dxa"/>
            <w:vAlign w:val="center"/>
          </w:tcPr>
          <w:p w14:paraId="209F5658">
            <w:pPr>
              <w:jc w:val="center"/>
              <w:rPr>
                <w:rFonts w:ascii="Times New Roman" w:hAnsi="Times New Roman" w:eastAsia="宋体" w:cs="Times New Roman"/>
                <w:kern w:val="0"/>
                <w:sz w:val="28"/>
                <w:szCs w:val="32"/>
              </w:rPr>
            </w:pPr>
            <w:r>
              <w:rPr>
                <w:rFonts w:hint="eastAsia" w:ascii="Times New Roman" w:hAnsi="Times New Roman" w:eastAsia="宋体" w:cs="Times New Roman"/>
                <w:color w:val="000000" w:themeColor="text1"/>
                <w:kern w:val="0"/>
                <w:sz w:val="28"/>
                <w:szCs w:val="32"/>
                <w14:textFill>
                  <w14:solidFill>
                    <w14:schemeClr w14:val="tx1"/>
                  </w14:solidFill>
                </w14:textFill>
              </w:rPr>
              <w:t>陕西省林业科学院</w:t>
            </w:r>
          </w:p>
        </w:tc>
        <w:tc>
          <w:tcPr>
            <w:tcW w:w="1690" w:type="dxa"/>
            <w:vAlign w:val="center"/>
          </w:tcPr>
          <w:p w14:paraId="3E2B6B95">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标准起草</w:t>
            </w:r>
          </w:p>
        </w:tc>
      </w:tr>
      <w:tr w14:paraId="7047C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289" w:type="dxa"/>
            <w:vAlign w:val="center"/>
          </w:tcPr>
          <w:p w14:paraId="191601EC">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廖正平</w:t>
            </w:r>
          </w:p>
        </w:tc>
        <w:tc>
          <w:tcPr>
            <w:tcW w:w="813" w:type="dxa"/>
            <w:vAlign w:val="center"/>
          </w:tcPr>
          <w:p w14:paraId="701839ED">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男</w:t>
            </w:r>
          </w:p>
        </w:tc>
        <w:tc>
          <w:tcPr>
            <w:tcW w:w="2050" w:type="dxa"/>
            <w:vAlign w:val="center"/>
          </w:tcPr>
          <w:p w14:paraId="1D7AD0A8">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研究员</w:t>
            </w:r>
          </w:p>
        </w:tc>
        <w:tc>
          <w:tcPr>
            <w:tcW w:w="3348" w:type="dxa"/>
            <w:vAlign w:val="center"/>
          </w:tcPr>
          <w:p w14:paraId="4034828D">
            <w:pPr>
              <w:jc w:val="center"/>
              <w:rPr>
                <w:rFonts w:ascii="Times New Roman" w:hAnsi="Times New Roman" w:eastAsia="宋体" w:cs="Times New Roman"/>
                <w:kern w:val="0"/>
                <w:sz w:val="28"/>
                <w:szCs w:val="32"/>
              </w:rPr>
            </w:pPr>
            <w:r>
              <w:rPr>
                <w:rFonts w:hint="eastAsia" w:ascii="Times New Roman" w:hAnsi="Times New Roman" w:eastAsia="宋体" w:cs="Times New Roman"/>
                <w:color w:val="000000" w:themeColor="text1"/>
                <w:kern w:val="0"/>
                <w:sz w:val="28"/>
                <w:szCs w:val="32"/>
                <w14:textFill>
                  <w14:solidFill>
                    <w14:schemeClr w14:val="tx1"/>
                  </w14:solidFill>
                </w14:textFill>
              </w:rPr>
              <w:t>陕西省林业科学院</w:t>
            </w:r>
          </w:p>
        </w:tc>
        <w:tc>
          <w:tcPr>
            <w:tcW w:w="1690" w:type="dxa"/>
            <w:vAlign w:val="center"/>
          </w:tcPr>
          <w:p w14:paraId="578A10E2">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rPr>
              <w:t>标准起草</w:t>
            </w:r>
          </w:p>
        </w:tc>
      </w:tr>
      <w:tr w14:paraId="02675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exact"/>
          <w:jc w:val="center"/>
        </w:trPr>
        <w:tc>
          <w:tcPr>
            <w:tcW w:w="1289" w:type="dxa"/>
            <w:vAlign w:val="center"/>
          </w:tcPr>
          <w:p w14:paraId="2833F65C">
            <w:pPr>
              <w:jc w:val="center"/>
              <w:rPr>
                <w:rFonts w:hint="default"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邓琳玲</w:t>
            </w:r>
          </w:p>
        </w:tc>
        <w:tc>
          <w:tcPr>
            <w:tcW w:w="813" w:type="dxa"/>
            <w:vAlign w:val="center"/>
          </w:tcPr>
          <w:p w14:paraId="1A3BE7BA">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女</w:t>
            </w:r>
          </w:p>
        </w:tc>
        <w:tc>
          <w:tcPr>
            <w:tcW w:w="2050" w:type="dxa"/>
            <w:vAlign w:val="center"/>
          </w:tcPr>
          <w:p w14:paraId="0923B9D1">
            <w:pPr>
              <w:jc w:val="center"/>
              <w:rPr>
                <w:rFonts w:hint="default"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正高级</w:t>
            </w:r>
            <w:r>
              <w:rPr>
                <w:rFonts w:hint="eastAsia" w:ascii="Times New Roman" w:hAnsi="Times New Roman" w:eastAsia="宋体" w:cs="Times New Roman"/>
                <w:kern w:val="0"/>
                <w:sz w:val="28"/>
                <w:szCs w:val="32"/>
              </w:rPr>
              <w:t>工程师</w:t>
            </w:r>
            <w:r>
              <w:rPr>
                <w:rFonts w:hint="eastAsia" w:ascii="Times New Roman" w:hAnsi="Times New Roman" w:eastAsia="宋体" w:cs="Times New Roman"/>
                <w:kern w:val="0"/>
                <w:sz w:val="28"/>
                <w:szCs w:val="32"/>
                <w:lang w:val="en-US" w:eastAsia="zh-CN"/>
              </w:rPr>
              <w:t>ggongchdengshi</w:t>
            </w:r>
          </w:p>
        </w:tc>
        <w:tc>
          <w:tcPr>
            <w:tcW w:w="3348" w:type="dxa"/>
            <w:vAlign w:val="center"/>
          </w:tcPr>
          <w:p w14:paraId="20EDC8FD">
            <w:pPr>
              <w:jc w:val="center"/>
              <w:rPr>
                <w:rFonts w:ascii="Times New Roman" w:hAnsi="Times New Roman" w:eastAsia="宋体" w:cs="Times New Roman"/>
                <w:kern w:val="0"/>
                <w:sz w:val="28"/>
                <w:szCs w:val="32"/>
              </w:rPr>
            </w:pPr>
            <w:r>
              <w:rPr>
                <w:rFonts w:hint="eastAsia" w:ascii="宋体" w:hAnsi="宋体" w:eastAsia="宋体" w:cs="宋体"/>
                <w:color w:val="000000"/>
                <w:kern w:val="0"/>
                <w:sz w:val="28"/>
                <w:szCs w:val="28"/>
                <w:lang w:bidi="ar"/>
              </w:rPr>
              <w:t>安康市林业技术推广中心</w:t>
            </w:r>
            <w:r>
              <w:rPr>
                <w:rFonts w:hint="eastAsia" w:ascii="宋体" w:hAnsi="宋体" w:eastAsia="宋体" w:cs="宋体"/>
                <w:color w:val="000000"/>
                <w:kern w:val="0"/>
                <w:sz w:val="28"/>
                <w:szCs w:val="28"/>
                <w:lang w:val="en-US" w:eastAsia="zh-CN" w:bidi="ar"/>
              </w:rPr>
              <w:t xml:space="preserve"> xin</w:t>
            </w:r>
            <w:r>
              <w:rPr>
                <w:rFonts w:hint="eastAsia" w:ascii="宋体" w:hAnsi="宋体" w:eastAsia="宋体" w:cs="宋体"/>
                <w:color w:val="000000"/>
                <w:kern w:val="0"/>
                <w:sz w:val="28"/>
                <w:szCs w:val="28"/>
                <w:lang w:bidi="ar"/>
              </w:rPr>
              <w:t>心</w:t>
            </w:r>
          </w:p>
        </w:tc>
        <w:tc>
          <w:tcPr>
            <w:tcW w:w="1690" w:type="dxa"/>
            <w:vAlign w:val="center"/>
          </w:tcPr>
          <w:p w14:paraId="692B81B8">
            <w:pPr>
              <w:jc w:val="center"/>
              <w:rPr>
                <w:rFonts w:hint="default"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方案论证</w:t>
            </w:r>
          </w:p>
        </w:tc>
      </w:tr>
      <w:tr w14:paraId="0B951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exact"/>
          <w:jc w:val="center"/>
        </w:trPr>
        <w:tc>
          <w:tcPr>
            <w:tcW w:w="1289" w:type="dxa"/>
            <w:vAlign w:val="center"/>
          </w:tcPr>
          <w:p w14:paraId="27F3BAAA">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陈旭</w:t>
            </w:r>
          </w:p>
        </w:tc>
        <w:tc>
          <w:tcPr>
            <w:tcW w:w="813" w:type="dxa"/>
            <w:vAlign w:val="center"/>
          </w:tcPr>
          <w:p w14:paraId="17B49C4D">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女</w:t>
            </w:r>
          </w:p>
        </w:tc>
        <w:tc>
          <w:tcPr>
            <w:tcW w:w="2050" w:type="dxa"/>
            <w:vAlign w:val="center"/>
          </w:tcPr>
          <w:p w14:paraId="0962504A">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工程师</w:t>
            </w:r>
          </w:p>
        </w:tc>
        <w:tc>
          <w:tcPr>
            <w:tcW w:w="3348" w:type="dxa"/>
            <w:vAlign w:val="center"/>
          </w:tcPr>
          <w:p w14:paraId="40140E2B">
            <w:pPr>
              <w:spacing w:line="360" w:lineRule="exact"/>
              <w:jc w:val="center"/>
              <w:rPr>
                <w:rFonts w:ascii="Times New Roman" w:hAnsi="Times New Roman" w:eastAsia="宋体" w:cs="Times New Roman"/>
                <w:kern w:val="0"/>
                <w:sz w:val="28"/>
                <w:szCs w:val="32"/>
              </w:rPr>
            </w:pPr>
            <w:r>
              <w:rPr>
                <w:rFonts w:hint="eastAsia" w:ascii="宋体" w:hAnsi="宋体" w:eastAsia="宋体" w:cs="宋体"/>
                <w:color w:val="000000"/>
                <w:kern w:val="0"/>
                <w:sz w:val="28"/>
                <w:szCs w:val="28"/>
                <w:lang w:bidi="ar"/>
              </w:rPr>
              <w:t>安康市林业技术推广中心</w:t>
            </w:r>
            <w:r>
              <w:rPr>
                <w:rFonts w:hint="eastAsia" w:ascii="宋体" w:hAnsi="宋体" w:eastAsia="宋体" w:cs="宋体"/>
                <w:color w:val="000000"/>
                <w:kern w:val="0"/>
                <w:sz w:val="28"/>
                <w:szCs w:val="28"/>
                <w:lang w:val="en-US" w:eastAsia="zh-CN" w:bidi="ar"/>
              </w:rPr>
              <w:t xml:space="preserve"> </w:t>
            </w:r>
          </w:p>
        </w:tc>
        <w:tc>
          <w:tcPr>
            <w:tcW w:w="1690" w:type="dxa"/>
            <w:vAlign w:val="center"/>
          </w:tcPr>
          <w:p w14:paraId="6E18BEA7">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lang w:val="en-US" w:eastAsia="zh-CN"/>
              </w:rPr>
              <w:t>方案论证</w:t>
            </w:r>
          </w:p>
        </w:tc>
      </w:tr>
      <w:tr w14:paraId="3A249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exact"/>
          <w:jc w:val="center"/>
        </w:trPr>
        <w:tc>
          <w:tcPr>
            <w:tcW w:w="1289" w:type="dxa"/>
            <w:vAlign w:val="center"/>
          </w:tcPr>
          <w:p w14:paraId="3189461D">
            <w:pPr>
              <w:jc w:val="center"/>
              <w:rPr>
                <w:rFonts w:hint="default"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司国臣</w:t>
            </w:r>
          </w:p>
        </w:tc>
        <w:tc>
          <w:tcPr>
            <w:tcW w:w="813" w:type="dxa"/>
            <w:vAlign w:val="center"/>
          </w:tcPr>
          <w:p w14:paraId="24A8E364">
            <w:pPr>
              <w:jc w:val="center"/>
              <w:rPr>
                <w:rFonts w:hint="eastAsia"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男</w:t>
            </w:r>
          </w:p>
        </w:tc>
        <w:tc>
          <w:tcPr>
            <w:tcW w:w="2050" w:type="dxa"/>
            <w:vAlign w:val="center"/>
          </w:tcPr>
          <w:p w14:paraId="3BA01169">
            <w:pPr>
              <w:jc w:val="center"/>
              <w:rPr>
                <w:rFonts w:hint="default" w:ascii="Times New Roman" w:hAnsi="Times New Roman" w:eastAsia="宋体" w:cs="Times New Roman"/>
                <w:kern w:val="0"/>
                <w:sz w:val="28"/>
                <w:szCs w:val="32"/>
                <w:lang w:val="en-US" w:eastAsia="zh-CN"/>
              </w:rPr>
            </w:pPr>
            <w:r>
              <w:rPr>
                <w:rFonts w:hint="eastAsia" w:ascii="Times New Roman" w:hAnsi="Times New Roman" w:eastAsia="宋体" w:cs="Times New Roman"/>
                <w:kern w:val="0"/>
                <w:sz w:val="28"/>
                <w:szCs w:val="32"/>
                <w:lang w:val="en-US" w:eastAsia="zh-CN"/>
              </w:rPr>
              <w:t>高级工程师</w:t>
            </w:r>
          </w:p>
        </w:tc>
        <w:tc>
          <w:tcPr>
            <w:tcW w:w="3348" w:type="dxa"/>
            <w:vAlign w:val="center"/>
          </w:tcPr>
          <w:p w14:paraId="6B59B0ED">
            <w:pPr>
              <w:spacing w:line="360" w:lineRule="exact"/>
              <w:jc w:val="center"/>
              <w:rPr>
                <w:rFonts w:hint="default" w:ascii="Times New Roman" w:hAnsi="Times New Roman" w:eastAsia="宋体" w:cs="Times New Roman"/>
                <w:kern w:val="0"/>
                <w:sz w:val="28"/>
                <w:szCs w:val="32"/>
                <w:lang w:val="en-US" w:eastAsia="zh-CN"/>
              </w:rPr>
            </w:pPr>
            <w:r>
              <w:rPr>
                <w:rFonts w:hint="eastAsia" w:ascii="宋体" w:hAnsi="宋体" w:eastAsia="宋体" w:cs="宋体"/>
                <w:color w:val="000000"/>
                <w:kern w:val="0"/>
                <w:sz w:val="28"/>
                <w:szCs w:val="28"/>
                <w:lang w:bidi="ar"/>
              </w:rPr>
              <w:t>陕西久荣古树名木保护有限公司</w:t>
            </w:r>
          </w:p>
        </w:tc>
        <w:tc>
          <w:tcPr>
            <w:tcW w:w="1690" w:type="dxa"/>
            <w:vAlign w:val="center"/>
          </w:tcPr>
          <w:p w14:paraId="1BF77D95">
            <w:pPr>
              <w:jc w:val="center"/>
              <w:rPr>
                <w:rFonts w:ascii="Times New Roman" w:hAnsi="Times New Roman" w:eastAsia="宋体" w:cs="Times New Roman"/>
                <w:kern w:val="0"/>
                <w:sz w:val="28"/>
                <w:szCs w:val="32"/>
              </w:rPr>
            </w:pPr>
            <w:r>
              <w:rPr>
                <w:rFonts w:hint="eastAsia" w:ascii="Times New Roman" w:hAnsi="Times New Roman" w:eastAsia="宋体" w:cs="Times New Roman"/>
                <w:kern w:val="0"/>
                <w:sz w:val="28"/>
                <w:szCs w:val="32"/>
                <w:lang w:val="en-US" w:eastAsia="zh-CN"/>
              </w:rPr>
              <w:t>方案论证</w:t>
            </w:r>
          </w:p>
        </w:tc>
      </w:tr>
    </w:tbl>
    <w:p w14:paraId="6CB2AF69">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textAlignment w:val="auto"/>
        <w:rPr>
          <w:rFonts w:hint="eastAsia"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 xml:space="preserve">2 标准编制原则和标准主要内容 </w:t>
      </w:r>
    </w:p>
    <w:p w14:paraId="3555DD05">
      <w:pPr>
        <w:spacing w:line="560" w:lineRule="exact"/>
        <w:rPr>
          <w:rFonts w:hint="eastAsia"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2.1 编制原则</w:t>
      </w:r>
    </w:p>
    <w:p w14:paraId="2ED617D7">
      <w:pPr>
        <w:pStyle w:val="12"/>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ascii="Times New Roman" w:hAnsi="Times New Roman" w:eastAsia="宋体" w:cs="Times New Roman"/>
          <w:sz w:val="28"/>
          <w:szCs w:val="32"/>
        </w:rPr>
      </w:pPr>
      <w:r>
        <w:rPr>
          <w:rFonts w:hint="eastAsia" w:ascii="Times New Roman" w:hAnsi="Times New Roman" w:eastAsia="宋体" w:cs="Times New Roman"/>
          <w:sz w:val="28"/>
          <w:szCs w:val="32"/>
        </w:rPr>
        <w:t>（1）规范性和标准性原则</w:t>
      </w:r>
    </w:p>
    <w:p w14:paraId="4479FE28">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color w:val="000000"/>
          <w:kern w:val="0"/>
          <w:sz w:val="28"/>
          <w:szCs w:val="28"/>
          <w:lang w:bidi="ar"/>
        </w:rPr>
      </w:pPr>
      <w:r>
        <w:rPr>
          <w:rFonts w:hint="eastAsia" w:ascii="宋体" w:hAnsi="宋体" w:eastAsia="宋体" w:cs="宋体"/>
          <w:color w:val="000000"/>
          <w:kern w:val="0"/>
          <w:sz w:val="28"/>
          <w:szCs w:val="28"/>
          <w:lang w:bidi="ar"/>
        </w:rPr>
        <w:t xml:space="preserve">编写格式按照中华人民共和国 </w:t>
      </w:r>
      <w:r>
        <w:rPr>
          <w:rFonts w:hint="eastAsia" w:ascii="Times New Roman" w:hAnsi="Times New Roman" w:eastAsia="宋体" w:cs="Times New Roman"/>
          <w:color w:val="000000"/>
          <w:kern w:val="0"/>
          <w:sz w:val="28"/>
          <w:szCs w:val="28"/>
          <w:lang w:bidi="ar"/>
        </w:rPr>
        <w:t>GB/T 1.1</w:t>
      </w:r>
      <w:r>
        <w:rPr>
          <w:rFonts w:hint="eastAsia" w:ascii="宋体" w:hAnsi="宋体" w:eastAsia="宋体" w:cs="宋体"/>
          <w:color w:val="000000"/>
          <w:kern w:val="0"/>
          <w:sz w:val="28"/>
          <w:szCs w:val="28"/>
          <w:lang w:bidi="ar"/>
        </w:rPr>
        <w:t xml:space="preserve">《标准化工作导则第1部分：标准的结构和编写》和 </w:t>
      </w:r>
      <w:r>
        <w:rPr>
          <w:rFonts w:hint="eastAsia" w:ascii="Times New Roman" w:hAnsi="Times New Roman" w:eastAsia="宋体" w:cs="Times New Roman"/>
          <w:color w:val="000000"/>
          <w:kern w:val="0"/>
          <w:sz w:val="28"/>
          <w:szCs w:val="28"/>
          <w:lang w:bidi="ar"/>
        </w:rPr>
        <w:t>GB/T 1.2</w:t>
      </w:r>
      <w:r>
        <w:rPr>
          <w:rFonts w:hint="eastAsia" w:ascii="宋体" w:hAnsi="宋体" w:eastAsia="宋体" w:cs="宋体"/>
          <w:color w:val="000000"/>
          <w:kern w:val="0"/>
          <w:sz w:val="28"/>
          <w:szCs w:val="28"/>
          <w:lang w:bidi="ar"/>
        </w:rPr>
        <w:t>《标准化工作导则第2部分：标准中规范性技术要素内容的确定方法》与国家有关标准化法律、法规要求。</w:t>
      </w:r>
    </w:p>
    <w:p w14:paraId="1FEA7AA9">
      <w:pPr>
        <w:pStyle w:val="12"/>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ascii="Times New Roman" w:hAnsi="Times New Roman" w:eastAsia="宋体" w:cs="Times New Roman"/>
          <w:sz w:val="28"/>
          <w:szCs w:val="32"/>
        </w:rPr>
      </w:pPr>
      <w:r>
        <w:rPr>
          <w:rFonts w:hint="eastAsia" w:ascii="Times New Roman" w:hAnsi="Times New Roman" w:eastAsia="宋体" w:cs="Times New Roman"/>
          <w:sz w:val="28"/>
          <w:szCs w:val="32"/>
        </w:rPr>
        <w:t>（2）科学性和可行性原则</w:t>
      </w:r>
    </w:p>
    <w:p w14:paraId="06750953">
      <w:pPr>
        <w:pStyle w:val="12"/>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ascii="Times New Roman" w:hAnsi="Times New Roman" w:eastAsia="宋体" w:cs="Times New Roman"/>
          <w:sz w:val="28"/>
          <w:szCs w:val="32"/>
        </w:rPr>
      </w:pPr>
      <w:r>
        <w:rPr>
          <w:rFonts w:ascii="Times New Roman" w:hAnsi="Times New Roman" w:eastAsia="宋体" w:cs="Times New Roman"/>
          <w:sz w:val="28"/>
          <w:szCs w:val="32"/>
        </w:rPr>
        <w:t>标准内容</w:t>
      </w:r>
      <w:r>
        <w:rPr>
          <w:rFonts w:hint="eastAsia" w:ascii="Times New Roman" w:hAnsi="Times New Roman" w:eastAsia="宋体" w:cs="Times New Roman"/>
          <w:sz w:val="28"/>
          <w:szCs w:val="32"/>
        </w:rPr>
        <w:t>深入研究，科学地制定，主要的</w:t>
      </w:r>
      <w:r>
        <w:rPr>
          <w:rFonts w:hint="eastAsia" w:ascii="Times New Roman" w:hAnsi="Times New Roman" w:eastAsia="宋体" w:cs="Times New Roman"/>
          <w:sz w:val="28"/>
          <w:szCs w:val="32"/>
          <w:lang w:val="en-US" w:eastAsia="zh-CN"/>
        </w:rPr>
        <w:t>保护管理</w:t>
      </w:r>
      <w:r>
        <w:rPr>
          <w:rFonts w:hint="eastAsia" w:ascii="Times New Roman" w:hAnsi="Times New Roman" w:eastAsia="宋体" w:cs="Times New Roman"/>
          <w:sz w:val="28"/>
          <w:szCs w:val="32"/>
        </w:rPr>
        <w:t>技术规程具有可操作性，技术步骤明确、具体、易于实施</w:t>
      </w:r>
      <w:r>
        <w:rPr>
          <w:rFonts w:ascii="Times New Roman" w:hAnsi="Times New Roman" w:eastAsia="宋体" w:cs="Times New Roman"/>
          <w:sz w:val="28"/>
          <w:szCs w:val="32"/>
        </w:rPr>
        <w:t>。</w:t>
      </w:r>
    </w:p>
    <w:p w14:paraId="6FFF875A">
      <w:pPr>
        <w:spacing w:line="560" w:lineRule="exact"/>
        <w:rPr>
          <w:rFonts w:hint="eastAsia"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2.2 标准结构、要素和技术要求</w:t>
      </w:r>
    </w:p>
    <w:p w14:paraId="780B2CD9">
      <w:pPr>
        <w:widowControl/>
        <w:spacing w:line="360" w:lineRule="auto"/>
        <w:ind w:firstLine="560" w:firstLineChars="200"/>
        <w:jc w:val="left"/>
        <w:rPr>
          <w:rFonts w:ascii="宋体" w:hAnsi="宋体" w:eastAsia="宋体" w:cs="宋体"/>
          <w:color w:val="000000"/>
          <w:kern w:val="0"/>
          <w:sz w:val="28"/>
          <w:szCs w:val="28"/>
          <w:lang w:bidi="ar"/>
        </w:rPr>
      </w:pPr>
      <w:r>
        <w:rPr>
          <w:rFonts w:hint="eastAsia" w:ascii="Times New Roman" w:hAnsi="Times New Roman" w:eastAsia="宋体" w:cs="Times New Roman"/>
          <w:sz w:val="28"/>
          <w:szCs w:val="32"/>
        </w:rPr>
        <w:t>《</w:t>
      </w:r>
      <w:r>
        <w:rPr>
          <w:rFonts w:hint="eastAsia" w:ascii="Times New Roman" w:hAnsi="Times New Roman" w:eastAsia="宋体" w:cs="Times New Roman"/>
          <w:sz w:val="28"/>
          <w:szCs w:val="32"/>
          <w:lang w:val="en-US" w:eastAsia="zh-CN"/>
        </w:rPr>
        <w:t>古树名木保护管理规范</w:t>
      </w:r>
      <w:r>
        <w:rPr>
          <w:rFonts w:hint="eastAsia" w:ascii="Times New Roman" w:hAnsi="Times New Roman" w:eastAsia="宋体" w:cs="Times New Roman"/>
          <w:sz w:val="28"/>
          <w:szCs w:val="32"/>
        </w:rPr>
        <w:t>》</w:t>
      </w:r>
      <w:r>
        <w:rPr>
          <w:rFonts w:hint="eastAsia" w:ascii="宋体" w:hAnsi="宋体" w:eastAsia="宋体" w:cs="宋体"/>
          <w:color w:val="000000"/>
          <w:kern w:val="0"/>
          <w:sz w:val="28"/>
          <w:szCs w:val="28"/>
          <w:lang w:bidi="ar"/>
        </w:rPr>
        <w:t>标准结构包括规范适用范围、规范性引用文件、</w:t>
      </w:r>
      <w:r>
        <w:rPr>
          <w:rFonts w:hint="eastAsia" w:ascii="宋体" w:hAnsi="宋体" w:eastAsia="宋体" w:cs="宋体"/>
          <w:color w:val="000000"/>
          <w:kern w:val="0"/>
          <w:sz w:val="28"/>
          <w:szCs w:val="28"/>
          <w:lang w:val="en-US" w:eastAsia="zh-CN" w:bidi="ar"/>
        </w:rPr>
        <w:t>术语和</w:t>
      </w:r>
      <w:r>
        <w:rPr>
          <w:rFonts w:hint="eastAsia" w:ascii="宋体" w:hAnsi="宋体" w:eastAsia="宋体" w:cs="宋体"/>
          <w:color w:val="000000"/>
          <w:kern w:val="0"/>
          <w:sz w:val="28"/>
          <w:szCs w:val="28"/>
          <w:lang w:bidi="ar"/>
        </w:rPr>
        <w:t>定义、</w:t>
      </w:r>
      <w:r>
        <w:rPr>
          <w:rFonts w:hint="eastAsia" w:ascii="宋体" w:hAnsi="宋体" w:eastAsia="宋体" w:cs="宋体"/>
          <w:color w:val="000000"/>
          <w:kern w:val="0"/>
          <w:sz w:val="28"/>
          <w:szCs w:val="28"/>
          <w:lang w:val="en-US" w:eastAsia="zh-CN" w:bidi="ar"/>
        </w:rPr>
        <w:t>古树每木调查、健康评价、救护复壮、养护管理、档案管理8</w:t>
      </w:r>
      <w:r>
        <w:rPr>
          <w:rFonts w:hint="eastAsia" w:ascii="宋体" w:hAnsi="宋体" w:eastAsia="宋体" w:cs="宋体"/>
          <w:color w:val="000000"/>
          <w:kern w:val="0"/>
          <w:sz w:val="28"/>
          <w:szCs w:val="28"/>
          <w:lang w:bidi="ar"/>
        </w:rPr>
        <w:t>个部分。</w:t>
      </w:r>
    </w:p>
    <w:p w14:paraId="0F944E3E">
      <w:pPr>
        <w:pStyle w:val="2"/>
        <w:rPr>
          <w:rFonts w:hint="eastAsia" w:ascii="宋体" w:hAnsi="宋体" w:eastAsia="宋体" w:cs="宋体"/>
          <w:color w:val="000000"/>
          <w:kern w:val="0"/>
          <w:sz w:val="28"/>
          <w:szCs w:val="28"/>
          <w:lang w:bidi="ar"/>
        </w:rPr>
      </w:pPr>
      <w:r>
        <w:rPr>
          <w:rFonts w:hint="eastAsia" w:ascii="宋体" w:hAnsi="宋体" w:eastAsia="宋体" w:cs="宋体"/>
          <w:color w:val="000000"/>
          <w:kern w:val="0"/>
          <w:sz w:val="28"/>
          <w:szCs w:val="28"/>
          <w:lang w:bidi="ar"/>
        </w:rPr>
        <w:t>详细要素和技术要求如下：</w:t>
      </w:r>
    </w:p>
    <w:p w14:paraId="7E7AB49A">
      <w:pPr>
        <w:pStyle w:val="2"/>
        <w:numPr>
          <w:ilvl w:val="0"/>
          <w:numId w:val="0"/>
        </w:numPr>
        <w:ind w:firstLine="560" w:firstLineChars="200"/>
        <w:rPr>
          <w:rFonts w:hint="eastAsia"/>
          <w:sz w:val="28"/>
          <w:szCs w:val="28"/>
        </w:rPr>
      </w:pPr>
      <w:r>
        <w:rPr>
          <w:rFonts w:hint="eastAsia" w:asciiTheme="minorHAnsi" w:hAnsiTheme="minorHAnsi" w:eastAsiaTheme="minorEastAsia" w:cstheme="minorBidi"/>
          <w:kern w:val="2"/>
          <w:sz w:val="28"/>
          <w:szCs w:val="28"/>
          <w:lang w:val="en-US" w:eastAsia="zh-CN" w:bidi="ar-SA"/>
        </w:rPr>
        <w:t>（</w:t>
      </w:r>
      <w:r>
        <w:rPr>
          <w:rFonts w:hint="eastAsia" w:ascii="宋体" w:hAnsi="宋体" w:eastAsia="宋体" w:cs="宋体"/>
          <w:color w:val="000000"/>
          <w:kern w:val="0"/>
          <w:sz w:val="28"/>
          <w:szCs w:val="28"/>
          <w:lang w:val="en-US" w:eastAsia="zh-CN" w:bidi="ar"/>
        </w:rPr>
        <w:t>1</w:t>
      </w:r>
      <w:r>
        <w:rPr>
          <w:rFonts w:hint="eastAsia" w:asciiTheme="minorHAnsi" w:hAnsiTheme="minorHAnsi" w:eastAsiaTheme="minorEastAsia" w:cstheme="minorBidi"/>
          <w:kern w:val="2"/>
          <w:sz w:val="28"/>
          <w:szCs w:val="28"/>
          <w:lang w:val="en-US" w:eastAsia="zh-CN" w:bidi="ar-SA"/>
        </w:rPr>
        <w:t>）</w:t>
      </w:r>
      <w:r>
        <w:rPr>
          <w:rFonts w:hint="eastAsia" w:ascii="宋体" w:hAnsi="宋体" w:eastAsia="宋体" w:cs="宋体"/>
          <w:color w:val="000000"/>
          <w:kern w:val="0"/>
          <w:sz w:val="28"/>
          <w:szCs w:val="28"/>
          <w:lang w:bidi="ar"/>
        </w:rPr>
        <w:t>规范适用范围需要</w:t>
      </w:r>
      <w:r>
        <w:rPr>
          <w:rFonts w:hint="eastAsia"/>
          <w:sz w:val="28"/>
          <w:szCs w:val="28"/>
        </w:rPr>
        <w:t>确定规范内容和本</w:t>
      </w:r>
      <w:r>
        <w:rPr>
          <w:rFonts w:hint="eastAsia"/>
          <w:sz w:val="28"/>
          <w:szCs w:val="28"/>
          <w:lang w:val="en-US" w:eastAsia="zh-CN"/>
        </w:rPr>
        <w:t>文件</w:t>
      </w:r>
      <w:r>
        <w:rPr>
          <w:rFonts w:hint="eastAsia"/>
          <w:sz w:val="28"/>
          <w:szCs w:val="28"/>
        </w:rPr>
        <w:t>适用对象。</w:t>
      </w:r>
    </w:p>
    <w:p w14:paraId="3AFBEBB4">
      <w:pPr>
        <w:pStyle w:val="2"/>
        <w:numPr>
          <w:ilvl w:val="0"/>
          <w:numId w:val="0"/>
        </w:numPr>
        <w:ind w:firstLine="560" w:firstLineChars="200"/>
        <w:rPr>
          <w:rFonts w:hint="eastAsia" w:eastAsiaTheme="minorEastAsia"/>
          <w:sz w:val="28"/>
          <w:szCs w:val="28"/>
          <w:lang w:val="en-US" w:eastAsia="zh-CN"/>
        </w:rPr>
      </w:pPr>
      <w:r>
        <w:rPr>
          <w:rFonts w:hint="eastAsia" w:ascii="宋体" w:hAnsi="宋体" w:eastAsia="宋体" w:cs="宋体"/>
          <w:color w:val="000000"/>
          <w:kern w:val="0"/>
          <w:sz w:val="28"/>
          <w:szCs w:val="28"/>
          <w:lang w:bidi="ar"/>
        </w:rPr>
        <w:t>（2）</w:t>
      </w:r>
      <w:r>
        <w:rPr>
          <w:rFonts w:hint="eastAsia" w:ascii="宋体" w:hAnsi="宋体" w:eastAsia="宋体" w:cs="宋体"/>
          <w:color w:val="000000"/>
          <w:kern w:val="0"/>
          <w:sz w:val="28"/>
          <w:szCs w:val="28"/>
          <w:lang w:val="en-US" w:eastAsia="zh-CN" w:bidi="ar"/>
        </w:rPr>
        <w:t xml:space="preserve"> </w:t>
      </w:r>
      <w:r>
        <w:rPr>
          <w:rFonts w:hint="eastAsia" w:ascii="宋体" w:hAnsi="宋体" w:eastAsia="宋体" w:cs="宋体"/>
          <w:color w:val="000000"/>
          <w:kern w:val="0"/>
          <w:sz w:val="28"/>
          <w:szCs w:val="28"/>
          <w:lang w:bidi="ar"/>
        </w:rPr>
        <w:t>规范性引用文件部分需要对</w:t>
      </w:r>
      <w:r>
        <w:rPr>
          <w:rFonts w:hint="eastAsia"/>
          <w:sz w:val="28"/>
          <w:szCs w:val="28"/>
        </w:rPr>
        <w:t>规范性引用文件进行详细</w:t>
      </w:r>
      <w:r>
        <w:rPr>
          <w:rFonts w:hint="eastAsia"/>
          <w:sz w:val="28"/>
          <w:szCs w:val="28"/>
          <w:lang w:val="en-US" w:eastAsia="zh-CN"/>
        </w:rPr>
        <w:t>说明。</w:t>
      </w:r>
    </w:p>
    <w:p w14:paraId="687B7D90">
      <w:pPr>
        <w:pStyle w:val="2"/>
        <w:numPr>
          <w:ilvl w:val="0"/>
          <w:numId w:val="0"/>
        </w:numPr>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（3）术语和定义部分需要对古树、名木、健康评价、环境伤病、树体伤病、建设性破坏、保护性伤害、每木调查法进行确切定义。</w:t>
      </w:r>
    </w:p>
    <w:p w14:paraId="6CC11C4F">
      <w:pPr>
        <w:pStyle w:val="2"/>
        <w:ind w:left="0" w:leftChars="0"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（4）古树每木调查需要对古树登记、古树保护分级、环境因子调查、形态学调查进行详细说明。</w:t>
      </w:r>
    </w:p>
    <w:p w14:paraId="4CE9FDCD">
      <w:pPr>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（5）健康评价需要对评价指标与测量方法、评价指标计算公式、健康等级判别进行详细说明。</w:t>
      </w:r>
    </w:p>
    <w:p w14:paraId="0934D66C">
      <w:pPr>
        <w:pStyle w:val="2"/>
        <w:ind w:left="0" w:leftChars="0"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（6）救护复壮需要确定环境治理、树体伤病修复、有害生物防治方法和具体要求。</w:t>
      </w:r>
    </w:p>
    <w:p w14:paraId="194C0D08">
      <w:pPr>
        <w:pStyle w:val="2"/>
        <w:ind w:left="0" w:leftChars="0"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（7）养护管理需要确定养护责任、养护对象、养护内容和养护措施等具体要求。</w:t>
      </w:r>
    </w:p>
    <w:p w14:paraId="15DC8C50">
      <w:pPr>
        <w:pStyle w:val="2"/>
        <w:ind w:left="0" w:leftChars="0" w:firstLine="560" w:firstLineChars="200"/>
        <w:rPr>
          <w:rFonts w:hint="default"/>
          <w:lang w:val="en-US" w:eastAsia="zh-CN"/>
        </w:rPr>
      </w:pPr>
      <w:r>
        <w:rPr>
          <w:rFonts w:hint="eastAsia" w:ascii="宋体" w:hAnsi="宋体" w:eastAsia="宋体" w:cs="宋体"/>
          <w:color w:val="000000"/>
          <w:kern w:val="0"/>
          <w:sz w:val="28"/>
          <w:szCs w:val="28"/>
          <w:lang w:val="en-US" w:eastAsia="zh-CN" w:bidi="ar"/>
        </w:rPr>
        <w:t>（8）档案管理需要确定古树名木保护档案管理方法。</w:t>
      </w:r>
    </w:p>
    <w:p w14:paraId="1D3B40EC">
      <w:pPr>
        <w:spacing w:line="560" w:lineRule="exact"/>
        <w:rPr>
          <w:rFonts w:hint="eastAsia"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2.3 关键指标的确定依据</w:t>
      </w:r>
    </w:p>
    <w:p w14:paraId="0D14948E">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560" w:firstLineChars="200"/>
        <w:textAlignment w:val="auto"/>
        <w:rPr>
          <w:rFonts w:ascii="Times New Roman" w:hAnsi="Times New Roman" w:eastAsia="宋体" w:cs="Times New Roman"/>
          <w:color w:val="FF0000"/>
          <w:sz w:val="28"/>
          <w:szCs w:val="32"/>
        </w:rPr>
      </w:pPr>
      <w:r>
        <w:rPr>
          <w:rFonts w:hint="eastAsia" w:ascii="宋体" w:hAnsi="宋体" w:eastAsia="宋体" w:cs="宋体"/>
          <w:color w:val="000000"/>
          <w:kern w:val="0"/>
          <w:sz w:val="28"/>
          <w:szCs w:val="28"/>
          <w:lang w:bidi="ar"/>
        </w:rPr>
        <w:t xml:space="preserve"> </w:t>
      </w:r>
      <w:r>
        <w:rPr>
          <w:rFonts w:hint="eastAsia" w:ascii="Times New Roman" w:hAnsi="Times New Roman" w:eastAsia="宋体" w:cs="Times New Roman"/>
          <w:sz w:val="28"/>
          <w:szCs w:val="32"/>
        </w:rPr>
        <w:t>本标准关键指标是编制单位陕西省林业科学院、</w:t>
      </w:r>
      <w:r>
        <w:rPr>
          <w:rFonts w:hint="eastAsia" w:ascii="宋体" w:hAnsi="宋体" w:eastAsia="宋体" w:cs="宋体"/>
          <w:color w:val="000000"/>
          <w:kern w:val="0"/>
          <w:sz w:val="28"/>
          <w:szCs w:val="28"/>
          <w:lang w:bidi="ar"/>
        </w:rPr>
        <w:t>安康市林业技术推广中心根据多年的实践经验和试验验证结果来确定的</w:t>
      </w:r>
      <w:r>
        <w:rPr>
          <w:rFonts w:hint="eastAsia" w:ascii="Times New Roman" w:hAnsi="Times New Roman" w:eastAsia="宋体" w:cs="Times New Roman"/>
          <w:sz w:val="28"/>
          <w:szCs w:val="32"/>
        </w:rPr>
        <w:t>。</w:t>
      </w:r>
    </w:p>
    <w:p w14:paraId="324C347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2.4 主要内容</w:t>
      </w:r>
    </w:p>
    <w:p w14:paraId="7B492695">
      <w:pPr>
        <w:pStyle w:val="12"/>
        <w:spacing w:line="360" w:lineRule="auto"/>
        <w:ind w:left="0" w:leftChars="0" w:firstLine="560" w:firstLineChars="200"/>
        <w:rPr>
          <w:rFonts w:hint="eastAsia" w:ascii="Times New Roman" w:hAnsi="Times New Roman" w:eastAsia="宋体" w:cs="Times New Roman"/>
          <w:color w:val="000000" w:themeColor="text1"/>
          <w:sz w:val="28"/>
          <w:szCs w:val="32"/>
          <w:lang w:val="en-US" w:eastAsia="zh-CN"/>
          <w14:textFill>
            <w14:solidFill>
              <w14:schemeClr w14:val="tx1"/>
            </w14:solidFill>
          </w14:textFill>
        </w:rPr>
      </w:pPr>
      <w:r>
        <w:rPr>
          <w:rFonts w:hint="eastAsia" w:ascii="Times New Roman" w:hAnsi="Times New Roman" w:eastAsia="宋体" w:cs="Times New Roman"/>
          <w:color w:val="000000" w:themeColor="text1"/>
          <w:sz w:val="28"/>
          <w:szCs w:val="32"/>
          <w:lang w:eastAsia="zh-CN"/>
          <w14:textFill>
            <w14:solidFill>
              <w14:schemeClr w14:val="tx1"/>
            </w14:solidFill>
          </w14:textFill>
        </w:rPr>
        <w:t>（</w:t>
      </w:r>
      <w:r>
        <w:rPr>
          <w:rFonts w:hint="eastAsia" w:ascii="Times New Roman" w:hAnsi="Times New Roman" w:eastAsia="宋体" w:cs="Times New Roman"/>
          <w:color w:val="000000" w:themeColor="text1"/>
          <w:sz w:val="28"/>
          <w:szCs w:val="32"/>
          <w:lang w:val="en-US" w:eastAsia="zh-CN"/>
          <w14:textFill>
            <w14:solidFill>
              <w14:schemeClr w14:val="tx1"/>
            </w14:solidFill>
          </w14:textFill>
        </w:rPr>
        <w:t>1）范围</w:t>
      </w:r>
    </w:p>
    <w:p w14:paraId="3477BBED">
      <w:pPr>
        <w:pStyle w:val="13"/>
        <w:rPr>
          <w:rFonts w:hint="eastAsia" w:ascii="Times New Roman" w:hAnsi="Times New Roman" w:eastAsia="宋体" w:cs="Times New Roman"/>
          <w:kern w:val="2"/>
          <w:sz w:val="28"/>
          <w:szCs w:val="32"/>
          <w:lang w:val="en-US" w:eastAsia="zh-CN" w:bidi="ar-SA"/>
        </w:rPr>
      </w:pPr>
      <w:r>
        <w:rPr>
          <w:rFonts w:hint="eastAsia" w:ascii="Times New Roman" w:hAnsi="Times New Roman" w:eastAsia="宋体" w:cs="Times New Roman"/>
          <w:kern w:val="2"/>
          <w:sz w:val="28"/>
          <w:szCs w:val="32"/>
          <w:lang w:val="en-US" w:eastAsia="zh-CN" w:bidi="ar-SA"/>
        </w:rPr>
        <w:t>本文件规定了古树名木保护管理和养护技术的术语、定义以及在古树名木保护管理过程中关于资源调查、健康评价、救护复壮、养护管理等技术方法和要求。</w:t>
      </w:r>
    </w:p>
    <w:p w14:paraId="79737A15">
      <w:pPr>
        <w:pStyle w:val="13"/>
        <w:rPr>
          <w:rFonts w:hint="eastAsia" w:ascii="Times New Roman" w:hAnsi="Times New Roman" w:eastAsia="宋体" w:cs="Times New Roman"/>
          <w:kern w:val="2"/>
          <w:sz w:val="28"/>
          <w:szCs w:val="32"/>
          <w:lang w:val="en-US" w:eastAsia="zh-CN" w:bidi="ar-SA"/>
        </w:rPr>
      </w:pPr>
      <w:r>
        <w:rPr>
          <w:rFonts w:hint="eastAsia" w:ascii="Times New Roman" w:hAnsi="Times New Roman" w:eastAsia="宋体" w:cs="Times New Roman"/>
          <w:kern w:val="2"/>
          <w:sz w:val="28"/>
          <w:szCs w:val="32"/>
          <w:lang w:val="en-US" w:eastAsia="zh-CN" w:bidi="ar-SA"/>
        </w:rPr>
        <w:t>本</w:t>
      </w:r>
      <w:r>
        <w:rPr>
          <w:rFonts w:hint="eastAsia" w:ascii="Times New Roman" w:cs="Times New Roman"/>
          <w:kern w:val="2"/>
          <w:sz w:val="28"/>
          <w:szCs w:val="32"/>
          <w:lang w:val="en-US" w:eastAsia="zh-CN" w:bidi="ar-SA"/>
        </w:rPr>
        <w:t>文件适用</w:t>
      </w:r>
      <w:r>
        <w:rPr>
          <w:rFonts w:hint="eastAsia" w:ascii="Times New Roman" w:hAnsi="Times New Roman" w:eastAsia="宋体" w:cs="Times New Roman"/>
          <w:kern w:val="2"/>
          <w:sz w:val="28"/>
          <w:szCs w:val="32"/>
          <w:lang w:val="en-US" w:eastAsia="zh-CN" w:bidi="ar-SA"/>
        </w:rPr>
        <w:t>于陕西省范围内古树名木的管理和养护。</w:t>
      </w:r>
    </w:p>
    <w:p w14:paraId="3A95DC20">
      <w:pPr>
        <w:pStyle w:val="12"/>
        <w:spacing w:line="360" w:lineRule="auto"/>
        <w:ind w:left="0" w:leftChars="0" w:firstLine="560" w:firstLineChars="200"/>
        <w:rPr>
          <w:rFonts w:ascii="Times New Roman" w:hAnsi="Times New Roman" w:eastAsia="宋体" w:cs="Times New Roman"/>
          <w:color w:val="000000" w:themeColor="text1"/>
          <w:sz w:val="28"/>
          <w:szCs w:val="32"/>
          <w14:textFill>
            <w14:solidFill>
              <w14:schemeClr w14:val="tx1"/>
            </w14:solidFill>
          </w14:textFill>
        </w:rPr>
      </w:pPr>
      <w:r>
        <w:rPr>
          <w:rFonts w:hint="eastAsia" w:ascii="Times New Roman" w:hAnsi="Times New Roman" w:eastAsia="宋体" w:cs="Times New Roman"/>
          <w:color w:val="000000" w:themeColor="text1"/>
          <w:sz w:val="28"/>
          <w:szCs w:val="32"/>
          <w14:textFill>
            <w14:solidFill>
              <w14:schemeClr w14:val="tx1"/>
            </w14:solidFill>
          </w14:textFill>
        </w:rPr>
        <w:t>（</w:t>
      </w:r>
      <w:r>
        <w:rPr>
          <w:rFonts w:ascii="Times New Roman" w:hAnsi="Times New Roman" w:eastAsia="宋体" w:cs="Times New Roman"/>
          <w:color w:val="000000" w:themeColor="text1"/>
          <w:sz w:val="28"/>
          <w:szCs w:val="32"/>
          <w14:textFill>
            <w14:solidFill>
              <w14:schemeClr w14:val="tx1"/>
            </w14:solidFill>
          </w14:textFill>
        </w:rPr>
        <w:t>2）规范性引用文件</w:t>
      </w:r>
    </w:p>
    <w:p w14:paraId="5CDAB4D4">
      <w:pPr>
        <w:pStyle w:val="13"/>
        <w:rPr>
          <w:rFonts w:hint="eastAsia" w:ascii="Times New Roman" w:hAnsi="Times New Roman" w:eastAsia="宋体" w:cs="Times New Roman"/>
          <w:color w:val="000000" w:themeColor="text1"/>
          <w:sz w:val="28"/>
          <w:szCs w:val="32"/>
          <w14:textFill>
            <w14:solidFill>
              <w14:schemeClr w14:val="tx1"/>
            </w14:solidFill>
          </w14:textFill>
        </w:rPr>
      </w:pPr>
      <w:r>
        <w:rPr>
          <w:rFonts w:hint="eastAsia" w:ascii="Times New Roman" w:hAnsi="Times New Roman" w:eastAsia="宋体" w:cs="Times New Roman"/>
          <w:color w:val="000000" w:themeColor="text1"/>
          <w:sz w:val="28"/>
          <w:szCs w:val="32"/>
          <w14:textFill>
            <w14:solidFill>
              <w14:schemeClr w14:val="tx1"/>
            </w14:solidFill>
          </w14:textFill>
        </w:rPr>
        <w:t>对规范性引用文件进行了说明。</w:t>
      </w:r>
    </w:p>
    <w:p w14:paraId="406F98DC">
      <w:pPr>
        <w:widowControl/>
        <w:spacing w:line="600" w:lineRule="exact"/>
        <w:ind w:firstLine="560" w:firstLineChars="200"/>
        <w:jc w:val="left"/>
        <w:rPr>
          <w:rFonts w:ascii="宋体" w:hAnsi="宋体" w:eastAsia="宋体" w:cs="宋体"/>
          <w:color w:val="000000"/>
          <w:kern w:val="0"/>
          <w:sz w:val="28"/>
          <w:szCs w:val="28"/>
          <w:lang w:bidi="ar"/>
        </w:rPr>
      </w:pPr>
      <w:r>
        <w:rPr>
          <w:rFonts w:hint="eastAsia" w:ascii="宋体" w:hAnsi="宋体" w:eastAsia="宋体" w:cs="宋体"/>
          <w:color w:val="000000"/>
          <w:kern w:val="0"/>
          <w:sz w:val="28"/>
          <w:szCs w:val="28"/>
          <w:lang w:bidi="ar"/>
        </w:rPr>
        <w:t>（3）术语和定义</w:t>
      </w:r>
    </w:p>
    <w:p w14:paraId="3698ED4C">
      <w:pPr>
        <w:pStyle w:val="2"/>
        <w:numPr>
          <w:ilvl w:val="0"/>
          <w:numId w:val="0"/>
        </w:numPr>
        <w:ind w:firstLine="560" w:firstLineChars="200"/>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对古树、名木、健康评价、环境伤病、树体伤病、建设性破坏、保护性伤害、每木调查法进行了定义。</w:t>
      </w:r>
    </w:p>
    <w:p w14:paraId="3C3E0518">
      <w:pPr>
        <w:widowControl/>
        <w:spacing w:line="600" w:lineRule="exact"/>
        <w:ind w:firstLine="560" w:firstLineChars="200"/>
        <w:jc w:val="left"/>
        <w:rPr>
          <w:rFonts w:hint="eastAsia" w:ascii="宋体" w:hAnsi="宋体" w:eastAsia="宋体" w:cs="宋体"/>
          <w:color w:val="000000"/>
          <w:kern w:val="0"/>
          <w:sz w:val="28"/>
          <w:szCs w:val="28"/>
          <w:lang w:val="en-US" w:eastAsia="zh-CN" w:bidi="ar"/>
        </w:rPr>
      </w:pPr>
      <w:bookmarkStart w:id="2" w:name="_Toc187251663"/>
      <w:bookmarkStart w:id="3" w:name="_Toc187251560"/>
      <w:bookmarkStart w:id="4" w:name="_Toc187251489"/>
      <w:r>
        <w:rPr>
          <w:rFonts w:hint="eastAsia" w:ascii="宋体" w:hAnsi="宋体" w:eastAsia="宋体" w:cs="宋体"/>
          <w:color w:val="000000"/>
          <w:kern w:val="0"/>
          <w:sz w:val="28"/>
          <w:szCs w:val="28"/>
          <w:lang w:val="en-US" w:eastAsia="zh-CN" w:bidi="ar"/>
        </w:rPr>
        <w:t>（4）古树每木调查</w:t>
      </w:r>
      <w:bookmarkEnd w:id="2"/>
      <w:bookmarkEnd w:id="3"/>
      <w:bookmarkEnd w:id="4"/>
    </w:p>
    <w:p w14:paraId="2033E7AB">
      <w:pPr>
        <w:widowControl/>
        <w:spacing w:line="600" w:lineRule="exact"/>
        <w:ind w:firstLine="560" w:firstLineChars="200"/>
        <w:jc w:val="left"/>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①古树登记</w:t>
      </w:r>
    </w:p>
    <w:p w14:paraId="3F019F0F">
      <w:pPr>
        <w:pStyle w:val="2"/>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规定了进行古树确认、登记的树龄标准。</w:t>
      </w:r>
    </w:p>
    <w:p w14:paraId="1D050768">
      <w:pPr>
        <w:widowControl/>
        <w:spacing w:line="600" w:lineRule="exact"/>
        <w:ind w:firstLine="560" w:firstLineChars="200"/>
        <w:jc w:val="left"/>
        <w:rPr>
          <w:rFonts w:hint="eastAsia" w:ascii="宋体" w:hAnsi="宋体" w:eastAsia="宋体" w:cs="宋体"/>
          <w:color w:val="000000"/>
          <w:kern w:val="0"/>
          <w:sz w:val="28"/>
          <w:szCs w:val="28"/>
          <w:lang w:val="en-US" w:eastAsia="zh-CN" w:bidi="ar"/>
        </w:rPr>
      </w:pPr>
      <w:r>
        <w:rPr>
          <w:rFonts w:hint="eastAsia" w:ascii="宋体" w:hAnsi="宋体" w:eastAsia="宋体" w:cs="宋体"/>
          <w:color w:val="000000"/>
          <w:kern w:val="0"/>
          <w:sz w:val="28"/>
          <w:szCs w:val="28"/>
          <w:lang w:val="en-US" w:eastAsia="zh-CN" w:bidi="ar"/>
        </w:rPr>
        <w:t>②古树保护分级</w:t>
      </w:r>
    </w:p>
    <w:p w14:paraId="11FAAD1B">
      <w:pPr>
        <w:pStyle w:val="2"/>
        <w:rPr>
          <w:rFonts w:hint="default"/>
          <w:lang w:val="en-US" w:eastAsia="zh-CN"/>
        </w:rPr>
      </w:pPr>
      <w:r>
        <w:rPr>
          <w:rFonts w:hint="eastAsia" w:ascii="宋体" w:hAnsi="宋体" w:eastAsia="宋体" w:cs="宋体"/>
          <w:color w:val="000000"/>
          <w:kern w:val="0"/>
          <w:sz w:val="28"/>
          <w:szCs w:val="28"/>
          <w:lang w:val="en-US" w:eastAsia="zh-CN" w:bidi="ar"/>
        </w:rPr>
        <w:t>规定了古树保护等级标准。</w:t>
      </w:r>
    </w:p>
    <w:p w14:paraId="031270F1">
      <w:pPr>
        <w:pStyle w:val="13"/>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③环境因子调查</w:t>
      </w:r>
    </w:p>
    <w:p w14:paraId="12AD8C22">
      <w:pPr>
        <w:pStyle w:val="13"/>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规定了影响古树的环境因子调查内容。</w:t>
      </w:r>
    </w:p>
    <w:p w14:paraId="3886D371">
      <w:pPr>
        <w:pStyle w:val="13"/>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④形态学调查</w:t>
      </w:r>
    </w:p>
    <w:p w14:paraId="26E7112D">
      <w:pPr>
        <w:pStyle w:val="13"/>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规定了古树树体健康状况调查内容。</w:t>
      </w:r>
    </w:p>
    <w:p w14:paraId="011EF387">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hAnsi="Times New Roman" w:eastAsia="宋体" w:cs="Times New Roman"/>
          <w:color w:val="000000" w:themeColor="text1"/>
          <w:sz w:val="28"/>
          <w:szCs w:val="32"/>
          <w:lang w:val="en-US" w:eastAsia="zh-CN" w:bidi="ar-SA"/>
          <w14:textFill>
            <w14:solidFill>
              <w14:schemeClr w14:val="tx1"/>
            </w14:solidFill>
          </w14:textFill>
        </w:rPr>
        <w:t>（5）</w:t>
      </w:r>
      <w:r>
        <w:rPr>
          <w:rFonts w:hint="eastAsia" w:ascii="Times New Roman" w:cs="Times New Roman"/>
          <w:color w:val="000000" w:themeColor="text1"/>
          <w:sz w:val="28"/>
          <w:szCs w:val="32"/>
          <w:lang w:val="en-US" w:eastAsia="zh-CN"/>
          <w14:textFill>
            <w14:solidFill>
              <w14:schemeClr w14:val="tx1"/>
            </w14:solidFill>
          </w14:textFill>
        </w:rPr>
        <w:t>健康评价</w:t>
      </w:r>
    </w:p>
    <w:p w14:paraId="16746009">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①评价指标与测量方法</w:t>
      </w:r>
    </w:p>
    <w:p w14:paraId="34C99189">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规定了古树名木健康评价的指标分级与权重及测量方法。</w:t>
      </w:r>
    </w:p>
    <w:p w14:paraId="2754360F">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②评价指标计算</w:t>
      </w:r>
    </w:p>
    <w:p w14:paraId="63EBDE94">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规定了单项指标计算和综合指标计算方法。</w:t>
      </w:r>
    </w:p>
    <w:p w14:paraId="6DEF221E">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③健康等级判别</w:t>
      </w:r>
    </w:p>
    <w:p w14:paraId="1BF2D08B">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规定了古树名木健康状况特征及健康评价等级判别标准。</w:t>
      </w:r>
    </w:p>
    <w:p w14:paraId="2BF58D18">
      <w:pPr>
        <w:pStyle w:val="13"/>
        <w:numPr>
          <w:ilvl w:val="0"/>
          <w:numId w:val="0"/>
        </w:numPr>
        <w:ind w:left="0" w:leftChars="0"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hAnsi="Times New Roman" w:eastAsia="宋体" w:cs="Times New Roman"/>
          <w:color w:val="000000" w:themeColor="text1"/>
          <w:sz w:val="28"/>
          <w:szCs w:val="32"/>
          <w:lang w:val="en-US" w:eastAsia="zh-CN" w:bidi="ar-SA"/>
          <w14:textFill>
            <w14:solidFill>
              <w14:schemeClr w14:val="tx1"/>
            </w14:solidFill>
          </w14:textFill>
        </w:rPr>
        <w:t>（6）</w:t>
      </w:r>
      <w:r>
        <w:rPr>
          <w:rFonts w:hint="eastAsia" w:ascii="Times New Roman" w:cs="Times New Roman"/>
          <w:color w:val="000000" w:themeColor="text1"/>
          <w:sz w:val="28"/>
          <w:szCs w:val="32"/>
          <w:lang w:val="en-US" w:eastAsia="zh-CN"/>
          <w14:textFill>
            <w14:solidFill>
              <w14:schemeClr w14:val="tx1"/>
            </w14:solidFill>
          </w14:textFill>
        </w:rPr>
        <w:t>救护复壮</w:t>
      </w:r>
    </w:p>
    <w:p w14:paraId="75DDA8D0">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①环境治理</w:t>
      </w:r>
    </w:p>
    <w:p w14:paraId="4FBC26D9">
      <w:pPr>
        <w:pStyle w:val="13"/>
        <w:numPr>
          <w:ilvl w:val="0"/>
          <w:numId w:val="0"/>
        </w:numPr>
        <w:ind w:firstLine="560" w:firstLineChars="200"/>
        <w:rPr>
          <w:rFonts w:hint="default"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规定了对古树名木进行环境治理的内容和方法。</w:t>
      </w:r>
    </w:p>
    <w:p w14:paraId="2D5F45EF">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②树体伤病修复</w:t>
      </w:r>
    </w:p>
    <w:p w14:paraId="44DDA208">
      <w:pPr>
        <w:pStyle w:val="13"/>
        <w:numPr>
          <w:ilvl w:val="0"/>
          <w:numId w:val="0"/>
        </w:numPr>
        <w:ind w:firstLine="560" w:firstLineChars="200"/>
        <w:rPr>
          <w:rFonts w:hint="default"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规定了树体伤病的内容及修复方法。</w:t>
      </w:r>
    </w:p>
    <w:p w14:paraId="146C9A81">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③有害生物防控</w:t>
      </w:r>
    </w:p>
    <w:p w14:paraId="60FB30AA">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规定了有害生物防控原则、常见的古树名木有害生物种类及其防治措施。</w:t>
      </w:r>
    </w:p>
    <w:p w14:paraId="061DC0FD">
      <w:pPr>
        <w:pStyle w:val="13"/>
        <w:numPr>
          <w:ilvl w:val="0"/>
          <w:numId w:val="0"/>
        </w:numPr>
        <w:ind w:firstLine="560" w:firstLineChars="200"/>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hAnsi="Times New Roman" w:eastAsia="宋体" w:cs="Times New Roman"/>
          <w:color w:val="000000" w:themeColor="text1"/>
          <w:sz w:val="28"/>
          <w:szCs w:val="32"/>
          <w:lang w:val="en-US" w:eastAsia="zh-CN" w:bidi="ar-SA"/>
          <w14:textFill>
            <w14:solidFill>
              <w14:schemeClr w14:val="tx1"/>
            </w14:solidFill>
          </w14:textFill>
        </w:rPr>
        <w:t>（7）</w:t>
      </w:r>
      <w:r>
        <w:rPr>
          <w:rFonts w:hint="eastAsia" w:ascii="Times New Roman" w:cs="Times New Roman"/>
          <w:color w:val="000000" w:themeColor="text1"/>
          <w:sz w:val="28"/>
          <w:szCs w:val="32"/>
          <w:lang w:val="en-US" w:eastAsia="zh-CN"/>
          <w14:textFill>
            <w14:solidFill>
              <w14:schemeClr w14:val="tx1"/>
            </w14:solidFill>
          </w14:textFill>
        </w:rPr>
        <w:t>养护管理</w:t>
      </w:r>
    </w:p>
    <w:p w14:paraId="44474A3A">
      <w:pPr>
        <w:pStyle w:val="13"/>
        <w:numPr>
          <w:ilvl w:val="0"/>
          <w:numId w:val="0"/>
        </w:numPr>
        <w:ind w:firstLine="560" w:firstLineChars="200"/>
        <w:jc w:val="left"/>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①管理责任</w:t>
      </w:r>
    </w:p>
    <w:p w14:paraId="6972C3EA">
      <w:pPr>
        <w:pStyle w:val="13"/>
        <w:numPr>
          <w:ilvl w:val="0"/>
          <w:numId w:val="0"/>
        </w:numPr>
        <w:ind w:firstLine="560" w:firstLineChars="200"/>
        <w:jc w:val="left"/>
        <w:rPr>
          <w:rFonts w:hint="default"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规定了古树名木管理责任单位或责任人。</w:t>
      </w:r>
    </w:p>
    <w:p w14:paraId="4168B871">
      <w:pPr>
        <w:pStyle w:val="13"/>
        <w:numPr>
          <w:ilvl w:val="0"/>
          <w:numId w:val="0"/>
        </w:numPr>
        <w:ind w:firstLine="560" w:firstLineChars="200"/>
        <w:jc w:val="left"/>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②养护对象</w:t>
      </w:r>
    </w:p>
    <w:p w14:paraId="73DF6F86">
      <w:pPr>
        <w:pStyle w:val="13"/>
        <w:numPr>
          <w:ilvl w:val="0"/>
          <w:numId w:val="0"/>
        </w:numPr>
        <w:ind w:firstLine="560" w:firstLineChars="200"/>
        <w:jc w:val="left"/>
        <w:rPr>
          <w:rFonts w:hint="default"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规定了养护对象。</w:t>
      </w:r>
    </w:p>
    <w:p w14:paraId="4C14C8E5">
      <w:pPr>
        <w:pStyle w:val="13"/>
        <w:numPr>
          <w:ilvl w:val="0"/>
          <w:numId w:val="0"/>
        </w:numPr>
        <w:ind w:firstLine="560" w:firstLineChars="200"/>
        <w:jc w:val="left"/>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③养护内容</w:t>
      </w:r>
    </w:p>
    <w:p w14:paraId="3D4B5135">
      <w:pPr>
        <w:pStyle w:val="13"/>
        <w:numPr>
          <w:ilvl w:val="0"/>
          <w:numId w:val="0"/>
        </w:numPr>
        <w:ind w:firstLine="560" w:firstLineChars="200"/>
        <w:jc w:val="left"/>
        <w:rPr>
          <w:rFonts w:hint="default"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规定了水分管理、施肥管理、自然灾害预防技术和方法。</w:t>
      </w:r>
    </w:p>
    <w:p w14:paraId="2AED1F99">
      <w:pPr>
        <w:pStyle w:val="13"/>
        <w:numPr>
          <w:ilvl w:val="0"/>
          <w:numId w:val="0"/>
        </w:numPr>
        <w:ind w:firstLine="560" w:firstLineChars="200"/>
        <w:jc w:val="left"/>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④养护措施</w:t>
      </w:r>
    </w:p>
    <w:p w14:paraId="1040F31D">
      <w:pPr>
        <w:pStyle w:val="13"/>
        <w:numPr>
          <w:ilvl w:val="0"/>
          <w:numId w:val="0"/>
        </w:numPr>
        <w:ind w:firstLine="560" w:firstLineChars="200"/>
        <w:jc w:val="left"/>
        <w:rPr>
          <w:rFonts w:hint="default"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规定了古树名木设立保护牌、设立围栏、修剪、巡查等措施。</w:t>
      </w:r>
    </w:p>
    <w:p w14:paraId="23DF678F">
      <w:pPr>
        <w:pStyle w:val="13"/>
        <w:numPr>
          <w:ilvl w:val="0"/>
          <w:numId w:val="0"/>
        </w:numPr>
        <w:ind w:firstLine="560" w:firstLineChars="200"/>
        <w:jc w:val="left"/>
        <w:rPr>
          <w:rFonts w:hint="eastAsia" w:ascii="Times New Roman" w:cs="Times New Roman"/>
          <w:color w:val="000000" w:themeColor="text1"/>
          <w:sz w:val="28"/>
          <w:szCs w:val="32"/>
          <w:lang w:val="en-US" w:eastAsia="zh-CN"/>
          <w14:textFill>
            <w14:solidFill>
              <w14:schemeClr w14:val="tx1"/>
            </w14:solidFill>
          </w14:textFill>
        </w:rPr>
      </w:pPr>
      <w:r>
        <w:rPr>
          <w:rFonts w:hint="eastAsia" w:ascii="Times New Roman" w:hAnsi="Times New Roman" w:eastAsia="宋体" w:cs="Times New Roman"/>
          <w:color w:val="000000" w:themeColor="text1"/>
          <w:sz w:val="28"/>
          <w:szCs w:val="32"/>
          <w:lang w:val="en-US" w:eastAsia="zh-CN" w:bidi="ar-SA"/>
          <w14:textFill>
            <w14:solidFill>
              <w14:schemeClr w14:val="tx1"/>
            </w14:solidFill>
          </w14:textFill>
        </w:rPr>
        <w:t>（8）</w:t>
      </w:r>
      <w:r>
        <w:rPr>
          <w:rFonts w:hint="eastAsia" w:ascii="Times New Roman" w:cs="Times New Roman"/>
          <w:color w:val="000000" w:themeColor="text1"/>
          <w:sz w:val="28"/>
          <w:szCs w:val="32"/>
          <w:lang w:val="en-US" w:eastAsia="zh-CN"/>
          <w14:textFill>
            <w14:solidFill>
              <w14:schemeClr w14:val="tx1"/>
            </w14:solidFill>
          </w14:textFill>
        </w:rPr>
        <w:t>档案管理</w:t>
      </w:r>
    </w:p>
    <w:p w14:paraId="30612DA4">
      <w:pPr>
        <w:pStyle w:val="13"/>
        <w:numPr>
          <w:ilvl w:val="0"/>
          <w:numId w:val="0"/>
        </w:numPr>
        <w:ind w:firstLine="560" w:firstLineChars="200"/>
        <w:jc w:val="left"/>
        <w:rPr>
          <w:rFonts w:hint="default" w:ascii="Times New Roman" w:cs="Times New Roman"/>
          <w:color w:val="000000" w:themeColor="text1"/>
          <w:sz w:val="28"/>
          <w:szCs w:val="32"/>
          <w:lang w:val="en-US" w:eastAsia="zh-CN"/>
          <w14:textFill>
            <w14:solidFill>
              <w14:schemeClr w14:val="tx1"/>
            </w14:solidFill>
          </w14:textFill>
        </w:rPr>
      </w:pPr>
      <w:r>
        <w:rPr>
          <w:rFonts w:hint="eastAsia" w:ascii="Times New Roman" w:cs="Times New Roman"/>
          <w:color w:val="000000" w:themeColor="text1"/>
          <w:sz w:val="28"/>
          <w:szCs w:val="32"/>
          <w:lang w:val="en-US" w:eastAsia="zh-CN"/>
          <w14:textFill>
            <w14:solidFill>
              <w14:schemeClr w14:val="tx1"/>
            </w14:solidFill>
          </w14:textFill>
        </w:rPr>
        <w:t>规定了古树名木保护档案管理办法。</w:t>
      </w:r>
    </w:p>
    <w:p w14:paraId="51BA65A1">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textAlignment w:val="auto"/>
        <w:rPr>
          <w:rFonts w:hint="eastAsia"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3</w:t>
      </w:r>
      <w:r>
        <w:rPr>
          <w:rFonts w:hint="default" w:ascii="Times New Roman" w:hAnsi="Times New Roman" w:eastAsia="宋体" w:cs="Times New Roman"/>
          <w:b/>
          <w:sz w:val="28"/>
          <w:szCs w:val="28"/>
          <w:lang w:val="en-US" w:eastAsia="zh-CN"/>
        </w:rPr>
        <w:t>.</w:t>
      </w:r>
      <w:r>
        <w:rPr>
          <w:rFonts w:hint="eastAsia" w:ascii="Times New Roman" w:hAnsi="Times New Roman" w:eastAsia="宋体" w:cs="Times New Roman"/>
          <w:b/>
          <w:sz w:val="28"/>
          <w:szCs w:val="28"/>
          <w:lang w:val="en-US" w:eastAsia="zh-CN"/>
        </w:rPr>
        <w:t>实证研究</w:t>
      </w:r>
    </w:p>
    <w:p w14:paraId="181B9C2F">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0"/>
        <w:rPr>
          <w:rFonts w:hint="default" w:ascii="Times New Roman" w:hAnsi="Times New Roman" w:cs="Times New Roman"/>
          <w:sz w:val="28"/>
          <w:szCs w:val="28"/>
          <w:lang w:val="en-US" w:eastAsia="zh-CN"/>
        </w:rPr>
      </w:pP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对规程中的各项技术进行了系统的实证研究，主要包括健康评价、环境治理、树洞填补修复、树皮损伤修复、</w:t>
      </w:r>
      <w:r>
        <w:rPr>
          <w:rFonts w:hint="default" w:ascii="Times New Roman" w:hAnsi="Times New Roman" w:cs="Times New Roman"/>
          <w:sz w:val="28"/>
          <w:szCs w:val="28"/>
        </w:rPr>
        <w:t>枯枝疏截</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w:t>
      </w:r>
      <w:r>
        <w:rPr>
          <w:rFonts w:hint="default" w:ascii="Times New Roman" w:hAnsi="Times New Roman" w:cs="Times New Roman"/>
          <w:sz w:val="28"/>
          <w:szCs w:val="28"/>
          <w:lang w:val="en-US" w:eastAsia="zh-CN"/>
        </w:rPr>
        <w:t>有害生物防控</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w:t>
      </w:r>
      <w:r>
        <w:rPr>
          <w:rFonts w:hint="default" w:ascii="Times New Roman" w:hAnsi="Times New Roman" w:cs="Times New Roman"/>
          <w:sz w:val="28"/>
          <w:szCs w:val="28"/>
          <w:lang w:val="en-US" w:eastAsia="zh-CN"/>
        </w:rPr>
        <w:t>水肥管理</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w:t>
      </w:r>
      <w:r>
        <w:rPr>
          <w:rFonts w:hint="default" w:ascii="Times New Roman" w:hAnsi="Times New Roman" w:cs="Times New Roman"/>
          <w:sz w:val="28"/>
          <w:szCs w:val="28"/>
          <w:lang w:val="en-US" w:eastAsia="zh-CN"/>
        </w:rPr>
        <w:t>围栏设施</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w:t>
      </w:r>
      <w:r>
        <w:rPr>
          <w:rFonts w:hint="default" w:ascii="Times New Roman" w:hAnsi="Times New Roman" w:cs="Times New Roman"/>
          <w:sz w:val="28"/>
          <w:szCs w:val="28"/>
          <w:lang w:val="en-US" w:eastAsia="zh-CN"/>
        </w:rPr>
        <w:t>稳固支撑。</w:t>
      </w:r>
    </w:p>
    <w:p w14:paraId="2CAC116F">
      <w:pPr>
        <w:pStyle w:val="1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outlineLvl w:val="1"/>
        <w:rPr>
          <w:rFonts w:hint="default" w:ascii="宋体" w:hAnsi="宋体" w:eastAsia="宋体"/>
          <w:b/>
          <w:bCs/>
          <w:sz w:val="28"/>
          <w:szCs w:val="32"/>
          <w:lang w:val="en-US" w:eastAsia="zh-CN"/>
        </w:rPr>
      </w:pPr>
      <w:r>
        <w:rPr>
          <w:rFonts w:hint="default" w:ascii="宋体" w:hAnsi="宋体" w:eastAsia="宋体"/>
          <w:b/>
          <w:bCs/>
          <w:sz w:val="28"/>
          <w:szCs w:val="32"/>
          <w:lang w:val="en-US" w:eastAsia="zh-CN"/>
        </w:rPr>
        <w:t>3.1健康评价</w:t>
      </w:r>
    </w:p>
    <w:p w14:paraId="5AA8BC3F">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eastAsiaTheme="minorEastAsia"/>
          <w:sz w:val="28"/>
          <w:szCs w:val="28"/>
          <w:lang w:eastAsia="zh-CN"/>
        </w:rPr>
      </w:pPr>
      <w:r>
        <w:rPr>
          <w:rFonts w:hint="eastAsia" w:ascii="Times New Roman" w:hAnsi="Times New Roman" w:cs="Times New Roman"/>
          <w:sz w:val="28"/>
          <w:szCs w:val="28"/>
          <w:lang w:val="en-US" w:eastAsia="zh-CN"/>
        </w:rPr>
        <w:t>（1）</w:t>
      </w:r>
      <w:r>
        <w:rPr>
          <w:rFonts w:hint="default" w:ascii="Times New Roman" w:hAnsi="Times New Roman" w:cs="Times New Roman"/>
          <w:sz w:val="28"/>
          <w:szCs w:val="28"/>
          <w:lang w:val="en-US" w:eastAsia="zh-CN"/>
        </w:rPr>
        <w:t>实践地点：洛南</w:t>
      </w:r>
      <w:r>
        <w:rPr>
          <w:rFonts w:hint="eastAsia" w:ascii="Times New Roman" w:hAnsi="Times New Roman" w:cs="Times New Roman"/>
          <w:sz w:val="28"/>
          <w:szCs w:val="28"/>
          <w:lang w:val="en-US" w:eastAsia="zh-CN"/>
        </w:rPr>
        <w:t>县</w:t>
      </w:r>
      <w:r>
        <w:rPr>
          <w:rFonts w:hint="default" w:ascii="Times New Roman" w:hAnsi="Times New Roman" w:cs="Times New Roman"/>
          <w:sz w:val="28"/>
          <w:szCs w:val="28"/>
          <w:lang w:val="en-US" w:eastAsia="zh-CN"/>
        </w:rPr>
        <w:t>、黄陵</w:t>
      </w:r>
      <w:r>
        <w:rPr>
          <w:rFonts w:hint="eastAsia" w:ascii="Times New Roman" w:hAnsi="Times New Roman" w:cs="Times New Roman"/>
          <w:sz w:val="28"/>
          <w:szCs w:val="28"/>
          <w:lang w:val="en-US" w:eastAsia="zh-CN"/>
        </w:rPr>
        <w:t>县</w:t>
      </w:r>
      <w:r>
        <w:rPr>
          <w:rFonts w:hint="default" w:ascii="Times New Roman" w:hAnsi="Times New Roman" w:cs="Times New Roman"/>
          <w:sz w:val="28"/>
          <w:szCs w:val="28"/>
          <w:lang w:val="en-US" w:eastAsia="zh-CN"/>
        </w:rPr>
        <w:t>、</w:t>
      </w:r>
      <w:r>
        <w:rPr>
          <w:rFonts w:hint="eastAsia" w:ascii="Times New Roman" w:hAnsi="Times New Roman" w:cs="Times New Roman"/>
          <w:sz w:val="28"/>
          <w:szCs w:val="28"/>
          <w:lang w:val="en-US" w:eastAsia="zh-CN"/>
        </w:rPr>
        <w:t>西安市</w:t>
      </w:r>
      <w:r>
        <w:rPr>
          <w:rFonts w:hint="default" w:ascii="Times New Roman" w:hAnsi="Times New Roman" w:cs="Times New Roman"/>
          <w:sz w:val="28"/>
          <w:szCs w:val="28"/>
          <w:lang w:val="en-US" w:eastAsia="zh-CN"/>
        </w:rPr>
        <w:t>、丹凤</w:t>
      </w:r>
      <w:r>
        <w:rPr>
          <w:rFonts w:hint="eastAsia" w:ascii="Times New Roman" w:hAnsi="Times New Roman" w:cs="Times New Roman"/>
          <w:sz w:val="28"/>
          <w:szCs w:val="28"/>
          <w:lang w:val="en-US" w:eastAsia="zh-CN"/>
        </w:rPr>
        <w:t>县</w:t>
      </w:r>
      <w:r>
        <w:rPr>
          <w:rFonts w:hint="default" w:ascii="Times New Roman" w:hAnsi="Times New Roman" w:cs="Times New Roman"/>
          <w:sz w:val="28"/>
          <w:szCs w:val="28"/>
          <w:lang w:val="en-US" w:eastAsia="zh-CN"/>
        </w:rPr>
        <w:t>、神木</w:t>
      </w:r>
      <w:r>
        <w:rPr>
          <w:rFonts w:hint="eastAsia" w:ascii="Times New Roman" w:hAnsi="Times New Roman" w:cs="Times New Roman"/>
          <w:sz w:val="28"/>
          <w:szCs w:val="28"/>
          <w:lang w:val="en-US" w:eastAsia="zh-CN"/>
        </w:rPr>
        <w:t>市</w:t>
      </w:r>
      <w:r>
        <w:rPr>
          <w:rFonts w:hint="default" w:ascii="Times New Roman" w:hAnsi="Times New Roman" w:cs="Times New Roman"/>
          <w:sz w:val="28"/>
          <w:szCs w:val="28"/>
          <w:lang w:val="en-US" w:eastAsia="zh-CN"/>
        </w:rPr>
        <w:t>、宁陕</w:t>
      </w:r>
      <w:r>
        <w:rPr>
          <w:rFonts w:hint="eastAsia" w:ascii="Times New Roman" w:hAnsi="Times New Roman" w:cs="Times New Roman"/>
          <w:sz w:val="28"/>
          <w:szCs w:val="28"/>
          <w:lang w:val="en-US" w:eastAsia="zh-CN"/>
        </w:rPr>
        <w:t>县</w:t>
      </w:r>
      <w:r>
        <w:rPr>
          <w:rFonts w:hint="default" w:ascii="Times New Roman" w:hAnsi="Times New Roman" w:cs="Times New Roman"/>
          <w:sz w:val="28"/>
          <w:szCs w:val="28"/>
          <w:lang w:val="en-US" w:eastAsia="zh-CN"/>
        </w:rPr>
        <w:t>、眉县、合</w:t>
      </w:r>
      <w:r>
        <w:rPr>
          <w:rFonts w:hint="default" w:ascii="Times New Roman" w:hAnsi="Times New Roman" w:cs="Times New Roman"/>
          <w:sz w:val="28"/>
          <w:szCs w:val="28"/>
        </w:rPr>
        <w:t>阳</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、岚皋</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等20余县市</w:t>
      </w:r>
      <w:r>
        <w:rPr>
          <w:rFonts w:hint="default" w:ascii="Times New Roman" w:hAnsi="Times New Roman" w:cs="Times New Roman"/>
          <w:sz w:val="28"/>
          <w:szCs w:val="28"/>
          <w:lang w:eastAsia="zh-CN"/>
        </w:rPr>
        <w:t>。</w:t>
      </w:r>
    </w:p>
    <w:p w14:paraId="0F419869">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lang w:eastAsia="zh-CN"/>
        </w:rPr>
      </w:pPr>
      <w:r>
        <w:rPr>
          <w:rFonts w:hint="eastAsia" w:ascii="Times New Roman" w:hAnsi="Times New Roman" w:cs="Times New Roman"/>
          <w:sz w:val="28"/>
          <w:szCs w:val="28"/>
          <w:lang w:val="en-US" w:eastAsia="zh-CN"/>
        </w:rPr>
        <w:t>（2）</w:t>
      </w:r>
      <w:r>
        <w:rPr>
          <w:rFonts w:hint="default" w:ascii="Times New Roman" w:hAnsi="Times New Roman" w:cs="Times New Roman"/>
          <w:sz w:val="28"/>
          <w:szCs w:val="28"/>
          <w:lang w:val="en-US" w:eastAsia="zh-CN"/>
        </w:rPr>
        <w:t>研究案例：</w:t>
      </w:r>
      <w:r>
        <w:rPr>
          <w:rFonts w:hint="default" w:ascii="Times New Roman" w:hAnsi="Times New Roman" w:cs="Times New Roman"/>
          <w:sz w:val="28"/>
          <w:szCs w:val="28"/>
        </w:rPr>
        <w:t>洛南页山古柏健康评价</w:t>
      </w:r>
    </w:p>
    <w:p w14:paraId="3B68126D">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对洛南古柏进行稳固性调查、枝叶生长调查、根系调查、树体伤病调查</w:t>
      </w:r>
      <w:r>
        <w:rPr>
          <w:rFonts w:hint="eastAsia" w:ascii="Times New Roman" w:hAnsi="Times New Roman" w:eastAsia="宋体" w:cs="Times New Roman"/>
          <w:color w:val="000000" w:themeColor="text1"/>
          <w:kern w:val="0"/>
          <w:sz w:val="28"/>
          <w:szCs w:val="32"/>
          <w:lang w:val="en-US" w:eastAsia="zh-CN" w:bidi="ar-SA"/>
          <w14:textFill>
            <w14:solidFill>
              <w14:schemeClr w14:val="tx1"/>
            </w14:solidFill>
          </w14:textFill>
        </w:rPr>
        <w:t>。</w:t>
      </w: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结果分析，古柏整体生长正常，但生长势较弱，健康等级为衰弱。</w:t>
      </w:r>
    </w:p>
    <w:p w14:paraId="13DEDA17">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①稳固性调查</w:t>
      </w:r>
    </w:p>
    <w:p w14:paraId="0C82E4B9">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古柏主干在7米处，分为南北双杈主干，其中部分侧枝粗大且开张角度大，容易造成断枝劈裂，属于侧枝不稳固。</w:t>
      </w:r>
    </w:p>
    <w:p w14:paraId="617FD384">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古柏南侧主干上部的1.5米处有分叉，分叉处有劈裂风险。主干上五个侧枝开展角度较大，与主干夹角近90°，呈下垂状态。雨雪会增加古柏枝干重量，折断风险较大。</w:t>
      </w:r>
    </w:p>
    <w:p w14:paraId="631D724D">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②枝叶生长调查</w:t>
      </w:r>
    </w:p>
    <w:p w14:paraId="42DBCCCC">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新枝生长量：两年生枝发生新枝的数量占两年生枝总数量的95%左右，分析与土壤状况不良有关。</w:t>
      </w:r>
    </w:p>
    <w:p w14:paraId="5A48E087">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枝叶密度：枝叶空间占树冠空间78%左右，说明古柏树冠具有枯枝，枝叶处于亚健康状态，影响了枝叶密度。</w:t>
      </w:r>
    </w:p>
    <w:p w14:paraId="2752685A">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枯叶率：在古柏正常物候生长期调查发现，古柏非正常落叶或干枯叶量占比约5%，反映古柏生长环境受到破坏，致使古柏出现生理胁迫反应。</w:t>
      </w:r>
    </w:p>
    <w:p w14:paraId="1AE93AB3">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③根系调查</w:t>
      </w:r>
    </w:p>
    <w:p w14:paraId="4AFF7A9C">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分布范围：古柏根系主要分布在主干周围8 m的半径范围，其中古树南侧的分布区域达到半径14 m。</w:t>
      </w:r>
    </w:p>
    <w:p w14:paraId="276FAF7C">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分布土层：古柏根系分布的土层厚度主要在40-100 cm。</w:t>
      </w:r>
    </w:p>
    <w:p w14:paraId="577DA6EE">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健康状态：古柏的根系生长正常，但古柏北侧的便道与围墙，距古柏较近，对根系有些影响。</w:t>
      </w:r>
    </w:p>
    <w:p w14:paraId="07C4E5A8">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④树体伤病调查</w:t>
      </w:r>
    </w:p>
    <w:p w14:paraId="3DA41D36">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皮损：由南侧主干顶部直至地面，有一条宽约30-40 cm、深5-8 cm的陈旧性带状皮损，但木质部未腐朽，面积约6.5 m</w:t>
      </w:r>
      <w:r>
        <w:rPr>
          <w:rFonts w:hint="default" w:ascii="Times New Roman" w:hAnsi="Times New Roman" w:eastAsia="宋体" w:cs="Times New Roman"/>
          <w:color w:val="000000" w:themeColor="text1"/>
          <w:kern w:val="0"/>
          <w:sz w:val="28"/>
          <w:szCs w:val="32"/>
          <w:vertAlign w:val="superscript"/>
          <w:lang w:val="en-US" w:eastAsia="zh-CN" w:bidi="ar-SA"/>
          <w14:textFill>
            <w14:solidFill>
              <w14:schemeClr w14:val="tx1"/>
            </w14:solidFill>
          </w14:textFill>
        </w:rPr>
        <w:t>2</w:t>
      </w: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。主干在7 m处分为南北两叉主干后，主干与侧枝有较大面积的陈旧性皮损，面积约18.5</w:t>
      </w:r>
      <w:r>
        <w:rPr>
          <w:rFonts w:hint="eastAsia" w:ascii="Times New Roman" w:hAnsi="Times New Roman" w:eastAsia="宋体" w:cs="Times New Roman"/>
          <w:color w:val="000000" w:themeColor="text1"/>
          <w:kern w:val="0"/>
          <w:sz w:val="28"/>
          <w:szCs w:val="32"/>
          <w:lang w:val="en-US" w:eastAsia="zh-CN" w:bidi="ar-SA"/>
          <w14:textFill>
            <w14:solidFill>
              <w14:schemeClr w14:val="tx1"/>
            </w14:solidFill>
          </w14:textFill>
        </w:rPr>
        <w:t xml:space="preserve"> </w:t>
      </w: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m</w:t>
      </w:r>
      <w:r>
        <w:rPr>
          <w:rFonts w:hint="default" w:ascii="Times New Roman" w:hAnsi="Times New Roman" w:eastAsia="宋体" w:cs="Times New Roman"/>
          <w:color w:val="000000" w:themeColor="text1"/>
          <w:kern w:val="0"/>
          <w:sz w:val="28"/>
          <w:szCs w:val="32"/>
          <w:vertAlign w:val="superscript"/>
          <w:lang w:val="en-US" w:eastAsia="zh-CN" w:bidi="ar-SA"/>
          <w14:textFill>
            <w14:solidFill>
              <w14:schemeClr w14:val="tx1"/>
            </w14:solidFill>
          </w14:textFill>
        </w:rPr>
        <w:t>2</w:t>
      </w: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w:t>
      </w:r>
    </w:p>
    <w:p w14:paraId="18A24F56">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树洞：古柏的树洞主要包括枯枝腐烂树洞与鸟啄型树洞，数量26个。</w:t>
      </w:r>
    </w:p>
    <w:p w14:paraId="1D47F262">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顶枯：古柏树冠顶部的枝尖干枯较多，顶枯现象稍严重，大约占顶部枝条的30%。</w:t>
      </w:r>
    </w:p>
    <w:p w14:paraId="1A2DD45B">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枝枯：古柏的枯枝除了顶部枯枝外，内膛枝与二、三级侧枝有陈旧性干枯，占比30-40%。</w:t>
      </w:r>
    </w:p>
    <w:p w14:paraId="182895B0">
      <w:pPr>
        <w:spacing w:line="560" w:lineRule="exact"/>
        <w:ind w:firstLine="560" w:firstLineChars="200"/>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pPr>
      <w:r>
        <w:rPr>
          <w:rFonts w:hint="default" w:ascii="Times New Roman" w:hAnsi="Times New Roman" w:cs="Times New Roman"/>
          <w:sz w:val="28"/>
          <w:szCs w:val="28"/>
        </w:rPr>
        <w:drawing>
          <wp:anchor distT="0" distB="0" distL="114300" distR="114300" simplePos="0" relativeHeight="251660288" behindDoc="0" locked="0" layoutInCell="1" allowOverlap="1">
            <wp:simplePos x="0" y="0"/>
            <wp:positionH relativeFrom="column">
              <wp:posOffset>1303020</wp:posOffset>
            </wp:positionH>
            <wp:positionV relativeFrom="paragraph">
              <wp:posOffset>636905</wp:posOffset>
            </wp:positionV>
            <wp:extent cx="2845435" cy="3797935"/>
            <wp:effectExtent l="0" t="0" r="12065" b="12065"/>
            <wp:wrapNone/>
            <wp:docPr id="20" name="图片 18" descr="F:\荣尚生态园林\项目\2023\洛南古柏一树一策保护方案\6.26\照片\司\IMG_20230625_102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descr="F:\荣尚生态园林\项目\2023\洛南古柏一树一策保护方案\6.26\照片\司\IMG_20230625_102925.jpg"/>
                    <pic:cNvPicPr>
                      <a:picLocks noChangeAspect="1" noChangeArrowheads="1"/>
                    </pic:cNvPicPr>
                  </pic:nvPicPr>
                  <pic:blipFill>
                    <a:blip r:embed="rId5" cstate="print"/>
                    <a:srcRect/>
                    <a:stretch>
                      <a:fillRect/>
                    </a:stretch>
                  </pic:blipFill>
                  <pic:spPr>
                    <a:xfrm>
                      <a:off x="0" y="0"/>
                      <a:ext cx="2845435" cy="3797935"/>
                    </a:xfrm>
                    <a:prstGeom prst="rect">
                      <a:avLst/>
                    </a:prstGeom>
                    <a:noFill/>
                    <a:ln w="9525">
                      <a:noFill/>
                      <a:miter lim="800000"/>
                      <a:headEnd/>
                      <a:tailEnd/>
                    </a:ln>
                  </pic:spPr>
                </pic:pic>
              </a:graphicData>
            </a:graphic>
          </wp:anchor>
        </w:drawing>
      </w:r>
      <w:r>
        <w:rPr>
          <w:rFonts w:hint="default" w:ascii="Times New Roman" w:hAnsi="Times New Roman" w:eastAsia="宋体" w:cs="Times New Roman"/>
          <w:color w:val="000000" w:themeColor="text1"/>
          <w:kern w:val="0"/>
          <w:sz w:val="28"/>
          <w:szCs w:val="32"/>
          <w:lang w:val="en-US" w:eastAsia="zh-CN" w:bidi="ar-SA"/>
          <w14:textFill>
            <w14:solidFill>
              <w14:schemeClr w14:val="tx1"/>
            </w14:solidFill>
          </w14:textFill>
        </w:rPr>
        <w:t>断枝：古柏主干分为南北两叉主干后，一级侧枝断枝较多，属于陈旧性断枝。</w:t>
      </w:r>
    </w:p>
    <w:p w14:paraId="13CC9E16">
      <w:pPr>
        <w:pStyle w:val="6"/>
        <w:rPr>
          <w:rFonts w:hint="default" w:ascii="Times New Roman" w:hAnsi="Times New Roman" w:cs="Times New Roman"/>
          <w:lang w:val="en-US" w:eastAsia="zh-CN"/>
        </w:rPr>
      </w:pPr>
    </w:p>
    <w:p w14:paraId="52701D29">
      <w:pPr>
        <w:pStyle w:val="12"/>
        <w:numPr>
          <w:ilvl w:val="0"/>
          <w:numId w:val="0"/>
        </w:numPr>
        <w:spacing w:before="156" w:beforeLines="50" w:after="156" w:afterLines="50" w:line="360" w:lineRule="auto"/>
        <w:outlineLvl w:val="0"/>
        <w:rPr>
          <w:rFonts w:hint="default" w:ascii="Times New Roman" w:hAnsi="Times New Roman" w:cs="Times New Roman"/>
          <w:b/>
          <w:bCs/>
          <w:sz w:val="21"/>
          <w:szCs w:val="21"/>
          <w:lang w:val="en-US" w:eastAsia="zh-CN"/>
        </w:rPr>
      </w:pPr>
    </w:p>
    <w:p w14:paraId="7A9B67E9">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42D53EAE">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6F3B4BE7">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7E3781F7">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419883AC">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72A40878">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616B0441">
      <w:pPr>
        <w:pStyle w:val="12"/>
        <w:numPr>
          <w:ilvl w:val="0"/>
          <w:numId w:val="0"/>
        </w:numPr>
        <w:spacing w:before="156" w:beforeLines="50" w:after="156" w:afterLines="50" w:line="360" w:lineRule="auto"/>
        <w:ind w:firstLine="2951" w:firstLineChars="1400"/>
        <w:outlineLvl w:val="0"/>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 xml:space="preserve">图1 </w:t>
      </w:r>
      <w:r>
        <w:rPr>
          <w:rFonts w:hint="default" w:ascii="Times New Roman" w:hAnsi="Times New Roman" w:cs="Times New Roman"/>
          <w:b/>
          <w:bCs/>
          <w:sz w:val="21"/>
          <w:szCs w:val="21"/>
        </w:rPr>
        <w:t>洛南页山古柏健康评价</w:t>
      </w:r>
    </w:p>
    <w:p w14:paraId="72AF6281">
      <w:pPr>
        <w:pStyle w:val="12"/>
        <w:spacing w:before="156" w:beforeLines="50" w:after="156" w:afterLines="50" w:line="360" w:lineRule="auto"/>
        <w:ind w:firstLine="0" w:firstLineChars="0"/>
        <w:outlineLvl w:val="1"/>
        <w:rPr>
          <w:rFonts w:hint="default" w:ascii="宋体" w:hAnsi="宋体" w:eastAsia="宋体"/>
          <w:b/>
          <w:bCs/>
          <w:sz w:val="28"/>
          <w:szCs w:val="32"/>
          <w:lang w:val="en-US" w:eastAsia="zh-CN"/>
        </w:rPr>
      </w:pPr>
      <w:r>
        <w:rPr>
          <w:rFonts w:hint="default" w:ascii="宋体" w:hAnsi="宋体" w:eastAsia="宋体"/>
          <w:b/>
          <w:bCs/>
          <w:sz w:val="28"/>
          <w:szCs w:val="32"/>
          <w:lang w:val="en-US" w:eastAsia="zh-CN"/>
        </w:rPr>
        <w:t>3.2 环境治理</w:t>
      </w:r>
    </w:p>
    <w:p w14:paraId="025A43BC">
      <w:pPr>
        <w:pStyle w:val="12"/>
        <w:keepNext w:val="0"/>
        <w:keepLines w:val="0"/>
        <w:pageBreakBefore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r>
        <w:rPr>
          <w:rFonts w:hint="eastAsia" w:ascii="Times New Roman" w:hAnsi="Times New Roman" w:cs="Times New Roman"/>
          <w:sz w:val="28"/>
          <w:szCs w:val="28"/>
          <w:lang w:val="en-US" w:eastAsia="zh-CN"/>
        </w:rPr>
        <w:t>（1）</w:t>
      </w:r>
      <w:r>
        <w:rPr>
          <w:rFonts w:hint="default" w:ascii="Times New Roman" w:hAnsi="Times New Roman" w:cs="Times New Roman"/>
          <w:sz w:val="28"/>
          <w:szCs w:val="28"/>
          <w:lang w:val="en-US" w:eastAsia="zh-CN"/>
        </w:rPr>
        <w:t>实践</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地点：黄陵</w:t>
      </w:r>
      <w:r>
        <w:rPr>
          <w:rFonts w:hint="eastAsia" w:ascii="Times New Roman" w:hAnsi="Times New Roman" w:eastAsia="宋体" w:cs="Times New Roman"/>
          <w:color w:val="000000" w:themeColor="text1"/>
          <w:sz w:val="28"/>
          <w:szCs w:val="32"/>
          <w:lang w:val="en-US" w:eastAsia="zh-CN" w:bidi="ar-SA"/>
          <w14:textFill>
            <w14:solidFill>
              <w14:schemeClr w14:val="tx1"/>
            </w14:solidFill>
          </w14:textFill>
        </w:rPr>
        <w:t>县</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、紫阳</w:t>
      </w:r>
      <w:r>
        <w:rPr>
          <w:rFonts w:hint="eastAsia" w:ascii="Times New Roman" w:hAnsi="Times New Roman" w:eastAsia="宋体" w:cs="Times New Roman"/>
          <w:color w:val="000000" w:themeColor="text1"/>
          <w:sz w:val="28"/>
          <w:szCs w:val="32"/>
          <w:lang w:val="en-US" w:eastAsia="zh-CN" w:bidi="ar-SA"/>
          <w14:textFill>
            <w14:solidFill>
              <w14:schemeClr w14:val="tx1"/>
            </w14:solidFill>
          </w14:textFill>
        </w:rPr>
        <w:t>县</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、耀州</w:t>
      </w:r>
      <w:r>
        <w:rPr>
          <w:rFonts w:hint="eastAsia" w:ascii="Times New Roman" w:hAnsi="Times New Roman" w:eastAsia="宋体" w:cs="Times New Roman"/>
          <w:color w:val="000000" w:themeColor="text1"/>
          <w:sz w:val="28"/>
          <w:szCs w:val="32"/>
          <w:lang w:val="en-US" w:eastAsia="zh-CN" w:bidi="ar-SA"/>
          <w14:textFill>
            <w14:solidFill>
              <w14:schemeClr w14:val="tx1"/>
            </w14:solidFill>
          </w14:textFill>
        </w:rPr>
        <w:t>区</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、洛南</w:t>
      </w:r>
      <w:r>
        <w:rPr>
          <w:rFonts w:hint="eastAsia" w:ascii="Times New Roman" w:hAnsi="Times New Roman" w:eastAsia="宋体" w:cs="Times New Roman"/>
          <w:color w:val="000000" w:themeColor="text1"/>
          <w:sz w:val="28"/>
          <w:szCs w:val="32"/>
          <w:lang w:val="en-US" w:eastAsia="zh-CN" w:bidi="ar-SA"/>
          <w14:textFill>
            <w14:solidFill>
              <w14:schemeClr w14:val="tx1"/>
            </w14:solidFill>
          </w14:textFill>
        </w:rPr>
        <w:t>县</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等20余县市</w:t>
      </w:r>
      <w:r>
        <w:rPr>
          <w:rFonts w:hint="eastAsia" w:ascii="Times New Roman" w:hAnsi="Times New Roman" w:eastAsia="宋体" w:cs="Times New Roman"/>
          <w:color w:val="000000" w:themeColor="text1"/>
          <w:sz w:val="28"/>
          <w:szCs w:val="32"/>
          <w:lang w:val="en-US" w:eastAsia="zh-CN" w:bidi="ar-SA"/>
          <w14:textFill>
            <w14:solidFill>
              <w14:schemeClr w14:val="tx1"/>
            </w14:solidFill>
          </w14:textFill>
        </w:rPr>
        <w:t xml:space="preserve"> </w:t>
      </w:r>
    </w:p>
    <w:p w14:paraId="78E97300">
      <w:pPr>
        <w:pStyle w:val="15"/>
        <w:keepNext w:val="0"/>
        <w:keepLines w:val="0"/>
        <w:pageBreakBefore w:val="0"/>
        <w:kinsoku/>
        <w:wordWrap/>
        <w:overflowPunct/>
        <w:topLinePunct w:val="0"/>
        <w:autoSpaceDE/>
        <w:autoSpaceDN/>
        <w:bidi w:val="0"/>
        <w:adjustRightInd/>
        <w:snapToGrid/>
        <w:textAlignment w:val="auto"/>
        <w:rPr>
          <w:rFonts w:hint="default" w:ascii="Times New Roman" w:hAnsi="Times New Roman" w:cs="Times New Roman" w:eastAsiaTheme="minorEastAsia"/>
          <w:sz w:val="28"/>
          <w:szCs w:val="28"/>
          <w:lang w:eastAsia="zh-CN"/>
        </w:rPr>
      </w:pPr>
      <w:r>
        <w:rPr>
          <w:rFonts w:hint="eastAsia" w:ascii="Times New Roman" w:hAnsi="Times New Roman" w:cs="Times New Roman"/>
          <w:sz w:val="28"/>
          <w:szCs w:val="28"/>
          <w:lang w:val="en-US" w:eastAsia="zh-CN"/>
        </w:rPr>
        <w:t>（2）</w:t>
      </w:r>
      <w:r>
        <w:rPr>
          <w:rFonts w:hint="default" w:ascii="Times New Roman" w:hAnsi="Times New Roman" w:cs="Times New Roman"/>
          <w:sz w:val="28"/>
          <w:szCs w:val="28"/>
          <w:lang w:val="en-US" w:eastAsia="zh-CN"/>
        </w:rPr>
        <w:t>研究案例：</w:t>
      </w:r>
      <w:r>
        <w:rPr>
          <w:rFonts w:hint="default" w:ascii="Times New Roman" w:hAnsi="Times New Roman" w:cs="Times New Roman"/>
          <w:sz w:val="28"/>
          <w:szCs w:val="28"/>
        </w:rPr>
        <w:t>洛南县核桃王地下环境治理</w:t>
      </w:r>
    </w:p>
    <w:p w14:paraId="776965EE">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default" w:ascii="Times New Roman" w:hAnsi="Times New Roman" w:cs="Times New Roman"/>
          <w:sz w:val="28"/>
          <w:szCs w:val="28"/>
          <w:lang w:val="en-US" w:eastAsia="zh-CN"/>
        </w:rPr>
      </w:pPr>
      <w:r>
        <w:rPr>
          <w:rFonts w:hint="default" w:ascii="Times New Roman" w:hAnsi="Times New Roman" w:cs="Times New Roman" w:eastAsiaTheme="minorEastAsia"/>
          <w:kern w:val="2"/>
          <w:sz w:val="28"/>
          <w:szCs w:val="28"/>
          <w:lang w:val="en-US" w:eastAsia="zh-CN" w:bidi="ar-SA"/>
        </w:rPr>
        <w:t>划定保护红线</w:t>
      </w:r>
      <w:r>
        <w:rPr>
          <w:rFonts w:hint="default" w:ascii="Times New Roman" w:hAnsi="Times New Roman" w:cs="Times New Roman"/>
          <w:kern w:val="2"/>
          <w:sz w:val="28"/>
          <w:szCs w:val="28"/>
          <w:lang w:val="en-US" w:eastAsia="zh-CN" w:bidi="ar-SA"/>
        </w:rPr>
        <w:t>，</w:t>
      </w:r>
      <w:r>
        <w:rPr>
          <w:rFonts w:hint="default" w:ascii="Times New Roman" w:hAnsi="Times New Roman" w:cs="Times New Roman" w:eastAsiaTheme="minorEastAsia"/>
          <w:kern w:val="2"/>
          <w:sz w:val="28"/>
          <w:szCs w:val="28"/>
          <w:lang w:val="en-US" w:eastAsia="zh-CN" w:bidi="ar-SA"/>
        </w:rPr>
        <w:t xml:space="preserve">下挖红线内土壤，以古树根际为中心向东西南北四个方向分别延伸 12 </w:t>
      </w:r>
      <w:r>
        <w:rPr>
          <w:rFonts w:hint="eastAsia" w:ascii="Times New Roman" w:hAnsi="Times New Roman" w:cs="Times New Roman"/>
          <w:kern w:val="2"/>
          <w:sz w:val="28"/>
          <w:szCs w:val="28"/>
          <w:lang w:val="en-US" w:eastAsia="zh-CN" w:bidi="ar-SA"/>
        </w:rPr>
        <w:t>m</w:t>
      </w:r>
      <w:r>
        <w:rPr>
          <w:rFonts w:hint="default" w:ascii="Times New Roman" w:hAnsi="Times New Roman" w:cs="Times New Roman" w:eastAsiaTheme="minorEastAsia"/>
          <w:kern w:val="2"/>
          <w:sz w:val="28"/>
          <w:szCs w:val="28"/>
          <w:lang w:val="en-US" w:eastAsia="zh-CN" w:bidi="ar-SA"/>
        </w:rPr>
        <w:t xml:space="preserve">、12 </w:t>
      </w:r>
      <w:r>
        <w:rPr>
          <w:rFonts w:hint="eastAsia" w:ascii="Times New Roman" w:hAnsi="Times New Roman" w:cs="Times New Roman"/>
          <w:kern w:val="2"/>
          <w:sz w:val="28"/>
          <w:szCs w:val="28"/>
          <w:lang w:val="en-US" w:eastAsia="zh-CN" w:bidi="ar-SA"/>
        </w:rPr>
        <w:t>m</w:t>
      </w:r>
      <w:r>
        <w:rPr>
          <w:rFonts w:hint="default" w:ascii="Times New Roman" w:hAnsi="Times New Roman" w:cs="Times New Roman" w:eastAsiaTheme="minorEastAsia"/>
          <w:kern w:val="2"/>
          <w:sz w:val="28"/>
          <w:szCs w:val="28"/>
          <w:lang w:val="en-US" w:eastAsia="zh-CN" w:bidi="ar-SA"/>
        </w:rPr>
        <w:t xml:space="preserve">、13 </w:t>
      </w:r>
      <w:r>
        <w:rPr>
          <w:rFonts w:hint="eastAsia" w:ascii="Times New Roman" w:hAnsi="Times New Roman" w:cs="Times New Roman"/>
          <w:kern w:val="2"/>
          <w:sz w:val="28"/>
          <w:szCs w:val="28"/>
          <w:lang w:val="en-US" w:eastAsia="zh-CN" w:bidi="ar-SA"/>
        </w:rPr>
        <w:t>m</w:t>
      </w:r>
      <w:r>
        <w:rPr>
          <w:rFonts w:hint="default" w:ascii="Times New Roman" w:hAnsi="Times New Roman" w:cs="Times New Roman" w:eastAsiaTheme="minorEastAsia"/>
          <w:kern w:val="2"/>
          <w:sz w:val="28"/>
          <w:szCs w:val="28"/>
          <w:lang w:val="en-US" w:eastAsia="zh-CN" w:bidi="ar-SA"/>
        </w:rPr>
        <w:t xml:space="preserve">、11 </w:t>
      </w:r>
      <w:r>
        <w:rPr>
          <w:rFonts w:hint="eastAsia" w:ascii="Times New Roman" w:hAnsi="Times New Roman" w:cs="Times New Roman"/>
          <w:kern w:val="2"/>
          <w:sz w:val="28"/>
          <w:szCs w:val="28"/>
          <w:lang w:val="en-US" w:eastAsia="zh-CN" w:bidi="ar-SA"/>
        </w:rPr>
        <w:t>m</w:t>
      </w:r>
      <w:r>
        <w:rPr>
          <w:rFonts w:hint="default" w:ascii="Times New Roman" w:hAnsi="Times New Roman" w:cs="Times New Roman" w:eastAsiaTheme="minorEastAsia"/>
          <w:kern w:val="2"/>
          <w:sz w:val="28"/>
          <w:szCs w:val="28"/>
          <w:lang w:val="en-US" w:eastAsia="zh-CN" w:bidi="ar-SA"/>
        </w:rPr>
        <w:t xml:space="preserve">，划定边长为 24 </w:t>
      </w:r>
      <w:r>
        <w:rPr>
          <w:rFonts w:hint="eastAsia" w:ascii="Times New Roman" w:hAnsi="Times New Roman" w:cs="Times New Roman"/>
          <w:kern w:val="2"/>
          <w:sz w:val="28"/>
          <w:szCs w:val="28"/>
          <w:lang w:val="en-US" w:eastAsia="zh-CN" w:bidi="ar-SA"/>
        </w:rPr>
        <w:t>m</w:t>
      </w:r>
      <w:r>
        <w:rPr>
          <w:rFonts w:hint="default" w:ascii="Times New Roman" w:hAnsi="Times New Roman" w:cs="Times New Roman" w:eastAsiaTheme="minorEastAsia"/>
          <w:kern w:val="2"/>
          <w:sz w:val="28"/>
          <w:szCs w:val="28"/>
          <w:lang w:val="en-US" w:eastAsia="zh-CN" w:bidi="ar-SA"/>
        </w:rPr>
        <w:t>的正方形红线保护区</w:t>
      </w:r>
      <w:r>
        <w:rPr>
          <w:rFonts w:hint="eastAsia" w:ascii="Times New Roman" w:hAnsi="Times New Roman" w:cs="Times New Roman"/>
          <w:kern w:val="2"/>
          <w:sz w:val="28"/>
          <w:szCs w:val="28"/>
          <w:lang w:val="en-US" w:eastAsia="zh-CN" w:bidi="ar-SA"/>
        </w:rPr>
        <w:t>；</w:t>
      </w:r>
      <w:r>
        <w:rPr>
          <w:rFonts w:hint="default" w:ascii="Times New Roman" w:hAnsi="Times New Roman" w:cs="Times New Roman" w:eastAsiaTheme="minorEastAsia"/>
          <w:kern w:val="2"/>
          <w:sz w:val="28"/>
          <w:szCs w:val="28"/>
          <w:lang w:val="en-US" w:eastAsia="zh-CN" w:bidi="ar-SA"/>
        </w:rPr>
        <w:t>清除</w:t>
      </w:r>
      <w:r>
        <w:rPr>
          <w:rFonts w:hint="eastAsia" w:ascii="Times New Roman" w:hAnsi="Times New Roman" w:cs="Times New Roman"/>
          <w:kern w:val="2"/>
          <w:sz w:val="28"/>
          <w:szCs w:val="28"/>
          <w:lang w:val="en-US" w:eastAsia="zh-CN" w:bidi="ar-SA"/>
        </w:rPr>
        <w:t>“</w:t>
      </w:r>
      <w:r>
        <w:rPr>
          <w:rFonts w:hint="default" w:ascii="Times New Roman" w:hAnsi="Times New Roman" w:cs="Times New Roman" w:eastAsiaTheme="minorEastAsia"/>
          <w:kern w:val="2"/>
          <w:sz w:val="28"/>
          <w:szCs w:val="28"/>
          <w:lang w:val="en-US" w:eastAsia="zh-CN" w:bidi="ar-SA"/>
        </w:rPr>
        <w:t>核桃王</w:t>
      </w:r>
      <w:r>
        <w:rPr>
          <w:rFonts w:hint="eastAsia" w:ascii="Times New Roman" w:hAnsi="Times New Roman" w:cs="Times New Roman"/>
          <w:kern w:val="2"/>
          <w:sz w:val="28"/>
          <w:szCs w:val="28"/>
          <w:lang w:val="en-US" w:eastAsia="zh-CN" w:bidi="ar-SA"/>
        </w:rPr>
        <w:t>”</w:t>
      </w:r>
      <w:r>
        <w:rPr>
          <w:rFonts w:hint="default" w:ascii="Times New Roman" w:hAnsi="Times New Roman" w:cs="Times New Roman" w:eastAsiaTheme="minorEastAsia"/>
          <w:kern w:val="2"/>
          <w:sz w:val="28"/>
          <w:szCs w:val="28"/>
          <w:lang w:val="en-US" w:eastAsia="zh-CN" w:bidi="ar-SA"/>
        </w:rPr>
        <w:t>树冠投影范围内的所有杂草与灌木</w:t>
      </w:r>
      <w:r>
        <w:rPr>
          <w:rFonts w:hint="default" w:ascii="Times New Roman" w:hAnsi="Times New Roman" w:cs="Times New Roman"/>
          <w:kern w:val="2"/>
          <w:sz w:val="28"/>
          <w:szCs w:val="28"/>
          <w:lang w:val="en-US" w:eastAsia="zh-CN" w:bidi="ar-SA"/>
        </w:rPr>
        <w:t>，</w:t>
      </w:r>
      <w:r>
        <w:rPr>
          <w:rFonts w:hint="default" w:ascii="Times New Roman" w:hAnsi="Times New Roman" w:cs="Times New Roman" w:eastAsiaTheme="minorEastAsia"/>
          <w:kern w:val="2"/>
          <w:sz w:val="28"/>
          <w:szCs w:val="28"/>
          <w:lang w:val="en-US" w:eastAsia="zh-CN" w:bidi="ar-SA"/>
        </w:rPr>
        <w:t>实施排水工程，在红线保护区内土壤下挖外运后，沿保护红线外侧修建排水沟</w:t>
      </w:r>
      <w:r>
        <w:rPr>
          <w:rFonts w:hint="default" w:ascii="Times New Roman" w:hAnsi="Times New Roman" w:cs="Times New Roman"/>
          <w:kern w:val="2"/>
          <w:sz w:val="28"/>
          <w:szCs w:val="28"/>
          <w:lang w:val="en-US" w:eastAsia="zh-CN" w:bidi="ar-SA"/>
        </w:rPr>
        <w:t>，</w:t>
      </w:r>
      <w:r>
        <w:rPr>
          <w:rFonts w:hint="default" w:ascii="Times New Roman" w:hAnsi="Times New Roman" w:cs="Times New Roman" w:eastAsiaTheme="minorEastAsia"/>
          <w:kern w:val="2"/>
          <w:sz w:val="28"/>
          <w:szCs w:val="28"/>
          <w:lang w:val="en-US" w:eastAsia="zh-CN" w:bidi="ar-SA"/>
        </w:rPr>
        <w:t>客土换土与土壤改良</w:t>
      </w:r>
      <w:r>
        <w:rPr>
          <w:rFonts w:hint="eastAsia" w:ascii="Times New Roman" w:hAnsi="Times New Roman" w:cs="Times New Roman"/>
          <w:kern w:val="2"/>
          <w:sz w:val="28"/>
          <w:szCs w:val="28"/>
          <w:lang w:val="en-US" w:eastAsia="zh-CN" w:bidi="ar-SA"/>
        </w:rPr>
        <w:t>；</w:t>
      </w:r>
      <w:r>
        <w:rPr>
          <w:rFonts w:hint="default" w:ascii="Times New Roman" w:hAnsi="Times New Roman" w:cs="Times New Roman" w:eastAsiaTheme="minorEastAsia"/>
          <w:kern w:val="2"/>
          <w:sz w:val="28"/>
          <w:szCs w:val="28"/>
          <w:lang w:val="en-US" w:eastAsia="zh-CN" w:bidi="ar-SA"/>
        </w:rPr>
        <w:t>在保护红线范围内，对地表以下20</w:t>
      </w:r>
      <w:r>
        <w:rPr>
          <w:rFonts w:hint="eastAsia" w:ascii="Times New Roman" w:hAnsi="Times New Roman" w:cs="Times New Roman"/>
          <w:kern w:val="2"/>
          <w:sz w:val="28"/>
          <w:szCs w:val="28"/>
          <w:lang w:val="en-US" w:eastAsia="zh-CN" w:bidi="ar-SA"/>
        </w:rPr>
        <w:t xml:space="preserve"> cm</w:t>
      </w:r>
      <w:r>
        <w:rPr>
          <w:rFonts w:hint="default" w:ascii="Times New Roman" w:hAnsi="Times New Roman" w:cs="Times New Roman" w:eastAsiaTheme="minorEastAsia"/>
          <w:kern w:val="2"/>
          <w:sz w:val="28"/>
          <w:szCs w:val="28"/>
          <w:lang w:val="en-US" w:eastAsia="zh-CN" w:bidi="ar-SA"/>
        </w:rPr>
        <w:t>的土壤用黄壤土客土，进行土壤改良，并对土壤进行人工松土，增加土壤透气性</w:t>
      </w:r>
      <w:r>
        <w:rPr>
          <w:rFonts w:hint="default" w:ascii="Times New Roman" w:hAnsi="Times New Roman" w:cs="Times New Roman"/>
          <w:kern w:val="2"/>
          <w:sz w:val="28"/>
          <w:szCs w:val="28"/>
          <w:lang w:val="en-US" w:eastAsia="zh-CN" w:bidi="ar-SA"/>
        </w:rPr>
        <w:t>。</w:t>
      </w:r>
    </w:p>
    <w:p w14:paraId="50929516">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r>
        <w:rPr>
          <w:rFonts w:hint="default" w:ascii="Times New Roman" w:hAnsi="Times New Roman" w:cs="Times New Roman" w:eastAsiaTheme="minorEastAsia"/>
          <w:kern w:val="2"/>
          <w:sz w:val="28"/>
          <w:szCs w:val="28"/>
          <w:lang w:val="en-US" w:eastAsia="zh-CN" w:bidi="ar-SA"/>
        </w:rPr>
        <w:drawing>
          <wp:anchor distT="0" distB="0" distL="114300" distR="114300" simplePos="0" relativeHeight="251661312" behindDoc="0" locked="0" layoutInCell="1" allowOverlap="1">
            <wp:simplePos x="0" y="0"/>
            <wp:positionH relativeFrom="column">
              <wp:posOffset>1318260</wp:posOffset>
            </wp:positionH>
            <wp:positionV relativeFrom="paragraph">
              <wp:posOffset>177165</wp:posOffset>
            </wp:positionV>
            <wp:extent cx="2955290" cy="3954780"/>
            <wp:effectExtent l="0" t="0" r="16510" b="7620"/>
            <wp:wrapNone/>
            <wp:docPr id="34" name="图片 18" descr="1做排水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descr="1做排水沟"/>
                    <pic:cNvPicPr>
                      <a:picLocks noChangeAspect="1" noChangeArrowheads="1"/>
                    </pic:cNvPicPr>
                  </pic:nvPicPr>
                  <pic:blipFill>
                    <a:blip r:embed="rId6" cstate="print"/>
                    <a:srcRect/>
                    <a:stretch>
                      <a:fillRect/>
                    </a:stretch>
                  </pic:blipFill>
                  <pic:spPr>
                    <a:xfrm>
                      <a:off x="0" y="0"/>
                      <a:ext cx="2955290" cy="3954780"/>
                    </a:xfrm>
                    <a:prstGeom prst="rect">
                      <a:avLst/>
                    </a:prstGeom>
                    <a:noFill/>
                    <a:ln w="9525" cmpd="sng">
                      <a:noFill/>
                      <a:miter lim="800000"/>
                      <a:headEnd/>
                      <a:tailEnd/>
                    </a:ln>
                  </pic:spPr>
                </pic:pic>
              </a:graphicData>
            </a:graphic>
          </wp:anchor>
        </w:drawing>
      </w:r>
    </w:p>
    <w:p w14:paraId="2B777B99">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37ECED8E">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417A4EC3">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1B5575E2">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2C6D4C12">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292F1ECD">
      <w:pPr>
        <w:pStyle w:val="12"/>
        <w:numPr>
          <w:ilvl w:val="0"/>
          <w:numId w:val="0"/>
        </w:numPr>
        <w:spacing w:before="156" w:beforeLines="50" w:after="156" w:afterLines="50" w:line="360" w:lineRule="auto"/>
        <w:ind w:firstLine="2741" w:firstLineChars="1300"/>
        <w:outlineLvl w:val="0"/>
        <w:rPr>
          <w:rFonts w:hint="default" w:ascii="Times New Roman" w:hAnsi="Times New Roman" w:cs="Times New Roman"/>
          <w:b/>
          <w:bCs/>
          <w:sz w:val="21"/>
          <w:szCs w:val="21"/>
          <w:lang w:val="en-US" w:eastAsia="zh-CN"/>
        </w:rPr>
      </w:pPr>
    </w:p>
    <w:p w14:paraId="4DE12499">
      <w:pPr>
        <w:pStyle w:val="12"/>
        <w:numPr>
          <w:ilvl w:val="0"/>
          <w:numId w:val="0"/>
        </w:numPr>
        <w:spacing w:before="156" w:beforeLines="50" w:after="156" w:afterLines="50" w:line="360" w:lineRule="auto"/>
        <w:ind w:firstLine="2741" w:firstLineChars="1300"/>
        <w:outlineLvl w:val="0"/>
        <w:rPr>
          <w:rFonts w:hint="default" w:ascii="Times New Roman" w:hAnsi="Times New Roman" w:cs="Times New Roman"/>
          <w:b/>
          <w:bCs/>
          <w:sz w:val="21"/>
          <w:szCs w:val="21"/>
          <w:lang w:val="en-US" w:eastAsia="zh-CN"/>
        </w:rPr>
      </w:pPr>
    </w:p>
    <w:p w14:paraId="4AE8CC79">
      <w:pPr>
        <w:pStyle w:val="12"/>
        <w:numPr>
          <w:ilvl w:val="0"/>
          <w:numId w:val="0"/>
        </w:numPr>
        <w:spacing w:before="156" w:beforeLines="50" w:after="156" w:afterLines="50" w:line="360" w:lineRule="auto"/>
        <w:outlineLvl w:val="0"/>
        <w:rPr>
          <w:rFonts w:hint="default" w:ascii="Times New Roman" w:hAnsi="Times New Roman" w:cs="Times New Roman"/>
          <w:b/>
          <w:bCs/>
          <w:sz w:val="21"/>
          <w:szCs w:val="21"/>
          <w:lang w:val="en-US" w:eastAsia="zh-CN"/>
        </w:rPr>
      </w:pPr>
    </w:p>
    <w:p w14:paraId="766B9A92">
      <w:pPr>
        <w:pStyle w:val="12"/>
        <w:numPr>
          <w:ilvl w:val="0"/>
          <w:numId w:val="0"/>
        </w:numPr>
        <w:spacing w:before="156" w:beforeLines="50" w:after="156" w:afterLines="50" w:line="360" w:lineRule="auto"/>
        <w:ind w:firstLine="2741" w:firstLineChars="1300"/>
        <w:outlineLvl w:val="0"/>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 xml:space="preserve">图2 </w:t>
      </w:r>
      <w:r>
        <w:rPr>
          <w:rFonts w:hint="default" w:ascii="Times New Roman" w:hAnsi="Times New Roman" w:cs="Times New Roman"/>
          <w:b/>
          <w:bCs/>
          <w:sz w:val="21"/>
          <w:szCs w:val="21"/>
        </w:rPr>
        <w:t>洛南县核桃王地下环境治理</w:t>
      </w:r>
    </w:p>
    <w:p w14:paraId="50C7219B">
      <w:pPr>
        <w:pStyle w:val="12"/>
        <w:spacing w:before="156" w:beforeLines="50" w:after="156" w:afterLines="50" w:line="360" w:lineRule="auto"/>
        <w:ind w:firstLine="0" w:firstLineChars="0"/>
        <w:outlineLvl w:val="1"/>
        <w:rPr>
          <w:rFonts w:hint="default" w:ascii="宋体" w:hAnsi="宋体" w:eastAsia="宋体"/>
          <w:b/>
          <w:bCs/>
          <w:sz w:val="28"/>
          <w:szCs w:val="32"/>
          <w:lang w:val="en-US" w:eastAsia="zh-CN"/>
        </w:rPr>
      </w:pPr>
      <w:r>
        <w:rPr>
          <w:rFonts w:hint="default" w:ascii="宋体" w:hAnsi="宋体" w:eastAsia="宋体"/>
          <w:b/>
          <w:bCs/>
          <w:sz w:val="28"/>
          <w:szCs w:val="32"/>
          <w:lang w:val="en-US" w:eastAsia="zh-CN"/>
        </w:rPr>
        <w:t>3.3树洞填补修复</w:t>
      </w:r>
    </w:p>
    <w:p w14:paraId="080E487D">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rPr>
      </w:pPr>
      <w:r>
        <w:rPr>
          <w:rFonts w:hint="eastAsia" w:ascii="Times New Roman" w:hAnsi="Times New Roman" w:cs="Times New Roman"/>
          <w:sz w:val="28"/>
          <w:szCs w:val="28"/>
          <w:lang w:val="en-US" w:eastAsia="zh-CN"/>
        </w:rPr>
        <w:t>（1）</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实践地点：</w:t>
      </w:r>
      <w:r>
        <w:rPr>
          <w:rFonts w:hint="default" w:ascii="Times New Roman" w:hAnsi="Times New Roman" w:cs="Times New Roman"/>
          <w:sz w:val="28"/>
          <w:szCs w:val="28"/>
        </w:rPr>
        <w:t>碑林</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、耀州</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、洛南</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等20余县市</w:t>
      </w:r>
    </w:p>
    <w:p w14:paraId="74BEAF13">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lang w:val="en-US" w:eastAsia="zh-CN"/>
        </w:rPr>
      </w:pPr>
      <w:r>
        <w:rPr>
          <w:rFonts w:hint="eastAsia" w:ascii="Times New Roman" w:hAnsi="Times New Roman" w:cs="Times New Roman"/>
          <w:sz w:val="28"/>
          <w:szCs w:val="28"/>
          <w:lang w:val="en-US" w:eastAsia="zh-CN"/>
        </w:rPr>
        <w:t>（2）</w:t>
      </w:r>
      <w:r>
        <w:rPr>
          <w:rFonts w:hint="default" w:ascii="Times New Roman" w:hAnsi="Times New Roman" w:cs="Times New Roman"/>
          <w:sz w:val="28"/>
          <w:szCs w:val="28"/>
          <w:lang w:val="en-US" w:eastAsia="zh-CN"/>
        </w:rPr>
        <w:t>研究案例：西安古柏树洞填充</w:t>
      </w:r>
    </w:p>
    <w:p w14:paraId="7110C14A">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cs="Times New Roman"/>
          <w:sz w:val="28"/>
          <w:szCs w:val="28"/>
          <w:lang w:val="en-US" w:eastAsia="zh-CN"/>
        </w:rPr>
      </w:pPr>
      <w:r>
        <w:rPr>
          <w:rStyle w:val="11"/>
          <w:rFonts w:hint="default" w:ascii="Times New Roman" w:hAnsi="Times New Roman" w:cs="Times New Roman"/>
          <w:color w:val="auto"/>
          <w:sz w:val="28"/>
          <w:szCs w:val="28"/>
          <w:u w:val="none"/>
        </w:rPr>
        <w:t>人工清理腐朽部分坏死组织至新活组织，清除树洞内朽木和堆积物，将清理后的腐木在远处集中销毁</w:t>
      </w:r>
      <w:r>
        <w:rPr>
          <w:rStyle w:val="11"/>
          <w:rFonts w:hint="eastAsia"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用石硫合剂对清理损伤面进行消毒及防虫处理</w:t>
      </w:r>
      <w:r>
        <w:rPr>
          <w:rStyle w:val="11"/>
          <w:rFonts w:hint="eastAsia"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用熟桐油人工均匀涂刷清理面，进行防腐</w:t>
      </w:r>
      <w:r>
        <w:rPr>
          <w:rStyle w:val="11"/>
          <w:rFonts w:hint="default" w:ascii="Times New Roman" w:hAnsi="Times New Roman" w:cs="Times New Roman"/>
          <w:color w:val="auto"/>
          <w:sz w:val="28"/>
          <w:szCs w:val="28"/>
          <w:u w:val="none"/>
          <w:lang w:eastAsia="zh-CN"/>
        </w:rPr>
        <w:t>；</w:t>
      </w:r>
      <w:r>
        <w:rPr>
          <w:rStyle w:val="11"/>
          <w:rFonts w:hint="eastAsia" w:ascii="Times New Roman" w:hAnsi="Times New Roman" w:cs="Times New Roman"/>
          <w:color w:val="auto"/>
          <w:sz w:val="28"/>
          <w:szCs w:val="28"/>
          <w:u w:val="none"/>
          <w:lang w:val="en-US" w:eastAsia="zh-CN"/>
        </w:rPr>
        <w:t>树洞</w:t>
      </w:r>
      <w:r>
        <w:rPr>
          <w:rStyle w:val="11"/>
          <w:rFonts w:hint="default" w:ascii="Times New Roman" w:hAnsi="Times New Roman" w:cs="Times New Roman"/>
          <w:color w:val="auto"/>
          <w:sz w:val="28"/>
          <w:szCs w:val="28"/>
          <w:u w:val="none"/>
        </w:rPr>
        <w:t>用古树专用树洞填充剂进行填充</w:t>
      </w:r>
      <w:r>
        <w:rPr>
          <w:rStyle w:val="11"/>
          <w:rFonts w:hint="default"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待填充物与仿生树皮干燥后，人工均匀涂刷熟桐油对表面进行首层防腐；然后均匀涂刷古树专用生物防腐涂料，进行二层与三层防腐，每上层防腐在下层防腐干燥后进行。</w:t>
      </w:r>
    </w:p>
    <w:p w14:paraId="5935C937">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r>
        <w:rPr>
          <w:rFonts w:hint="default" w:ascii="Times New Roman" w:hAnsi="Times New Roman" w:cs="Times New Roman"/>
          <w:sz w:val="28"/>
          <w:szCs w:val="28"/>
        </w:rPr>
        <w:drawing>
          <wp:anchor distT="0" distB="0" distL="114300" distR="114300" simplePos="0" relativeHeight="251662336" behindDoc="0" locked="0" layoutInCell="1" allowOverlap="1">
            <wp:simplePos x="0" y="0"/>
            <wp:positionH relativeFrom="column">
              <wp:posOffset>1307465</wp:posOffset>
            </wp:positionH>
            <wp:positionV relativeFrom="paragraph">
              <wp:posOffset>16510</wp:posOffset>
            </wp:positionV>
            <wp:extent cx="2995930" cy="4130675"/>
            <wp:effectExtent l="0" t="0" r="13970" b="3175"/>
            <wp:wrapNone/>
            <wp:docPr id="18" name="图片 16" descr="F:\荣尚生态园林\项目\2023\西安园林研究所古树名木管护规范\项目照片\树体保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descr="F:\荣尚生态园林\项目\2023\西安园林研究所古树名木管护规范\项目照片\树体保护.jpg"/>
                    <pic:cNvPicPr>
                      <a:picLocks noChangeAspect="1" noChangeArrowheads="1"/>
                    </pic:cNvPicPr>
                  </pic:nvPicPr>
                  <pic:blipFill>
                    <a:blip r:embed="rId7" cstate="print"/>
                    <a:srcRect b="22505"/>
                    <a:stretch>
                      <a:fillRect/>
                    </a:stretch>
                  </pic:blipFill>
                  <pic:spPr>
                    <a:xfrm>
                      <a:off x="0" y="0"/>
                      <a:ext cx="2995930" cy="4130675"/>
                    </a:xfrm>
                    <a:prstGeom prst="rect">
                      <a:avLst/>
                    </a:prstGeom>
                    <a:noFill/>
                    <a:ln w="9525">
                      <a:noFill/>
                      <a:miter lim="800000"/>
                      <a:headEnd/>
                      <a:tailEnd/>
                    </a:ln>
                  </pic:spPr>
                </pic:pic>
              </a:graphicData>
            </a:graphic>
          </wp:anchor>
        </w:drawing>
      </w:r>
    </w:p>
    <w:p w14:paraId="099CDA5F">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0998A1A6">
      <w:pPr>
        <w:pStyle w:val="12"/>
        <w:numPr>
          <w:ilvl w:val="0"/>
          <w:numId w:val="0"/>
        </w:numPr>
        <w:spacing w:before="156" w:beforeLines="50" w:after="156" w:afterLines="50" w:line="360" w:lineRule="auto"/>
        <w:outlineLvl w:val="0"/>
        <w:rPr>
          <w:rFonts w:hint="default" w:ascii="Times New Roman" w:hAnsi="Times New Roman" w:cs="Times New Roman"/>
          <w:sz w:val="28"/>
          <w:szCs w:val="28"/>
        </w:rPr>
      </w:pPr>
    </w:p>
    <w:p w14:paraId="7A4485C0">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69F27904">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6C35D2F6">
      <w:pPr>
        <w:pStyle w:val="12"/>
        <w:numPr>
          <w:ilvl w:val="0"/>
          <w:numId w:val="0"/>
        </w:numPr>
        <w:spacing w:before="156" w:beforeLines="50" w:after="156" w:afterLines="50" w:line="360" w:lineRule="auto"/>
        <w:ind w:firstLine="422" w:firstLineChars="200"/>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3E12A01D">
      <w:pPr>
        <w:pStyle w:val="12"/>
        <w:numPr>
          <w:ilvl w:val="0"/>
          <w:numId w:val="0"/>
        </w:numPr>
        <w:spacing w:before="156" w:beforeLines="50" w:after="156" w:afterLines="50" w:line="360" w:lineRule="auto"/>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43B304E3">
      <w:pPr>
        <w:pStyle w:val="12"/>
        <w:numPr>
          <w:ilvl w:val="0"/>
          <w:numId w:val="0"/>
        </w:numPr>
        <w:spacing w:before="156" w:beforeLines="50" w:after="156" w:afterLines="50" w:line="360" w:lineRule="auto"/>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0EFD6ED5">
      <w:pPr>
        <w:pStyle w:val="12"/>
        <w:numPr>
          <w:ilvl w:val="0"/>
          <w:numId w:val="0"/>
        </w:numPr>
        <w:spacing w:before="156" w:beforeLines="50" w:after="156" w:afterLines="50" w:line="360" w:lineRule="auto"/>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0581DA50">
      <w:pPr>
        <w:pStyle w:val="12"/>
        <w:numPr>
          <w:ilvl w:val="0"/>
          <w:numId w:val="0"/>
        </w:numPr>
        <w:spacing w:before="156" w:beforeLines="50" w:after="156" w:afterLines="50" w:line="360" w:lineRule="auto"/>
        <w:ind w:firstLine="3373" w:firstLineChars="1600"/>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t>图3 西安古柏树洞填充</w:t>
      </w:r>
    </w:p>
    <w:p w14:paraId="03F9AF20">
      <w:pPr>
        <w:pStyle w:val="1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outlineLvl w:val="1"/>
        <w:rPr>
          <w:rFonts w:hint="default" w:ascii="宋体" w:hAnsi="宋体" w:eastAsia="宋体"/>
          <w:b/>
          <w:bCs/>
          <w:sz w:val="28"/>
          <w:szCs w:val="32"/>
          <w:lang w:val="en-US" w:eastAsia="zh-CN"/>
        </w:rPr>
      </w:pPr>
      <w:r>
        <w:rPr>
          <w:rFonts w:hint="default" w:ascii="宋体" w:hAnsi="宋体" w:eastAsia="宋体"/>
          <w:b/>
          <w:bCs/>
          <w:sz w:val="28"/>
          <w:szCs w:val="32"/>
          <w:lang w:val="en-US" w:eastAsia="zh-CN"/>
        </w:rPr>
        <w:t>3.4树皮损伤防腐修复</w:t>
      </w:r>
    </w:p>
    <w:p w14:paraId="58DF038C">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rPr>
      </w:pPr>
      <w:r>
        <w:rPr>
          <w:rFonts w:hint="eastAsia" w:ascii="Times New Roman" w:hAnsi="Times New Roman" w:cs="Times New Roman"/>
          <w:sz w:val="28"/>
          <w:szCs w:val="28"/>
          <w:lang w:val="en-US" w:eastAsia="zh-CN"/>
        </w:rPr>
        <w:t>（1）</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实践地点：</w:t>
      </w:r>
      <w:r>
        <w:rPr>
          <w:rFonts w:hint="default" w:ascii="Times New Roman" w:hAnsi="Times New Roman" w:cs="Times New Roman"/>
          <w:sz w:val="28"/>
          <w:szCs w:val="28"/>
        </w:rPr>
        <w:t>莲湖</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、耀州</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、洛南</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等20余县市</w:t>
      </w:r>
    </w:p>
    <w:p w14:paraId="3DEAB2FF">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rPr>
      </w:pPr>
      <w:r>
        <w:rPr>
          <w:rFonts w:hint="eastAsia" w:ascii="Times New Roman" w:hAnsi="Times New Roman" w:cs="Times New Roman"/>
          <w:sz w:val="28"/>
          <w:szCs w:val="28"/>
          <w:lang w:val="en-US" w:eastAsia="zh-CN"/>
        </w:rPr>
        <w:t>（2）</w:t>
      </w:r>
      <w:r>
        <w:rPr>
          <w:rFonts w:hint="default" w:ascii="Times New Roman" w:hAnsi="Times New Roman" w:cs="Times New Roman"/>
          <w:sz w:val="28"/>
          <w:szCs w:val="28"/>
          <w:lang w:val="en-US" w:eastAsia="zh-CN"/>
        </w:rPr>
        <w:t>研究案例：</w:t>
      </w:r>
      <w:r>
        <w:rPr>
          <w:rFonts w:hint="default" w:ascii="Times New Roman" w:hAnsi="Times New Roman" w:cs="Times New Roman"/>
          <w:sz w:val="28"/>
          <w:szCs w:val="28"/>
        </w:rPr>
        <w:t>铜川药王山古柏防腐</w:t>
      </w:r>
    </w:p>
    <w:p w14:paraId="1948A2C4">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cs="Times New Roman"/>
          <w:sz w:val="28"/>
          <w:szCs w:val="28"/>
          <w:lang w:val="en-US" w:eastAsia="zh-CN"/>
        </w:rPr>
      </w:pPr>
      <w:r>
        <w:rPr>
          <w:rStyle w:val="11"/>
          <w:rFonts w:hint="default" w:ascii="Times New Roman" w:hAnsi="Times New Roman" w:cs="Times New Roman"/>
          <w:color w:val="auto"/>
          <w:sz w:val="28"/>
          <w:szCs w:val="28"/>
          <w:u w:val="none"/>
        </w:rPr>
        <w:t>人工清理古树主干、枝干腐朽坏死组织至新活组织</w:t>
      </w:r>
      <w:r>
        <w:rPr>
          <w:rStyle w:val="11"/>
          <w:rFonts w:hint="default"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用石硫合剂对清理后的损伤面进行消毒</w:t>
      </w:r>
      <w:r>
        <w:rPr>
          <w:rStyle w:val="11"/>
          <w:rFonts w:hint="eastAsia"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用熟桐油人工均匀涂刷损伤面，进行首层防腐</w:t>
      </w:r>
      <w:r>
        <w:rPr>
          <w:rStyle w:val="11"/>
          <w:rFonts w:hint="default"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首层防腐干燥后，人工均匀涂刷熟桐油、生漆为主原料的古树专用生物防腐涂料，对损伤面进行第二层和三层防腐</w:t>
      </w:r>
      <w:r>
        <w:rPr>
          <w:rStyle w:val="11"/>
          <w:rFonts w:hint="eastAsia"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第三层防腐在第二层防腐干燥后进行。</w:t>
      </w:r>
    </w:p>
    <w:p w14:paraId="78B531B8">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r>
        <w:rPr>
          <w:rFonts w:hint="default" w:ascii="Times New Roman" w:hAnsi="Times New Roman" w:cs="Times New Roman"/>
          <w:sz w:val="28"/>
          <w:szCs w:val="28"/>
        </w:rPr>
        <w:drawing>
          <wp:anchor distT="0" distB="0" distL="114300" distR="114300" simplePos="0" relativeHeight="251663360" behindDoc="0" locked="0" layoutInCell="1" allowOverlap="1">
            <wp:simplePos x="0" y="0"/>
            <wp:positionH relativeFrom="column">
              <wp:posOffset>1169035</wp:posOffset>
            </wp:positionH>
            <wp:positionV relativeFrom="paragraph">
              <wp:posOffset>88265</wp:posOffset>
            </wp:positionV>
            <wp:extent cx="3520440" cy="5024120"/>
            <wp:effectExtent l="0" t="0" r="3810" b="5080"/>
            <wp:wrapNone/>
            <wp:docPr id="16" name="图片 14" descr="F:\荣尚生态园林\项目\2023\西安园林研究所古树名木管护规范\项目照片\涂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descr="F:\荣尚生态园林\项目\2023\西安园林研究所古树名木管护规范\项目照片\涂白.jpg"/>
                    <pic:cNvPicPr>
                      <a:picLocks noChangeAspect="1" noChangeArrowheads="1"/>
                    </pic:cNvPicPr>
                  </pic:nvPicPr>
                  <pic:blipFill>
                    <a:blip r:embed="rId8" cstate="print"/>
                    <a:srcRect b="19929"/>
                    <a:stretch>
                      <a:fillRect/>
                    </a:stretch>
                  </pic:blipFill>
                  <pic:spPr>
                    <a:xfrm>
                      <a:off x="0" y="0"/>
                      <a:ext cx="3520440" cy="5024120"/>
                    </a:xfrm>
                    <a:prstGeom prst="rect">
                      <a:avLst/>
                    </a:prstGeom>
                    <a:noFill/>
                    <a:ln w="9525">
                      <a:noFill/>
                      <a:miter lim="800000"/>
                      <a:headEnd/>
                      <a:tailEnd/>
                    </a:ln>
                  </pic:spPr>
                </pic:pic>
              </a:graphicData>
            </a:graphic>
          </wp:anchor>
        </w:drawing>
      </w:r>
    </w:p>
    <w:p w14:paraId="033A0E75">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3EA06A35">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079E6B20">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1875FDB2">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27DE5BF6">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4ED78681">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620F6434">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6003CD2D">
      <w:pPr>
        <w:pStyle w:val="12"/>
        <w:numPr>
          <w:ilvl w:val="0"/>
          <w:numId w:val="0"/>
        </w:numPr>
        <w:spacing w:before="156" w:beforeLines="50" w:after="156" w:afterLines="50" w:line="360" w:lineRule="auto"/>
        <w:ind w:firstLine="3162" w:firstLineChars="1500"/>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5995EB97">
      <w:pPr>
        <w:pStyle w:val="12"/>
        <w:numPr>
          <w:ilvl w:val="0"/>
          <w:numId w:val="0"/>
        </w:numPr>
        <w:spacing w:before="156" w:beforeLines="50" w:after="156" w:afterLines="50" w:line="360" w:lineRule="auto"/>
        <w:ind w:firstLine="3162" w:firstLineChars="1500"/>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49D78096">
      <w:pPr>
        <w:pStyle w:val="12"/>
        <w:numPr>
          <w:ilvl w:val="0"/>
          <w:numId w:val="0"/>
        </w:numPr>
        <w:spacing w:before="156" w:beforeLines="50" w:after="156" w:afterLines="50" w:line="360" w:lineRule="auto"/>
        <w:ind w:firstLine="3162" w:firstLineChars="1500"/>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1EA72C43">
      <w:pPr>
        <w:pStyle w:val="12"/>
        <w:numPr>
          <w:ilvl w:val="0"/>
          <w:numId w:val="0"/>
        </w:numPr>
        <w:spacing w:before="156" w:beforeLines="50" w:after="156" w:afterLines="50" w:line="360" w:lineRule="auto"/>
        <w:ind w:firstLine="3162" w:firstLineChars="1500"/>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t>图4 铜川药王山古柏防腐</w:t>
      </w:r>
    </w:p>
    <w:p w14:paraId="164D983A">
      <w:pPr>
        <w:pStyle w:val="1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outlineLvl w:val="1"/>
        <w:rPr>
          <w:rFonts w:hint="default" w:ascii="宋体" w:hAnsi="宋体" w:eastAsia="宋体"/>
          <w:b/>
          <w:bCs/>
          <w:sz w:val="28"/>
          <w:szCs w:val="32"/>
          <w:lang w:val="en-US" w:eastAsia="zh-CN"/>
        </w:rPr>
      </w:pPr>
      <w:r>
        <w:rPr>
          <w:rFonts w:hint="default" w:ascii="宋体" w:hAnsi="宋体" w:eastAsia="宋体"/>
          <w:b/>
          <w:bCs/>
          <w:sz w:val="28"/>
          <w:szCs w:val="32"/>
          <w:lang w:val="en-US" w:eastAsia="zh-CN"/>
        </w:rPr>
        <w:t>3.5枯枝疏截</w:t>
      </w:r>
    </w:p>
    <w:p w14:paraId="44889A9D">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lang w:val="en-US" w:eastAsia="zh-CN"/>
        </w:rPr>
      </w:pPr>
      <w:r>
        <w:rPr>
          <w:rFonts w:hint="eastAsia" w:ascii="Times New Roman" w:hAnsi="Times New Roman" w:cs="Times New Roman"/>
          <w:sz w:val="28"/>
          <w:szCs w:val="28"/>
          <w:lang w:val="en-US" w:eastAsia="zh-CN"/>
        </w:rPr>
        <w:t>（1）</w:t>
      </w:r>
      <w:r>
        <w:rPr>
          <w:rFonts w:hint="default" w:ascii="Times New Roman" w:hAnsi="Times New Roman" w:cs="Times New Roman"/>
          <w:sz w:val="28"/>
          <w:szCs w:val="28"/>
          <w:lang w:val="en-US" w:eastAsia="zh-CN"/>
        </w:rPr>
        <w:t>实践地点：莲湖</w:t>
      </w:r>
      <w:r>
        <w:rPr>
          <w:rFonts w:hint="eastAsia" w:ascii="Times New Roman" w:hAnsi="Times New Roman" w:cs="Times New Roman"/>
          <w:sz w:val="28"/>
          <w:szCs w:val="28"/>
          <w:lang w:val="en-US" w:eastAsia="zh-CN"/>
        </w:rPr>
        <w:t>区</w:t>
      </w:r>
      <w:r>
        <w:rPr>
          <w:rFonts w:hint="default" w:ascii="Times New Roman" w:hAnsi="Times New Roman" w:cs="Times New Roman"/>
          <w:sz w:val="28"/>
          <w:szCs w:val="28"/>
          <w:lang w:val="en-US" w:eastAsia="zh-CN"/>
        </w:rPr>
        <w:t>、耀州</w:t>
      </w:r>
      <w:r>
        <w:rPr>
          <w:rFonts w:hint="eastAsia" w:ascii="Times New Roman" w:hAnsi="Times New Roman" w:cs="Times New Roman"/>
          <w:sz w:val="28"/>
          <w:szCs w:val="28"/>
          <w:lang w:val="en-US" w:eastAsia="zh-CN"/>
        </w:rPr>
        <w:t>区</w:t>
      </w:r>
      <w:r>
        <w:rPr>
          <w:rFonts w:hint="default" w:ascii="Times New Roman" w:hAnsi="Times New Roman" w:cs="Times New Roman"/>
          <w:sz w:val="28"/>
          <w:szCs w:val="28"/>
          <w:lang w:val="en-US" w:eastAsia="zh-CN"/>
        </w:rPr>
        <w:t>、洛南</w:t>
      </w:r>
      <w:r>
        <w:rPr>
          <w:rFonts w:hint="eastAsia" w:ascii="Times New Roman" w:hAnsi="Times New Roman" w:cs="Times New Roman"/>
          <w:sz w:val="28"/>
          <w:szCs w:val="28"/>
          <w:lang w:val="en-US" w:eastAsia="zh-CN"/>
        </w:rPr>
        <w:t>县</w:t>
      </w:r>
      <w:r>
        <w:rPr>
          <w:rFonts w:hint="default" w:ascii="Times New Roman" w:hAnsi="Times New Roman" w:cs="Times New Roman"/>
          <w:sz w:val="28"/>
          <w:szCs w:val="28"/>
          <w:lang w:val="en-US" w:eastAsia="zh-CN"/>
        </w:rPr>
        <w:t>、临潼</w:t>
      </w:r>
      <w:r>
        <w:rPr>
          <w:rFonts w:hint="eastAsia" w:ascii="Times New Roman" w:hAnsi="Times New Roman" w:cs="Times New Roman"/>
          <w:sz w:val="28"/>
          <w:szCs w:val="28"/>
          <w:lang w:val="en-US" w:eastAsia="zh-CN"/>
        </w:rPr>
        <w:t>区</w:t>
      </w:r>
      <w:r>
        <w:rPr>
          <w:rFonts w:hint="default" w:ascii="Times New Roman" w:hAnsi="Times New Roman" w:cs="Times New Roman"/>
          <w:sz w:val="28"/>
          <w:szCs w:val="28"/>
          <w:lang w:val="en-US" w:eastAsia="zh-CN"/>
        </w:rPr>
        <w:t>等20余县市</w:t>
      </w:r>
    </w:p>
    <w:p w14:paraId="0E87A24D">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lang w:val="en-US" w:eastAsia="zh-CN"/>
        </w:rPr>
      </w:pPr>
      <w:r>
        <w:rPr>
          <w:rFonts w:hint="eastAsia" w:ascii="Times New Roman" w:hAnsi="Times New Roman" w:cs="Times New Roman"/>
          <w:sz w:val="28"/>
          <w:szCs w:val="28"/>
          <w:lang w:val="en-US" w:eastAsia="zh-CN"/>
        </w:rPr>
        <w:t>（2）</w:t>
      </w:r>
      <w:r>
        <w:rPr>
          <w:rFonts w:hint="default" w:ascii="Times New Roman" w:hAnsi="Times New Roman" w:cs="Times New Roman"/>
          <w:sz w:val="28"/>
          <w:szCs w:val="28"/>
          <w:lang w:val="en-US" w:eastAsia="zh-CN"/>
        </w:rPr>
        <w:t>研究案例：临潼古槐枯枝修剪</w:t>
      </w:r>
    </w:p>
    <w:p w14:paraId="6329144E">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r>
        <w:rPr>
          <w:rStyle w:val="11"/>
          <w:rFonts w:hint="default" w:ascii="Times New Roman" w:hAnsi="Times New Roman" w:cs="Times New Roman"/>
          <w:color w:val="auto"/>
          <w:sz w:val="28"/>
          <w:szCs w:val="28"/>
          <w:u w:val="none"/>
          <w:lang w:val="en-US" w:eastAsia="zh-CN"/>
        </w:rPr>
        <w:t>对古槐</w:t>
      </w:r>
      <w:r>
        <w:rPr>
          <w:rStyle w:val="11"/>
          <w:rFonts w:hint="default" w:ascii="Times New Roman" w:hAnsi="Times New Roman" w:cs="Times New Roman"/>
          <w:color w:val="auto"/>
          <w:sz w:val="28"/>
          <w:szCs w:val="28"/>
          <w:u w:val="none"/>
        </w:rPr>
        <w:t>上具有折断风险的干枯枝、腐烂枝用手锯或油锯采用短截的方式进行，剪口要平齐</w:t>
      </w:r>
      <w:r>
        <w:rPr>
          <w:rStyle w:val="11"/>
          <w:rFonts w:hint="default"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将剪口创面打磨光滑</w:t>
      </w:r>
      <w:r>
        <w:rPr>
          <w:rStyle w:val="11"/>
          <w:rFonts w:hint="eastAsia"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人工均匀涂刷熟桐油、生漆为主原料的古树专用生物防腐涂料，对剪口进行两层防腐，每上层防腐在下层防腐干燥后进行</w:t>
      </w:r>
      <w:r>
        <w:rPr>
          <w:rStyle w:val="11"/>
          <w:rFonts w:hint="default" w:ascii="Times New Roman" w:hAnsi="Times New Roman" w:cs="Times New Roman"/>
          <w:color w:val="auto"/>
          <w:sz w:val="28"/>
          <w:szCs w:val="28"/>
          <w:u w:val="none"/>
          <w:lang w:eastAsia="zh-CN"/>
        </w:rPr>
        <w:t>；</w:t>
      </w:r>
      <w:r>
        <w:rPr>
          <w:rStyle w:val="11"/>
          <w:rFonts w:hint="default" w:ascii="Times New Roman" w:hAnsi="Times New Roman" w:cs="Times New Roman"/>
          <w:color w:val="auto"/>
          <w:sz w:val="28"/>
          <w:szCs w:val="28"/>
          <w:u w:val="none"/>
        </w:rPr>
        <w:t>将修剪后的枝条，在远处集中消毒并处理。</w:t>
      </w:r>
    </w:p>
    <w:p w14:paraId="3F39FE4F">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r>
        <w:rPr>
          <w:rFonts w:hint="default" w:ascii="Times New Roman" w:hAnsi="Times New Roman" w:cs="Times New Roman"/>
          <w:sz w:val="28"/>
          <w:szCs w:val="28"/>
        </w:rPr>
        <w:drawing>
          <wp:anchor distT="0" distB="0" distL="114300" distR="114300" simplePos="0" relativeHeight="251665408" behindDoc="0" locked="0" layoutInCell="1" allowOverlap="1">
            <wp:simplePos x="0" y="0"/>
            <wp:positionH relativeFrom="column">
              <wp:posOffset>-19050</wp:posOffset>
            </wp:positionH>
            <wp:positionV relativeFrom="paragraph">
              <wp:posOffset>49530</wp:posOffset>
            </wp:positionV>
            <wp:extent cx="5436235" cy="4075430"/>
            <wp:effectExtent l="0" t="0" r="12065" b="1270"/>
            <wp:wrapNone/>
            <wp:docPr id="15" name="图片 13" descr="F:\荣尚生态园林\项目\2023\西安园林研究所古树名木管护规范\项目照片\应急管护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descr="F:\荣尚生态园林\项目\2023\西安园林研究所古树名木管护规范\项目照片\应急管护2.jpg"/>
                    <pic:cNvPicPr>
                      <a:picLocks noChangeAspect="1" noChangeArrowheads="1"/>
                    </pic:cNvPicPr>
                  </pic:nvPicPr>
                  <pic:blipFill>
                    <a:blip r:embed="rId9" cstate="print"/>
                    <a:srcRect/>
                    <a:stretch>
                      <a:fillRect/>
                    </a:stretch>
                  </pic:blipFill>
                  <pic:spPr>
                    <a:xfrm>
                      <a:off x="0" y="0"/>
                      <a:ext cx="5436235" cy="4075430"/>
                    </a:xfrm>
                    <a:prstGeom prst="rect">
                      <a:avLst/>
                    </a:prstGeom>
                    <a:noFill/>
                    <a:ln w="9525">
                      <a:noFill/>
                      <a:miter lim="800000"/>
                      <a:headEnd/>
                      <a:tailEnd/>
                    </a:ln>
                  </pic:spPr>
                </pic:pic>
              </a:graphicData>
            </a:graphic>
          </wp:anchor>
        </w:drawing>
      </w:r>
    </w:p>
    <w:p w14:paraId="54AD8C01">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37D08C45">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47B6C58F">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0F0341EB">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1E8B8418">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2BD4AE64">
      <w:pPr>
        <w:pStyle w:val="12"/>
        <w:numPr>
          <w:ilvl w:val="0"/>
          <w:numId w:val="0"/>
        </w:numPr>
        <w:spacing w:before="156" w:beforeLines="50" w:after="156" w:afterLines="50" w:line="360" w:lineRule="auto"/>
        <w:ind w:firstLine="3373" w:firstLineChars="1600"/>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0351ED57">
      <w:pPr>
        <w:pStyle w:val="12"/>
        <w:numPr>
          <w:ilvl w:val="0"/>
          <w:numId w:val="0"/>
        </w:numPr>
        <w:spacing w:before="156" w:beforeLines="50" w:after="156" w:afterLines="50" w:line="360" w:lineRule="auto"/>
        <w:ind w:firstLine="3373" w:firstLineChars="1600"/>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1D166800">
      <w:pPr>
        <w:pStyle w:val="12"/>
        <w:numPr>
          <w:ilvl w:val="0"/>
          <w:numId w:val="0"/>
        </w:numPr>
        <w:spacing w:before="156" w:beforeLines="50" w:after="156" w:afterLines="50" w:line="360" w:lineRule="auto"/>
        <w:ind w:firstLine="3373" w:firstLineChars="1600"/>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7BFCB9D2">
      <w:pPr>
        <w:pStyle w:val="12"/>
        <w:numPr>
          <w:ilvl w:val="0"/>
          <w:numId w:val="0"/>
        </w:numPr>
        <w:spacing w:before="156" w:beforeLines="50" w:after="156" w:afterLines="50" w:line="360" w:lineRule="auto"/>
        <w:ind w:firstLine="3373" w:firstLineChars="1600"/>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t>图5 西安古槐枯枝修剪</w:t>
      </w:r>
    </w:p>
    <w:p w14:paraId="22E6FCD3">
      <w:pPr>
        <w:pStyle w:val="1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outlineLvl w:val="1"/>
        <w:rPr>
          <w:rFonts w:hint="default" w:ascii="宋体" w:hAnsi="宋体" w:eastAsia="宋体"/>
          <w:b/>
          <w:bCs/>
          <w:sz w:val="28"/>
          <w:szCs w:val="32"/>
          <w:lang w:val="en-US" w:eastAsia="zh-CN"/>
        </w:rPr>
      </w:pPr>
      <w:r>
        <w:rPr>
          <w:rFonts w:hint="default" w:ascii="宋体" w:hAnsi="宋体" w:eastAsia="宋体"/>
          <w:b/>
          <w:bCs/>
          <w:sz w:val="28"/>
          <w:szCs w:val="32"/>
          <w:lang w:val="en-US" w:eastAsia="zh-CN"/>
        </w:rPr>
        <w:t>3.6有害生物防控</w:t>
      </w:r>
    </w:p>
    <w:p w14:paraId="3E9258C8">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lang w:val="en-US" w:eastAsia="zh-CN"/>
        </w:rPr>
      </w:pPr>
      <w:r>
        <w:rPr>
          <w:rFonts w:hint="eastAsia" w:ascii="Times New Roman" w:hAnsi="Times New Roman" w:cs="Times New Roman"/>
          <w:sz w:val="28"/>
          <w:szCs w:val="28"/>
          <w:lang w:val="en-US" w:eastAsia="zh-CN"/>
        </w:rPr>
        <w:t>（1）</w:t>
      </w:r>
      <w:r>
        <w:rPr>
          <w:rFonts w:hint="default" w:ascii="Times New Roman" w:hAnsi="Times New Roman" w:cs="Times New Roman"/>
          <w:sz w:val="28"/>
          <w:szCs w:val="28"/>
          <w:lang w:val="en-US" w:eastAsia="zh-CN"/>
        </w:rPr>
        <w:t>实践地点：新城</w:t>
      </w:r>
      <w:r>
        <w:rPr>
          <w:rFonts w:hint="eastAsia" w:ascii="Times New Roman" w:hAnsi="Times New Roman" w:cs="Times New Roman"/>
          <w:sz w:val="28"/>
          <w:szCs w:val="28"/>
          <w:lang w:val="en-US" w:eastAsia="zh-CN"/>
        </w:rPr>
        <w:t>区</w:t>
      </w:r>
      <w:r>
        <w:rPr>
          <w:rFonts w:hint="default" w:ascii="Times New Roman" w:hAnsi="Times New Roman" w:cs="Times New Roman"/>
          <w:sz w:val="28"/>
          <w:szCs w:val="28"/>
          <w:lang w:val="en-US" w:eastAsia="zh-CN"/>
        </w:rPr>
        <w:t>、耀州</w:t>
      </w:r>
      <w:r>
        <w:rPr>
          <w:rFonts w:hint="eastAsia" w:ascii="Times New Roman" w:hAnsi="Times New Roman" w:cs="Times New Roman"/>
          <w:sz w:val="28"/>
          <w:szCs w:val="28"/>
          <w:lang w:val="en-US" w:eastAsia="zh-CN"/>
        </w:rPr>
        <w:t>区</w:t>
      </w:r>
      <w:r>
        <w:rPr>
          <w:rFonts w:hint="default" w:ascii="Times New Roman" w:hAnsi="Times New Roman" w:cs="Times New Roman"/>
          <w:sz w:val="28"/>
          <w:szCs w:val="28"/>
          <w:lang w:val="en-US" w:eastAsia="zh-CN"/>
        </w:rPr>
        <w:t>、洛南</w:t>
      </w:r>
      <w:r>
        <w:rPr>
          <w:rFonts w:hint="eastAsia" w:ascii="Times New Roman" w:hAnsi="Times New Roman" w:cs="Times New Roman"/>
          <w:sz w:val="28"/>
          <w:szCs w:val="28"/>
          <w:lang w:val="en-US" w:eastAsia="zh-CN"/>
        </w:rPr>
        <w:t>县</w:t>
      </w:r>
      <w:r>
        <w:rPr>
          <w:rFonts w:hint="default" w:ascii="Times New Roman" w:hAnsi="Times New Roman" w:cs="Times New Roman"/>
          <w:sz w:val="28"/>
          <w:szCs w:val="28"/>
          <w:lang w:val="en-US" w:eastAsia="zh-CN"/>
        </w:rPr>
        <w:t>、紫阳</w:t>
      </w:r>
      <w:r>
        <w:rPr>
          <w:rFonts w:hint="eastAsia" w:ascii="Times New Roman" w:hAnsi="Times New Roman" w:cs="Times New Roman"/>
          <w:sz w:val="28"/>
          <w:szCs w:val="28"/>
          <w:lang w:val="en-US" w:eastAsia="zh-CN"/>
        </w:rPr>
        <w:t>县</w:t>
      </w:r>
      <w:r>
        <w:rPr>
          <w:rFonts w:hint="default" w:ascii="Times New Roman" w:hAnsi="Times New Roman" w:cs="Times New Roman"/>
          <w:sz w:val="28"/>
          <w:szCs w:val="28"/>
          <w:lang w:val="en-US" w:eastAsia="zh-CN"/>
        </w:rPr>
        <w:t>等20余县市</w:t>
      </w:r>
    </w:p>
    <w:p w14:paraId="544F47D7">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lang w:val="en-US" w:eastAsia="zh-CN"/>
        </w:rPr>
      </w:pPr>
      <w:r>
        <w:rPr>
          <w:rFonts w:hint="eastAsia" w:ascii="Times New Roman" w:hAnsi="Times New Roman" w:cs="Times New Roman"/>
          <w:sz w:val="28"/>
          <w:szCs w:val="28"/>
          <w:lang w:val="en-US" w:eastAsia="zh-CN"/>
        </w:rPr>
        <w:t>（2）</w:t>
      </w:r>
      <w:r>
        <w:rPr>
          <w:rFonts w:hint="default" w:ascii="Times New Roman" w:hAnsi="Times New Roman" w:cs="Times New Roman"/>
          <w:sz w:val="28"/>
          <w:szCs w:val="28"/>
          <w:lang w:val="en-US" w:eastAsia="zh-CN"/>
        </w:rPr>
        <w:t>研究案例：洛南核桃王病虫调查</w:t>
      </w:r>
    </w:p>
    <w:p w14:paraId="14509CD5">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0"/>
        <w:rPr>
          <w:rStyle w:val="11"/>
          <w:rFonts w:hint="default" w:ascii="Times New Roman" w:hAnsi="Times New Roman" w:cs="Times New Roman"/>
          <w:color w:val="auto"/>
          <w:sz w:val="28"/>
          <w:szCs w:val="28"/>
          <w:u w:val="none"/>
        </w:rPr>
      </w:pPr>
      <w:r>
        <w:rPr>
          <w:rStyle w:val="11"/>
          <w:rFonts w:hint="default" w:ascii="Times New Roman" w:hAnsi="Times New Roman" w:cs="Times New Roman"/>
          <w:color w:val="auto"/>
          <w:sz w:val="28"/>
          <w:szCs w:val="28"/>
          <w:u w:val="none"/>
          <w:lang w:val="en-US" w:eastAsia="zh-CN"/>
        </w:rPr>
        <w:t>调查</w:t>
      </w:r>
      <w:r>
        <w:rPr>
          <w:rStyle w:val="11"/>
          <w:rFonts w:hint="default" w:ascii="Times New Roman" w:hAnsi="Times New Roman" w:cs="Times New Roman"/>
          <w:color w:val="auto"/>
          <w:sz w:val="28"/>
          <w:szCs w:val="28"/>
          <w:u w:val="none"/>
        </w:rPr>
        <w:t>古树树体及古树保护区范围内</w:t>
      </w:r>
      <w:r>
        <w:rPr>
          <w:rStyle w:val="11"/>
          <w:rFonts w:hint="default" w:ascii="Times New Roman" w:hAnsi="Times New Roman" w:cs="Times New Roman"/>
          <w:color w:val="auto"/>
          <w:sz w:val="28"/>
          <w:szCs w:val="28"/>
          <w:u w:val="none"/>
          <w:lang w:val="en-US" w:eastAsia="zh-CN"/>
        </w:rPr>
        <w:t>的病虫害，发现</w:t>
      </w:r>
      <w:r>
        <w:rPr>
          <w:rFonts w:hint="default" w:ascii="Times New Roman" w:hAnsi="Times New Roman" w:cs="Times New Roman"/>
          <w:sz w:val="28"/>
          <w:szCs w:val="28"/>
          <w:lang w:val="en-US" w:eastAsia="zh-CN"/>
        </w:rPr>
        <w:t>由于树体衰弱，蛀干害虫危害严重，</w:t>
      </w:r>
      <w:r>
        <w:rPr>
          <w:rStyle w:val="11"/>
          <w:rFonts w:hint="default" w:ascii="Times New Roman" w:hAnsi="Times New Roman" w:cs="Times New Roman"/>
          <w:color w:val="auto"/>
          <w:sz w:val="28"/>
          <w:szCs w:val="28"/>
          <w:u w:val="none"/>
        </w:rPr>
        <w:t>制定生态防治计划，开展防治作业。</w:t>
      </w:r>
    </w:p>
    <w:p w14:paraId="37B1D7A9">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r>
        <w:rPr>
          <w:rFonts w:hint="default" w:ascii="Times New Roman" w:hAnsi="Times New Roman" w:cs="Times New Roman"/>
          <w:sz w:val="30"/>
          <w:szCs w:val="30"/>
        </w:rPr>
        <w:drawing>
          <wp:anchor distT="0" distB="0" distL="114300" distR="114300" simplePos="0" relativeHeight="251664384" behindDoc="0" locked="0" layoutInCell="1" allowOverlap="1">
            <wp:simplePos x="0" y="0"/>
            <wp:positionH relativeFrom="column">
              <wp:posOffset>1038860</wp:posOffset>
            </wp:positionH>
            <wp:positionV relativeFrom="paragraph">
              <wp:posOffset>51435</wp:posOffset>
            </wp:positionV>
            <wp:extent cx="3700145" cy="4928870"/>
            <wp:effectExtent l="0" t="0" r="14605" b="5080"/>
            <wp:wrapNone/>
            <wp:docPr id="22" name="图片 5" descr="2树体杀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2树体杀虫"/>
                    <pic:cNvPicPr>
                      <a:picLocks noChangeAspect="1" noChangeArrowheads="1"/>
                    </pic:cNvPicPr>
                  </pic:nvPicPr>
                  <pic:blipFill>
                    <a:blip r:embed="rId10" cstate="print"/>
                    <a:srcRect/>
                    <a:stretch>
                      <a:fillRect/>
                    </a:stretch>
                  </pic:blipFill>
                  <pic:spPr>
                    <a:xfrm>
                      <a:off x="0" y="0"/>
                      <a:ext cx="3700145" cy="4928870"/>
                    </a:xfrm>
                    <a:prstGeom prst="rect">
                      <a:avLst/>
                    </a:prstGeom>
                    <a:noFill/>
                    <a:ln w="9525" cmpd="sng">
                      <a:noFill/>
                      <a:miter lim="800000"/>
                      <a:headEnd/>
                      <a:tailEnd/>
                    </a:ln>
                  </pic:spPr>
                </pic:pic>
              </a:graphicData>
            </a:graphic>
          </wp:anchor>
        </w:drawing>
      </w:r>
    </w:p>
    <w:p w14:paraId="0E87BAE1">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p>
    <w:p w14:paraId="7F9AC604">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6057025D">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47FE1473">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0248DC6B">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286F2679">
      <w:pPr>
        <w:pStyle w:val="12"/>
        <w:numPr>
          <w:ilvl w:val="0"/>
          <w:numId w:val="0"/>
        </w:numPr>
        <w:spacing w:before="156" w:beforeLines="50" w:after="156" w:afterLines="50" w:line="360" w:lineRule="auto"/>
        <w:outlineLvl w:val="0"/>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pPr>
    </w:p>
    <w:p w14:paraId="458BADE1">
      <w:pPr>
        <w:pStyle w:val="12"/>
        <w:numPr>
          <w:ilvl w:val="0"/>
          <w:numId w:val="0"/>
        </w:numPr>
        <w:spacing w:before="156" w:beforeLines="50" w:after="156" w:afterLines="50" w:line="360" w:lineRule="auto"/>
        <w:jc w:val="center"/>
        <w:outlineLvl w:val="0"/>
        <w:rPr>
          <w:rFonts w:hint="default" w:ascii="Times New Roman" w:hAnsi="Times New Roman" w:eastAsia="宋体" w:cs="Times New Roman"/>
          <w:b w:val="0"/>
          <w:bCs w:val="0"/>
          <w:color w:val="000000" w:themeColor="text1"/>
          <w:sz w:val="21"/>
          <w:szCs w:val="21"/>
          <w:lang w:val="en-US" w:eastAsia="zh-CN" w:bidi="ar-SA"/>
          <w14:textFill>
            <w14:solidFill>
              <w14:schemeClr w14:val="tx1"/>
            </w14:solidFill>
          </w14:textFill>
        </w:rPr>
      </w:pPr>
    </w:p>
    <w:p w14:paraId="77ADDFA4">
      <w:pPr>
        <w:pStyle w:val="12"/>
        <w:numPr>
          <w:ilvl w:val="0"/>
          <w:numId w:val="0"/>
        </w:numPr>
        <w:spacing w:before="156" w:beforeLines="50" w:after="156" w:afterLines="50" w:line="360" w:lineRule="auto"/>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0428015A">
      <w:pPr>
        <w:pStyle w:val="12"/>
        <w:numPr>
          <w:ilvl w:val="0"/>
          <w:numId w:val="0"/>
        </w:numPr>
        <w:tabs>
          <w:tab w:val="left" w:pos="3436"/>
        </w:tabs>
        <w:spacing w:before="156" w:beforeLines="50" w:after="156" w:afterLines="50" w:line="360" w:lineRule="auto"/>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669A65BC">
      <w:pPr>
        <w:pStyle w:val="12"/>
        <w:numPr>
          <w:ilvl w:val="0"/>
          <w:numId w:val="0"/>
        </w:numPr>
        <w:spacing w:before="156" w:beforeLines="50" w:after="156" w:afterLines="50" w:line="360" w:lineRule="auto"/>
        <w:ind w:firstLine="2951" w:firstLineChars="1400"/>
        <w:jc w:val="both"/>
        <w:outlineLvl w:val="0"/>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pPr>
    </w:p>
    <w:p w14:paraId="327DFA99">
      <w:pPr>
        <w:pStyle w:val="12"/>
        <w:numPr>
          <w:ilvl w:val="0"/>
          <w:numId w:val="0"/>
        </w:numPr>
        <w:spacing w:before="156" w:beforeLines="50" w:after="156" w:afterLines="50" w:line="360" w:lineRule="auto"/>
        <w:ind w:firstLine="2951" w:firstLineChars="1400"/>
        <w:jc w:val="both"/>
        <w:outlineLvl w:val="0"/>
        <w:rPr>
          <w:rFonts w:hint="default" w:ascii="宋体" w:hAnsi="宋体" w:eastAsia="宋体"/>
          <w:b/>
          <w:bCs/>
          <w:sz w:val="28"/>
          <w:szCs w:val="32"/>
          <w:lang w:val="en-US" w:eastAsia="zh-CN"/>
        </w:rPr>
      </w:pPr>
      <w:r>
        <w:rPr>
          <w:rFonts w:hint="default" w:ascii="Times New Roman" w:hAnsi="Times New Roman" w:eastAsia="宋体" w:cs="Times New Roman"/>
          <w:b/>
          <w:bCs/>
          <w:color w:val="000000" w:themeColor="text1"/>
          <w:sz w:val="21"/>
          <w:szCs w:val="21"/>
          <w:lang w:val="en-US" w:eastAsia="zh-CN" w:bidi="ar-SA"/>
          <w14:textFill>
            <w14:solidFill>
              <w14:schemeClr w14:val="tx1"/>
            </w14:solidFill>
          </w14:textFill>
        </w:rPr>
        <w:t>图6 洛南核桃王病虫调查</w:t>
      </w:r>
    </w:p>
    <w:p w14:paraId="73D2670B">
      <w:pPr>
        <w:pStyle w:val="1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outlineLvl w:val="1"/>
        <w:rPr>
          <w:rFonts w:hint="default" w:ascii="宋体" w:hAnsi="宋体" w:eastAsia="宋体"/>
          <w:b/>
          <w:bCs/>
          <w:sz w:val="28"/>
          <w:szCs w:val="32"/>
          <w:lang w:val="en-US" w:eastAsia="zh-CN"/>
        </w:rPr>
      </w:pPr>
      <w:r>
        <w:rPr>
          <w:rFonts w:hint="default" w:ascii="宋体" w:hAnsi="宋体" w:eastAsia="宋体"/>
          <w:b/>
          <w:bCs/>
          <w:sz w:val="28"/>
          <w:szCs w:val="32"/>
          <w:lang w:val="en-US" w:eastAsia="zh-CN"/>
        </w:rPr>
        <w:t>3.7水肥管理</w:t>
      </w:r>
    </w:p>
    <w:p w14:paraId="19A2B2CE">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rPr>
      </w:pPr>
      <w:r>
        <w:rPr>
          <w:rFonts w:hint="eastAsia" w:ascii="Times New Roman" w:hAnsi="Times New Roman" w:cs="Times New Roman"/>
          <w:sz w:val="28"/>
          <w:szCs w:val="28"/>
          <w:lang w:val="en-US" w:eastAsia="zh-CN"/>
        </w:rPr>
        <w:t>（1）</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实践地点：</w:t>
      </w:r>
      <w:r>
        <w:rPr>
          <w:rFonts w:hint="default" w:ascii="Times New Roman" w:hAnsi="Times New Roman" w:cs="Times New Roman"/>
          <w:sz w:val="28"/>
          <w:szCs w:val="28"/>
        </w:rPr>
        <w:t>碑林</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、耀州</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、洛南</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、紫阳</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等20余县市</w:t>
      </w:r>
    </w:p>
    <w:p w14:paraId="5ED09170">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color w:val="000000"/>
          <w:sz w:val="28"/>
          <w:szCs w:val="28"/>
        </w:rPr>
      </w:pPr>
      <w:r>
        <w:rPr>
          <w:rFonts w:hint="eastAsia" w:ascii="Times New Roman" w:hAnsi="Times New Roman" w:cs="Times New Roman"/>
          <w:sz w:val="28"/>
          <w:szCs w:val="28"/>
          <w:lang w:val="en-US" w:eastAsia="zh-CN"/>
        </w:rPr>
        <w:t>（2）</w:t>
      </w:r>
      <w:r>
        <w:rPr>
          <w:rFonts w:hint="default" w:ascii="Times New Roman" w:hAnsi="Times New Roman" w:cs="Times New Roman"/>
          <w:sz w:val="28"/>
          <w:szCs w:val="28"/>
          <w:lang w:val="en-US" w:eastAsia="zh-CN"/>
        </w:rPr>
        <w:t>研究案例：</w:t>
      </w:r>
      <w:r>
        <w:rPr>
          <w:rFonts w:hint="default" w:ascii="Times New Roman" w:hAnsi="Times New Roman" w:cs="Times New Roman"/>
          <w:sz w:val="28"/>
          <w:szCs w:val="28"/>
        </w:rPr>
        <w:t>洛南核桃王</w:t>
      </w:r>
      <w:r>
        <w:rPr>
          <w:rFonts w:hint="default" w:ascii="Times New Roman" w:hAnsi="Times New Roman" w:cs="Times New Roman"/>
          <w:sz w:val="28"/>
          <w:szCs w:val="28"/>
          <w:lang w:val="en-US" w:eastAsia="zh-CN"/>
        </w:rPr>
        <w:t>土壤改良</w:t>
      </w:r>
      <w:r>
        <w:rPr>
          <w:rFonts w:hint="default" w:ascii="Times New Roman" w:hAnsi="Times New Roman" w:cs="Times New Roman"/>
          <w:color w:val="000000"/>
          <w:sz w:val="28"/>
          <w:szCs w:val="28"/>
        </w:rPr>
        <w:t xml:space="preserve"> </w:t>
      </w:r>
    </w:p>
    <w:p w14:paraId="21BF5391">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cs="Times New Roman" w:eastAsiaTheme="minorEastAsia"/>
          <w:kern w:val="2"/>
          <w:sz w:val="28"/>
          <w:szCs w:val="28"/>
          <w:lang w:val="en-US" w:eastAsia="zh-CN" w:bidi="ar-SA"/>
        </w:rPr>
      </w:pPr>
      <w:r>
        <w:rPr>
          <w:rFonts w:hint="default" w:ascii="Times New Roman" w:hAnsi="Times New Roman" w:cs="Times New Roman" w:eastAsiaTheme="minorEastAsia"/>
          <w:kern w:val="2"/>
          <w:sz w:val="28"/>
          <w:szCs w:val="28"/>
          <w:lang w:val="en-US" w:eastAsia="zh-CN" w:bidi="ar-SA"/>
        </w:rPr>
        <w:t>树冠投影面积及周边外延5</w:t>
      </w:r>
      <w:r>
        <w:rPr>
          <w:rFonts w:hint="default" w:ascii="Times New Roman" w:hAnsi="Times New Roman" w:cs="Times New Roman"/>
          <w:kern w:val="2"/>
          <w:sz w:val="28"/>
          <w:szCs w:val="28"/>
          <w:lang w:val="en-US" w:eastAsia="zh-CN" w:bidi="ar-SA"/>
        </w:rPr>
        <w:t xml:space="preserve"> </w:t>
      </w:r>
      <w:r>
        <w:rPr>
          <w:rFonts w:hint="default" w:ascii="Times New Roman" w:hAnsi="Times New Roman" w:cs="Times New Roman" w:eastAsiaTheme="minorEastAsia"/>
          <w:kern w:val="2"/>
          <w:sz w:val="28"/>
          <w:szCs w:val="28"/>
          <w:lang w:val="en-US" w:eastAsia="zh-CN" w:bidi="ar-SA"/>
        </w:rPr>
        <w:t>m范围内，清除</w:t>
      </w:r>
      <w:r>
        <w:rPr>
          <w:rFonts w:hint="default" w:ascii="Times New Roman" w:hAnsi="Times New Roman" w:cs="Times New Roman" w:eastAsiaTheme="minorEastAsia"/>
          <w:kern w:val="2"/>
          <w:sz w:val="28"/>
          <w:szCs w:val="28"/>
          <w:lang w:val="zh-CN" w:eastAsia="zh-CN" w:bidi="ar-SA"/>
        </w:rPr>
        <w:t>建筑垃圾、生活垃圾</w:t>
      </w:r>
      <w:r>
        <w:rPr>
          <w:rFonts w:hint="default" w:ascii="Times New Roman" w:hAnsi="Times New Roman" w:cs="Times New Roman"/>
          <w:kern w:val="2"/>
          <w:sz w:val="28"/>
          <w:szCs w:val="28"/>
          <w:lang w:val="zh-CN" w:eastAsia="zh-CN" w:bidi="ar-SA"/>
        </w:rPr>
        <w:t>，</w:t>
      </w:r>
      <w:r>
        <w:rPr>
          <w:rFonts w:hint="default" w:ascii="Times New Roman" w:hAnsi="Times New Roman" w:cs="Times New Roman" w:eastAsiaTheme="minorEastAsia"/>
          <w:kern w:val="2"/>
          <w:sz w:val="28"/>
          <w:szCs w:val="28"/>
          <w:lang w:val="en-US" w:eastAsia="zh-CN" w:bidi="ar-SA"/>
        </w:rPr>
        <w:t>手工松土至须根层，</w:t>
      </w:r>
      <w:r>
        <w:rPr>
          <w:rFonts w:hint="default" w:ascii="Times New Roman" w:hAnsi="Times New Roman" w:cs="Times New Roman" w:eastAsiaTheme="minorEastAsia"/>
          <w:kern w:val="2"/>
          <w:sz w:val="28"/>
          <w:szCs w:val="28"/>
          <w:lang w:val="zh-CN" w:eastAsia="zh-CN" w:bidi="ar-SA"/>
        </w:rPr>
        <w:t>松土时采取措施避免伤及根系</w:t>
      </w:r>
      <w:r>
        <w:rPr>
          <w:rFonts w:hint="default" w:ascii="Times New Roman" w:hAnsi="Times New Roman" w:cs="Times New Roman" w:eastAsiaTheme="minorEastAsia"/>
          <w:kern w:val="2"/>
          <w:sz w:val="28"/>
          <w:szCs w:val="28"/>
          <w:lang w:val="en-US" w:eastAsia="zh-CN" w:bidi="ar-SA"/>
        </w:rPr>
        <w:t>；</w:t>
      </w:r>
      <w:r>
        <w:rPr>
          <w:rFonts w:hint="default" w:ascii="Times New Roman" w:hAnsi="Times New Roman" w:cs="Times New Roman"/>
          <w:kern w:val="2"/>
          <w:sz w:val="28"/>
          <w:szCs w:val="28"/>
          <w:lang w:val="en-US" w:eastAsia="zh-CN" w:bidi="ar-SA"/>
        </w:rPr>
        <w:t>对</w:t>
      </w:r>
      <w:r>
        <w:rPr>
          <w:rFonts w:hint="default" w:ascii="Times New Roman" w:hAnsi="Times New Roman" w:cs="Times New Roman" w:eastAsiaTheme="minorEastAsia"/>
          <w:kern w:val="2"/>
          <w:sz w:val="28"/>
          <w:szCs w:val="28"/>
          <w:lang w:val="en-US" w:eastAsia="zh-CN" w:bidi="ar-SA"/>
        </w:rPr>
        <w:t>表土进行换填优质壤土，深度约30</w:t>
      </w:r>
      <w:r>
        <w:rPr>
          <w:rFonts w:hint="default" w:ascii="Times New Roman" w:hAnsi="Times New Roman" w:cs="Times New Roman"/>
          <w:kern w:val="2"/>
          <w:sz w:val="28"/>
          <w:szCs w:val="28"/>
          <w:lang w:val="en-US" w:eastAsia="zh-CN" w:bidi="ar-SA"/>
        </w:rPr>
        <w:t xml:space="preserve"> </w:t>
      </w:r>
      <w:r>
        <w:rPr>
          <w:rFonts w:hint="default" w:ascii="Times New Roman" w:hAnsi="Times New Roman" w:cs="Times New Roman" w:eastAsiaTheme="minorEastAsia"/>
          <w:kern w:val="2"/>
          <w:sz w:val="28"/>
          <w:szCs w:val="28"/>
          <w:lang w:val="en-US" w:eastAsia="zh-CN" w:bidi="ar-SA"/>
        </w:rPr>
        <w:t>cm（根据探根结果确定）</w:t>
      </w:r>
      <w:r>
        <w:rPr>
          <w:rFonts w:hint="eastAsia" w:ascii="Times New Roman" w:hAnsi="Times New Roman" w:cs="Times New Roman"/>
          <w:kern w:val="2"/>
          <w:sz w:val="28"/>
          <w:szCs w:val="28"/>
          <w:lang w:val="en-US" w:eastAsia="zh-CN" w:bidi="ar-SA"/>
        </w:rPr>
        <w:t>，</w:t>
      </w:r>
      <w:r>
        <w:rPr>
          <w:rFonts w:hint="default" w:ascii="Times New Roman" w:hAnsi="Times New Roman" w:cs="Times New Roman" w:eastAsiaTheme="minorEastAsia"/>
          <w:kern w:val="2"/>
          <w:sz w:val="28"/>
          <w:szCs w:val="28"/>
          <w:lang w:val="en-US" w:eastAsia="zh-CN" w:bidi="ar-SA"/>
        </w:rPr>
        <w:t>换填壤土时加入5%</w:t>
      </w:r>
      <w:r>
        <w:rPr>
          <w:rFonts w:hint="default" w:ascii="Times New Roman" w:hAnsi="Times New Roman" w:cs="Times New Roman"/>
          <w:kern w:val="2"/>
          <w:sz w:val="28"/>
          <w:szCs w:val="28"/>
          <w:lang w:val="en-US" w:eastAsia="zh-CN" w:bidi="ar-SA"/>
        </w:rPr>
        <w:t xml:space="preserve"> </w:t>
      </w:r>
      <w:r>
        <w:rPr>
          <w:rFonts w:hint="default" w:ascii="Times New Roman" w:hAnsi="Times New Roman" w:cs="Times New Roman" w:eastAsiaTheme="minorEastAsia"/>
          <w:kern w:val="2"/>
          <w:sz w:val="28"/>
          <w:szCs w:val="28"/>
          <w:lang w:val="en-US" w:eastAsia="zh-CN" w:bidi="ar-SA"/>
        </w:rPr>
        <w:t>河沙，混合均匀，</w:t>
      </w:r>
      <w:r>
        <w:rPr>
          <w:rFonts w:hint="default" w:ascii="Times New Roman" w:hAnsi="Times New Roman" w:cs="Times New Roman" w:eastAsiaTheme="minorEastAsia"/>
          <w:kern w:val="2"/>
          <w:sz w:val="28"/>
          <w:szCs w:val="28"/>
          <w:lang w:val="zh-CN" w:eastAsia="zh-CN" w:bidi="ar-SA"/>
        </w:rPr>
        <w:t>改善土壤的结构和透气性</w:t>
      </w:r>
      <w:r>
        <w:rPr>
          <w:rFonts w:hint="default" w:ascii="Times New Roman" w:hAnsi="Times New Roman" w:cs="Times New Roman"/>
          <w:kern w:val="2"/>
          <w:sz w:val="28"/>
          <w:szCs w:val="28"/>
          <w:lang w:val="zh-CN" w:eastAsia="zh-CN" w:bidi="ar-SA"/>
        </w:rPr>
        <w:t>；</w:t>
      </w:r>
      <w:r>
        <w:rPr>
          <w:rFonts w:hint="default" w:ascii="Times New Roman" w:hAnsi="Times New Roman" w:cs="Times New Roman" w:eastAsiaTheme="minorEastAsia"/>
          <w:kern w:val="2"/>
          <w:sz w:val="28"/>
          <w:szCs w:val="28"/>
          <w:lang w:val="en-US" w:eastAsia="zh-CN" w:bidi="ar-SA"/>
        </w:rPr>
        <w:t>结合换填土，拌入有机肥进行土壤改良，按每平米施腐熟有机肥2</w:t>
      </w:r>
      <w:r>
        <w:rPr>
          <w:rFonts w:hint="default" w:ascii="Times New Roman" w:hAnsi="Times New Roman" w:cs="Times New Roman"/>
          <w:kern w:val="2"/>
          <w:sz w:val="28"/>
          <w:szCs w:val="28"/>
          <w:lang w:val="en-US" w:eastAsia="zh-CN" w:bidi="ar-SA"/>
        </w:rPr>
        <w:t xml:space="preserve"> </w:t>
      </w:r>
      <w:r>
        <w:rPr>
          <w:rFonts w:hint="default" w:ascii="Times New Roman" w:hAnsi="Times New Roman" w:cs="Times New Roman" w:eastAsiaTheme="minorEastAsia"/>
          <w:kern w:val="2"/>
          <w:sz w:val="28"/>
          <w:szCs w:val="28"/>
          <w:lang w:val="en-US" w:eastAsia="zh-CN" w:bidi="ar-SA"/>
        </w:rPr>
        <w:t>kg进行。</w:t>
      </w:r>
    </w:p>
    <w:p w14:paraId="64CB83A7">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cs="Times New Roman" w:eastAsiaTheme="minorEastAsia"/>
          <w:kern w:val="2"/>
          <w:sz w:val="28"/>
          <w:szCs w:val="28"/>
          <w:lang w:val="en-US" w:eastAsia="zh-CN" w:bidi="ar-SA"/>
        </w:rPr>
      </w:pPr>
    </w:p>
    <w:p w14:paraId="36E1FC8A">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cs="Times New Roman" w:eastAsiaTheme="minorEastAsia"/>
          <w:kern w:val="2"/>
          <w:sz w:val="28"/>
          <w:szCs w:val="28"/>
          <w:lang w:val="en-US" w:eastAsia="zh-CN" w:bidi="ar-SA"/>
        </w:rPr>
      </w:pPr>
      <w:r>
        <w:rPr>
          <w:rFonts w:hint="default" w:ascii="Times New Roman" w:hAnsi="Times New Roman" w:cs="Times New Roman"/>
          <w:sz w:val="28"/>
          <w:szCs w:val="28"/>
        </w:rPr>
        <w:drawing>
          <wp:anchor distT="0" distB="0" distL="114300" distR="114300" simplePos="0" relativeHeight="251668480" behindDoc="0" locked="0" layoutInCell="1" allowOverlap="1">
            <wp:simplePos x="0" y="0"/>
            <wp:positionH relativeFrom="column">
              <wp:posOffset>805815</wp:posOffset>
            </wp:positionH>
            <wp:positionV relativeFrom="paragraph">
              <wp:posOffset>43815</wp:posOffset>
            </wp:positionV>
            <wp:extent cx="3560445" cy="2665095"/>
            <wp:effectExtent l="0" t="0" r="1905" b="1905"/>
            <wp:wrapNone/>
            <wp:docPr id="37" name="图片 24" descr="土壤改良施肥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4" descr="土壤改良施肥2"/>
                    <pic:cNvPicPr>
                      <a:picLocks noChangeAspect="1" noChangeArrowheads="1"/>
                    </pic:cNvPicPr>
                  </pic:nvPicPr>
                  <pic:blipFill>
                    <a:blip r:embed="rId11" cstate="print"/>
                    <a:srcRect/>
                    <a:stretch>
                      <a:fillRect/>
                    </a:stretch>
                  </pic:blipFill>
                  <pic:spPr>
                    <a:xfrm>
                      <a:off x="0" y="0"/>
                      <a:ext cx="3560445" cy="2665095"/>
                    </a:xfrm>
                    <a:prstGeom prst="rect">
                      <a:avLst/>
                    </a:prstGeom>
                    <a:noFill/>
                    <a:ln w="9525" cmpd="sng">
                      <a:noFill/>
                      <a:miter lim="800000"/>
                      <a:headEnd/>
                      <a:tailEnd/>
                    </a:ln>
                  </pic:spPr>
                </pic:pic>
              </a:graphicData>
            </a:graphic>
          </wp:anchor>
        </w:drawing>
      </w:r>
    </w:p>
    <w:p w14:paraId="436F19BE">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cs="Times New Roman" w:eastAsiaTheme="minorEastAsia"/>
          <w:kern w:val="2"/>
          <w:sz w:val="28"/>
          <w:szCs w:val="28"/>
          <w:lang w:val="en-US" w:eastAsia="zh-CN" w:bidi="ar-SA"/>
        </w:rPr>
      </w:pPr>
    </w:p>
    <w:p w14:paraId="34EA411B">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cs="Times New Roman" w:eastAsiaTheme="minorEastAsia"/>
          <w:kern w:val="2"/>
          <w:sz w:val="28"/>
          <w:szCs w:val="28"/>
          <w:lang w:val="en-US" w:eastAsia="zh-CN" w:bidi="ar-SA"/>
        </w:rPr>
      </w:pPr>
    </w:p>
    <w:p w14:paraId="286F7B8F">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cs="Times New Roman" w:eastAsiaTheme="minorEastAsia"/>
          <w:kern w:val="2"/>
          <w:sz w:val="28"/>
          <w:szCs w:val="28"/>
          <w:lang w:val="en-US" w:eastAsia="zh-CN" w:bidi="ar-SA"/>
        </w:rPr>
      </w:pPr>
    </w:p>
    <w:p w14:paraId="207A8E2C">
      <w:pPr>
        <w:pStyle w:val="2"/>
        <w:ind w:left="0" w:leftChars="0" w:firstLine="0" w:firstLineChars="0"/>
        <w:rPr>
          <w:rFonts w:hint="default"/>
          <w:lang w:val="en-US" w:eastAsia="zh-CN"/>
        </w:rPr>
      </w:pPr>
    </w:p>
    <w:p w14:paraId="5D48B16C">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cs="Times New Roman" w:eastAsiaTheme="minorEastAsia"/>
          <w:kern w:val="2"/>
          <w:sz w:val="28"/>
          <w:szCs w:val="28"/>
          <w:lang w:val="en-US" w:eastAsia="zh-CN" w:bidi="ar-SA"/>
        </w:rPr>
      </w:pPr>
    </w:p>
    <w:p w14:paraId="33441E2B">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default" w:ascii="Times New Roman" w:hAnsi="Times New Roman" w:cs="Times New Roman" w:eastAsiaTheme="minorEastAsia"/>
          <w:kern w:val="2"/>
          <w:sz w:val="28"/>
          <w:szCs w:val="28"/>
          <w:lang w:val="en-US" w:eastAsia="zh-CN" w:bidi="ar-SA"/>
        </w:rPr>
      </w:pPr>
    </w:p>
    <w:p w14:paraId="57709F0C">
      <w:pPr>
        <w:keepNext w:val="0"/>
        <w:keepLines w:val="0"/>
        <w:pageBreakBefore w:val="0"/>
        <w:widowControl w:val="0"/>
        <w:kinsoku/>
        <w:wordWrap/>
        <w:overflowPunct/>
        <w:topLinePunct w:val="0"/>
        <w:autoSpaceDE/>
        <w:autoSpaceDN/>
        <w:bidi w:val="0"/>
        <w:adjustRightInd/>
        <w:snapToGrid/>
        <w:spacing w:line="520" w:lineRule="exact"/>
        <w:textAlignment w:val="auto"/>
        <w:rPr>
          <w:rFonts w:hint="default" w:ascii="Times New Roman" w:hAnsi="Times New Roman" w:cs="Times New Roman"/>
          <w:b/>
          <w:bCs/>
          <w:kern w:val="2"/>
          <w:sz w:val="21"/>
          <w:szCs w:val="21"/>
          <w:lang w:val="en-US" w:eastAsia="zh-CN" w:bidi="ar-SA"/>
        </w:rPr>
      </w:pPr>
    </w:p>
    <w:p w14:paraId="2A040ED3">
      <w:pPr>
        <w:keepNext w:val="0"/>
        <w:keepLines w:val="0"/>
        <w:pageBreakBefore w:val="0"/>
        <w:widowControl w:val="0"/>
        <w:kinsoku/>
        <w:wordWrap/>
        <w:overflowPunct/>
        <w:topLinePunct w:val="0"/>
        <w:autoSpaceDE/>
        <w:autoSpaceDN/>
        <w:bidi w:val="0"/>
        <w:adjustRightInd/>
        <w:snapToGrid/>
        <w:spacing w:line="520" w:lineRule="exact"/>
        <w:ind w:firstLine="3162" w:firstLineChars="1500"/>
        <w:textAlignment w:val="auto"/>
        <w:rPr>
          <w:rFonts w:hint="default" w:ascii="Times New Roman" w:hAnsi="Times New Roman" w:cs="Times New Roman"/>
          <w:b/>
          <w:bCs/>
          <w:kern w:val="2"/>
          <w:sz w:val="21"/>
          <w:szCs w:val="21"/>
          <w:lang w:val="en-US" w:eastAsia="zh-CN" w:bidi="ar-SA"/>
        </w:rPr>
      </w:pPr>
    </w:p>
    <w:p w14:paraId="49645836">
      <w:pPr>
        <w:keepNext w:val="0"/>
        <w:keepLines w:val="0"/>
        <w:pageBreakBefore w:val="0"/>
        <w:widowControl w:val="0"/>
        <w:kinsoku/>
        <w:wordWrap/>
        <w:overflowPunct/>
        <w:topLinePunct w:val="0"/>
        <w:autoSpaceDE/>
        <w:autoSpaceDN/>
        <w:bidi w:val="0"/>
        <w:adjustRightInd/>
        <w:snapToGrid/>
        <w:spacing w:line="520" w:lineRule="exact"/>
        <w:ind w:firstLine="3162" w:firstLineChars="1500"/>
        <w:textAlignment w:val="auto"/>
        <w:rPr>
          <w:rFonts w:hint="default" w:ascii="Times New Roman" w:hAnsi="Times New Roman" w:cs="Times New Roman"/>
          <w:b/>
          <w:bCs/>
          <w:kern w:val="2"/>
          <w:sz w:val="21"/>
          <w:szCs w:val="21"/>
          <w:lang w:val="en-US" w:eastAsia="zh-CN" w:bidi="ar-SA"/>
        </w:rPr>
      </w:pPr>
      <w:r>
        <w:rPr>
          <w:rFonts w:hint="default" w:ascii="Times New Roman" w:hAnsi="Times New Roman" w:cs="Times New Roman"/>
          <w:b/>
          <w:bCs/>
          <w:kern w:val="2"/>
          <w:sz w:val="21"/>
          <w:szCs w:val="21"/>
          <w:lang w:val="en-US" w:eastAsia="zh-CN" w:bidi="ar-SA"/>
        </w:rPr>
        <w:t xml:space="preserve">图7 </w:t>
      </w:r>
      <w:r>
        <w:rPr>
          <w:rFonts w:hint="default" w:ascii="Times New Roman" w:hAnsi="Times New Roman" w:cs="Times New Roman"/>
          <w:b/>
          <w:bCs/>
          <w:sz w:val="21"/>
          <w:szCs w:val="21"/>
        </w:rPr>
        <w:t>洛南县核桃王</w:t>
      </w:r>
      <w:r>
        <w:rPr>
          <w:rFonts w:hint="default" w:ascii="Times New Roman" w:hAnsi="Times New Roman" w:cs="Times New Roman"/>
          <w:b/>
          <w:bCs/>
          <w:sz w:val="21"/>
          <w:szCs w:val="21"/>
          <w:lang w:val="en-US" w:eastAsia="zh-CN"/>
        </w:rPr>
        <w:t>土壤改良</w:t>
      </w:r>
    </w:p>
    <w:p w14:paraId="4077D043">
      <w:pPr>
        <w:pStyle w:val="1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outlineLvl w:val="1"/>
        <w:rPr>
          <w:rFonts w:hint="default" w:ascii="宋体" w:hAnsi="宋体" w:eastAsia="宋体"/>
          <w:b/>
          <w:bCs/>
          <w:sz w:val="28"/>
          <w:szCs w:val="32"/>
          <w:lang w:val="en-US" w:eastAsia="zh-CN"/>
        </w:rPr>
      </w:pPr>
      <w:r>
        <w:rPr>
          <w:rFonts w:hint="default" w:ascii="宋体" w:hAnsi="宋体" w:eastAsia="宋体"/>
          <w:b/>
          <w:bCs/>
          <w:sz w:val="28"/>
          <w:szCs w:val="32"/>
          <w:lang w:val="en-US" w:eastAsia="zh-CN"/>
        </w:rPr>
        <w:t>3.8围栏设施</w:t>
      </w:r>
    </w:p>
    <w:p w14:paraId="0408F785">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rPr>
      </w:pPr>
      <w:r>
        <w:rPr>
          <w:rFonts w:hint="eastAsia" w:ascii="Times New Roman" w:hAnsi="Times New Roman" w:cs="Times New Roman"/>
          <w:sz w:val="28"/>
          <w:szCs w:val="28"/>
          <w:lang w:val="en-US" w:eastAsia="zh-CN"/>
        </w:rPr>
        <w:t>（1）</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实践地点：</w:t>
      </w:r>
      <w:r>
        <w:rPr>
          <w:rFonts w:hint="default" w:ascii="Times New Roman" w:hAnsi="Times New Roman" w:cs="Times New Roman"/>
          <w:sz w:val="28"/>
          <w:szCs w:val="28"/>
        </w:rPr>
        <w:t>莲湖</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、耀州</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、合阳</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、洛南</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等20余县市</w:t>
      </w:r>
    </w:p>
    <w:p w14:paraId="31B74261">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lang w:val="en-US" w:eastAsia="zh-CN"/>
        </w:rPr>
      </w:pPr>
      <w:r>
        <w:rPr>
          <w:rFonts w:hint="eastAsia" w:ascii="Times New Roman" w:hAnsi="Times New Roman" w:cs="Times New Roman"/>
          <w:sz w:val="28"/>
          <w:szCs w:val="28"/>
          <w:lang w:val="en-US" w:eastAsia="zh-CN"/>
        </w:rPr>
        <w:t>（2）</w:t>
      </w:r>
      <w:r>
        <w:rPr>
          <w:rFonts w:hint="default" w:ascii="Times New Roman" w:hAnsi="Times New Roman" w:cs="Times New Roman"/>
          <w:sz w:val="28"/>
          <w:szCs w:val="28"/>
          <w:lang w:val="en-US" w:eastAsia="zh-CN"/>
        </w:rPr>
        <w:t>研究案例：洛南古柏围栏安装</w:t>
      </w:r>
    </w:p>
    <w:p w14:paraId="4BB78B13">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textAlignment w:val="auto"/>
        <w:outlineLvl w:val="0"/>
        <w:rPr>
          <w:rFonts w:hint="default" w:ascii="Times New Roman" w:hAnsi="Times New Roman" w:cs="Times New Roman"/>
          <w:sz w:val="28"/>
          <w:szCs w:val="28"/>
          <w:lang w:val="en-US" w:eastAsia="zh-CN"/>
        </w:rPr>
      </w:pPr>
      <w:r>
        <w:rPr>
          <w:rFonts w:hint="default" w:ascii="Times New Roman" w:hAnsi="Times New Roman" w:cs="Times New Roman"/>
          <w:sz w:val="28"/>
          <w:szCs w:val="28"/>
          <w:lang w:val="en-US" w:eastAsia="zh-CN"/>
        </w:rPr>
        <w:t>拆除原有防腐木围栏与步道铺装，以树干根部为圆心，按照15 m的半径（树冠投影外延5 m），设置高1.3 m的防腐木围栏。</w:t>
      </w:r>
    </w:p>
    <w:p w14:paraId="7E279106">
      <w:pPr>
        <w:pStyle w:val="12"/>
        <w:spacing w:before="156" w:beforeLines="50" w:after="156" w:afterLines="50" w:line="360" w:lineRule="auto"/>
        <w:ind w:firstLine="0" w:firstLineChars="0"/>
        <w:outlineLvl w:val="1"/>
        <w:rPr>
          <w:rFonts w:hint="default" w:ascii="宋体" w:hAnsi="宋体" w:eastAsia="宋体"/>
          <w:b/>
          <w:bCs/>
          <w:sz w:val="28"/>
          <w:szCs w:val="32"/>
          <w:lang w:val="en-US" w:eastAsia="zh-CN"/>
        </w:rPr>
      </w:pPr>
      <w:r>
        <w:rPr>
          <w:rFonts w:hint="default" w:ascii="Times New Roman" w:hAnsi="Times New Roman" w:cs="Times New Roman"/>
          <w:b/>
          <w:bCs/>
          <w:kern w:val="2"/>
          <w:sz w:val="21"/>
          <w:szCs w:val="21"/>
          <w:lang w:val="en-US" w:eastAsia="zh-CN" w:bidi="ar-SA"/>
        </w:rPr>
        <w:drawing>
          <wp:anchor distT="0" distB="0" distL="114300" distR="114300" simplePos="0" relativeHeight="251666432" behindDoc="0" locked="0" layoutInCell="1" allowOverlap="1">
            <wp:simplePos x="0" y="0"/>
            <wp:positionH relativeFrom="column">
              <wp:posOffset>805180</wp:posOffset>
            </wp:positionH>
            <wp:positionV relativeFrom="paragraph">
              <wp:posOffset>38100</wp:posOffset>
            </wp:positionV>
            <wp:extent cx="4118610" cy="3016885"/>
            <wp:effectExtent l="0" t="0" r="15240" b="12065"/>
            <wp:wrapNone/>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12"/>
                    <a:stretch>
                      <a:fillRect/>
                    </a:stretch>
                  </pic:blipFill>
                  <pic:spPr>
                    <a:xfrm>
                      <a:off x="0" y="0"/>
                      <a:ext cx="4118610" cy="3016885"/>
                    </a:xfrm>
                    <a:prstGeom prst="rect">
                      <a:avLst/>
                    </a:prstGeom>
                    <a:noFill/>
                    <a:ln w="9525" cmpd="sng">
                      <a:noFill/>
                      <a:miter lim="800000"/>
                      <a:headEnd/>
                      <a:tailEnd/>
                    </a:ln>
                  </pic:spPr>
                </pic:pic>
              </a:graphicData>
            </a:graphic>
          </wp:anchor>
        </w:drawing>
      </w:r>
    </w:p>
    <w:p w14:paraId="5F615159">
      <w:pPr>
        <w:pStyle w:val="12"/>
        <w:spacing w:before="156" w:beforeLines="50" w:after="156" w:afterLines="50" w:line="360" w:lineRule="auto"/>
        <w:ind w:firstLine="0" w:firstLineChars="0"/>
        <w:outlineLvl w:val="1"/>
        <w:rPr>
          <w:rFonts w:hint="default" w:ascii="宋体" w:hAnsi="宋体" w:eastAsia="宋体"/>
          <w:b/>
          <w:bCs/>
          <w:sz w:val="28"/>
          <w:szCs w:val="32"/>
          <w:lang w:val="en-US" w:eastAsia="zh-CN"/>
        </w:rPr>
      </w:pPr>
    </w:p>
    <w:p w14:paraId="67685E0F">
      <w:pPr>
        <w:pStyle w:val="12"/>
        <w:spacing w:before="156" w:beforeLines="50" w:after="156" w:afterLines="50" w:line="360" w:lineRule="auto"/>
        <w:ind w:firstLine="0" w:firstLineChars="0"/>
        <w:outlineLvl w:val="1"/>
        <w:rPr>
          <w:rFonts w:hint="default" w:ascii="宋体" w:hAnsi="宋体" w:eastAsia="宋体"/>
          <w:b/>
          <w:bCs/>
          <w:sz w:val="28"/>
          <w:szCs w:val="32"/>
          <w:lang w:val="en-US" w:eastAsia="zh-CN"/>
        </w:rPr>
      </w:pPr>
    </w:p>
    <w:p w14:paraId="7F8A75F6">
      <w:pPr>
        <w:pStyle w:val="12"/>
        <w:spacing w:before="156" w:beforeLines="50" w:after="156" w:afterLines="50" w:line="360" w:lineRule="auto"/>
        <w:ind w:firstLine="0" w:firstLineChars="0"/>
        <w:outlineLvl w:val="1"/>
        <w:rPr>
          <w:rFonts w:hint="default" w:ascii="宋体" w:hAnsi="宋体" w:eastAsia="宋体"/>
          <w:b/>
          <w:bCs/>
          <w:sz w:val="28"/>
          <w:szCs w:val="32"/>
          <w:lang w:val="en-US" w:eastAsia="zh-CN"/>
        </w:rPr>
      </w:pPr>
    </w:p>
    <w:p w14:paraId="242FB15E">
      <w:pPr>
        <w:pStyle w:val="12"/>
        <w:spacing w:before="156" w:beforeLines="50" w:after="156" w:afterLines="50" w:line="360" w:lineRule="auto"/>
        <w:ind w:firstLine="0" w:firstLineChars="0"/>
        <w:outlineLvl w:val="1"/>
        <w:rPr>
          <w:rFonts w:hint="default" w:ascii="宋体" w:hAnsi="宋体" w:eastAsia="宋体"/>
          <w:b/>
          <w:bCs/>
          <w:sz w:val="28"/>
          <w:szCs w:val="32"/>
          <w:lang w:val="en-US" w:eastAsia="zh-CN"/>
        </w:rPr>
      </w:pPr>
    </w:p>
    <w:p w14:paraId="6A83FEAC">
      <w:pPr>
        <w:pStyle w:val="12"/>
        <w:spacing w:before="156" w:beforeLines="50" w:after="156" w:afterLines="50" w:line="360" w:lineRule="auto"/>
        <w:ind w:firstLine="0" w:firstLineChars="0"/>
        <w:outlineLvl w:val="1"/>
        <w:rPr>
          <w:rFonts w:hint="default" w:ascii="宋体" w:hAnsi="宋体" w:eastAsia="宋体"/>
          <w:b/>
          <w:bCs/>
          <w:sz w:val="28"/>
          <w:szCs w:val="32"/>
          <w:lang w:val="en-US" w:eastAsia="zh-CN"/>
        </w:rPr>
      </w:pPr>
    </w:p>
    <w:p w14:paraId="1CD012A3">
      <w:pPr>
        <w:keepNext w:val="0"/>
        <w:keepLines w:val="0"/>
        <w:pageBreakBefore w:val="0"/>
        <w:widowControl w:val="0"/>
        <w:kinsoku/>
        <w:wordWrap/>
        <w:overflowPunct/>
        <w:topLinePunct w:val="0"/>
        <w:autoSpaceDE/>
        <w:autoSpaceDN/>
        <w:bidi w:val="0"/>
        <w:adjustRightInd/>
        <w:snapToGrid/>
        <w:spacing w:line="520" w:lineRule="exact"/>
        <w:ind w:firstLine="2951" w:firstLineChars="1400"/>
        <w:textAlignment w:val="auto"/>
        <w:rPr>
          <w:rFonts w:hint="default" w:ascii="Times New Roman" w:hAnsi="Times New Roman" w:cs="Times New Roman"/>
          <w:b/>
          <w:bCs/>
          <w:kern w:val="2"/>
          <w:sz w:val="21"/>
          <w:szCs w:val="21"/>
          <w:lang w:val="en-US" w:eastAsia="zh-CN" w:bidi="ar-SA"/>
        </w:rPr>
      </w:pPr>
      <w:r>
        <w:rPr>
          <w:rFonts w:hint="default" w:ascii="Times New Roman" w:hAnsi="Times New Roman" w:cs="Times New Roman"/>
          <w:b/>
          <w:bCs/>
          <w:kern w:val="2"/>
          <w:sz w:val="21"/>
          <w:szCs w:val="21"/>
          <w:lang w:val="en-US" w:eastAsia="zh-CN" w:bidi="ar-SA"/>
        </w:rPr>
        <w:t>图8 洛南古柏围栏安装</w:t>
      </w:r>
    </w:p>
    <w:p w14:paraId="154DC8EE">
      <w:pPr>
        <w:pStyle w:val="12"/>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outlineLvl w:val="1"/>
        <w:rPr>
          <w:rFonts w:hint="default" w:ascii="宋体" w:hAnsi="宋体" w:eastAsia="宋体"/>
          <w:b/>
          <w:bCs/>
          <w:sz w:val="28"/>
          <w:szCs w:val="32"/>
          <w:lang w:val="en-US" w:eastAsia="zh-CN"/>
        </w:rPr>
      </w:pPr>
      <w:r>
        <w:rPr>
          <w:rFonts w:hint="default" w:ascii="宋体" w:hAnsi="宋体" w:eastAsia="宋体"/>
          <w:b/>
          <w:bCs/>
          <w:sz w:val="28"/>
          <w:szCs w:val="32"/>
          <w:lang w:val="en-US" w:eastAsia="zh-CN"/>
        </w:rPr>
        <w:t>3.9稳固支撑</w:t>
      </w:r>
    </w:p>
    <w:p w14:paraId="1C2A6D82">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rPr>
      </w:pPr>
      <w:r>
        <w:rPr>
          <w:rFonts w:hint="eastAsia" w:ascii="Times New Roman" w:hAnsi="Times New Roman" w:cs="Times New Roman"/>
          <w:sz w:val="28"/>
          <w:szCs w:val="28"/>
          <w:lang w:val="en-US" w:eastAsia="zh-CN"/>
        </w:rPr>
        <w:t>（1）</w:t>
      </w:r>
      <w:r>
        <w:rPr>
          <w:rFonts w:hint="default" w:ascii="Times New Roman" w:hAnsi="Times New Roman" w:eastAsia="宋体" w:cs="Times New Roman"/>
          <w:color w:val="000000" w:themeColor="text1"/>
          <w:sz w:val="28"/>
          <w:szCs w:val="32"/>
          <w:lang w:val="en-US" w:eastAsia="zh-CN" w:bidi="ar-SA"/>
          <w14:textFill>
            <w14:solidFill>
              <w14:schemeClr w14:val="tx1"/>
            </w14:solidFill>
          </w14:textFill>
        </w:rPr>
        <w:t>实践地点：</w:t>
      </w:r>
      <w:r>
        <w:rPr>
          <w:rFonts w:hint="default" w:ascii="Times New Roman" w:hAnsi="Times New Roman" w:cs="Times New Roman"/>
          <w:sz w:val="28"/>
          <w:szCs w:val="28"/>
        </w:rPr>
        <w:t>莲湖</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、洛南</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、宁陕</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、合阳</w:t>
      </w:r>
      <w:r>
        <w:rPr>
          <w:rFonts w:hint="eastAsia" w:ascii="Times New Roman" w:hAnsi="Times New Roman" w:cs="Times New Roman"/>
          <w:sz w:val="28"/>
          <w:szCs w:val="28"/>
          <w:lang w:eastAsia="zh-CN"/>
        </w:rPr>
        <w:t>县</w:t>
      </w:r>
      <w:r>
        <w:rPr>
          <w:rFonts w:hint="default" w:ascii="Times New Roman" w:hAnsi="Times New Roman" w:cs="Times New Roman"/>
          <w:sz w:val="28"/>
          <w:szCs w:val="28"/>
        </w:rPr>
        <w:t>、耀州</w:t>
      </w:r>
      <w:r>
        <w:rPr>
          <w:rFonts w:hint="eastAsia" w:ascii="Times New Roman" w:hAnsi="Times New Roman" w:cs="Times New Roman"/>
          <w:sz w:val="28"/>
          <w:szCs w:val="28"/>
          <w:lang w:eastAsia="zh-CN"/>
        </w:rPr>
        <w:t>区</w:t>
      </w:r>
      <w:r>
        <w:rPr>
          <w:rFonts w:hint="default" w:ascii="Times New Roman" w:hAnsi="Times New Roman" w:cs="Times New Roman"/>
          <w:sz w:val="28"/>
          <w:szCs w:val="28"/>
        </w:rPr>
        <w:t>等20余县市</w:t>
      </w:r>
    </w:p>
    <w:p w14:paraId="646791FC">
      <w:pPr>
        <w:pStyle w:val="12"/>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0"/>
        <w:rPr>
          <w:rFonts w:hint="default" w:ascii="Times New Roman" w:hAnsi="Times New Roman" w:cs="Times New Roman"/>
          <w:sz w:val="28"/>
          <w:szCs w:val="28"/>
        </w:rPr>
      </w:pPr>
      <w:r>
        <w:rPr>
          <w:rFonts w:hint="eastAsia" w:ascii="Times New Roman" w:hAnsi="Times New Roman" w:cs="Times New Roman"/>
          <w:sz w:val="28"/>
          <w:szCs w:val="28"/>
          <w:lang w:val="en-US" w:eastAsia="zh-CN"/>
        </w:rPr>
        <w:t>（2）</w:t>
      </w:r>
      <w:r>
        <w:rPr>
          <w:rFonts w:hint="default" w:ascii="Times New Roman" w:hAnsi="Times New Roman" w:cs="Times New Roman"/>
          <w:sz w:val="28"/>
          <w:szCs w:val="28"/>
          <w:lang w:val="en-US" w:eastAsia="zh-CN"/>
        </w:rPr>
        <w:t>研究案例：</w:t>
      </w:r>
      <w:r>
        <w:rPr>
          <w:rFonts w:hint="default" w:ascii="Times New Roman" w:hAnsi="Times New Roman" w:cs="Times New Roman"/>
          <w:sz w:val="28"/>
          <w:szCs w:val="28"/>
        </w:rPr>
        <w:t>洛南县核桃王支撑安装</w:t>
      </w:r>
    </w:p>
    <w:p w14:paraId="5638FB73">
      <w:pPr>
        <w:keepNext w:val="0"/>
        <w:keepLines w:val="0"/>
        <w:widowControl/>
        <w:suppressLineNumbers w:val="0"/>
        <w:ind w:firstLine="560" w:firstLineChars="200"/>
        <w:jc w:val="left"/>
        <w:rPr>
          <w:rFonts w:hint="default" w:ascii="Times New Roman" w:hAnsi="Times New Roman" w:eastAsia="宋体" w:cs="Times New Roman"/>
          <w:color w:val="000000" w:themeColor="text1"/>
          <w:kern w:val="2"/>
          <w:sz w:val="28"/>
          <w:szCs w:val="3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8"/>
          <w:szCs w:val="32"/>
          <w:lang w:val="en-US" w:eastAsia="zh-CN" w:bidi="ar-SA"/>
          <w14:textFill>
            <w14:solidFill>
              <w14:schemeClr w14:val="tx1"/>
            </w14:solidFill>
          </w14:textFill>
        </w:rPr>
        <w:t>为增强树体的稳固性，用钢管做骨架，外面用专用防腐物质，安装仿枯木纹水泥桩艺术支撑进行硬性支撑加固，树体的东部主与北部主枝各安装1个支撑，接触点用橡胶垫衬垫，减少对树体的破坏。</w:t>
      </w:r>
    </w:p>
    <w:p w14:paraId="7D1798CD">
      <w:pPr>
        <w:pStyle w:val="12"/>
        <w:numPr>
          <w:ilvl w:val="0"/>
          <w:numId w:val="0"/>
        </w:numPr>
        <w:spacing w:before="156" w:beforeLines="50" w:after="156" w:afterLines="50" w:line="360" w:lineRule="auto"/>
        <w:outlineLvl w:val="0"/>
        <w:rPr>
          <w:rFonts w:hint="default" w:ascii="Times New Roman" w:hAnsi="Times New Roman" w:cs="Times New Roman"/>
          <w:sz w:val="28"/>
          <w:szCs w:val="28"/>
          <w:lang w:val="en-US" w:eastAsia="zh-CN"/>
        </w:rPr>
      </w:pPr>
      <w:r>
        <w:rPr>
          <w:rFonts w:hint="default" w:ascii="Times New Roman" w:hAnsi="Times New Roman" w:cs="Times New Roman"/>
          <w:sz w:val="28"/>
          <w:szCs w:val="28"/>
        </w:rPr>
        <w:drawing>
          <wp:anchor distT="0" distB="0" distL="114300" distR="114300" simplePos="0" relativeHeight="251667456" behindDoc="0" locked="0" layoutInCell="1" allowOverlap="1">
            <wp:simplePos x="0" y="0"/>
            <wp:positionH relativeFrom="column">
              <wp:posOffset>1218565</wp:posOffset>
            </wp:positionH>
            <wp:positionV relativeFrom="paragraph">
              <wp:posOffset>2540</wp:posOffset>
            </wp:positionV>
            <wp:extent cx="3169285" cy="4239895"/>
            <wp:effectExtent l="0" t="0" r="12065" b="8255"/>
            <wp:wrapNone/>
            <wp:docPr id="31" name="图片 17" descr="15支撑安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descr="15支撑安装"/>
                    <pic:cNvPicPr>
                      <a:picLocks noChangeAspect="1" noChangeArrowheads="1"/>
                    </pic:cNvPicPr>
                  </pic:nvPicPr>
                  <pic:blipFill>
                    <a:blip r:embed="rId13" cstate="print"/>
                    <a:srcRect/>
                    <a:stretch>
                      <a:fillRect/>
                    </a:stretch>
                  </pic:blipFill>
                  <pic:spPr>
                    <a:xfrm>
                      <a:off x="0" y="0"/>
                      <a:ext cx="3169285" cy="4239895"/>
                    </a:xfrm>
                    <a:prstGeom prst="rect">
                      <a:avLst/>
                    </a:prstGeom>
                    <a:noFill/>
                    <a:ln w="9525" cmpd="sng">
                      <a:noFill/>
                      <a:miter lim="800000"/>
                      <a:headEnd/>
                      <a:tailEnd/>
                    </a:ln>
                  </pic:spPr>
                </pic:pic>
              </a:graphicData>
            </a:graphic>
          </wp:anchor>
        </w:drawing>
      </w:r>
    </w:p>
    <w:p w14:paraId="712D6E76">
      <w:pPr>
        <w:pStyle w:val="12"/>
        <w:numPr>
          <w:ilvl w:val="0"/>
          <w:numId w:val="0"/>
        </w:numPr>
        <w:spacing w:before="156" w:beforeLines="50" w:after="156" w:afterLines="50" w:line="360" w:lineRule="auto"/>
        <w:ind w:left="357" w:leftChars="0" w:hanging="357" w:firstLineChars="0"/>
        <w:outlineLvl w:val="0"/>
        <w:rPr>
          <w:rFonts w:hint="default" w:ascii="Times New Roman" w:hAnsi="Times New Roman" w:eastAsia="宋体" w:cs="Times New Roman"/>
          <w:b/>
          <w:bCs/>
          <w:kern w:val="2"/>
          <w:sz w:val="28"/>
          <w:szCs w:val="32"/>
          <w:lang w:val="en-US" w:eastAsia="zh-CN" w:bidi="ar-SA"/>
        </w:rPr>
      </w:pPr>
    </w:p>
    <w:p w14:paraId="0527EAB5">
      <w:pPr>
        <w:pStyle w:val="12"/>
        <w:numPr>
          <w:ilvl w:val="0"/>
          <w:numId w:val="0"/>
        </w:numPr>
        <w:spacing w:before="156" w:beforeLines="50" w:after="156" w:afterLines="50" w:line="360" w:lineRule="auto"/>
        <w:ind w:left="357" w:leftChars="0" w:hanging="357" w:firstLineChars="0"/>
        <w:outlineLvl w:val="0"/>
        <w:rPr>
          <w:rFonts w:hint="default" w:ascii="Times New Roman" w:hAnsi="Times New Roman" w:eastAsia="宋体" w:cs="Times New Roman"/>
          <w:b/>
          <w:bCs/>
          <w:kern w:val="2"/>
          <w:sz w:val="28"/>
          <w:szCs w:val="32"/>
          <w:lang w:val="en-US" w:eastAsia="zh-CN" w:bidi="ar-SA"/>
        </w:rPr>
      </w:pPr>
    </w:p>
    <w:p w14:paraId="075C9F73">
      <w:pPr>
        <w:pStyle w:val="12"/>
        <w:numPr>
          <w:ilvl w:val="0"/>
          <w:numId w:val="0"/>
        </w:numPr>
        <w:spacing w:before="156" w:beforeLines="50" w:after="156" w:afterLines="50" w:line="360" w:lineRule="auto"/>
        <w:ind w:left="357" w:leftChars="0" w:hanging="357" w:firstLineChars="0"/>
        <w:outlineLvl w:val="0"/>
        <w:rPr>
          <w:rFonts w:hint="default" w:ascii="Times New Roman" w:hAnsi="Times New Roman" w:eastAsia="宋体" w:cs="Times New Roman"/>
          <w:b/>
          <w:bCs/>
          <w:kern w:val="2"/>
          <w:sz w:val="28"/>
          <w:szCs w:val="32"/>
          <w:lang w:val="en-US" w:eastAsia="zh-CN" w:bidi="ar-SA"/>
        </w:rPr>
      </w:pPr>
    </w:p>
    <w:p w14:paraId="5F7D4683">
      <w:pPr>
        <w:pStyle w:val="12"/>
        <w:numPr>
          <w:ilvl w:val="0"/>
          <w:numId w:val="0"/>
        </w:numPr>
        <w:spacing w:before="156" w:beforeLines="50" w:after="156" w:afterLines="50" w:line="360" w:lineRule="auto"/>
        <w:ind w:left="357" w:leftChars="0" w:hanging="357" w:firstLineChars="0"/>
        <w:outlineLvl w:val="0"/>
        <w:rPr>
          <w:rFonts w:hint="default" w:ascii="Times New Roman" w:hAnsi="Times New Roman" w:eastAsia="宋体" w:cs="Times New Roman"/>
          <w:b/>
          <w:bCs/>
          <w:kern w:val="2"/>
          <w:sz w:val="28"/>
          <w:szCs w:val="32"/>
          <w:lang w:val="en-US" w:eastAsia="zh-CN" w:bidi="ar-SA"/>
        </w:rPr>
      </w:pPr>
    </w:p>
    <w:p w14:paraId="1C978B23">
      <w:pPr>
        <w:pStyle w:val="12"/>
        <w:numPr>
          <w:ilvl w:val="0"/>
          <w:numId w:val="0"/>
        </w:numPr>
        <w:spacing w:before="156" w:beforeLines="50" w:after="156" w:afterLines="50" w:line="360" w:lineRule="auto"/>
        <w:ind w:left="357" w:leftChars="0" w:hanging="357" w:firstLineChars="0"/>
        <w:outlineLvl w:val="0"/>
        <w:rPr>
          <w:rFonts w:hint="default" w:ascii="Times New Roman" w:hAnsi="Times New Roman" w:eastAsia="宋体" w:cs="Times New Roman"/>
          <w:b/>
          <w:bCs/>
          <w:kern w:val="2"/>
          <w:sz w:val="28"/>
          <w:szCs w:val="32"/>
          <w:lang w:val="en-US" w:eastAsia="zh-CN" w:bidi="ar-SA"/>
        </w:rPr>
      </w:pPr>
    </w:p>
    <w:p w14:paraId="04D71D13">
      <w:pPr>
        <w:pStyle w:val="12"/>
        <w:numPr>
          <w:ilvl w:val="0"/>
          <w:numId w:val="0"/>
        </w:numPr>
        <w:spacing w:before="156" w:beforeLines="50" w:after="156" w:afterLines="50" w:line="360" w:lineRule="auto"/>
        <w:ind w:left="357" w:leftChars="0" w:hanging="357" w:firstLineChars="0"/>
        <w:outlineLvl w:val="0"/>
        <w:rPr>
          <w:rFonts w:hint="default" w:ascii="Times New Roman" w:hAnsi="Times New Roman" w:eastAsia="宋体" w:cs="Times New Roman"/>
          <w:b/>
          <w:bCs/>
          <w:kern w:val="2"/>
          <w:sz w:val="28"/>
          <w:szCs w:val="32"/>
          <w:lang w:val="en-US" w:eastAsia="zh-CN" w:bidi="ar-SA"/>
        </w:rPr>
      </w:pPr>
    </w:p>
    <w:p w14:paraId="57CCB28B">
      <w:pPr>
        <w:pStyle w:val="12"/>
        <w:numPr>
          <w:ilvl w:val="0"/>
          <w:numId w:val="0"/>
        </w:numPr>
        <w:spacing w:before="156" w:beforeLines="50" w:after="156" w:afterLines="50" w:line="360" w:lineRule="auto"/>
        <w:ind w:left="357" w:leftChars="0" w:hanging="357" w:firstLineChars="0"/>
        <w:outlineLvl w:val="0"/>
        <w:rPr>
          <w:rFonts w:hint="default" w:ascii="Times New Roman" w:hAnsi="Times New Roman" w:eastAsia="宋体" w:cs="Times New Roman"/>
          <w:b/>
          <w:bCs/>
          <w:kern w:val="2"/>
          <w:sz w:val="28"/>
          <w:szCs w:val="32"/>
          <w:lang w:val="en-US" w:eastAsia="zh-CN" w:bidi="ar-SA"/>
        </w:rPr>
      </w:pPr>
    </w:p>
    <w:p w14:paraId="4C602BCD">
      <w:pPr>
        <w:keepNext w:val="0"/>
        <w:keepLines w:val="0"/>
        <w:pageBreakBefore w:val="0"/>
        <w:widowControl w:val="0"/>
        <w:kinsoku/>
        <w:wordWrap/>
        <w:overflowPunct/>
        <w:topLinePunct w:val="0"/>
        <w:autoSpaceDE/>
        <w:autoSpaceDN/>
        <w:bidi w:val="0"/>
        <w:adjustRightInd/>
        <w:snapToGrid/>
        <w:spacing w:line="520" w:lineRule="exact"/>
        <w:ind w:firstLine="2951" w:firstLineChars="1400"/>
        <w:textAlignment w:val="auto"/>
        <w:rPr>
          <w:rFonts w:hint="default" w:ascii="Times New Roman" w:hAnsi="Times New Roman" w:cs="Times New Roman"/>
          <w:b/>
          <w:bCs/>
          <w:kern w:val="2"/>
          <w:sz w:val="21"/>
          <w:szCs w:val="21"/>
          <w:lang w:val="en-US" w:eastAsia="zh-CN" w:bidi="ar-SA"/>
        </w:rPr>
      </w:pPr>
    </w:p>
    <w:p w14:paraId="4E6D8143">
      <w:pPr>
        <w:keepNext w:val="0"/>
        <w:keepLines w:val="0"/>
        <w:pageBreakBefore w:val="0"/>
        <w:widowControl w:val="0"/>
        <w:kinsoku/>
        <w:wordWrap/>
        <w:overflowPunct/>
        <w:topLinePunct w:val="0"/>
        <w:autoSpaceDE/>
        <w:autoSpaceDN/>
        <w:bidi w:val="0"/>
        <w:adjustRightInd/>
        <w:snapToGrid/>
        <w:spacing w:line="520" w:lineRule="exact"/>
        <w:ind w:firstLine="2951" w:firstLineChars="1400"/>
        <w:textAlignment w:val="auto"/>
        <w:rPr>
          <w:rFonts w:hint="default" w:ascii="Times New Roman" w:hAnsi="Times New Roman" w:cs="Times New Roman"/>
          <w:b/>
          <w:bCs/>
          <w:kern w:val="2"/>
          <w:sz w:val="21"/>
          <w:szCs w:val="21"/>
          <w:lang w:val="en-US" w:eastAsia="zh-CN" w:bidi="ar-SA"/>
        </w:rPr>
      </w:pPr>
      <w:r>
        <w:rPr>
          <w:rFonts w:hint="default" w:ascii="Times New Roman" w:hAnsi="Times New Roman" w:cs="Times New Roman"/>
          <w:b/>
          <w:bCs/>
          <w:kern w:val="2"/>
          <w:sz w:val="21"/>
          <w:szCs w:val="21"/>
          <w:lang w:val="en-US" w:eastAsia="zh-CN" w:bidi="ar-SA"/>
        </w:rPr>
        <w:t>图9 洛南</w:t>
      </w:r>
      <w:r>
        <w:rPr>
          <w:rFonts w:hint="eastAsia" w:ascii="Times New Roman" w:hAnsi="Times New Roman" w:cs="Times New Roman"/>
          <w:b/>
          <w:bCs/>
          <w:kern w:val="2"/>
          <w:sz w:val="21"/>
          <w:szCs w:val="21"/>
          <w:lang w:val="en-US" w:eastAsia="zh-CN" w:bidi="ar-SA"/>
        </w:rPr>
        <w:t>县核桃王</w:t>
      </w:r>
      <w:r>
        <w:rPr>
          <w:rFonts w:hint="default" w:ascii="Times New Roman" w:hAnsi="Times New Roman" w:cs="Times New Roman"/>
          <w:b/>
          <w:bCs/>
          <w:kern w:val="2"/>
          <w:sz w:val="21"/>
          <w:szCs w:val="21"/>
          <w:lang w:val="en-US" w:eastAsia="zh-CN" w:bidi="ar-SA"/>
        </w:rPr>
        <w:t>古树支撑安装</w:t>
      </w:r>
    </w:p>
    <w:p w14:paraId="53760CC6">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textAlignment w:val="auto"/>
        <w:rPr>
          <w:rFonts w:hint="default" w:ascii="Times New Roman" w:hAnsi="Times New Roman" w:eastAsia="宋体" w:cs="Times New Roman"/>
          <w:b/>
          <w:sz w:val="28"/>
          <w:szCs w:val="28"/>
          <w:lang w:val="en-US" w:eastAsia="zh-CN"/>
        </w:rPr>
      </w:pPr>
      <w:r>
        <w:rPr>
          <w:rFonts w:hint="default" w:ascii="Times New Roman" w:hAnsi="Times New Roman" w:eastAsia="宋体" w:cs="Times New Roman"/>
          <w:b/>
          <w:sz w:val="28"/>
          <w:szCs w:val="28"/>
          <w:lang w:val="en-US" w:eastAsia="zh-CN"/>
        </w:rPr>
        <w:t>4.知识产权说明</w:t>
      </w:r>
    </w:p>
    <w:p w14:paraId="2F184F2D">
      <w:pPr>
        <w:pStyle w:val="12"/>
        <w:spacing w:line="360" w:lineRule="auto"/>
        <w:ind w:firstLine="560"/>
        <w:rPr>
          <w:rFonts w:hint="default" w:ascii="Times New Roman" w:hAnsi="Times New Roman" w:eastAsia="宋体" w:cs="Times New Roman"/>
          <w:sz w:val="28"/>
          <w:szCs w:val="32"/>
        </w:rPr>
      </w:pPr>
      <w:r>
        <w:rPr>
          <w:rFonts w:hint="default" w:ascii="Times New Roman" w:hAnsi="Times New Roman" w:eastAsia="宋体" w:cs="Times New Roman"/>
          <w:sz w:val="28"/>
          <w:szCs w:val="32"/>
        </w:rPr>
        <w:t>本</w:t>
      </w:r>
      <w:r>
        <w:rPr>
          <w:rFonts w:hint="default" w:ascii="Times New Roman" w:hAnsi="Times New Roman" w:eastAsia="宋体" w:cs="Times New Roman"/>
          <w:sz w:val="28"/>
          <w:szCs w:val="32"/>
          <w:lang w:val="en-US" w:eastAsia="zh-CN"/>
        </w:rPr>
        <w:t>标准</w:t>
      </w:r>
      <w:r>
        <w:rPr>
          <w:rFonts w:hint="default" w:ascii="Times New Roman" w:hAnsi="Times New Roman" w:eastAsia="宋体" w:cs="Times New Roman"/>
          <w:sz w:val="28"/>
          <w:szCs w:val="32"/>
        </w:rPr>
        <w:t>中各个部分的要素和技术要求来源于编制单位多年的实践经验和试验验证结果，均具有独立的知识产权，与其他单位没有知识产权纠纷。</w:t>
      </w:r>
    </w:p>
    <w:p w14:paraId="72AFBA1E">
      <w:pPr>
        <w:pStyle w:val="12"/>
        <w:spacing w:line="360" w:lineRule="auto"/>
        <w:ind w:firstLine="560"/>
        <w:rPr>
          <w:rFonts w:hint="default" w:ascii="Times New Roman" w:hAnsi="Times New Roman" w:eastAsia="宋体" w:cs="Times New Roman"/>
          <w:sz w:val="28"/>
          <w:szCs w:val="32"/>
        </w:rPr>
      </w:pPr>
      <w:r>
        <w:rPr>
          <w:rFonts w:hint="default" w:ascii="Times New Roman" w:hAnsi="Times New Roman" w:eastAsia="宋体" w:cs="Times New Roman"/>
          <w:sz w:val="28"/>
          <w:szCs w:val="32"/>
        </w:rPr>
        <w:t>查阅国内外现行法律、法规及标准发现，陕西省</w:t>
      </w:r>
      <w:r>
        <w:rPr>
          <w:rFonts w:hint="default" w:ascii="Times New Roman" w:hAnsi="Times New Roman" w:eastAsia="宋体" w:cs="Times New Roman"/>
          <w:sz w:val="28"/>
          <w:szCs w:val="32"/>
          <w:lang w:val="en-US" w:eastAsia="zh-CN"/>
        </w:rPr>
        <w:t>古树名木保护管理</w:t>
      </w:r>
      <w:r>
        <w:rPr>
          <w:rFonts w:hint="default" w:ascii="Times New Roman" w:hAnsi="Times New Roman" w:eastAsia="宋体" w:cs="Times New Roman"/>
          <w:sz w:val="28"/>
          <w:szCs w:val="32"/>
        </w:rPr>
        <w:t>均无相关标准。本标准规定了</w:t>
      </w:r>
      <w:r>
        <w:rPr>
          <w:rFonts w:hint="default" w:ascii="Times New Roman" w:hAnsi="Times New Roman" w:eastAsia="宋体" w:cs="Times New Roman"/>
          <w:sz w:val="28"/>
          <w:szCs w:val="32"/>
          <w:lang w:val="en-US" w:eastAsia="zh-CN"/>
        </w:rPr>
        <w:t>陕西省古树名木管理技术要求</w:t>
      </w:r>
      <w:r>
        <w:rPr>
          <w:rFonts w:hint="default" w:ascii="Times New Roman" w:hAnsi="Times New Roman" w:eastAsia="宋体" w:cs="Times New Roman"/>
          <w:sz w:val="28"/>
          <w:szCs w:val="32"/>
        </w:rPr>
        <w:t>，结合陕西省</w:t>
      </w:r>
      <w:r>
        <w:rPr>
          <w:rFonts w:hint="default" w:ascii="Times New Roman" w:hAnsi="Times New Roman" w:eastAsia="宋体" w:cs="Times New Roman"/>
          <w:sz w:val="28"/>
          <w:szCs w:val="32"/>
          <w:lang w:val="en-US" w:eastAsia="zh-CN"/>
        </w:rPr>
        <w:t>自然条件、</w:t>
      </w:r>
      <w:r>
        <w:rPr>
          <w:rFonts w:hint="default" w:ascii="Times New Roman" w:hAnsi="Times New Roman" w:eastAsia="宋体" w:cs="Times New Roman"/>
          <w:sz w:val="28"/>
          <w:szCs w:val="32"/>
        </w:rPr>
        <w:t>气候条件等实际情况，进行本标准的编制，尚未与有关现行法律、法规和强制性国家标准、行业标准冲突部分</w:t>
      </w:r>
      <w:r>
        <w:rPr>
          <w:rFonts w:hint="default" w:ascii="Times New Roman" w:hAnsi="Times New Roman" w:eastAsia="宋体" w:cs="Times New Roman"/>
          <w:sz w:val="28"/>
          <w:szCs w:val="32"/>
          <w:lang w:eastAsia="zh-CN"/>
        </w:rPr>
        <w:t>。</w:t>
      </w:r>
    </w:p>
    <w:p w14:paraId="4E59DF09">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textAlignment w:val="auto"/>
        <w:rPr>
          <w:rFonts w:hint="default"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5</w:t>
      </w:r>
      <w:r>
        <w:rPr>
          <w:rFonts w:hint="default" w:ascii="Times New Roman" w:hAnsi="Times New Roman" w:eastAsia="宋体" w:cs="Times New Roman"/>
          <w:b/>
          <w:sz w:val="28"/>
          <w:szCs w:val="28"/>
          <w:lang w:val="en-US" w:eastAsia="zh-CN"/>
        </w:rPr>
        <w:t>.采标情况</w:t>
      </w:r>
    </w:p>
    <w:p w14:paraId="2D1DF121">
      <w:pPr>
        <w:pStyle w:val="13"/>
        <w:rPr>
          <w:rFonts w:hint="default" w:ascii="Times New Roman" w:hAnsi="Times New Roman" w:eastAsia="宋体" w:cs="Times New Roman"/>
          <w:sz w:val="28"/>
          <w:szCs w:val="32"/>
        </w:rPr>
      </w:pPr>
      <w:r>
        <w:rPr>
          <w:rFonts w:hint="default" w:ascii="Times New Roman" w:hAnsi="Times New Roman" w:eastAsia="宋体" w:cs="Times New Roman"/>
          <w:sz w:val="28"/>
          <w:szCs w:val="32"/>
        </w:rPr>
        <w:t>本标准是依据陕西省情况制定，未见国内外针对</w:t>
      </w:r>
      <w:r>
        <w:rPr>
          <w:rFonts w:hint="default" w:ascii="Times New Roman" w:hAnsi="Times New Roman" w:eastAsia="宋体" w:cs="Times New Roman"/>
          <w:sz w:val="28"/>
          <w:szCs w:val="32"/>
          <w:lang w:val="en-US" w:eastAsia="zh-CN"/>
        </w:rPr>
        <w:t>陕西省古树名木保护管理</w:t>
      </w:r>
      <w:r>
        <w:rPr>
          <w:rFonts w:hint="default" w:ascii="Times New Roman" w:hAnsi="Times New Roman" w:eastAsia="宋体" w:cs="Times New Roman"/>
          <w:sz w:val="28"/>
          <w:szCs w:val="32"/>
        </w:rPr>
        <w:t>的同类标准。本标准遵循了林业行业的相关条例、法规，以及国家相关标准，贯彻了国家林业行业标准和地方标准，与陕西省已经编制并发布的相关标准、规范、技术规程进行融合、参考和引用。严格遵守《中华人民共和国标准化法》，根据《中华人民共和国标准化工作导则》的相关规范要求，以《标准化工作导则第1部分：标准的结构和编写》（GB/T 1.1-2009）、《 城市古树名木养护和复壮工程技术规范》（GB/T 51168-2016）、《古树名木保护复壮技术规程》（DB11/T 632-2009 ）、《</w:t>
      </w:r>
      <w:r>
        <w:rPr>
          <w:rFonts w:hint="default" w:ascii="Times New Roman" w:hAnsi="Times New Roman" w:cs="Times New Roman"/>
          <w:sz w:val="28"/>
          <w:szCs w:val="32"/>
          <w:lang w:val="en-US" w:eastAsia="zh-CN"/>
        </w:rPr>
        <w:t>古树名木保护技术规范</w:t>
      </w:r>
      <w:r>
        <w:rPr>
          <w:rFonts w:hint="default" w:ascii="Times New Roman" w:hAnsi="Times New Roman" w:eastAsia="宋体" w:cs="Times New Roman"/>
          <w:sz w:val="28"/>
          <w:szCs w:val="32"/>
        </w:rPr>
        <w:t>》（DB1</w:t>
      </w:r>
      <w:r>
        <w:rPr>
          <w:rFonts w:hint="default" w:ascii="Times New Roman" w:hAnsi="Times New Roman" w:cs="Times New Roman"/>
          <w:sz w:val="28"/>
          <w:szCs w:val="32"/>
          <w:lang w:val="en-US" w:eastAsia="zh-CN"/>
        </w:rPr>
        <w:t>4</w:t>
      </w:r>
      <w:r>
        <w:rPr>
          <w:rFonts w:hint="default" w:ascii="Times New Roman" w:hAnsi="Times New Roman" w:eastAsia="宋体" w:cs="Times New Roman"/>
          <w:sz w:val="28"/>
          <w:szCs w:val="32"/>
        </w:rPr>
        <w:t>/T</w:t>
      </w:r>
      <w:r>
        <w:rPr>
          <w:rFonts w:hint="default" w:ascii="Times New Roman" w:hAnsi="Times New Roman" w:cs="Times New Roman"/>
          <w:sz w:val="28"/>
          <w:szCs w:val="32"/>
          <w:lang w:val="en-US" w:eastAsia="zh-CN"/>
        </w:rPr>
        <w:t xml:space="preserve"> 868-2014</w:t>
      </w:r>
      <w:r>
        <w:rPr>
          <w:rFonts w:hint="default" w:ascii="Times New Roman" w:hAnsi="Times New Roman" w:eastAsia="宋体" w:cs="Times New Roman"/>
          <w:sz w:val="28"/>
          <w:szCs w:val="32"/>
        </w:rPr>
        <w:t>）、《</w:t>
      </w:r>
      <w:r>
        <w:rPr>
          <w:rFonts w:hint="default" w:ascii="Times New Roman" w:hAnsi="Times New Roman" w:cs="Times New Roman"/>
          <w:sz w:val="28"/>
          <w:szCs w:val="32"/>
          <w:lang w:val="en-US" w:eastAsia="zh-CN"/>
        </w:rPr>
        <w:t>古树名木复壮技术规程</w:t>
      </w:r>
      <w:r>
        <w:rPr>
          <w:rFonts w:hint="default" w:ascii="Times New Roman" w:hAnsi="Times New Roman" w:eastAsia="宋体" w:cs="Times New Roman"/>
          <w:sz w:val="28"/>
          <w:szCs w:val="32"/>
        </w:rPr>
        <w:t>》（</w:t>
      </w:r>
      <w:r>
        <w:rPr>
          <w:rFonts w:hint="default" w:ascii="Times New Roman" w:hAnsi="Times New Roman" w:cs="Times New Roman"/>
          <w:sz w:val="28"/>
          <w:szCs w:val="32"/>
          <w:lang w:val="en-US" w:eastAsia="zh-CN"/>
        </w:rPr>
        <w:t>LY/T 2494-2015</w:t>
      </w:r>
      <w:r>
        <w:rPr>
          <w:rFonts w:hint="default" w:ascii="Times New Roman" w:hAnsi="Times New Roman" w:eastAsia="宋体" w:cs="Times New Roman"/>
          <w:sz w:val="28"/>
          <w:szCs w:val="32"/>
        </w:rPr>
        <w:t>）等标准为指导和依据，编制完成了《</w:t>
      </w:r>
      <w:r>
        <w:rPr>
          <w:rFonts w:hint="default" w:ascii="Times New Roman" w:hAnsi="Times New Roman" w:eastAsia="宋体" w:cs="Times New Roman"/>
          <w:sz w:val="28"/>
          <w:szCs w:val="32"/>
          <w:lang w:val="en-US" w:eastAsia="zh-CN"/>
        </w:rPr>
        <w:t>古树名木保护管理规范</w:t>
      </w:r>
      <w:r>
        <w:rPr>
          <w:rFonts w:hint="default" w:ascii="Times New Roman" w:hAnsi="Times New Roman" w:eastAsia="宋体" w:cs="Times New Roman"/>
          <w:sz w:val="28"/>
          <w:szCs w:val="32"/>
        </w:rPr>
        <w:t>》（征求意见稿）。</w:t>
      </w:r>
    </w:p>
    <w:p w14:paraId="3E97C069">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textAlignment w:val="auto"/>
        <w:rPr>
          <w:rFonts w:hint="default"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6</w:t>
      </w:r>
      <w:r>
        <w:rPr>
          <w:rFonts w:hint="default" w:ascii="Times New Roman" w:hAnsi="Times New Roman" w:eastAsia="宋体" w:cs="Times New Roman"/>
          <w:b/>
          <w:sz w:val="28"/>
          <w:szCs w:val="28"/>
          <w:lang w:val="en-US" w:eastAsia="zh-CN"/>
        </w:rPr>
        <w:t>.重大意见分歧处理</w:t>
      </w:r>
    </w:p>
    <w:p w14:paraId="51F4FA91">
      <w:pPr>
        <w:pStyle w:val="12"/>
        <w:spacing w:line="360" w:lineRule="auto"/>
        <w:ind w:firstLine="560"/>
        <w:rPr>
          <w:rFonts w:hint="default" w:ascii="Times New Roman" w:hAnsi="Times New Roman" w:eastAsia="宋体" w:cs="Times New Roman"/>
          <w:sz w:val="28"/>
          <w:szCs w:val="32"/>
        </w:rPr>
      </w:pPr>
      <w:r>
        <w:rPr>
          <w:rFonts w:hint="default" w:ascii="Times New Roman" w:hAnsi="Times New Roman" w:eastAsia="宋体" w:cs="Times New Roman"/>
          <w:sz w:val="28"/>
          <w:szCs w:val="32"/>
        </w:rPr>
        <w:t>本标准现处于征求意见阶段，欢迎我省有关科研、管理和生产单位提出修改意见。同时本标准属于推荐性省级地方标准，所规定的技术内容和要求具有普遍指导作用，建议使用单位或个人结合实际生产情况，加以灵活应用；有不同意见或见解时，欢迎与标准起草组人员进行沟通与讨论。在沟通无果的情况下，可本着求同存异的理念加以应用，或修订、研发、执行新的适用技术标准。</w:t>
      </w:r>
    </w:p>
    <w:p w14:paraId="0F59F71C">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textAlignment w:val="auto"/>
        <w:rPr>
          <w:rFonts w:hint="default" w:ascii="Times New Roman" w:hAnsi="Times New Roman" w:eastAsia="宋体" w:cs="Times New Roman"/>
          <w:b/>
          <w:sz w:val="28"/>
          <w:szCs w:val="28"/>
          <w:lang w:val="en-US" w:eastAsia="zh-CN"/>
        </w:rPr>
      </w:pPr>
      <w:r>
        <w:rPr>
          <w:rFonts w:hint="eastAsia" w:ascii="Times New Roman" w:hAnsi="Times New Roman" w:eastAsia="宋体" w:cs="Times New Roman"/>
          <w:b/>
          <w:sz w:val="28"/>
          <w:szCs w:val="28"/>
          <w:lang w:val="en-US" w:eastAsia="zh-CN"/>
        </w:rPr>
        <w:t>7</w:t>
      </w:r>
      <w:r>
        <w:rPr>
          <w:rFonts w:hint="default" w:ascii="Times New Roman" w:hAnsi="Times New Roman" w:eastAsia="宋体" w:cs="Times New Roman"/>
          <w:b/>
          <w:sz w:val="28"/>
          <w:szCs w:val="28"/>
          <w:lang w:val="en-US" w:eastAsia="zh-CN"/>
        </w:rPr>
        <w:t>.其他应说明的事项</w:t>
      </w:r>
    </w:p>
    <w:p w14:paraId="7C815E28">
      <w:pPr>
        <w:spacing w:line="360" w:lineRule="auto"/>
        <w:ind w:firstLine="560" w:firstLineChars="200"/>
        <w:rPr>
          <w:rFonts w:hint="default" w:ascii="Times New Roman" w:hAnsi="Times New Roman" w:eastAsia="宋体" w:cs="Times New Roman"/>
          <w:sz w:val="28"/>
          <w:szCs w:val="32"/>
        </w:rPr>
      </w:pPr>
      <w:r>
        <w:rPr>
          <w:rFonts w:hint="default" w:ascii="Times New Roman" w:hAnsi="Times New Roman" w:eastAsia="宋体" w:cs="Times New Roman"/>
          <w:sz w:val="28"/>
          <w:szCs w:val="32"/>
        </w:rPr>
        <w:t>无</w:t>
      </w:r>
    </w:p>
    <w:p w14:paraId="0A9C214A">
      <w:pPr>
        <w:spacing w:line="680" w:lineRule="exact"/>
        <w:ind w:firstLine="560" w:firstLineChars="200"/>
        <w:jc w:val="right"/>
        <w:rPr>
          <w:rFonts w:hint="default" w:ascii="Times New Roman" w:hAnsi="Times New Roman" w:eastAsia="宋体" w:cs="Times New Roman"/>
          <w:sz w:val="28"/>
          <w:szCs w:val="32"/>
        </w:rPr>
      </w:pPr>
      <w:r>
        <w:rPr>
          <w:rFonts w:hint="default" w:ascii="Times New Roman" w:hAnsi="Times New Roman" w:eastAsia="宋体" w:cs="Times New Roman"/>
          <w:sz w:val="28"/>
          <w:szCs w:val="32"/>
        </w:rPr>
        <w:t>《</w:t>
      </w:r>
      <w:r>
        <w:rPr>
          <w:rFonts w:hint="default" w:ascii="Times New Roman" w:hAnsi="Times New Roman" w:eastAsia="宋体" w:cs="Times New Roman"/>
          <w:sz w:val="28"/>
          <w:szCs w:val="32"/>
          <w:lang w:val="en-US" w:eastAsia="zh-CN"/>
        </w:rPr>
        <w:t>古树名木保护管理规范</w:t>
      </w:r>
      <w:r>
        <w:rPr>
          <w:rFonts w:hint="default" w:ascii="Times New Roman" w:hAnsi="Times New Roman" w:eastAsia="宋体" w:cs="Times New Roman"/>
          <w:sz w:val="28"/>
          <w:szCs w:val="32"/>
        </w:rPr>
        <w:t>》地方标准起草组</w:t>
      </w:r>
    </w:p>
    <w:p w14:paraId="3DB2CED6">
      <w:pPr>
        <w:spacing w:line="680" w:lineRule="exact"/>
        <w:ind w:firstLine="560" w:firstLineChars="200"/>
        <w:jc w:val="right"/>
        <w:rPr>
          <w:rFonts w:hint="default" w:ascii="Times New Roman" w:hAnsi="Times New Roman" w:eastAsia="宋体" w:cs="Times New Roman"/>
          <w:sz w:val="28"/>
          <w:szCs w:val="32"/>
        </w:rPr>
      </w:pPr>
      <w:r>
        <w:rPr>
          <w:rFonts w:hint="default" w:ascii="Times New Roman" w:hAnsi="Times New Roman" w:eastAsia="宋体" w:cs="Times New Roman"/>
          <w:sz w:val="28"/>
          <w:szCs w:val="32"/>
        </w:rPr>
        <w:t xml:space="preserve">                           二〇二</w:t>
      </w:r>
      <w:r>
        <w:rPr>
          <w:rFonts w:hint="default" w:ascii="Times New Roman" w:hAnsi="Times New Roman" w:eastAsia="宋体" w:cs="Times New Roman"/>
          <w:sz w:val="28"/>
          <w:szCs w:val="32"/>
          <w:lang w:val="en-US" w:eastAsia="zh-CN"/>
        </w:rPr>
        <w:t>五</w:t>
      </w:r>
      <w:r>
        <w:rPr>
          <w:rFonts w:hint="default" w:ascii="Times New Roman" w:hAnsi="Times New Roman" w:eastAsia="宋体" w:cs="Times New Roman"/>
          <w:sz w:val="28"/>
          <w:szCs w:val="32"/>
        </w:rPr>
        <w:t>年</w:t>
      </w:r>
      <w:r>
        <w:rPr>
          <w:rFonts w:hint="eastAsia" w:ascii="Times New Roman" w:hAnsi="Times New Roman" w:eastAsia="宋体" w:cs="Times New Roman"/>
          <w:sz w:val="28"/>
          <w:szCs w:val="32"/>
          <w:lang w:val="en-US" w:eastAsia="zh-CN"/>
        </w:rPr>
        <w:t>二</w:t>
      </w:r>
      <w:r>
        <w:rPr>
          <w:rFonts w:hint="default" w:ascii="Times New Roman" w:hAnsi="Times New Roman" w:eastAsia="宋体" w:cs="Times New Roman"/>
          <w:sz w:val="28"/>
          <w:szCs w:val="32"/>
        </w:rPr>
        <w:t>月</w:t>
      </w:r>
    </w:p>
    <w:p w14:paraId="5E27F92E">
      <w:pPr>
        <w:pStyle w:val="2"/>
        <w:rPr>
          <w:rFonts w:hint="default" w:ascii="Times New Roman" w:hAnsi="Times New Roman" w:cs="Times New Roman"/>
          <w:lang w:val="en-US" w:eastAsia="zh-CN"/>
        </w:rPr>
      </w:pPr>
    </w:p>
    <w:sectPr>
      <w:footerReference r:id="rId3"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61EF6">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5CBBEB">
                          <w:pPr>
                            <w:pStyle w:val="3"/>
                          </w:pPr>
                          <w:r>
                            <w:t xml:space="preserve">第 </w:t>
                          </w:r>
                          <w:r>
                            <w:fldChar w:fldCharType="begin"/>
                          </w:r>
                          <w:r>
                            <w:instrText xml:space="preserve"> PAGE  \* MERGEFORMAT </w:instrText>
                          </w:r>
                          <w:r>
                            <w:fldChar w:fldCharType="separate"/>
                          </w:r>
                          <w:r>
                            <w:t>3</w:t>
                          </w:r>
                          <w:r>
                            <w:fldChar w:fldCharType="end"/>
                          </w:r>
                          <w:r>
                            <w:t xml:space="preserve"> 页 共 </w:t>
                          </w:r>
                          <w:r>
                            <w:rPr>
                              <w:rFonts w:hint="eastAsia"/>
                              <w:lang w:val="en-US" w:eastAsia="zh-CN"/>
                            </w:rPr>
                            <w:t>20</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A5CBBEB">
                    <w:pPr>
                      <w:pStyle w:val="3"/>
                    </w:pPr>
                    <w:r>
                      <w:t xml:space="preserve">第 </w:t>
                    </w:r>
                    <w:r>
                      <w:fldChar w:fldCharType="begin"/>
                    </w:r>
                    <w:r>
                      <w:instrText xml:space="preserve"> PAGE  \* MERGEFORMAT </w:instrText>
                    </w:r>
                    <w:r>
                      <w:fldChar w:fldCharType="separate"/>
                    </w:r>
                    <w:r>
                      <w:t>3</w:t>
                    </w:r>
                    <w:r>
                      <w:fldChar w:fldCharType="end"/>
                    </w:r>
                    <w:r>
                      <w:t xml:space="preserve"> 页 共 </w:t>
                    </w:r>
                    <w:r>
                      <w:rPr>
                        <w:rFonts w:hint="eastAsia"/>
                        <w:lang w:val="en-US" w:eastAsia="zh-CN"/>
                      </w:rPr>
                      <w:t>20</w:t>
                    </w:r>
                    <w: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711D1D"/>
    <w:multiLevelType w:val="singleLevel"/>
    <w:tmpl w:val="98711D1D"/>
    <w:lvl w:ilvl="0" w:tentative="0">
      <w:start w:val="3"/>
      <w:numFmt w:val="decimal"/>
      <w:suff w:val="nothing"/>
      <w:lvlText w:val="（%1）"/>
      <w:lvlJc w:val="left"/>
    </w:lvl>
  </w:abstractNum>
  <w:abstractNum w:abstractNumId="1">
    <w:nsid w:val="C8EFBD5E"/>
    <w:multiLevelType w:val="singleLevel"/>
    <w:tmpl w:val="C8EFBD5E"/>
    <w:lvl w:ilvl="0" w:tentative="0">
      <w:start w:val="6"/>
      <w:numFmt w:val="decimal"/>
      <w:suff w:val="nothing"/>
      <w:lvlText w:val="（%1）"/>
      <w:lvlJc w:val="left"/>
    </w:lvl>
  </w:abstractNum>
  <w:abstractNum w:abstractNumId="2">
    <w:nsid w:val="1FC91163"/>
    <w:multiLevelType w:val="multilevel"/>
    <w:tmpl w:val="1FC91163"/>
    <w:lvl w:ilvl="0" w:tentative="0">
      <w:start w:val="1"/>
      <w:numFmt w:val="decimal"/>
      <w:pStyle w:val="14"/>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w:lvlJc w:val="left"/>
      <w:pPr>
        <w:ind w:left="71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val="bestFit" w:percent="218"/>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FE1036B"/>
    <w:rsid w:val="00B8211D"/>
    <w:rsid w:val="0540214B"/>
    <w:rsid w:val="069B06D1"/>
    <w:rsid w:val="0B1473E1"/>
    <w:rsid w:val="0C3C237B"/>
    <w:rsid w:val="0CE71DAC"/>
    <w:rsid w:val="0DAE5F61"/>
    <w:rsid w:val="1B4A3241"/>
    <w:rsid w:val="20835AF4"/>
    <w:rsid w:val="23B65A14"/>
    <w:rsid w:val="24852FEB"/>
    <w:rsid w:val="26F16C37"/>
    <w:rsid w:val="2BB69FA5"/>
    <w:rsid w:val="2EE952ED"/>
    <w:rsid w:val="30731A9A"/>
    <w:rsid w:val="30776DA0"/>
    <w:rsid w:val="33F407FF"/>
    <w:rsid w:val="33F7425E"/>
    <w:rsid w:val="348CCDAC"/>
    <w:rsid w:val="352263D4"/>
    <w:rsid w:val="35AC587F"/>
    <w:rsid w:val="389D36F1"/>
    <w:rsid w:val="3DA34281"/>
    <w:rsid w:val="3FC202A3"/>
    <w:rsid w:val="3FEF37FD"/>
    <w:rsid w:val="4AD00FB7"/>
    <w:rsid w:val="4D5A06FF"/>
    <w:rsid w:val="4EB704E6"/>
    <w:rsid w:val="4F68D910"/>
    <w:rsid w:val="4FE1036B"/>
    <w:rsid w:val="4FE55BF6"/>
    <w:rsid w:val="50C15748"/>
    <w:rsid w:val="5520316B"/>
    <w:rsid w:val="55E15359"/>
    <w:rsid w:val="58A65954"/>
    <w:rsid w:val="5D1B545F"/>
    <w:rsid w:val="5EEF0C52"/>
    <w:rsid w:val="6E7FCBA3"/>
    <w:rsid w:val="6F674390"/>
    <w:rsid w:val="71BD1F06"/>
    <w:rsid w:val="72AF918F"/>
    <w:rsid w:val="7F567712"/>
    <w:rsid w:val="D7FF27F5"/>
    <w:rsid w:val="DD970A55"/>
    <w:rsid w:val="DFB3ED56"/>
    <w:rsid w:val="E75E1ED1"/>
    <w:rsid w:val="EBFD0219"/>
    <w:rsid w:val="EFECCBAC"/>
    <w:rsid w:val="FBF683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2">
    <w:name w:val="table of authorities"/>
    <w:basedOn w:val="1"/>
    <w:next w:val="1"/>
    <w:qFormat/>
    <w:uiPriority w:val="0"/>
    <w:pPr>
      <w:ind w:left="420" w:leftChars="20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0"/>
    <w:pPr>
      <w:spacing w:before="0" w:beforeAutospacing="1" w:after="0" w:afterAutospacing="1"/>
      <w:ind w:left="0" w:right="0"/>
      <w:jc w:val="left"/>
    </w:pPr>
    <w:rPr>
      <w:kern w:val="0"/>
      <w:sz w:val="24"/>
      <w:lang w:val="en-US" w:eastAsia="zh-CN" w:bidi="ar"/>
    </w:rPr>
  </w:style>
  <w:style w:type="paragraph" w:styleId="6">
    <w:name w:val="Title"/>
    <w:basedOn w:val="1"/>
    <w:next w:val="1"/>
    <w:qFormat/>
    <w:uiPriority w:val="10"/>
    <w:pPr>
      <w:spacing w:before="240" w:after="60"/>
      <w:jc w:val="center"/>
      <w:outlineLvl w:val="0"/>
    </w:pPr>
    <w:rPr>
      <w:rFonts w:ascii="Cambria" w:hAnsi="Cambria" w:eastAsia="宋体"/>
      <w:b/>
      <w:bCs/>
      <w:szCs w:val="32"/>
    </w:rPr>
  </w:style>
  <w:style w:type="table" w:styleId="8">
    <w:name w:val="Table Grid"/>
    <w:basedOn w:val="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0"/>
    <w:rPr>
      <w:b/>
    </w:rPr>
  </w:style>
  <w:style w:type="character" w:styleId="11">
    <w:name w:val="Hyperlink"/>
    <w:basedOn w:val="9"/>
    <w:qFormat/>
    <w:uiPriority w:val="99"/>
    <w:rPr>
      <w:color w:val="0000FF"/>
      <w:u w:val="single"/>
    </w:rPr>
  </w:style>
  <w:style w:type="paragraph" w:styleId="12">
    <w:name w:val="List Paragraph"/>
    <w:basedOn w:val="1"/>
    <w:qFormat/>
    <w:uiPriority w:val="34"/>
    <w:pPr>
      <w:ind w:firstLine="420" w:firstLineChars="200"/>
    </w:pPr>
  </w:style>
  <w:style w:type="paragraph" w:customStyle="1" w:styleId="13">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4">
    <w:name w:val="章标题"/>
    <w:next w:val="13"/>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5">
    <w:name w:val="Normal"/>
    <w:qFormat/>
    <w:uiPriority w:val="0"/>
    <w:pPr>
      <w:ind w:firstLine="0"/>
      <w:jc w:val="both"/>
    </w:pPr>
    <w:rPr>
      <w:rFonts w:ascii="Times New Roman" w:hAnsi="Times New Roman"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6876</Words>
  <Characters>7158</Characters>
  <Lines>0</Lines>
  <Paragraphs>0</Paragraphs>
  <TotalTime>4</TotalTime>
  <ScaleCrop>false</ScaleCrop>
  <LinksUpToDate>false</LinksUpToDate>
  <CharactersWithSpaces>7255</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2025-01-10T01:49:00Z</dcterms:created>
  <dc:creator>WPS_1682298463</dc:creator>
  <cp:lastModifiedBy>吾心飞扬</cp:lastModifiedBy>
  <cp:lastPrinted>2025-02-19T16:16:00Z</cp:lastPrinted>
  <dcterms:modified xsi:type="dcterms:W3CDTF">2025-03-03T07:44:18Z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BBB622F0D0484C0E976B51347089DD80_11</vt:lpwstr>
  </property>
  <property fmtid="{D5CDD505-2E9C-101B-9397-08002B2CF9AE}" pid="4" name="KSOTemplateDocerSaveRecord">
    <vt:lpwstr>eyJoZGlkIjoiMjkxM2I1ZjJlM2NjYjFjYmU2N2EwMTY1ZTBiZTcxYzgiLCJ1c2VySWQiOiIzMTIxMzk1NDgifQ==</vt:lpwstr>
  </property>
</Properties>
</file>