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spacing w:before="120" w:after="120"/>
        <w:rPr>
          <w:rFonts w:hint="default" w:ascii="Times New Roman" w:hAnsi="Times New Roman" w:eastAsia="黑体" w:cs="Times New Roman"/>
          <w:lang w:val="en-US" w:eastAsia="zh-CN"/>
        </w:rPr>
      </w:pPr>
      <w:r>
        <w:rPr>
          <w:rFonts w:hint="default" w:ascii="Times New Roman" w:hAnsi="Times New Roman" w:cs="Times New Roman"/>
          <w:lang w:val="en-US" w:eastAsia="zh-CN"/>
        </w:rPr>
        <w:t>ICS 13.280</w:t>
      </w:r>
    </w:p>
    <w:tbl>
      <w:tblPr>
        <w:tblStyle w:val="25"/>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4" w:type="dxa"/>
            <w:tcBorders>
              <w:top w:val="nil"/>
              <w:left w:val="nil"/>
              <w:bottom w:val="nil"/>
              <w:right w:val="nil"/>
            </w:tcBorders>
            <w:vAlign w:val="top"/>
          </w:tcPr>
          <w:p>
            <w:pPr>
              <w:pStyle w:val="39"/>
              <w:spacing w:before="120" w:after="120"/>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2"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&#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MiuL+zVAAAABwEAAA8AAAAAAAAAAQAgAAAAIgAAAGRy&#10;cy9kb3ducmV2LnhtbFBLAQIUABQAAAAIAIdO4kDd69gOlgEAABADAAAOAAAAAAAAAAEAIAAAACQB&#10;AABkcnMvZTJvRG9jLnhtbFBLBQYAAAAABgAGAFkBAAAsBQAAAAA=&#10;">
                      <v:fill on="t" focussize="0,0"/>
                      <v:stroke on="f"/>
                      <v:imagedata o:title=""/>
                      <o:lock v:ext="edit" aspectratio="f"/>
                    </v:rect>
                  </w:pict>
                </mc:Fallback>
              </mc:AlternateContent>
            </w:r>
            <w:r>
              <w:rPr>
                <w:rFonts w:hint="eastAsia" w:ascii="Times New Roman" w:hAnsi="Times New Roman" w:cs="Times New Roman"/>
                <w:lang w:val="en-US" w:eastAsia="zh-CN"/>
              </w:rPr>
              <w:t xml:space="preserve">CCS </w:t>
            </w:r>
            <w:r>
              <w:rPr>
                <w:rFonts w:hint="default" w:ascii="Times New Roman" w:hAnsi="Times New Roman" w:cs="Times New Roman"/>
              </w:rPr>
              <w:fldChar w:fldCharType="begin">
                <w:ffData>
                  <w:name w:val="BAH"/>
                  <w:enabled/>
                  <w:calcOnExit w:val="0"/>
                  <w:textInput/>
                </w:ffData>
              </w:fldChar>
            </w:r>
            <w:bookmarkStart w:id="0" w:name="BAH"/>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F70/79</w:t>
            </w:r>
            <w:r>
              <w:rPr>
                <w:rFonts w:hint="default" w:ascii="Times New Roman" w:hAnsi="Times New Roman" w:cs="Times New Roman"/>
              </w:rPr>
              <w:fldChar w:fldCharType="end"/>
            </w:r>
            <w:bookmarkEnd w:id="0"/>
          </w:p>
        </w:tc>
      </w:tr>
    </w:tbl>
    <w:p>
      <w:pPr>
        <w:spacing w:line="360" w:lineRule="auto"/>
        <w:rPr>
          <w:rFonts w:hint="default" w:ascii="Times New Roman" w:hAnsi="Times New Roman" w:eastAsia="黑体" w:cs="Times New Roman"/>
          <w:color w:val="auto"/>
          <w:sz w:val="32"/>
          <w:u w:val="single"/>
        </w:rPr>
      </w:pPr>
    </w:p>
    <w:p>
      <w:pPr>
        <w:spacing w:line="360" w:lineRule="auto"/>
        <w:jc w:val="right"/>
        <w:rPr>
          <w:rFonts w:hint="default" w:ascii="Times New Roman" w:hAnsi="Times New Roman" w:eastAsia="黑体" w:cs="Times New Roman"/>
          <w:b/>
          <w:color w:val="auto"/>
          <w:sz w:val="96"/>
        </w:rPr>
      </w:pPr>
      <w:r>
        <w:rPr>
          <w:rFonts w:hint="default" w:ascii="Times New Roman" w:hAnsi="Times New Roman" w:eastAsia="黑体" w:cs="Times New Roman"/>
          <w:b/>
          <w:color w:val="auto"/>
          <w:sz w:val="96"/>
        </w:rPr>
        <w:t>DB61</w:t>
      </w:r>
    </w:p>
    <w:p>
      <w:pPr>
        <w:spacing w:line="360" w:lineRule="auto"/>
        <w:jc w:val="distribute"/>
        <w:rPr>
          <w:rFonts w:hint="default" w:ascii="Times New Roman" w:hAnsi="Times New Roman" w:eastAsia="黑体" w:cs="Times New Roman"/>
          <w:color w:val="auto"/>
          <w:sz w:val="48"/>
        </w:rPr>
      </w:pPr>
      <w:r>
        <w:rPr>
          <w:rFonts w:hint="default" w:ascii="Times New Roman" w:hAnsi="Times New Roman" w:eastAsia="黑体" w:cs="Times New Roman"/>
          <w:color w:val="auto"/>
          <w:sz w:val="48"/>
        </w:rPr>
        <w:t>陕西省地方标准</w:t>
      </w:r>
    </w:p>
    <w:p>
      <w:pPr>
        <w:wordWrap w:val="0"/>
        <w:jc w:val="right"/>
        <w:rPr>
          <w:rFonts w:hint="default" w:ascii="Times New Roman" w:hAnsi="Times New Roman" w:eastAsia="黑体" w:cs="Times New Roman"/>
          <w:color w:val="auto"/>
          <w:sz w:val="28"/>
        </w:rPr>
      </w:pPr>
      <w:r>
        <w:rPr>
          <w:rFonts w:hint="default" w:ascii="Times New Roman" w:hAnsi="Times New Roman" w:eastAsia="黑体" w:cs="Times New Roman"/>
          <w:color w:val="auto"/>
          <w:sz w:val="28"/>
        </w:rPr>
        <w:t>DB61/</w:t>
      </w:r>
      <w:r>
        <w:rPr>
          <w:rFonts w:hint="eastAsia" w:eastAsia="黑体" w:cs="Times New Roman"/>
          <w:color w:val="auto"/>
          <w:sz w:val="28"/>
          <w:lang w:val="en-US" w:eastAsia="zh-CN"/>
        </w:rPr>
        <w:t>T ***-2024</w:t>
      </w:r>
    </w:p>
    <w:p>
      <w:pPr>
        <w:spacing w:line="360" w:lineRule="auto"/>
        <w:rPr>
          <w:rFonts w:hint="default" w:ascii="Times New Roman" w:hAnsi="Times New Roman" w:eastAsia="黑体" w:cs="Times New Roman"/>
          <w:color w:val="auto"/>
          <w:sz w:val="32"/>
          <w:u w:val="single"/>
          <w:lang w:eastAsia="zh-CN"/>
        </w:rPr>
      </w:pPr>
      <w:r>
        <w:rPr>
          <w:rFonts w:hint="default" w:ascii="Times New Roman" w:hAnsi="Times New Roman" w:eastAsia="黑体" w:cs="Times New Roman"/>
          <w:color w:val="auto"/>
          <w:sz w:val="32"/>
          <w:u w:val="single"/>
        </w:rPr>
        <w:t xml:space="preserve">                                                          </w:t>
      </w:r>
    </w:p>
    <w:p>
      <w:pPr>
        <w:spacing w:line="360" w:lineRule="auto"/>
        <w:rPr>
          <w:rFonts w:hint="default" w:ascii="Times New Roman" w:hAnsi="Times New Roman" w:eastAsia="黑体" w:cs="Times New Roman"/>
          <w:color w:val="auto"/>
          <w:sz w:val="32"/>
          <w:u w:val="single"/>
        </w:rPr>
      </w:pPr>
    </w:p>
    <w:p>
      <w:pPr>
        <w:spacing w:line="360" w:lineRule="auto"/>
        <w:jc w:val="center"/>
        <w:rPr>
          <w:rFonts w:hint="default" w:ascii="Times New Roman" w:hAnsi="Times New Roman" w:eastAsia="黑体" w:cs="Times New Roman"/>
          <w:color w:val="auto"/>
          <w:sz w:val="44"/>
        </w:rPr>
      </w:pPr>
      <w:bookmarkStart w:id="1" w:name="OLE_LINK1"/>
      <w:r>
        <w:rPr>
          <w:rFonts w:hint="default" w:ascii="Times New Roman" w:hAnsi="Times New Roman" w:eastAsia="黑体" w:cs="Times New Roman"/>
          <w:color w:val="auto"/>
          <w:sz w:val="44"/>
        </w:rPr>
        <w:t>工业射线探伤辐射安全和防护技术规范</w:t>
      </w:r>
      <w:bookmarkEnd w:id="1"/>
    </w:p>
    <w:p>
      <w:pPr>
        <w:jc w:val="center"/>
        <w:rPr>
          <w:rFonts w:hint="default" w:ascii="Times New Roman" w:hAnsi="Times New Roman" w:cs="Times New Roman"/>
          <w:b/>
          <w:color w:val="auto"/>
          <w:sz w:val="32"/>
        </w:rPr>
      </w:pPr>
      <w:r>
        <w:rPr>
          <w:rFonts w:hint="default" w:ascii="Times New Roman" w:hAnsi="Times New Roman" w:cs="Times New Roman"/>
          <w:b w:val="0"/>
          <w:bCs/>
          <w:color w:val="auto"/>
          <w:sz w:val="32"/>
        </w:rPr>
        <w:t xml:space="preserve">Technical </w:t>
      </w:r>
      <w:r>
        <w:rPr>
          <w:rFonts w:hint="eastAsia" w:cs="Times New Roman"/>
          <w:b w:val="0"/>
          <w:bCs/>
          <w:color w:val="auto"/>
          <w:sz w:val="32"/>
          <w:lang w:val="en-US" w:eastAsia="zh-CN"/>
        </w:rPr>
        <w:t>S</w:t>
      </w:r>
      <w:r>
        <w:rPr>
          <w:rFonts w:hint="default" w:ascii="Times New Roman" w:hAnsi="Times New Roman" w:cs="Times New Roman"/>
          <w:b w:val="0"/>
          <w:bCs/>
          <w:color w:val="auto"/>
          <w:sz w:val="32"/>
        </w:rPr>
        <w:t xml:space="preserve">pecification for </w:t>
      </w:r>
      <w:r>
        <w:rPr>
          <w:rFonts w:hint="eastAsia" w:cs="Times New Roman"/>
          <w:b w:val="0"/>
          <w:bCs/>
          <w:color w:val="auto"/>
          <w:sz w:val="32"/>
          <w:lang w:val="en-US" w:eastAsia="zh-CN"/>
        </w:rPr>
        <w:t>R</w:t>
      </w:r>
      <w:r>
        <w:rPr>
          <w:rFonts w:hint="default" w:ascii="Times New Roman" w:hAnsi="Times New Roman" w:cs="Times New Roman"/>
          <w:b w:val="0"/>
          <w:bCs/>
          <w:color w:val="auto"/>
          <w:sz w:val="32"/>
        </w:rPr>
        <w:t xml:space="preserve">adiation </w:t>
      </w:r>
      <w:r>
        <w:rPr>
          <w:rFonts w:hint="eastAsia" w:cs="Times New Roman"/>
          <w:b w:val="0"/>
          <w:bCs/>
          <w:color w:val="auto"/>
          <w:sz w:val="32"/>
          <w:lang w:val="en-US" w:eastAsia="zh-CN"/>
        </w:rPr>
        <w:t>S</w:t>
      </w:r>
      <w:r>
        <w:rPr>
          <w:rFonts w:hint="default" w:ascii="Times New Roman" w:hAnsi="Times New Roman" w:cs="Times New Roman"/>
          <w:b w:val="0"/>
          <w:bCs/>
          <w:color w:val="auto"/>
          <w:sz w:val="32"/>
        </w:rPr>
        <w:t xml:space="preserve">afety and </w:t>
      </w:r>
      <w:r>
        <w:rPr>
          <w:rFonts w:hint="eastAsia" w:cs="Times New Roman"/>
          <w:b w:val="0"/>
          <w:bCs/>
          <w:color w:val="auto"/>
          <w:sz w:val="32"/>
          <w:lang w:val="en-US" w:eastAsia="zh-CN"/>
        </w:rPr>
        <w:t>P</w:t>
      </w:r>
      <w:r>
        <w:rPr>
          <w:rFonts w:hint="default" w:ascii="Times New Roman" w:hAnsi="Times New Roman" w:cs="Times New Roman"/>
          <w:b w:val="0"/>
          <w:bCs/>
          <w:color w:val="auto"/>
          <w:sz w:val="32"/>
        </w:rPr>
        <w:t xml:space="preserve">rotection </w:t>
      </w:r>
      <w:r>
        <w:rPr>
          <w:rFonts w:hint="eastAsia" w:cs="Times New Roman"/>
          <w:b w:val="0"/>
          <w:bCs/>
          <w:color w:val="auto"/>
          <w:sz w:val="32"/>
          <w:lang w:val="en-US" w:eastAsia="zh-CN"/>
        </w:rPr>
        <w:t>in</w:t>
      </w:r>
      <w:r>
        <w:rPr>
          <w:rFonts w:hint="default" w:ascii="Times New Roman" w:hAnsi="Times New Roman" w:cs="Times New Roman"/>
          <w:b w:val="0"/>
          <w:bCs/>
          <w:color w:val="auto"/>
          <w:sz w:val="32"/>
        </w:rPr>
        <w:t xml:space="preserve"> </w:t>
      </w:r>
      <w:r>
        <w:rPr>
          <w:rFonts w:hint="eastAsia" w:cs="Times New Roman"/>
          <w:b w:val="0"/>
          <w:bCs/>
          <w:color w:val="auto"/>
          <w:sz w:val="32"/>
          <w:lang w:val="en-US" w:eastAsia="zh-CN"/>
        </w:rPr>
        <w:t>I</w:t>
      </w:r>
      <w:r>
        <w:rPr>
          <w:rFonts w:hint="default" w:ascii="Times New Roman" w:hAnsi="Times New Roman" w:cs="Times New Roman"/>
          <w:b w:val="0"/>
          <w:bCs/>
          <w:color w:val="auto"/>
          <w:sz w:val="32"/>
        </w:rPr>
        <w:t xml:space="preserve">ndustrial </w:t>
      </w:r>
      <w:r>
        <w:rPr>
          <w:rFonts w:hint="eastAsia" w:cs="Times New Roman"/>
          <w:b w:val="0"/>
          <w:bCs/>
          <w:color w:val="auto"/>
          <w:sz w:val="32"/>
          <w:lang w:val="en-US" w:eastAsia="zh-CN"/>
        </w:rPr>
        <w:t>R</w:t>
      </w:r>
      <w:r>
        <w:rPr>
          <w:rFonts w:hint="default" w:ascii="Times New Roman" w:hAnsi="Times New Roman" w:cs="Times New Roman"/>
          <w:b w:val="0"/>
          <w:bCs/>
          <w:color w:val="auto"/>
          <w:sz w:val="32"/>
        </w:rPr>
        <w:t>adiography</w:t>
      </w:r>
      <w:r>
        <w:rPr>
          <w:rFonts w:hint="default" w:ascii="Times New Roman" w:hAnsi="Times New Roman" w:cs="Times New Roman"/>
          <w:b/>
          <w:color w:val="auto"/>
          <w:sz w:val="32"/>
        </w:rPr>
        <w:t> </w:t>
      </w:r>
    </w:p>
    <w:p>
      <w:pPr>
        <w:jc w:val="center"/>
        <w:rPr>
          <w:rFonts w:hint="default" w:ascii="Times New Roman" w:hAnsi="Times New Roman" w:cs="Times New Roman"/>
          <w:b/>
          <w:color w:val="auto"/>
          <w:sz w:val="32"/>
        </w:rPr>
      </w:pPr>
    </w:p>
    <w:p>
      <w:pPr>
        <w:jc w:val="center"/>
        <w:rPr>
          <w:rFonts w:hint="eastAsia" w:ascii="Times New Roman" w:hAnsi="Times New Roman" w:eastAsia="宋体" w:cs="Times New Roman"/>
          <w:b w:val="0"/>
          <w:bCs/>
          <w:color w:val="auto"/>
          <w:sz w:val="21"/>
          <w:szCs w:val="21"/>
          <w:lang w:eastAsia="zh-CN"/>
        </w:rPr>
      </w:pPr>
      <w:r>
        <w:rPr>
          <w:rFonts w:hint="eastAsia" w:cs="Times New Roman"/>
          <w:b w:val="0"/>
          <w:bCs/>
          <w:color w:val="auto"/>
          <w:sz w:val="21"/>
          <w:szCs w:val="21"/>
          <w:lang w:eastAsia="zh-CN"/>
        </w:rPr>
        <w:t>（</w:t>
      </w:r>
      <w:r>
        <w:rPr>
          <w:rFonts w:hint="eastAsia" w:cs="Times New Roman"/>
          <w:b w:val="0"/>
          <w:bCs/>
          <w:color w:val="auto"/>
          <w:sz w:val="21"/>
          <w:szCs w:val="21"/>
          <w:lang w:val="en-US" w:eastAsia="zh-CN"/>
        </w:rPr>
        <w:t>征求意见稿</w:t>
      </w:r>
      <w:r>
        <w:rPr>
          <w:rFonts w:hint="eastAsia" w:cs="Times New Roman"/>
          <w:b w:val="0"/>
          <w:bCs/>
          <w:color w:val="auto"/>
          <w:sz w:val="21"/>
          <w:szCs w:val="21"/>
          <w:lang w:eastAsia="zh-CN"/>
        </w:rPr>
        <w:t>）</w:t>
      </w:r>
    </w:p>
    <w:p>
      <w:pPr>
        <w:spacing w:line="360" w:lineRule="auto"/>
        <w:jc w:val="center"/>
        <w:rPr>
          <w:rFonts w:hint="default" w:ascii="Times New Roman" w:hAnsi="Times New Roman" w:eastAsia="Times New Roman" w:cs="Times New Roman"/>
          <w:b/>
          <w:color w:val="auto"/>
          <w:sz w:val="32"/>
        </w:rPr>
      </w:pPr>
    </w:p>
    <w:p>
      <w:pPr>
        <w:spacing w:line="360" w:lineRule="auto"/>
        <w:jc w:val="center"/>
        <w:rPr>
          <w:rFonts w:hint="default" w:ascii="Times New Roman" w:hAnsi="Times New Roman" w:eastAsia="Times New Roman" w:cs="Times New Roman"/>
          <w:b/>
          <w:color w:val="auto"/>
          <w:sz w:val="32"/>
        </w:rPr>
      </w:pPr>
    </w:p>
    <w:p>
      <w:pPr>
        <w:spacing w:line="360" w:lineRule="auto"/>
        <w:jc w:val="center"/>
        <w:rPr>
          <w:rFonts w:hint="default" w:ascii="Times New Roman" w:hAnsi="Times New Roman" w:cs="Times New Roman" w:eastAsiaTheme="minorEastAsia"/>
          <w:b/>
          <w:color w:val="auto"/>
          <w:sz w:val="32"/>
        </w:rPr>
      </w:pPr>
    </w:p>
    <w:p>
      <w:pPr>
        <w:spacing w:line="360" w:lineRule="auto"/>
        <w:jc w:val="center"/>
        <w:rPr>
          <w:rFonts w:hint="default" w:ascii="Times New Roman" w:hAnsi="Times New Roman" w:cs="Times New Roman" w:eastAsiaTheme="minorEastAsia"/>
          <w:b/>
          <w:color w:val="auto"/>
          <w:sz w:val="32"/>
        </w:rPr>
      </w:pPr>
    </w:p>
    <w:p>
      <w:pPr>
        <w:spacing w:line="360" w:lineRule="auto"/>
        <w:jc w:val="center"/>
        <w:rPr>
          <w:rFonts w:hint="default" w:ascii="Times New Roman" w:hAnsi="Times New Roman" w:cs="Times New Roman" w:eastAsiaTheme="minorEastAsia"/>
          <w:b/>
          <w:color w:val="auto"/>
          <w:sz w:val="32"/>
        </w:rPr>
      </w:pPr>
    </w:p>
    <w:p>
      <w:pPr>
        <w:spacing w:line="360" w:lineRule="auto"/>
        <w:jc w:val="center"/>
        <w:rPr>
          <w:rFonts w:hint="default" w:ascii="Times New Roman" w:hAnsi="Times New Roman" w:cs="Times New Roman" w:eastAsiaTheme="minorEastAsia"/>
          <w:b/>
          <w:color w:val="auto"/>
          <w:sz w:val="32"/>
        </w:rPr>
      </w:pPr>
    </w:p>
    <w:p>
      <w:pPr>
        <w:jc w:val="left"/>
        <w:rPr>
          <w:rFonts w:hint="default" w:ascii="Times New Roman" w:hAnsi="Times New Roman" w:eastAsia="黑体" w:cs="Times New Roman"/>
          <w:color w:val="auto"/>
          <w:sz w:val="28"/>
          <w:u w:val="thick"/>
        </w:rPr>
      </w:pPr>
    </w:p>
    <w:p>
      <w:pPr>
        <w:jc w:val="left"/>
        <w:rPr>
          <w:rFonts w:hint="default" w:ascii="Times New Roman" w:hAnsi="Times New Roman" w:eastAsia="黑体" w:cs="Times New Roman"/>
          <w:color w:val="auto"/>
          <w:sz w:val="28"/>
          <w:u w:val="thick"/>
        </w:rPr>
      </w:pPr>
      <w:r>
        <w:rPr>
          <w:rFonts w:hint="default" w:ascii="Times New Roman" w:hAnsi="Times New Roman" w:eastAsia="黑体" w:cs="Times New Roman"/>
          <w:color w:val="auto"/>
          <w:sz w:val="28"/>
          <w:u w:val="thick"/>
        </w:rPr>
        <w:t>202</w:t>
      </w:r>
      <w:r>
        <w:rPr>
          <w:rFonts w:hint="default" w:ascii="Times New Roman" w:hAnsi="Times New Roman" w:eastAsia="黑体" w:cs="Times New Roman"/>
          <w:color w:val="auto"/>
          <w:sz w:val="28"/>
          <w:u w:val="thick"/>
          <w:lang w:val="en-US" w:eastAsia="zh-CN"/>
        </w:rPr>
        <w:t>4</w:t>
      </w:r>
      <w:r>
        <w:rPr>
          <w:rFonts w:hint="default" w:ascii="Times New Roman" w:hAnsi="Times New Roman" w:eastAsia="黑体" w:cs="Times New Roman"/>
          <w:color w:val="auto"/>
          <w:sz w:val="28"/>
          <w:u w:val="thick"/>
        </w:rPr>
        <w:t>-  -  发布                          202</w:t>
      </w:r>
      <w:r>
        <w:rPr>
          <w:rFonts w:hint="default" w:ascii="Times New Roman" w:hAnsi="Times New Roman" w:eastAsia="黑体" w:cs="Times New Roman"/>
          <w:color w:val="auto"/>
          <w:sz w:val="28"/>
          <w:u w:val="thick"/>
          <w:lang w:val="en-US" w:eastAsia="zh-CN"/>
        </w:rPr>
        <w:t>4</w:t>
      </w:r>
      <w:r>
        <w:rPr>
          <w:rFonts w:hint="default" w:ascii="Times New Roman" w:hAnsi="Times New Roman" w:eastAsia="黑体" w:cs="Times New Roman"/>
          <w:color w:val="auto"/>
          <w:sz w:val="28"/>
          <w:u w:val="thick"/>
        </w:rPr>
        <w:t xml:space="preserve">-  -  实施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 w:val="28"/>
        </w:rPr>
        <w:t>陕西省市场监督管理局</w:t>
      </w:r>
      <w:r>
        <w:rPr>
          <w:rFonts w:hint="eastAsia" w:eastAsia="黑体" w:cs="Times New Roman"/>
          <w:color w:val="auto"/>
          <w:sz w:val="28"/>
          <w:lang w:val="en-US" w:eastAsia="zh-CN"/>
        </w:rPr>
        <w:t xml:space="preserve">  </w:t>
      </w:r>
      <w:r>
        <w:rPr>
          <w:rFonts w:hint="default" w:ascii="Times New Roman" w:hAnsi="Times New Roman" w:eastAsia="黑体" w:cs="Times New Roman"/>
          <w:color w:val="auto"/>
          <w:sz w:val="28"/>
        </w:rPr>
        <w:t>发布</w:t>
      </w:r>
    </w:p>
    <w:p>
      <w:pPr>
        <w:spacing w:line="360" w:lineRule="auto"/>
        <w:jc w:val="center"/>
        <w:rPr>
          <w:rFonts w:hint="default" w:ascii="Times New Roman" w:hAnsi="Times New Roman" w:cs="Times New Roman"/>
          <w:color w:val="auto"/>
        </w:rPr>
        <w:sectPr>
          <w:footerReference r:id="rId3" w:type="default"/>
          <w:pgSz w:w="11906" w:h="16838"/>
          <w:pgMar w:top="1440" w:right="1800" w:bottom="1440" w:left="1800" w:header="851" w:footer="992" w:gutter="0"/>
          <w:pgNumType w:fmt="decimal"/>
          <w:cols w:space="425" w:num="1"/>
          <w:docGrid w:type="lines" w:linePitch="312" w:charSpace="0"/>
        </w:sectPr>
      </w:pPr>
    </w:p>
    <w:p>
      <w:pPr>
        <w:pStyle w:val="14"/>
        <w:spacing w:line="360" w:lineRule="auto"/>
        <w:rPr>
          <w:rFonts w:hint="default" w:ascii="Times New Roman" w:hAnsi="Times New Roman" w:cs="Times New Roman"/>
          <w:color w:val="auto"/>
        </w:rPr>
        <w:sectPr>
          <w:footerReference r:id="rId4" w:type="default"/>
          <w:pgSz w:w="11906" w:h="16838"/>
          <w:pgMar w:top="1440" w:right="1800" w:bottom="1440" w:left="1800" w:header="851" w:footer="992" w:gutter="0"/>
          <w:pgNumType w:fmt="decimal" w:start="1"/>
          <w:cols w:space="425" w:num="1"/>
          <w:docGrid w:type="lines" w:linePitch="312" w:charSpace="0"/>
        </w:sectPr>
      </w:pPr>
    </w:p>
    <w:p>
      <w:pPr>
        <w:pStyle w:val="14"/>
        <w:spacing w:line="360" w:lineRule="auto"/>
        <w:rPr>
          <w:rFonts w:hint="default" w:ascii="Times New Roman" w:hAnsi="Times New Roman" w:cs="Times New Roman"/>
          <w:color w:val="auto"/>
        </w:rPr>
      </w:pPr>
      <w:r>
        <w:rPr>
          <w:rFonts w:hint="default" w:ascii="Times New Roman" w:hAnsi="Times New Roman" w:cs="Times New Roman"/>
          <w:color w:val="auto"/>
        </w:rPr>
        <w:t>目</w:t>
      </w:r>
      <w:r>
        <w:rPr>
          <w:rFonts w:hint="eastAsia" w:ascii="Times New Roman" w:hAnsi="Times New Roman" w:cs="Times New Roman"/>
          <w:color w:val="auto"/>
          <w:lang w:val="en-US" w:eastAsia="zh-CN"/>
        </w:rPr>
        <w:t xml:space="preserve">  </w:t>
      </w:r>
      <w:r>
        <w:rPr>
          <w:rFonts w:hint="default" w:ascii="Times New Roman" w:hAnsi="Times New Roman" w:cs="Times New Roman"/>
          <w:color w:val="auto"/>
        </w:rPr>
        <w:t>次</w:t>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TOC \o "1-1" \f \h \z \u </w:instrText>
      </w:r>
      <w:r>
        <w:rPr>
          <w:rFonts w:hint="eastAsia" w:ascii="宋体" w:hAnsi="宋体" w:eastAsia="宋体" w:cs="宋体"/>
          <w:b w:val="0"/>
          <w:bCs w:val="0"/>
          <w:color w:val="auto"/>
          <w:sz w:val="21"/>
          <w:szCs w:val="21"/>
        </w:rPr>
        <w:fldChar w:fldCharType="separate"/>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_Toc6201 </w:instrText>
      </w:r>
      <w:r>
        <w:rPr>
          <w:rFonts w:hint="eastAsia" w:ascii="宋体" w:hAnsi="宋体" w:eastAsia="宋体" w:cs="宋体"/>
          <w:bCs w:val="0"/>
          <w:sz w:val="21"/>
          <w:szCs w:val="21"/>
        </w:rPr>
        <w:fldChar w:fldCharType="separate"/>
      </w:r>
      <w:r>
        <w:rPr>
          <w:rFonts w:hint="eastAsia" w:ascii="宋体" w:hAnsi="宋体" w:eastAsia="宋体" w:cs="宋体"/>
          <w:sz w:val="21"/>
          <w:szCs w:val="21"/>
        </w:rPr>
        <w:t>1 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_Toc6201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_Toc15652 </w:instrText>
      </w:r>
      <w:r>
        <w:rPr>
          <w:rFonts w:hint="eastAsia" w:ascii="宋体" w:hAnsi="宋体" w:eastAsia="宋体" w:cs="宋体"/>
          <w:bCs w:val="0"/>
          <w:sz w:val="21"/>
          <w:szCs w:val="21"/>
        </w:rPr>
        <w:fldChar w:fldCharType="separate"/>
      </w:r>
      <w:r>
        <w:rPr>
          <w:rFonts w:hint="eastAsia" w:ascii="宋体" w:hAnsi="宋体" w:eastAsia="宋体" w:cs="宋体"/>
          <w:sz w:val="21"/>
          <w:szCs w:val="21"/>
        </w:rPr>
        <w:t>2 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_Toc15652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_Toc17583 </w:instrText>
      </w:r>
      <w:r>
        <w:rPr>
          <w:rFonts w:hint="eastAsia" w:ascii="宋体" w:hAnsi="宋体" w:eastAsia="宋体" w:cs="宋体"/>
          <w:bCs w:val="0"/>
          <w:sz w:val="21"/>
          <w:szCs w:val="21"/>
        </w:rPr>
        <w:fldChar w:fldCharType="separate"/>
      </w:r>
      <w:r>
        <w:rPr>
          <w:rFonts w:hint="eastAsia" w:ascii="宋体" w:hAnsi="宋体" w:eastAsia="宋体" w:cs="宋体"/>
          <w:sz w:val="21"/>
          <w:szCs w:val="21"/>
        </w:rPr>
        <w:t>3 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_Toc17583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_Toc31572 </w:instrText>
      </w:r>
      <w:r>
        <w:rPr>
          <w:rFonts w:hint="eastAsia" w:ascii="宋体" w:hAnsi="宋体" w:eastAsia="宋体" w:cs="宋体"/>
          <w:bCs w:val="0"/>
          <w:sz w:val="21"/>
          <w:szCs w:val="21"/>
        </w:rPr>
        <w:fldChar w:fldCharType="separate"/>
      </w:r>
      <w:r>
        <w:rPr>
          <w:rFonts w:hint="eastAsia" w:ascii="宋体" w:hAnsi="宋体" w:eastAsia="宋体" w:cs="宋体"/>
          <w:sz w:val="21"/>
          <w:szCs w:val="21"/>
        </w:rPr>
        <w:t xml:space="preserve">4 </w:t>
      </w:r>
      <w:r>
        <w:rPr>
          <w:rFonts w:hint="eastAsia" w:ascii="宋体" w:hAnsi="宋体" w:eastAsia="宋体" w:cs="宋体"/>
          <w:sz w:val="21"/>
          <w:szCs w:val="21"/>
          <w:lang w:val="en-US" w:eastAsia="zh-CN"/>
        </w:rPr>
        <w:t>总则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_Toc31572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_Toc7944 </w:instrText>
      </w:r>
      <w:r>
        <w:rPr>
          <w:rFonts w:hint="eastAsia" w:ascii="宋体" w:hAnsi="宋体" w:eastAsia="宋体" w:cs="宋体"/>
          <w:bCs w:val="0"/>
          <w:sz w:val="21"/>
          <w:szCs w:val="21"/>
        </w:rPr>
        <w:fldChar w:fldCharType="separate"/>
      </w:r>
      <w:r>
        <w:rPr>
          <w:rFonts w:hint="eastAsia" w:ascii="宋体" w:hAnsi="宋体" w:eastAsia="宋体" w:cs="宋体"/>
          <w:sz w:val="21"/>
          <w:szCs w:val="21"/>
        </w:rPr>
        <w:t>5 探伤设备辐射安全与防护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_Toc7944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_Toc3770 </w:instrText>
      </w:r>
      <w:r>
        <w:rPr>
          <w:rFonts w:hint="eastAsia" w:ascii="宋体" w:hAnsi="宋体" w:eastAsia="宋体" w:cs="宋体"/>
          <w:bCs w:val="0"/>
          <w:sz w:val="21"/>
          <w:szCs w:val="21"/>
        </w:rPr>
        <w:fldChar w:fldCharType="separate"/>
      </w:r>
      <w:r>
        <w:rPr>
          <w:rFonts w:hint="eastAsia" w:ascii="宋体" w:hAnsi="宋体" w:eastAsia="宋体" w:cs="宋体"/>
          <w:sz w:val="21"/>
          <w:szCs w:val="21"/>
          <w:lang w:val="en-US" w:eastAsia="zh-CN"/>
        </w:rPr>
        <w:t>6 工作场所辐射安全与防护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_Toc3770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_Toc23082 </w:instrText>
      </w:r>
      <w:r>
        <w:rPr>
          <w:rFonts w:hint="eastAsia" w:ascii="宋体" w:hAnsi="宋体" w:eastAsia="宋体" w:cs="宋体"/>
          <w:bCs w:val="0"/>
          <w:sz w:val="21"/>
          <w:szCs w:val="21"/>
        </w:rPr>
        <w:fldChar w:fldCharType="separate"/>
      </w:r>
      <w:r>
        <w:rPr>
          <w:rFonts w:hint="eastAsia" w:ascii="宋体" w:hAnsi="宋体" w:eastAsia="宋体" w:cs="宋体"/>
          <w:sz w:val="21"/>
          <w:szCs w:val="21"/>
          <w:lang w:val="en-US" w:eastAsia="zh-CN"/>
        </w:rPr>
        <w:t>7 辐射环境监测要求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_Toc23082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_Toc26487 </w:instrText>
      </w:r>
      <w:r>
        <w:rPr>
          <w:rFonts w:hint="eastAsia" w:ascii="宋体" w:hAnsi="宋体" w:eastAsia="宋体" w:cs="宋体"/>
          <w:bCs w:val="0"/>
          <w:sz w:val="21"/>
          <w:szCs w:val="21"/>
        </w:rPr>
        <w:fldChar w:fldCharType="separate"/>
      </w:r>
      <w:r>
        <w:rPr>
          <w:rFonts w:hint="eastAsia" w:ascii="宋体" w:hAnsi="宋体" w:eastAsia="宋体" w:cs="宋体"/>
          <w:sz w:val="21"/>
          <w:szCs w:val="21"/>
          <w:lang w:val="en-US" w:eastAsia="zh-CN"/>
        </w:rPr>
        <w:t>8 辐射事故应急响应要求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_Toc26487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黑体" w:hAnsi="黑体" w:eastAsia="黑体" w:cs="黑体"/>
          <w:bCs w:val="0"/>
          <w:color w:val="auto"/>
          <w:sz w:val="21"/>
          <w:szCs w:val="21"/>
        </w:rPr>
        <w:fldChar w:fldCharType="begin"/>
      </w:r>
      <w:r>
        <w:rPr>
          <w:rFonts w:hint="eastAsia" w:ascii="黑体" w:hAnsi="黑体" w:eastAsia="黑体" w:cs="黑体"/>
          <w:bCs w:val="0"/>
          <w:color w:val="auto"/>
          <w:sz w:val="21"/>
          <w:szCs w:val="21"/>
        </w:rPr>
        <w:instrText xml:space="preserve"> HYPERLINK \l _Toc29478 </w:instrText>
      </w:r>
      <w:r>
        <w:rPr>
          <w:rFonts w:hint="eastAsia" w:ascii="黑体" w:hAnsi="黑体" w:eastAsia="黑体" w:cs="黑体"/>
          <w:bCs w:val="0"/>
          <w:color w:val="auto"/>
          <w:sz w:val="21"/>
          <w:szCs w:val="21"/>
        </w:rPr>
        <w:fldChar w:fldCharType="separate"/>
      </w:r>
      <w:r>
        <w:rPr>
          <w:rFonts w:hint="eastAsia" w:ascii="黑体" w:hAnsi="黑体" w:eastAsia="黑体" w:cs="黑体"/>
          <w:bCs w:val="0"/>
          <w:color w:val="auto"/>
          <w:sz w:val="21"/>
          <w:szCs w:val="21"/>
          <w:lang w:val="en-US" w:eastAsia="zh-CN"/>
        </w:rPr>
        <w:t>附录A</w:t>
      </w:r>
      <w:r>
        <w:rPr>
          <w:rFonts w:hint="eastAsia" w:ascii="黑体" w:hAnsi="黑体" w:eastAsia="黑体" w:cs="黑体"/>
          <w:bCs w:val="0"/>
          <w:color w:val="auto"/>
          <w:sz w:val="21"/>
          <w:szCs w:val="21"/>
        </w:rPr>
        <w:fldChar w:fldCharType="end"/>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_Toc28166 </w:instrText>
      </w:r>
      <w:r>
        <w:rPr>
          <w:rFonts w:hint="eastAsia" w:ascii="宋体" w:hAnsi="宋体" w:eastAsia="宋体" w:cs="宋体"/>
          <w:bCs w:val="0"/>
          <w:sz w:val="21"/>
          <w:szCs w:val="21"/>
        </w:rPr>
        <w:fldChar w:fldCharType="separate"/>
      </w:r>
      <w:r>
        <w:rPr>
          <w:rFonts w:hint="eastAsia" w:ascii="宋体" w:hAnsi="宋体" w:eastAsia="宋体" w:cs="宋体"/>
          <w:sz w:val="21"/>
          <w:szCs w:val="21"/>
          <w:lang w:val="en-US" w:eastAsia="zh-CN"/>
        </w:rPr>
        <w:t>（资料性）</w:t>
      </w:r>
      <w:r>
        <w:rPr>
          <w:rFonts w:hint="eastAsia" w:ascii="宋体" w:hAnsi="宋体" w:eastAsia="宋体" w:cs="宋体"/>
          <w:bCs w:val="0"/>
          <w:color w:val="auto"/>
          <w:sz w:val="21"/>
          <w:szCs w:val="21"/>
        </w:rPr>
        <w:fldChar w:fldCharType="end"/>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_Toc14734 </w:instrText>
      </w:r>
      <w:r>
        <w:rPr>
          <w:rFonts w:hint="eastAsia" w:ascii="宋体" w:hAnsi="宋体" w:eastAsia="宋体" w:cs="宋体"/>
          <w:bCs w:val="0"/>
          <w:sz w:val="21"/>
          <w:szCs w:val="21"/>
        </w:rPr>
        <w:fldChar w:fldCharType="separate"/>
      </w:r>
      <w:r>
        <w:rPr>
          <w:rFonts w:hint="eastAsia" w:ascii="宋体" w:hAnsi="宋体" w:eastAsia="宋体" w:cs="宋体"/>
          <w:sz w:val="21"/>
          <w:szCs w:val="21"/>
          <w:lang w:val="en-US" w:eastAsia="zh-CN"/>
        </w:rPr>
        <w:t>移动式探伤控制区距离估算</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_Toc14734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黑体" w:hAnsi="黑体" w:eastAsia="黑体" w:cs="黑体"/>
          <w:bCs w:val="0"/>
          <w:color w:val="auto"/>
          <w:sz w:val="21"/>
          <w:szCs w:val="21"/>
        </w:rPr>
        <w:fldChar w:fldCharType="begin"/>
      </w:r>
      <w:r>
        <w:rPr>
          <w:rFonts w:hint="eastAsia" w:ascii="黑体" w:hAnsi="黑体" w:eastAsia="黑体" w:cs="黑体"/>
          <w:bCs w:val="0"/>
          <w:color w:val="auto"/>
          <w:sz w:val="21"/>
          <w:szCs w:val="21"/>
        </w:rPr>
        <w:instrText xml:space="preserve"> HYPERLINK \l _Toc8360 </w:instrText>
      </w:r>
      <w:r>
        <w:rPr>
          <w:rFonts w:hint="eastAsia" w:ascii="黑体" w:hAnsi="黑体" w:eastAsia="黑体" w:cs="黑体"/>
          <w:bCs w:val="0"/>
          <w:color w:val="auto"/>
          <w:sz w:val="21"/>
          <w:szCs w:val="21"/>
        </w:rPr>
        <w:fldChar w:fldCharType="separate"/>
      </w:r>
      <w:r>
        <w:rPr>
          <w:rFonts w:hint="eastAsia" w:ascii="黑体" w:hAnsi="黑体" w:eastAsia="黑体" w:cs="黑体"/>
          <w:bCs w:val="0"/>
          <w:color w:val="auto"/>
          <w:sz w:val="21"/>
          <w:szCs w:val="21"/>
          <w:lang w:val="en-US" w:eastAsia="zh-CN"/>
        </w:rPr>
        <w:t>附录B</w:t>
      </w:r>
      <w:r>
        <w:rPr>
          <w:rFonts w:hint="eastAsia" w:ascii="黑体" w:hAnsi="黑体" w:eastAsia="黑体" w:cs="黑体"/>
          <w:bCs w:val="0"/>
          <w:color w:val="auto"/>
          <w:sz w:val="21"/>
          <w:szCs w:val="21"/>
        </w:rPr>
        <w:fldChar w:fldCharType="end"/>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_Toc21427 </w:instrText>
      </w:r>
      <w:r>
        <w:rPr>
          <w:rFonts w:hint="eastAsia" w:ascii="宋体" w:hAnsi="宋体" w:eastAsia="宋体" w:cs="宋体"/>
          <w:bCs w:val="0"/>
          <w:sz w:val="21"/>
          <w:szCs w:val="21"/>
        </w:rPr>
        <w:fldChar w:fldCharType="separate"/>
      </w:r>
      <w:r>
        <w:rPr>
          <w:rFonts w:hint="eastAsia" w:ascii="宋体" w:hAnsi="宋体" w:eastAsia="宋体" w:cs="宋体"/>
          <w:spacing w:val="-7"/>
          <w:sz w:val="21"/>
          <w:szCs w:val="21"/>
        </w:rPr>
        <w:t>（资料性）</w:t>
      </w:r>
      <w:r>
        <w:rPr>
          <w:rFonts w:hint="eastAsia" w:ascii="宋体" w:hAnsi="宋体" w:eastAsia="宋体" w:cs="宋体"/>
          <w:bCs w:val="0"/>
          <w:color w:val="auto"/>
          <w:sz w:val="21"/>
          <w:szCs w:val="21"/>
        </w:rPr>
        <w:fldChar w:fldCharType="end"/>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_Toc28988 </w:instrText>
      </w:r>
      <w:r>
        <w:rPr>
          <w:rFonts w:hint="eastAsia" w:ascii="宋体" w:hAnsi="宋体" w:eastAsia="宋体" w:cs="宋体"/>
          <w:bCs w:val="0"/>
          <w:sz w:val="21"/>
          <w:szCs w:val="21"/>
        </w:rPr>
        <w:fldChar w:fldCharType="separate"/>
      </w:r>
      <w:r>
        <w:rPr>
          <w:rFonts w:hint="eastAsia" w:ascii="宋体" w:hAnsi="宋体" w:eastAsia="宋体" w:cs="宋体"/>
          <w:spacing w:val="-7"/>
          <w:sz w:val="21"/>
          <w:szCs w:val="21"/>
          <w:lang w:val="en-US" w:eastAsia="zh-CN"/>
        </w:rPr>
        <w:t>测量仪器读数响应时间修正方法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_Toc28988 </w:instrText>
      </w:r>
      <w:r>
        <w:rPr>
          <w:rFonts w:hint="eastAsia" w:ascii="宋体" w:hAnsi="宋体" w:eastAsia="宋体" w:cs="宋体"/>
          <w:sz w:val="21"/>
          <w:szCs w:val="21"/>
        </w:rPr>
        <w:fldChar w:fldCharType="separate"/>
      </w:r>
      <w:r>
        <w:rPr>
          <w:rFonts w:hint="eastAsia" w:ascii="宋体" w:hAnsi="宋体" w:eastAsia="宋体" w:cs="宋体"/>
          <w:sz w:val="21"/>
          <w:szCs w:val="21"/>
        </w:rPr>
        <w:t>13</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黑体" w:hAnsi="黑体" w:eastAsia="黑体" w:cs="黑体"/>
          <w:bCs w:val="0"/>
          <w:color w:val="auto"/>
          <w:sz w:val="21"/>
          <w:szCs w:val="21"/>
        </w:rPr>
        <w:fldChar w:fldCharType="begin"/>
      </w:r>
      <w:r>
        <w:rPr>
          <w:rFonts w:hint="eastAsia" w:ascii="黑体" w:hAnsi="黑体" w:eastAsia="黑体" w:cs="黑体"/>
          <w:bCs w:val="0"/>
          <w:color w:val="auto"/>
          <w:sz w:val="21"/>
          <w:szCs w:val="21"/>
        </w:rPr>
        <w:instrText xml:space="preserve"> HYPERLINK \l _Toc26010 </w:instrText>
      </w:r>
      <w:r>
        <w:rPr>
          <w:rFonts w:hint="eastAsia" w:ascii="黑体" w:hAnsi="黑体" w:eastAsia="黑体" w:cs="黑体"/>
          <w:bCs w:val="0"/>
          <w:color w:val="auto"/>
          <w:sz w:val="21"/>
          <w:szCs w:val="21"/>
        </w:rPr>
        <w:fldChar w:fldCharType="separate"/>
      </w:r>
      <w:r>
        <w:rPr>
          <w:rFonts w:hint="eastAsia" w:ascii="黑体" w:hAnsi="黑体" w:eastAsia="黑体" w:cs="黑体"/>
          <w:bCs w:val="0"/>
          <w:color w:val="auto"/>
          <w:sz w:val="21"/>
          <w:szCs w:val="21"/>
          <w:lang w:val="en-US" w:eastAsia="zh-CN"/>
        </w:rPr>
        <w:t>附录C</w:t>
      </w:r>
      <w:r>
        <w:rPr>
          <w:rFonts w:hint="eastAsia" w:ascii="黑体" w:hAnsi="黑体" w:eastAsia="黑体" w:cs="黑体"/>
          <w:bCs w:val="0"/>
          <w:color w:val="auto"/>
          <w:sz w:val="21"/>
          <w:szCs w:val="21"/>
        </w:rPr>
        <w:fldChar w:fldCharType="end"/>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_Toc3778 </w:instrText>
      </w:r>
      <w:r>
        <w:rPr>
          <w:rFonts w:hint="eastAsia" w:ascii="宋体" w:hAnsi="宋体" w:eastAsia="宋体" w:cs="宋体"/>
          <w:bCs w:val="0"/>
          <w:sz w:val="21"/>
          <w:szCs w:val="21"/>
        </w:rPr>
        <w:fldChar w:fldCharType="separate"/>
      </w:r>
      <w:r>
        <w:rPr>
          <w:rFonts w:hint="eastAsia" w:ascii="宋体" w:hAnsi="宋体" w:eastAsia="宋体" w:cs="宋体"/>
          <w:spacing w:val="-7"/>
          <w:sz w:val="21"/>
          <w:szCs w:val="21"/>
        </w:rPr>
        <w:t>（资料性）</w:t>
      </w:r>
      <w:r>
        <w:rPr>
          <w:rFonts w:hint="eastAsia" w:ascii="宋体" w:hAnsi="宋体" w:eastAsia="宋体" w:cs="宋体"/>
          <w:bCs w:val="0"/>
          <w:color w:val="auto"/>
          <w:sz w:val="21"/>
          <w:szCs w:val="21"/>
        </w:rPr>
        <w:fldChar w:fldCharType="end"/>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_Toc30961 </w:instrText>
      </w:r>
      <w:r>
        <w:rPr>
          <w:rFonts w:hint="eastAsia" w:ascii="宋体" w:hAnsi="宋体" w:eastAsia="宋体" w:cs="宋体"/>
          <w:bCs w:val="0"/>
          <w:sz w:val="21"/>
          <w:szCs w:val="21"/>
        </w:rPr>
        <w:fldChar w:fldCharType="separate"/>
      </w:r>
      <w:r>
        <w:rPr>
          <w:rFonts w:hint="eastAsia" w:ascii="宋体" w:hAnsi="宋体" w:eastAsia="宋体" w:cs="宋体"/>
          <w:spacing w:val="-7"/>
          <w:sz w:val="21"/>
          <w:szCs w:val="21"/>
          <w:lang w:val="en-US" w:eastAsia="zh-CN"/>
        </w:rPr>
        <w:t>辐射监测记录表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_Toc30961 </w:instrText>
      </w:r>
      <w:r>
        <w:rPr>
          <w:rFonts w:hint="eastAsia" w:ascii="宋体" w:hAnsi="宋体" w:eastAsia="宋体" w:cs="宋体"/>
          <w:sz w:val="21"/>
          <w:szCs w:val="21"/>
        </w:rPr>
        <w:fldChar w:fldCharType="separate"/>
      </w:r>
      <w:r>
        <w:rPr>
          <w:rFonts w:hint="eastAsia" w:ascii="宋体" w:hAnsi="宋体" w:eastAsia="宋体" w:cs="宋体"/>
          <w:sz w:val="21"/>
          <w:szCs w:val="21"/>
        </w:rPr>
        <w:t>14</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黑体" w:hAnsi="黑体" w:eastAsia="黑体" w:cs="黑体"/>
          <w:bCs w:val="0"/>
          <w:color w:val="auto"/>
          <w:sz w:val="21"/>
          <w:szCs w:val="21"/>
        </w:rPr>
        <w:fldChar w:fldCharType="begin"/>
      </w:r>
      <w:r>
        <w:rPr>
          <w:rFonts w:hint="eastAsia" w:ascii="黑体" w:hAnsi="黑体" w:eastAsia="黑体" w:cs="黑体"/>
          <w:bCs w:val="0"/>
          <w:sz w:val="21"/>
          <w:szCs w:val="21"/>
        </w:rPr>
        <w:instrText xml:space="preserve"> HYPERLINK \l _Toc24609 </w:instrText>
      </w:r>
      <w:r>
        <w:rPr>
          <w:rFonts w:hint="eastAsia" w:ascii="黑体" w:hAnsi="黑体" w:eastAsia="黑体" w:cs="黑体"/>
          <w:bCs w:val="0"/>
          <w:sz w:val="21"/>
          <w:szCs w:val="21"/>
        </w:rPr>
        <w:fldChar w:fldCharType="separate"/>
      </w:r>
      <w:r>
        <w:rPr>
          <w:rFonts w:hint="eastAsia" w:ascii="黑体" w:hAnsi="黑体" w:eastAsia="黑体" w:cs="黑体"/>
          <w:sz w:val="21"/>
          <w:szCs w:val="21"/>
          <w:lang w:val="en-US" w:eastAsia="zh-CN"/>
        </w:rPr>
        <w:t>附录D</w:t>
      </w:r>
      <w:r>
        <w:rPr>
          <w:rFonts w:hint="eastAsia" w:ascii="黑体" w:hAnsi="黑体" w:eastAsia="黑体" w:cs="黑体"/>
          <w:bCs w:val="0"/>
          <w:color w:val="auto"/>
          <w:sz w:val="21"/>
          <w:szCs w:val="21"/>
        </w:rPr>
        <w:fldChar w:fldCharType="end"/>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_Toc30023 </w:instrText>
      </w:r>
      <w:r>
        <w:rPr>
          <w:rFonts w:hint="eastAsia" w:ascii="宋体" w:hAnsi="宋体" w:eastAsia="宋体" w:cs="宋体"/>
          <w:bCs w:val="0"/>
          <w:sz w:val="21"/>
          <w:szCs w:val="21"/>
        </w:rPr>
        <w:fldChar w:fldCharType="separate"/>
      </w:r>
      <w:r>
        <w:rPr>
          <w:rFonts w:hint="eastAsia" w:ascii="宋体" w:hAnsi="宋体" w:eastAsia="宋体" w:cs="宋体"/>
          <w:spacing w:val="-7"/>
          <w:sz w:val="21"/>
          <w:szCs w:val="21"/>
        </w:rPr>
        <w:t>（资料性）</w:t>
      </w:r>
      <w:r>
        <w:rPr>
          <w:rFonts w:hint="eastAsia" w:ascii="宋体" w:hAnsi="宋体" w:eastAsia="宋体" w:cs="宋体"/>
          <w:bCs w:val="0"/>
          <w:color w:val="auto"/>
          <w:sz w:val="21"/>
          <w:szCs w:val="21"/>
        </w:rPr>
        <w:fldChar w:fldCharType="end"/>
      </w: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_Toc25061 </w:instrText>
      </w:r>
      <w:r>
        <w:rPr>
          <w:rFonts w:hint="eastAsia" w:ascii="宋体" w:hAnsi="宋体" w:eastAsia="宋体" w:cs="宋体"/>
          <w:bCs w:val="0"/>
          <w:sz w:val="21"/>
          <w:szCs w:val="21"/>
        </w:rPr>
        <w:fldChar w:fldCharType="separate"/>
      </w:r>
      <w:r>
        <w:rPr>
          <w:rFonts w:hint="eastAsia" w:ascii="宋体" w:hAnsi="宋体" w:eastAsia="宋体" w:cs="宋体"/>
          <w:spacing w:val="-7"/>
          <w:sz w:val="21"/>
          <w:szCs w:val="21"/>
          <w:lang w:val="en-US" w:eastAsia="zh-CN"/>
        </w:rPr>
        <w:t>辐射事故应急预案编制大纲</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_Toc25061 </w:instrText>
      </w:r>
      <w:r>
        <w:rPr>
          <w:rFonts w:hint="eastAsia" w:ascii="宋体" w:hAnsi="宋体" w:eastAsia="宋体" w:cs="宋体"/>
          <w:sz w:val="21"/>
          <w:szCs w:val="21"/>
        </w:rPr>
        <w:fldChar w:fldCharType="separate"/>
      </w:r>
      <w:r>
        <w:rPr>
          <w:rFonts w:hint="eastAsia"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pStyle w:val="14"/>
        <w:tabs>
          <w:tab w:val="right" w:leader="dot" w:pos="8306"/>
          <w:tab w:val="clear" w:pos="420"/>
          <w:tab w:val="clear" w:pos="8296"/>
        </w:tabs>
        <w:rPr>
          <w:rFonts w:hint="eastAsia" w:ascii="宋体" w:hAnsi="宋体" w:eastAsia="宋体" w:cs="宋体"/>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_Toc13132 </w:instrText>
      </w:r>
      <w:r>
        <w:rPr>
          <w:rFonts w:hint="eastAsia" w:ascii="宋体" w:hAnsi="宋体" w:eastAsia="宋体" w:cs="宋体"/>
          <w:bCs w:val="0"/>
          <w:sz w:val="21"/>
          <w:szCs w:val="21"/>
        </w:rPr>
        <w:fldChar w:fldCharType="separate"/>
      </w:r>
      <w:r>
        <w:rPr>
          <w:rFonts w:hint="eastAsia" w:ascii="宋体" w:hAnsi="宋体" w:eastAsia="宋体" w:cs="宋体"/>
          <w:spacing w:val="-7"/>
          <w:sz w:val="21"/>
          <w:szCs w:val="21"/>
          <w:lang w:val="en-US" w:eastAsia="zh-CN"/>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_Toc13132 </w:instrText>
      </w:r>
      <w:r>
        <w:rPr>
          <w:rFonts w:hint="eastAsia" w:ascii="宋体" w:hAnsi="宋体" w:eastAsia="宋体" w:cs="宋体"/>
          <w:sz w:val="21"/>
          <w:szCs w:val="21"/>
        </w:rPr>
        <w:fldChar w:fldCharType="separate"/>
      </w:r>
      <w:r>
        <w:rPr>
          <w:rFonts w:hint="eastAsia" w:ascii="宋体" w:hAnsi="宋体" w:eastAsia="宋体" w:cs="宋体"/>
          <w:sz w:val="21"/>
          <w:szCs w:val="21"/>
        </w:rPr>
        <w:t>18</w:t>
      </w:r>
      <w:r>
        <w:rPr>
          <w:rFonts w:hint="eastAsia" w:ascii="宋体" w:hAnsi="宋体" w:eastAsia="宋体" w:cs="宋体"/>
          <w:sz w:val="21"/>
          <w:szCs w:val="21"/>
        </w:rPr>
        <w:fldChar w:fldCharType="end"/>
      </w:r>
      <w:r>
        <w:rPr>
          <w:rFonts w:hint="eastAsia" w:ascii="宋体" w:hAnsi="宋体" w:eastAsia="宋体" w:cs="宋体"/>
          <w:bCs w:val="0"/>
          <w:color w:val="auto"/>
          <w:sz w:val="21"/>
          <w:szCs w:val="21"/>
        </w:rPr>
        <w:fldChar w:fldCharType="end"/>
      </w:r>
    </w:p>
    <w:p>
      <w:pPr>
        <w:keepNext w:val="0"/>
        <w:keepLines w:val="0"/>
        <w:pageBreakBefore w:val="0"/>
        <w:widowControl/>
        <w:kinsoku/>
        <w:wordWrap/>
        <w:overflowPunct/>
        <w:topLinePunct w:val="0"/>
        <w:autoSpaceDE/>
        <w:autoSpaceDN/>
        <w:bidi w:val="0"/>
        <w:adjustRightInd/>
        <w:snapToGrid/>
        <w:spacing w:before="79" w:beforeLines="25" w:after="79" w:afterLines="25" w:line="240" w:lineRule="auto"/>
        <w:jc w:val="center"/>
        <w:textAlignment w:val="auto"/>
        <w:outlineLvl w:val="9"/>
        <w:rPr>
          <w:rFonts w:hint="default" w:ascii="Times New Roman" w:hAnsi="Times New Roman" w:cs="Times New Roman"/>
          <w:color w:val="auto"/>
        </w:rPr>
      </w:pPr>
      <w:r>
        <w:rPr>
          <w:rFonts w:hint="eastAsia" w:ascii="宋体" w:hAnsi="宋体" w:eastAsia="宋体" w:cs="宋体"/>
          <w:bCs w:val="0"/>
          <w:color w:val="auto"/>
          <w:sz w:val="21"/>
          <w:szCs w:val="21"/>
        </w:rPr>
        <w:fldChar w:fldCharType="end"/>
      </w:r>
      <w:r>
        <w:rPr>
          <w:rFonts w:hint="default" w:ascii="Times New Roman" w:hAnsi="Times New Roman" w:cs="Times New Roman"/>
          <w:color w:val="auto"/>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8"/>
          <w:szCs w:val="32"/>
        </w:rPr>
      </w:pPr>
      <w:r>
        <w:rPr>
          <w:rFonts w:hint="default" w:ascii="Times New Roman" w:hAnsi="Times New Roman" w:eastAsia="黑体" w:cs="Times New Roman"/>
          <w:kern w:val="0"/>
          <w:sz w:val="32"/>
          <w:szCs w:val="22"/>
          <w:lang w:val="en-US" w:eastAsia="zh-CN" w:bidi="ar-SA"/>
        </w:rPr>
        <w:t>前    言</w:t>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8"/>
          <w:szCs w:val="32"/>
        </w:rPr>
      </w:pPr>
    </w:p>
    <w:p>
      <w:pPr>
        <w:pStyle w:val="35"/>
        <w:tabs>
          <w:tab w:val="center" w:pos="4201"/>
          <w:tab w:val="right" w:leader="dot" w:pos="9298"/>
        </w:tabs>
        <w:rPr>
          <w:rFonts w:hint="eastAsia"/>
          <w:lang w:eastAsia="zh-CN"/>
        </w:rPr>
      </w:pPr>
      <w:r>
        <w:rPr>
          <w:rFonts w:hint="eastAsia"/>
          <w:lang w:eastAsia="zh-CN"/>
        </w:rPr>
        <w:t>本</w:t>
      </w:r>
      <w:r>
        <w:rPr>
          <w:rFonts w:hint="eastAsia"/>
          <w:lang w:val="en-US" w:eastAsia="zh-CN"/>
        </w:rPr>
        <w:t>文件</w:t>
      </w:r>
      <w:r>
        <w:rPr>
          <w:rFonts w:hint="eastAsia"/>
          <w:lang w:eastAsia="zh-CN"/>
        </w:rPr>
        <w:t>按照GB/T 1.1-2020《标准化工作导则 第1部分：标准化文件的结构和起草规则》的规定起草。</w:t>
      </w:r>
    </w:p>
    <w:p>
      <w:pPr>
        <w:pStyle w:val="35"/>
        <w:tabs>
          <w:tab w:val="center" w:pos="4201"/>
          <w:tab w:val="right" w:leader="dot" w:pos="9298"/>
        </w:tabs>
        <w:rPr>
          <w:rFonts w:hint="default" w:ascii="Times New Roman" w:hAnsi="Times New Roman" w:eastAsia="宋体" w:cs="Times New Roman"/>
          <w:szCs w:val="22"/>
          <w:lang w:eastAsia="zh-CN"/>
        </w:rPr>
      </w:pPr>
      <w:r>
        <w:rPr>
          <w:rFonts w:hint="default" w:ascii="Times New Roman" w:hAnsi="Times New Roman" w:eastAsia="宋体" w:cs="Times New Roman"/>
          <w:szCs w:val="22"/>
          <w:lang w:eastAsia="zh-CN"/>
        </w:rPr>
        <w:t>本</w:t>
      </w:r>
      <w:r>
        <w:rPr>
          <w:rFonts w:hint="eastAsia" w:ascii="Times New Roman" w:cs="Times New Roman"/>
          <w:szCs w:val="22"/>
          <w:lang w:val="en-US" w:eastAsia="zh-CN"/>
        </w:rPr>
        <w:t>文件</w:t>
      </w:r>
      <w:r>
        <w:rPr>
          <w:rFonts w:hint="default" w:ascii="Times New Roman" w:hAnsi="Times New Roman" w:eastAsia="宋体" w:cs="Times New Roman"/>
          <w:szCs w:val="22"/>
          <w:lang w:eastAsia="zh-CN"/>
        </w:rPr>
        <w:t>由陕西省生态环境厅提出并归口。</w:t>
      </w:r>
    </w:p>
    <w:p>
      <w:pPr>
        <w:pStyle w:val="35"/>
        <w:tabs>
          <w:tab w:val="center" w:pos="4201"/>
          <w:tab w:val="right" w:leader="dot" w:pos="9298"/>
        </w:tabs>
        <w:rPr>
          <w:rFonts w:hint="default" w:ascii="Times New Roman" w:hAnsi="Times New Roman" w:eastAsia="宋体" w:cs="Times New Roman"/>
          <w:szCs w:val="22"/>
          <w:lang w:eastAsia="zh-CN"/>
        </w:rPr>
      </w:pPr>
      <w:r>
        <w:rPr>
          <w:rFonts w:hint="default" w:ascii="Times New Roman" w:hAnsi="Times New Roman" w:eastAsia="宋体" w:cs="Times New Roman"/>
          <w:szCs w:val="22"/>
          <w:lang w:eastAsia="zh-CN"/>
        </w:rPr>
        <w:t>本</w:t>
      </w:r>
      <w:r>
        <w:rPr>
          <w:rFonts w:hint="eastAsia" w:ascii="Times New Roman" w:cs="Times New Roman"/>
          <w:szCs w:val="22"/>
          <w:lang w:val="en-US" w:eastAsia="zh-CN"/>
        </w:rPr>
        <w:t>文件</w:t>
      </w:r>
      <w:r>
        <w:rPr>
          <w:rFonts w:hint="default" w:ascii="Times New Roman" w:hAnsi="Times New Roman" w:eastAsia="宋体" w:cs="Times New Roman"/>
          <w:szCs w:val="22"/>
          <w:lang w:eastAsia="zh-CN"/>
        </w:rPr>
        <w:t>起草单位：陕西省生态环境厅</w:t>
      </w:r>
      <w:r>
        <w:rPr>
          <w:rFonts w:hint="eastAsia" w:ascii="Times New Roman" w:cs="Times New Roman"/>
          <w:szCs w:val="22"/>
          <w:lang w:eastAsia="zh-CN"/>
        </w:rPr>
        <w:t>、</w:t>
      </w:r>
      <w:r>
        <w:rPr>
          <w:rFonts w:hint="eastAsia" w:ascii="Times New Roman" w:cs="Times New Roman"/>
          <w:szCs w:val="22"/>
          <w:lang w:val="en-US" w:eastAsia="zh-CN"/>
        </w:rPr>
        <w:t>陕西省核与辐射安全监督站、陕西秦洲核与辐射安全技术有限公司</w:t>
      </w:r>
      <w:r>
        <w:rPr>
          <w:rFonts w:hint="default" w:ascii="Times New Roman" w:hAnsi="Times New Roman" w:eastAsia="宋体" w:cs="Times New Roman"/>
          <w:szCs w:val="22"/>
          <w:lang w:eastAsia="zh-CN"/>
        </w:rPr>
        <w:t>。</w:t>
      </w:r>
    </w:p>
    <w:p>
      <w:pPr>
        <w:pStyle w:val="35"/>
        <w:tabs>
          <w:tab w:val="center" w:pos="4201"/>
          <w:tab w:val="right" w:leader="dot" w:pos="9298"/>
        </w:tabs>
        <w:rPr>
          <w:rFonts w:hint="default" w:ascii="Times New Roman" w:hAnsi="Times New Roman" w:eastAsia="宋体" w:cs="Times New Roman"/>
          <w:szCs w:val="22"/>
          <w:lang w:val="en-US" w:eastAsia="zh-CN"/>
        </w:rPr>
      </w:pPr>
      <w:r>
        <w:rPr>
          <w:rFonts w:hint="default" w:ascii="Times New Roman" w:hAnsi="Times New Roman" w:eastAsia="宋体" w:cs="Times New Roman"/>
          <w:szCs w:val="22"/>
          <w:lang w:eastAsia="zh-CN"/>
        </w:rPr>
        <w:t>本</w:t>
      </w:r>
      <w:r>
        <w:rPr>
          <w:rFonts w:hint="eastAsia" w:ascii="Times New Roman" w:cs="Times New Roman"/>
          <w:szCs w:val="22"/>
          <w:lang w:val="en-US" w:eastAsia="zh-CN"/>
        </w:rPr>
        <w:t>文件主要</w:t>
      </w:r>
      <w:r>
        <w:rPr>
          <w:rFonts w:hint="default" w:ascii="Times New Roman" w:hAnsi="Times New Roman" w:eastAsia="宋体" w:cs="Times New Roman"/>
          <w:szCs w:val="22"/>
          <w:lang w:eastAsia="zh-CN"/>
        </w:rPr>
        <w:t>起草人：</w:t>
      </w:r>
      <w:r>
        <w:rPr>
          <w:rFonts w:hint="eastAsia" w:ascii="Times New Roman" w:cs="Times New Roman"/>
          <w:szCs w:val="22"/>
          <w:lang w:val="en-US" w:eastAsia="zh-CN"/>
        </w:rPr>
        <w:t>汪源、商建波、王云波、张丹、鱼泳洋、刘禹、孟令飞、李广军、杨善潮、鲁顺利、何思雨。</w:t>
      </w:r>
    </w:p>
    <w:p>
      <w:pPr>
        <w:pStyle w:val="35"/>
        <w:tabs>
          <w:tab w:val="center" w:pos="4201"/>
          <w:tab w:val="right" w:leader="dot" w:pos="9298"/>
        </w:tabs>
        <w:rPr>
          <w:rFonts w:hint="default" w:ascii="Times New Roman" w:hAnsi="Times New Roman" w:eastAsia="宋体" w:cs="Times New Roman"/>
          <w:szCs w:val="22"/>
          <w:lang w:eastAsia="zh-CN"/>
        </w:rPr>
      </w:pPr>
      <w:r>
        <w:rPr>
          <w:rFonts w:hint="default" w:ascii="Times New Roman" w:hAnsi="Times New Roman" w:eastAsia="宋体" w:cs="Times New Roman"/>
          <w:szCs w:val="22"/>
          <w:lang w:eastAsia="zh-CN"/>
        </w:rPr>
        <w:t>本</w:t>
      </w:r>
      <w:r>
        <w:rPr>
          <w:rFonts w:hint="eastAsia" w:ascii="Times New Roman" w:cs="Times New Roman"/>
          <w:szCs w:val="22"/>
          <w:lang w:val="en-US" w:eastAsia="zh-CN"/>
        </w:rPr>
        <w:t>文件</w:t>
      </w:r>
      <w:r>
        <w:rPr>
          <w:rFonts w:hint="default" w:ascii="Times New Roman" w:hAnsi="Times New Roman" w:eastAsia="宋体" w:cs="Times New Roman"/>
          <w:szCs w:val="22"/>
          <w:lang w:eastAsia="zh-CN"/>
        </w:rPr>
        <w:t>由陕西省生态环境厅负责解释。</w:t>
      </w:r>
    </w:p>
    <w:p>
      <w:pPr>
        <w:pStyle w:val="35"/>
        <w:tabs>
          <w:tab w:val="center" w:pos="4201"/>
          <w:tab w:val="right" w:leader="dot" w:pos="9298"/>
        </w:tabs>
        <w:rPr>
          <w:rFonts w:hint="default" w:ascii="Times New Roman" w:hAnsi="Times New Roman" w:eastAsia="宋体" w:cs="Times New Roman"/>
          <w:szCs w:val="22"/>
          <w:lang w:eastAsia="zh-CN"/>
        </w:rPr>
      </w:pPr>
      <w:r>
        <w:rPr>
          <w:rFonts w:hint="default" w:ascii="Times New Roman" w:hAnsi="Times New Roman" w:eastAsia="宋体" w:cs="Times New Roman"/>
          <w:szCs w:val="22"/>
          <w:lang w:eastAsia="zh-CN"/>
        </w:rPr>
        <w:t>本</w:t>
      </w:r>
      <w:r>
        <w:rPr>
          <w:rFonts w:hint="eastAsia" w:ascii="Times New Roman" w:cs="Times New Roman"/>
          <w:szCs w:val="22"/>
          <w:lang w:val="en-US" w:eastAsia="zh-CN"/>
        </w:rPr>
        <w:t>文件</w:t>
      </w:r>
      <w:r>
        <w:rPr>
          <w:rFonts w:hint="default" w:ascii="Times New Roman" w:hAnsi="Times New Roman" w:eastAsia="宋体" w:cs="Times New Roman"/>
          <w:szCs w:val="22"/>
          <w:lang w:eastAsia="zh-CN"/>
        </w:rPr>
        <w:t>首次发布。</w:t>
      </w:r>
    </w:p>
    <w:p>
      <w:pPr>
        <w:pStyle w:val="35"/>
        <w:tabs>
          <w:tab w:val="center" w:pos="4201"/>
          <w:tab w:val="right" w:leader="dot" w:pos="9298"/>
        </w:tabs>
        <w:rPr>
          <w:rFonts w:hint="eastAsia" w:ascii="Times New Roman" w:cs="Times New Roman"/>
          <w:szCs w:val="22"/>
          <w:lang w:val="en-US" w:eastAsia="zh-CN"/>
        </w:rPr>
      </w:pPr>
      <w:r>
        <w:rPr>
          <w:rFonts w:hint="eastAsia" w:ascii="Times New Roman" w:cs="Times New Roman"/>
          <w:szCs w:val="22"/>
          <w:lang w:val="en-US" w:eastAsia="zh-CN"/>
        </w:rPr>
        <w:t>联系信息如下：</w:t>
      </w:r>
    </w:p>
    <w:p>
      <w:pPr>
        <w:pStyle w:val="35"/>
        <w:tabs>
          <w:tab w:val="center" w:pos="4201"/>
          <w:tab w:val="right" w:leader="dot" w:pos="9298"/>
        </w:tabs>
        <w:rPr>
          <w:rFonts w:hint="eastAsia" w:hAnsi="Times New Roman" w:eastAsia="宋体" w:cs="Times New Roman"/>
          <w:color w:val="auto"/>
          <w:lang w:val="en-US" w:eastAsia="zh-CN"/>
        </w:rPr>
      </w:pPr>
      <w:r>
        <w:rPr>
          <w:rFonts w:hint="eastAsia" w:hAnsi="Times New Roman" w:eastAsia="宋体" w:cs="Times New Roman"/>
          <w:color w:val="auto"/>
          <w:lang w:val="en-US" w:eastAsia="zh-CN"/>
        </w:rPr>
        <w:t>单位：陕西省生态环境厅</w:t>
      </w:r>
    </w:p>
    <w:p>
      <w:pPr>
        <w:pStyle w:val="35"/>
        <w:tabs>
          <w:tab w:val="center" w:pos="4201"/>
          <w:tab w:val="right" w:leader="dot" w:pos="9298"/>
        </w:tabs>
        <w:rPr>
          <w:rFonts w:hint="default" w:hAnsi="Times New Roman" w:eastAsia="宋体" w:cs="Times New Roman"/>
          <w:color w:val="auto"/>
          <w:lang w:val="en-US" w:eastAsia="zh-CN"/>
        </w:rPr>
      </w:pPr>
      <w:r>
        <w:rPr>
          <w:rFonts w:hint="eastAsia" w:hAnsi="Times New Roman" w:eastAsia="宋体" w:cs="Times New Roman"/>
          <w:color w:val="auto"/>
          <w:lang w:val="en-US" w:eastAsia="zh-CN"/>
        </w:rPr>
        <w:t>电话：029-63916236</w:t>
      </w:r>
    </w:p>
    <w:p>
      <w:pPr>
        <w:pStyle w:val="35"/>
        <w:tabs>
          <w:tab w:val="center" w:pos="4201"/>
          <w:tab w:val="right" w:leader="dot" w:pos="9298"/>
        </w:tabs>
        <w:rPr>
          <w:rFonts w:hint="default" w:hAnsi="Times New Roman" w:eastAsia="宋体" w:cs="Times New Roman"/>
          <w:color w:val="auto"/>
          <w:lang w:val="en-US" w:eastAsia="zh-CN"/>
        </w:rPr>
      </w:pPr>
      <w:r>
        <w:rPr>
          <w:rFonts w:hint="eastAsia" w:hAnsi="Times New Roman" w:eastAsia="宋体" w:cs="Times New Roman"/>
          <w:color w:val="auto"/>
          <w:lang w:val="en-US" w:eastAsia="zh-CN"/>
        </w:rPr>
        <w:t>地址：陕西省西安市新城区省政府大楼</w:t>
      </w:r>
    </w:p>
    <w:p>
      <w:pPr>
        <w:pStyle w:val="35"/>
        <w:tabs>
          <w:tab w:val="center" w:pos="4201"/>
          <w:tab w:val="right" w:leader="dot" w:pos="9298"/>
        </w:tabs>
        <w:rPr>
          <w:rFonts w:hint="default" w:ascii="Times New Roman" w:cs="Times New Roman"/>
          <w:szCs w:val="22"/>
          <w:lang w:val="en-US" w:eastAsia="zh-CN"/>
        </w:rPr>
      </w:pPr>
      <w:r>
        <w:rPr>
          <w:rFonts w:hint="eastAsia" w:hAnsi="Times New Roman" w:eastAsia="宋体" w:cs="Times New Roman"/>
          <w:color w:val="auto"/>
          <w:lang w:val="en-US" w:eastAsia="zh-CN"/>
        </w:rPr>
        <w:t>邮编：71000</w:t>
      </w:r>
      <w:r>
        <w:rPr>
          <w:rFonts w:hint="eastAsia" w:cs="Times New Roman"/>
          <w:color w:val="auto"/>
          <w:lang w:val="en-US" w:eastAsia="zh-CN"/>
        </w:rPr>
        <w:t>6</w:t>
      </w:r>
    </w:p>
    <w:p>
      <w:pPr>
        <w:widowControl/>
        <w:spacing w:line="360" w:lineRule="auto"/>
        <w:jc w:val="left"/>
        <w:rPr>
          <w:rFonts w:hint="default" w:ascii="Times New Roman" w:hAnsi="Times New Roman" w:cs="Times New Roman"/>
          <w:color w:val="auto"/>
        </w:rPr>
        <w:sectPr>
          <w:headerReference r:id="rId5" w:type="default"/>
          <w:footerReference r:id="rId6" w:type="default"/>
          <w:pgSz w:w="11906" w:h="16838"/>
          <w:pgMar w:top="1440" w:right="1800" w:bottom="1440" w:left="1800" w:header="851" w:footer="992" w:gutter="0"/>
          <w:pgNumType w:fmt="upperRoman" w:start="1"/>
          <w:cols w:space="425" w:num="1"/>
          <w:docGrid w:type="lines" w:linePitch="312" w:charSpace="0"/>
        </w:sectPr>
      </w:pPr>
      <w:r>
        <w:rPr>
          <w:rFonts w:hint="default" w:ascii="Times New Roman" w:hAnsi="Times New Roman" w:cs="Times New Roman"/>
          <w:color w:val="auto"/>
        </w:rPr>
        <w:br w:type="page"/>
      </w:r>
    </w:p>
    <w:p>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工业射线探伤辐射安全和防护技术规范</w:t>
      </w:r>
    </w:p>
    <w:p>
      <w:pPr>
        <w:pStyle w:val="31"/>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240" w:lineRule="auto"/>
        <w:ind w:left="425" w:hanging="425" w:firstLineChars="0"/>
        <w:textAlignment w:val="auto"/>
        <w:outlineLvl w:val="0"/>
        <w:rPr>
          <w:rFonts w:hint="default" w:ascii="Times New Roman" w:hAnsi="Times New Roman" w:eastAsia="黑体" w:cs="Times New Roman"/>
          <w:color w:val="auto"/>
          <w:szCs w:val="22"/>
        </w:rPr>
      </w:pPr>
      <w:bookmarkStart w:id="2" w:name="_Toc6201"/>
      <w:r>
        <w:rPr>
          <w:rFonts w:hint="default" w:ascii="Times New Roman" w:hAnsi="Times New Roman" w:eastAsia="黑体" w:cs="Times New Roman"/>
          <w:color w:val="auto"/>
          <w:szCs w:val="22"/>
        </w:rPr>
        <w:t>范围</w:t>
      </w:r>
      <w:bookmarkEnd w:id="2"/>
    </w:p>
    <w:p>
      <w:pPr>
        <w:pStyle w:val="35"/>
        <w:tabs>
          <w:tab w:val="center" w:pos="4201"/>
          <w:tab w:val="right" w:leader="dot" w:pos="9298"/>
        </w:tabs>
        <w:rPr>
          <w:rFonts w:hint="eastAsia" w:ascii="Times New Roman" w:hAnsi="Times New Roman" w:eastAsia="宋体" w:cs="Times New Roman"/>
          <w:color w:val="auto"/>
          <w:szCs w:val="22"/>
        </w:rPr>
      </w:pPr>
      <w:r>
        <w:rPr>
          <w:rFonts w:hint="default" w:ascii="Times New Roman" w:hAnsi="Times New Roman" w:eastAsia="宋体" w:cs="Times New Roman"/>
          <w:color w:val="auto"/>
          <w:szCs w:val="22"/>
        </w:rPr>
        <w:t>本</w:t>
      </w:r>
      <w:r>
        <w:rPr>
          <w:rFonts w:hint="eastAsia" w:ascii="Times New Roman" w:cs="Times New Roman"/>
          <w:color w:val="auto"/>
          <w:szCs w:val="22"/>
          <w:lang w:val="en-US" w:eastAsia="zh-CN"/>
        </w:rPr>
        <w:t>文件</w:t>
      </w:r>
      <w:r>
        <w:rPr>
          <w:rFonts w:hint="default" w:ascii="Times New Roman" w:hAnsi="Times New Roman" w:eastAsia="宋体" w:cs="Times New Roman"/>
          <w:color w:val="auto"/>
          <w:szCs w:val="22"/>
        </w:rPr>
        <w:t>规定了工</w:t>
      </w:r>
      <w:r>
        <w:rPr>
          <w:rFonts w:hint="eastAsia" w:ascii="Times New Roman" w:hAnsi="Times New Roman" w:eastAsia="宋体" w:cs="Times New Roman"/>
          <w:color w:val="auto"/>
          <w:szCs w:val="22"/>
        </w:rPr>
        <w:t>业射线探伤</w:t>
      </w:r>
      <w:r>
        <w:rPr>
          <w:rFonts w:hint="eastAsia" w:ascii="Times New Roman" w:cs="Times New Roman"/>
          <w:color w:val="auto"/>
          <w:szCs w:val="22"/>
          <w:lang w:val="en-US" w:eastAsia="zh-CN"/>
        </w:rPr>
        <w:t>实践的一般要求，探伤设备</w:t>
      </w:r>
      <w:r>
        <w:rPr>
          <w:rFonts w:hint="eastAsia" w:ascii="Times New Roman" w:cs="Times New Roman"/>
          <w:color w:val="auto"/>
          <w:szCs w:val="22"/>
          <w:lang w:eastAsia="zh-CN"/>
        </w:rPr>
        <w:t>、</w:t>
      </w:r>
      <w:r>
        <w:rPr>
          <w:rFonts w:hint="eastAsia" w:ascii="Times New Roman" w:cs="Times New Roman"/>
          <w:color w:val="auto"/>
          <w:szCs w:val="22"/>
          <w:lang w:val="en-US" w:eastAsia="zh-CN"/>
        </w:rPr>
        <w:t>工作场所的辐射安全与防护，辐射环境监测和辐射事故应急响应的</w:t>
      </w:r>
      <w:r>
        <w:rPr>
          <w:rFonts w:hint="eastAsia" w:ascii="Times New Roman" w:hAnsi="Times New Roman" w:eastAsia="宋体" w:cs="Times New Roman"/>
          <w:color w:val="auto"/>
          <w:szCs w:val="22"/>
        </w:rPr>
        <w:t>要求。</w:t>
      </w:r>
    </w:p>
    <w:p>
      <w:pPr>
        <w:pStyle w:val="35"/>
        <w:tabs>
          <w:tab w:val="center" w:pos="4201"/>
          <w:tab w:val="right" w:leader="dot" w:pos="9298"/>
        </w:tabs>
        <w:rPr>
          <w:rFonts w:hint="default" w:ascii="Times New Roman" w:hAnsi="Times New Roman" w:eastAsia="宋体" w:cs="Times New Roman"/>
          <w:color w:val="auto"/>
          <w:szCs w:val="22"/>
          <w:lang w:eastAsia="zh-CN"/>
        </w:rPr>
      </w:pPr>
      <w:r>
        <w:rPr>
          <w:rFonts w:hint="default" w:ascii="Times New Roman" w:hAnsi="Times New Roman" w:eastAsia="宋体" w:cs="Times New Roman"/>
          <w:color w:val="auto"/>
          <w:szCs w:val="22"/>
          <w:lang w:eastAsia="zh-CN"/>
        </w:rPr>
        <w:t>本文件适用于600 kV及以下X射线、γ射线固定式探伤和移动式探伤，以及同辐射源范围的工业CT探伤。不适用于加速器和中子工业探伤。</w:t>
      </w:r>
    </w:p>
    <w:p>
      <w:pPr>
        <w:pStyle w:val="31"/>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240" w:lineRule="auto"/>
        <w:ind w:left="425" w:hanging="425" w:firstLineChars="0"/>
        <w:textAlignment w:val="auto"/>
        <w:outlineLvl w:val="0"/>
        <w:rPr>
          <w:rFonts w:hint="default" w:ascii="Times New Roman" w:hAnsi="Times New Roman" w:eastAsia="黑体" w:cs="Times New Roman"/>
          <w:color w:val="auto"/>
          <w:szCs w:val="22"/>
        </w:rPr>
      </w:pPr>
      <w:bookmarkStart w:id="3" w:name="_Toc15652"/>
      <w:r>
        <w:rPr>
          <w:rFonts w:hint="default" w:ascii="Times New Roman" w:hAnsi="Times New Roman" w:eastAsia="黑体" w:cs="Times New Roman"/>
          <w:color w:val="auto"/>
          <w:szCs w:val="22"/>
        </w:rPr>
        <w:t>规范性引用文件</w:t>
      </w:r>
      <w:bookmarkEnd w:id="3"/>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szCs w:val="22"/>
        </w:rPr>
      </w:pPr>
      <w:r>
        <w:rPr>
          <w:rFonts w:hint="eastAsia" w:cs="Times New Roman"/>
          <w:color w:val="auto"/>
          <w:szCs w:val="22"/>
          <w:lang w:val="en-US" w:eastAsia="zh-CN"/>
        </w:rPr>
        <w:t>下列文件中的内容通过文中的规范性引用而构成本文件必不可少的条款。其中，</w:t>
      </w:r>
      <w:r>
        <w:rPr>
          <w:rFonts w:hint="default" w:ascii="Times New Roman" w:hAnsi="Times New Roman" w:cs="Times New Roman"/>
          <w:color w:val="auto"/>
          <w:szCs w:val="22"/>
        </w:rPr>
        <w:t>注日期的引用文件，仅</w:t>
      </w:r>
      <w:r>
        <w:rPr>
          <w:rFonts w:hint="eastAsia" w:cs="Times New Roman"/>
          <w:color w:val="auto"/>
          <w:szCs w:val="22"/>
          <w:lang w:val="en-US" w:eastAsia="zh-CN"/>
        </w:rPr>
        <w:t>该日期对应</w:t>
      </w:r>
      <w:r>
        <w:rPr>
          <w:rFonts w:hint="default" w:ascii="Times New Roman" w:hAnsi="Times New Roman" w:cs="Times New Roman"/>
          <w:color w:val="auto"/>
          <w:szCs w:val="22"/>
        </w:rPr>
        <w:t>的版本适用于本文件</w:t>
      </w:r>
      <w:r>
        <w:rPr>
          <w:rFonts w:hint="eastAsia" w:cs="Times New Roman"/>
          <w:color w:val="auto"/>
          <w:szCs w:val="22"/>
          <w:lang w:eastAsia="zh-CN"/>
        </w:rPr>
        <w:t>；</w:t>
      </w:r>
      <w:r>
        <w:rPr>
          <w:rFonts w:hint="default" w:ascii="Times New Roman" w:hAnsi="Times New Roman" w:cs="Times New Roman"/>
          <w:color w:val="auto"/>
          <w:szCs w:val="22"/>
        </w:rPr>
        <w:t>不注日期的引用文件，其最新版本（包括所有的修改单）适用于本文件。</w:t>
      </w:r>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GB</w:t>
      </w:r>
      <w:r>
        <w:rPr>
          <w:rFonts w:hint="default" w:ascii="Times New Roman" w:hAnsi="Times New Roman" w:cs="Times New Roman"/>
          <w:color w:val="auto"/>
          <w:szCs w:val="22"/>
          <w:lang w:val="en-US" w:eastAsia="zh-CN"/>
        </w:rPr>
        <w:t xml:space="preserve"> </w:t>
      </w:r>
      <w:r>
        <w:rPr>
          <w:rFonts w:hint="default" w:ascii="Times New Roman" w:hAnsi="Times New Roman" w:cs="Times New Roman"/>
          <w:color w:val="auto"/>
          <w:szCs w:val="22"/>
        </w:rPr>
        <w:t>18871</w:t>
      </w:r>
      <w:r>
        <w:rPr>
          <w:rFonts w:hint="default" w:ascii="Times New Roman" w:hAnsi="Times New Roman" w:cs="Times New Roman"/>
          <w:color w:val="auto"/>
          <w:szCs w:val="22"/>
          <w:lang w:val="en-US" w:eastAsia="zh-CN"/>
        </w:rPr>
        <w:t xml:space="preserve"> </w:t>
      </w:r>
      <w:r>
        <w:rPr>
          <w:rFonts w:hint="default" w:ascii="Times New Roman" w:hAnsi="Times New Roman" w:cs="Times New Roman"/>
          <w:color w:val="auto"/>
          <w:szCs w:val="22"/>
        </w:rPr>
        <w:t>电离辐射防护与辐射源安全基本标准</w:t>
      </w:r>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GB/T</w:t>
      </w:r>
      <w:r>
        <w:rPr>
          <w:rFonts w:hint="default" w:ascii="Times New Roman" w:hAnsi="Times New Roman" w:cs="Times New Roman"/>
          <w:color w:val="auto"/>
          <w:szCs w:val="22"/>
          <w:lang w:val="en-US" w:eastAsia="zh-CN"/>
        </w:rPr>
        <w:t xml:space="preserve"> </w:t>
      </w:r>
      <w:r>
        <w:rPr>
          <w:rFonts w:hint="default" w:ascii="Times New Roman" w:hAnsi="Times New Roman" w:cs="Times New Roman"/>
          <w:color w:val="auto"/>
          <w:szCs w:val="22"/>
        </w:rPr>
        <w:t>14058</w:t>
      </w:r>
      <w:r>
        <w:rPr>
          <w:rFonts w:hint="default" w:ascii="Times New Roman" w:hAnsi="Times New Roman" w:cs="Times New Roman"/>
          <w:color w:val="auto"/>
          <w:szCs w:val="22"/>
          <w:lang w:val="en-US" w:eastAsia="zh-CN"/>
        </w:rPr>
        <w:t xml:space="preserve">  </w:t>
      </w:r>
      <w:r>
        <w:rPr>
          <w:rFonts w:hint="default" w:ascii="Times New Roman" w:hAnsi="Times New Roman" w:cs="Times New Roman"/>
          <w:color w:val="auto"/>
          <w:szCs w:val="22"/>
        </w:rPr>
        <w:t>γ射线探伤机</w:t>
      </w:r>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eastAsia="宋体" w:cs="Times New Roman"/>
          <w:color w:val="auto"/>
          <w:szCs w:val="22"/>
          <w:lang w:val="en-US" w:eastAsia="zh-CN"/>
        </w:rPr>
      </w:pPr>
      <w:r>
        <w:rPr>
          <w:rFonts w:hint="default" w:ascii="Times New Roman" w:hAnsi="Times New Roman" w:cs="Times New Roman"/>
          <w:color w:val="auto"/>
          <w:szCs w:val="22"/>
          <w:lang w:val="en-US" w:eastAsia="zh-CN"/>
        </w:rPr>
        <w:t>GB/T 26837 无损检测仪器</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固定式和移动式工业X射线探伤机</w:t>
      </w:r>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rPr>
      </w:pPr>
      <w:r>
        <w:rPr>
          <w:rFonts w:hint="default" w:ascii="Times New Roman" w:hAnsi="Times New Roman" w:cs="Times New Roman"/>
          <w:color w:val="auto"/>
          <w:lang w:val="en-US" w:eastAsia="zh-CN"/>
        </w:rPr>
        <w:t xml:space="preserve">GBZ 98 </w:t>
      </w:r>
      <w:r>
        <w:rPr>
          <w:rFonts w:hint="default" w:ascii="Times New Roman" w:hAnsi="Times New Roman" w:cs="Times New Roman"/>
          <w:color w:val="auto"/>
        </w:rPr>
        <w:t>放射工作人员健康要求及监护规范</w:t>
      </w:r>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rPr>
      </w:pPr>
      <w:r>
        <w:rPr>
          <w:rFonts w:hint="default" w:ascii="Times New Roman" w:hAnsi="Times New Roman" w:cs="Times New Roman"/>
          <w:color w:val="auto"/>
          <w:szCs w:val="22"/>
        </w:rPr>
        <w:t>GBZ</w:t>
      </w:r>
      <w:r>
        <w:rPr>
          <w:rFonts w:hint="default" w:ascii="Times New Roman" w:hAnsi="Times New Roman" w:cs="Times New Roman"/>
          <w:color w:val="auto"/>
          <w:szCs w:val="22"/>
          <w:lang w:val="en-US" w:eastAsia="zh-CN"/>
        </w:rPr>
        <w:t xml:space="preserve"> </w:t>
      </w:r>
      <w:r>
        <w:rPr>
          <w:rFonts w:hint="default" w:ascii="Times New Roman" w:hAnsi="Times New Roman" w:cs="Times New Roman"/>
          <w:color w:val="auto"/>
          <w:szCs w:val="22"/>
        </w:rPr>
        <w:t>117</w:t>
      </w:r>
      <w:r>
        <w:rPr>
          <w:rFonts w:hint="default" w:ascii="Times New Roman" w:hAnsi="Times New Roman" w:cs="Times New Roman"/>
          <w:color w:val="auto"/>
          <w:szCs w:val="22"/>
          <w:lang w:val="en-US" w:eastAsia="zh-CN"/>
        </w:rPr>
        <w:t xml:space="preserve"> </w:t>
      </w:r>
      <w:r>
        <w:rPr>
          <w:rFonts w:hint="eastAsia" w:cs="Times New Roman"/>
          <w:color w:val="auto"/>
          <w:szCs w:val="22"/>
          <w:lang w:val="en-US" w:eastAsia="zh-CN"/>
        </w:rPr>
        <w:t>工业探伤放射防护标准</w:t>
      </w:r>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GBZ 128 职业性外照射个人监测规范</w:t>
      </w:r>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b w:val="0"/>
          <w:bCs w:val="0"/>
          <w:color w:val="auto"/>
          <w:szCs w:val="22"/>
          <w:lang w:val="en-US" w:eastAsia="zh-CN"/>
        </w:rPr>
        <w:t>GA 1002</w:t>
      </w:r>
      <w:r>
        <w:rPr>
          <w:rFonts w:hint="eastAsia" w:cs="Times New Roman"/>
          <w:b w:val="0"/>
          <w:bCs w:val="0"/>
          <w:color w:val="auto"/>
          <w:szCs w:val="22"/>
          <w:lang w:val="en-US" w:eastAsia="zh-CN"/>
        </w:rPr>
        <w:t xml:space="preserve"> 剧毒化学品、放射源存放场所治安防范要求</w:t>
      </w:r>
    </w:p>
    <w:p>
      <w:pPr>
        <w:pStyle w:val="31"/>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240" w:lineRule="auto"/>
        <w:ind w:left="425" w:hanging="425" w:firstLineChars="0"/>
        <w:textAlignment w:val="auto"/>
        <w:outlineLvl w:val="0"/>
        <w:rPr>
          <w:rFonts w:hint="default" w:ascii="Times New Roman" w:hAnsi="Times New Roman" w:eastAsia="黑体" w:cs="Times New Roman"/>
          <w:color w:val="auto"/>
          <w:szCs w:val="22"/>
        </w:rPr>
      </w:pPr>
      <w:bookmarkStart w:id="4" w:name="_Toc17583"/>
      <w:r>
        <w:rPr>
          <w:rFonts w:hint="default" w:ascii="Times New Roman" w:hAnsi="Times New Roman" w:eastAsia="黑体" w:cs="Times New Roman"/>
          <w:color w:val="auto"/>
          <w:szCs w:val="22"/>
        </w:rPr>
        <w:t>术语和定义</w:t>
      </w:r>
      <w:bookmarkEnd w:id="4"/>
    </w:p>
    <w:p>
      <w:pPr>
        <w:pStyle w:val="31"/>
        <w:keepNext w:val="0"/>
        <w:keepLines w:val="0"/>
        <w:pageBreakBefore w:val="0"/>
        <w:widowControl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szCs w:val="22"/>
          <w:lang w:val="en-US" w:eastAsia="zh-CN"/>
        </w:rPr>
      </w:pPr>
      <w:r>
        <w:rPr>
          <w:rFonts w:hint="eastAsia" w:ascii="Times New Roman" w:hAnsi="Times New Roman" w:cs="Times New Roman"/>
          <w:color w:val="auto"/>
          <w:szCs w:val="22"/>
          <w:lang w:val="en-US" w:eastAsia="zh-CN"/>
        </w:rPr>
        <w:t>GBZ</w:t>
      </w:r>
      <w:r>
        <w:rPr>
          <w:rFonts w:hint="eastAsia" w:cs="Times New Roman"/>
          <w:color w:val="auto"/>
          <w:szCs w:val="22"/>
          <w:lang w:val="en-US" w:eastAsia="zh-CN"/>
        </w:rPr>
        <w:t xml:space="preserve"> </w:t>
      </w:r>
      <w:r>
        <w:rPr>
          <w:rFonts w:hint="eastAsia" w:ascii="Times New Roman" w:hAnsi="Times New Roman" w:cs="Times New Roman"/>
          <w:color w:val="auto"/>
          <w:szCs w:val="22"/>
          <w:lang w:val="en-US" w:eastAsia="zh-CN"/>
        </w:rPr>
        <w:t>117界定的以及下列术语和定义适用于本文件。</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rPr>
      </w:pPr>
      <w:r>
        <w:rPr>
          <w:rFonts w:hint="default" w:ascii="Times New Roman" w:hAnsi="Times New Roman" w:eastAsia="黑体" w:cs="Times New Roman"/>
          <w:color w:val="auto"/>
          <w:szCs w:val="22"/>
        </w:rPr>
        <w:t>工业探伤</w:t>
      </w:r>
      <w:r>
        <w:rPr>
          <w:rFonts w:hint="eastAsia" w:eastAsia="黑体" w:cs="Times New Roman"/>
          <w:color w:val="auto"/>
          <w:szCs w:val="22"/>
          <w:lang w:val="en-US" w:eastAsia="zh-CN"/>
        </w:rPr>
        <w:t xml:space="preserve"> </w:t>
      </w:r>
      <w:r>
        <w:rPr>
          <w:rFonts w:hint="default" w:ascii="Times New Roman" w:hAnsi="Times New Roman" w:eastAsia="黑体" w:cs="Times New Roman"/>
          <w:color w:val="auto"/>
          <w:szCs w:val="22"/>
        </w:rPr>
        <w:t>Industrial</w:t>
      </w:r>
      <w:r>
        <w:rPr>
          <w:rFonts w:hint="default" w:ascii="Times New Roman" w:hAnsi="Times New Roman" w:eastAsia="黑体" w:cs="Times New Roman"/>
          <w:color w:val="auto"/>
          <w:szCs w:val="22"/>
          <w:lang w:val="en-US" w:eastAsia="zh-CN"/>
        </w:rPr>
        <w:t xml:space="preserve"> </w:t>
      </w:r>
      <w:r>
        <w:rPr>
          <w:rFonts w:hint="default" w:ascii="Times New Roman" w:hAnsi="Times New Roman" w:eastAsia="黑体" w:cs="Times New Roman"/>
          <w:color w:val="auto"/>
          <w:szCs w:val="22"/>
        </w:rPr>
        <w:t>radiography</w:t>
      </w:r>
    </w:p>
    <w:p>
      <w:pPr>
        <w:pStyle w:val="31"/>
        <w:keepNext w:val="0"/>
        <w:keepLines w:val="0"/>
        <w:pageBreakBefore w:val="0"/>
        <w:kinsoku/>
        <w:wordWrap/>
        <w:overflowPunct/>
        <w:topLinePunct w:val="0"/>
        <w:autoSpaceDE/>
        <w:autoSpaceDN/>
        <w:bidi w:val="0"/>
        <w:adjustRightInd/>
        <w:snapToGrid/>
        <w:spacing w:line="240" w:lineRule="auto"/>
        <w:ind w:firstLine="424" w:firstLineChars="202"/>
        <w:textAlignment w:val="auto"/>
        <w:rPr>
          <w:rFonts w:hint="default" w:ascii="Times New Roman" w:hAnsi="Times New Roman" w:cs="Times New Roman"/>
          <w:color w:val="auto"/>
          <w:szCs w:val="22"/>
        </w:rPr>
      </w:pPr>
      <w:r>
        <w:rPr>
          <w:rFonts w:hint="default" w:ascii="Times New Roman" w:hAnsi="Times New Roman" w:cs="Times New Roman"/>
          <w:color w:val="auto"/>
          <w:szCs w:val="22"/>
        </w:rPr>
        <w:t>采用射线对物体进行照射成像，以检查其内部缺陷的方法。</w:t>
      </w:r>
    </w:p>
    <w:p>
      <w:pPr>
        <w:pStyle w:val="31"/>
        <w:keepNext w:val="0"/>
        <w:keepLines w:val="0"/>
        <w:pageBreakBefore w:val="0"/>
        <w:kinsoku/>
        <w:wordWrap/>
        <w:overflowPunct/>
        <w:topLinePunct w:val="0"/>
        <w:autoSpaceDE/>
        <w:autoSpaceDN/>
        <w:bidi w:val="0"/>
        <w:adjustRightInd/>
        <w:snapToGrid/>
        <w:spacing w:line="240" w:lineRule="auto"/>
        <w:ind w:firstLine="424" w:firstLineChars="202"/>
        <w:textAlignment w:val="auto"/>
        <w:rPr>
          <w:rFonts w:hint="eastAsia" w:ascii="Times New Roman" w:hAnsi="Times New Roman" w:eastAsia="宋体" w:cs="Times New Roman"/>
          <w:color w:val="auto"/>
          <w:szCs w:val="22"/>
          <w:lang w:eastAsia="zh-CN"/>
        </w:rPr>
      </w:pPr>
      <w:r>
        <w:rPr>
          <w:rFonts w:hint="eastAsia" w:cs="Times New Roman"/>
          <w:color w:val="auto"/>
          <w:szCs w:val="22"/>
          <w:lang w:val="en-US" w:eastAsia="zh-CN"/>
        </w:rPr>
        <w:t>[来源：GBZ 117-2022, 3.1]</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rPr>
      </w:pPr>
      <w:r>
        <w:rPr>
          <w:rFonts w:hint="default" w:ascii="Times New Roman" w:hAnsi="Times New Roman" w:eastAsia="黑体" w:cs="Times New Roman"/>
          <w:color w:val="auto"/>
          <w:szCs w:val="22"/>
          <w:lang w:val="en-US" w:eastAsia="zh-CN"/>
        </w:rPr>
        <w:t>X射线探伤机</w:t>
      </w:r>
      <w:r>
        <w:rPr>
          <w:rFonts w:hint="eastAsia" w:eastAsia="黑体" w:cs="Times New Roman"/>
          <w:color w:val="auto"/>
          <w:szCs w:val="22"/>
          <w:lang w:val="en-US" w:eastAsia="zh-CN"/>
        </w:rPr>
        <w:t xml:space="preserve"> </w:t>
      </w:r>
      <w:r>
        <w:rPr>
          <w:rFonts w:hint="default" w:ascii="Times New Roman" w:hAnsi="Times New Roman" w:eastAsia="黑体" w:cs="Times New Roman"/>
          <w:color w:val="auto"/>
          <w:szCs w:val="22"/>
          <w:lang w:val="en-US" w:eastAsia="zh-CN"/>
        </w:rPr>
        <w:t>X-ray radiography facilities</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eastAsia" w:cs="Times New Roman"/>
          <w:color w:val="auto"/>
          <w:kern w:val="0"/>
          <w:sz w:val="21"/>
          <w:szCs w:val="21"/>
          <w:lang w:val="en-US" w:eastAsia="zh-CN" w:bidi="ar"/>
        </w:rPr>
        <w:t>使用</w:t>
      </w:r>
      <w:r>
        <w:rPr>
          <w:rFonts w:hint="default" w:ascii="Times New Roman" w:hAnsi="Times New Roman" w:eastAsia="宋体" w:cs="Times New Roman"/>
          <w:color w:val="auto"/>
          <w:kern w:val="0"/>
          <w:sz w:val="21"/>
          <w:szCs w:val="21"/>
          <w:lang w:val="en-US" w:eastAsia="zh-CN" w:bidi="ar"/>
        </w:rPr>
        <w:t>X射线摄影或断层检查发现物体内部缺陷的设备总称，包括X射线管头组装体、控制箱及连接电缆。</w:t>
      </w:r>
    </w:p>
    <w:p>
      <w:pPr>
        <w:pStyle w:val="31"/>
        <w:keepNext w:val="0"/>
        <w:keepLines w:val="0"/>
        <w:pageBreakBefore w:val="0"/>
        <w:kinsoku/>
        <w:wordWrap/>
        <w:overflowPunct/>
        <w:topLinePunct w:val="0"/>
        <w:autoSpaceDE/>
        <w:autoSpaceDN/>
        <w:bidi w:val="0"/>
        <w:adjustRightInd/>
        <w:snapToGrid/>
        <w:spacing w:line="240" w:lineRule="auto"/>
        <w:ind w:firstLine="424" w:firstLineChars="202"/>
        <w:textAlignment w:val="auto"/>
        <w:rPr>
          <w:rFonts w:hint="eastAsia" w:ascii="Times New Roman" w:hAnsi="Times New Roman" w:eastAsia="宋体" w:cs="Times New Roman"/>
          <w:color w:val="auto"/>
          <w:szCs w:val="22"/>
          <w:lang w:eastAsia="zh-CN"/>
        </w:rPr>
      </w:pPr>
      <w:r>
        <w:rPr>
          <w:rFonts w:hint="eastAsia" w:cs="Times New Roman"/>
          <w:color w:val="auto"/>
          <w:szCs w:val="22"/>
          <w:lang w:val="en-US" w:eastAsia="zh-CN"/>
        </w:rPr>
        <w:t>[来源：GBZ 117-2022, 3.2]</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lang w:val="en-US" w:eastAsia="zh-CN"/>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γ射线探伤机</w:t>
      </w:r>
      <w:r>
        <w:rPr>
          <w:rFonts w:hint="eastAsia" w:eastAsia="黑体" w:cs="Times New Roman"/>
          <w:color w:val="auto"/>
          <w:szCs w:val="22"/>
          <w:lang w:val="en-US" w:eastAsia="zh-CN"/>
        </w:rPr>
        <w:t xml:space="preserve"> </w:t>
      </w:r>
      <w:r>
        <w:rPr>
          <w:rFonts w:hint="default" w:ascii="Times New Roman" w:hAnsi="Times New Roman" w:eastAsia="黑体" w:cs="Times New Roman"/>
          <w:color w:val="auto"/>
          <w:szCs w:val="22"/>
          <w:lang w:val="en-US" w:eastAsia="zh-CN"/>
        </w:rPr>
        <w:t>γ-ray radiography facilities</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使用密封放射源发射的γ射线用于发现物体内部缺陷的设备，包括一个源容器及</w:t>
      </w:r>
      <w:bookmarkStart w:id="104" w:name="_GoBack"/>
      <w:bookmarkEnd w:id="104"/>
      <w:r>
        <w:rPr>
          <w:rFonts w:hint="default" w:ascii="Times New Roman" w:hAnsi="Times New Roman" w:eastAsia="宋体" w:cs="Times New Roman"/>
          <w:color w:val="auto"/>
          <w:kern w:val="0"/>
          <w:sz w:val="21"/>
          <w:szCs w:val="21"/>
          <w:lang w:val="en-US" w:eastAsia="zh-CN" w:bidi="ar"/>
        </w:rPr>
        <w:t>其附件。</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eastAsia" w:cs="Times New Roman"/>
          <w:color w:val="auto"/>
          <w:szCs w:val="22"/>
          <w:lang w:val="en-US" w:eastAsia="zh-CN"/>
        </w:rPr>
        <w:t>[来源：GBZ 117-2022, 3.3]</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lang w:val="en-US" w:eastAsia="zh-CN"/>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工业CT</w:t>
      </w:r>
      <w:r>
        <w:rPr>
          <w:rFonts w:hint="eastAsia" w:eastAsia="黑体" w:cs="Times New Roman"/>
          <w:color w:val="auto"/>
          <w:szCs w:val="22"/>
          <w:lang w:val="en-US" w:eastAsia="zh-CN"/>
        </w:rPr>
        <w:t xml:space="preserve">探伤设备 </w:t>
      </w:r>
      <w:r>
        <w:rPr>
          <w:rFonts w:hint="default" w:ascii="Times New Roman" w:hAnsi="Times New Roman" w:eastAsia="黑体" w:cs="Times New Roman"/>
          <w:color w:val="auto"/>
          <w:szCs w:val="22"/>
          <w:lang w:val="en-US" w:eastAsia="zh-CN"/>
        </w:rPr>
        <w:t>Industrial computed tomography</w:t>
      </w:r>
      <w:r>
        <w:rPr>
          <w:rFonts w:hint="eastAsia" w:eastAsia="黑体" w:cs="Times New Roman"/>
          <w:color w:val="auto"/>
          <w:szCs w:val="22"/>
          <w:lang w:val="en-US" w:eastAsia="zh-CN"/>
        </w:rPr>
        <w:t xml:space="preserve"> equipments</w:t>
      </w:r>
    </w:p>
    <w:p>
      <w:pPr>
        <w:keepNext w:val="0"/>
        <w:keepLines w:val="0"/>
        <w:pageBreakBefore w:val="0"/>
        <w:widowControl/>
        <w:suppressLineNumbers w:val="0"/>
        <w:tabs>
          <w:tab w:val="left" w:pos="2730"/>
        </w:tabs>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使用X、γ射线对工件进行断层扫描成像的</w:t>
      </w:r>
      <w:r>
        <w:rPr>
          <w:rFonts w:hint="eastAsia" w:cs="Times New Roman"/>
          <w:color w:val="auto"/>
          <w:kern w:val="0"/>
          <w:sz w:val="21"/>
          <w:szCs w:val="21"/>
          <w:lang w:val="en-US" w:eastAsia="zh-CN" w:bidi="ar"/>
        </w:rPr>
        <w:t>一组装置</w:t>
      </w:r>
      <w:r>
        <w:rPr>
          <w:rFonts w:hint="eastAsia" w:ascii="Times New Roman" w:hAnsi="Times New Roman" w:eastAsia="宋体" w:cs="Times New Roman"/>
          <w:color w:val="auto"/>
          <w:kern w:val="0"/>
          <w:sz w:val="21"/>
          <w:szCs w:val="21"/>
          <w:lang w:val="en-US" w:eastAsia="zh-CN" w:bidi="ar"/>
        </w:rPr>
        <w:t>，包括CT扫描装置、数据采集与处理系统、操作台等。</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lang w:val="en-US" w:eastAsia="zh-CN"/>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固定式探伤</w:t>
      </w:r>
      <w:r>
        <w:rPr>
          <w:rFonts w:hint="eastAsia" w:eastAsia="黑体" w:cs="Times New Roman"/>
          <w:color w:val="auto"/>
          <w:szCs w:val="22"/>
          <w:lang w:val="en-US" w:eastAsia="zh-CN"/>
        </w:rPr>
        <w:t xml:space="preserve"> </w:t>
      </w:r>
      <w:r>
        <w:rPr>
          <w:rFonts w:hint="default" w:ascii="Times New Roman" w:hAnsi="Times New Roman" w:eastAsia="黑体" w:cs="Times New Roman"/>
          <w:color w:val="auto"/>
          <w:szCs w:val="22"/>
          <w:lang w:val="en-US" w:eastAsia="zh-CN"/>
        </w:rPr>
        <w:t>Stationary defect detecting</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在探伤室内使用固定安装或可有限移动的探伤机产生的射线对物体进行照射成像，以检查其内部缺陷的方法。</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eastAsia" w:cs="Times New Roman"/>
          <w:color w:val="auto"/>
          <w:szCs w:val="22"/>
          <w:lang w:val="en-US" w:eastAsia="zh-CN"/>
        </w:rPr>
        <w:t>[来源：GBZ 117-2022, 3.4]</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lang w:val="en-US" w:eastAsia="zh-CN"/>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移动式探伤Mobile defect detecting</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在探伤室以外的生产车间、工地或安装现场等场地使用移动式探伤机产生的射线对物体进行照射成像，以检查其内部缺陷的方法。</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eastAsia" w:cs="Times New Roman"/>
          <w:color w:val="auto"/>
          <w:szCs w:val="22"/>
          <w:lang w:val="en-US" w:eastAsia="zh-CN"/>
        </w:rPr>
        <w:t>[来源：GBZ 117-2022, 3.5]</w:t>
      </w:r>
    </w:p>
    <w:p>
      <w:pPr>
        <w:pStyle w:val="31"/>
        <w:numPr>
          <w:ilvl w:val="1"/>
          <w:numId w:val="3"/>
        </w:numPr>
        <w:spacing w:line="360" w:lineRule="auto"/>
        <w:ind w:left="0" w:firstLine="0" w:firstLineChars="0"/>
        <w:rPr>
          <w:rFonts w:hint="default" w:ascii="Times New Roman" w:hAnsi="Times New Roman" w:eastAsia="黑体" w:cs="Times New Roman"/>
          <w:color w:val="auto"/>
          <w:szCs w:val="22"/>
          <w:lang w:val="en-US" w:eastAsia="zh-CN"/>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换源器Source changer</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用于更换γ射线探伤源组件的屏蔽容器。通常具有两个贮源孔，旧源从换源器的一个源孔被推进，新源从另一个源孔中被移出。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eastAsia" w:cs="Times New Roman"/>
          <w:color w:val="auto"/>
          <w:szCs w:val="22"/>
          <w:lang w:val="en-US" w:eastAsia="zh-CN"/>
        </w:rPr>
        <w:t>[来源：GBZ 117-2022, 3.6]</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lang w:val="en-US" w:eastAsia="zh-CN"/>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使用单位Operating organization</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利用工业探伤装置进行工业探伤</w:t>
      </w:r>
      <w:r>
        <w:rPr>
          <w:rFonts w:hint="eastAsia" w:cs="Times New Roman"/>
          <w:color w:val="auto"/>
          <w:kern w:val="0"/>
          <w:sz w:val="21"/>
          <w:szCs w:val="21"/>
          <w:lang w:val="en-US" w:eastAsia="zh-CN" w:bidi="ar"/>
        </w:rPr>
        <w:t>作业</w:t>
      </w:r>
      <w:r>
        <w:rPr>
          <w:rFonts w:hint="default" w:ascii="Times New Roman" w:hAnsi="Times New Roman" w:eastAsia="宋体" w:cs="Times New Roman"/>
          <w:color w:val="auto"/>
          <w:kern w:val="0"/>
          <w:sz w:val="21"/>
          <w:szCs w:val="21"/>
          <w:lang w:val="en-US" w:eastAsia="zh-CN" w:bidi="ar"/>
        </w:rPr>
        <w:t>的营运单位。</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eastAsia" w:cs="Times New Roman"/>
          <w:color w:val="auto"/>
          <w:szCs w:val="22"/>
          <w:lang w:val="en-US" w:eastAsia="zh-CN"/>
        </w:rPr>
        <w:t>[来源：GBZ 117-2022, 3.9]</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lang w:val="en-US" w:eastAsia="zh-CN"/>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控制区Controlled area</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在辐射工作场所划分的一种区域，在这种区域内要求或可能要求采取专门的防护手段和安全措施，以便：</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kern w:val="2"/>
          <w:sz w:val="21"/>
          <w:szCs w:val="24"/>
          <w:lang w:val="en-US" w:eastAsia="zh-CN" w:bidi="ar-SA"/>
        </w:rPr>
        <w:t>a</w:t>
      </w:r>
      <w:r>
        <w:rPr>
          <w:rFonts w:hint="default" w:ascii="Times New Roman" w:hAnsi="Times New Roman" w:eastAsia="宋体" w:cs="Times New Roman"/>
          <w:color w:val="auto"/>
          <w:kern w:val="2"/>
          <w:sz w:val="21"/>
          <w:szCs w:val="24"/>
          <w:lang w:val="en-US" w:eastAsia="zh-CN" w:bidi="ar-SA"/>
        </w:rPr>
        <w:t>）</w:t>
      </w:r>
      <w:r>
        <w:rPr>
          <w:rFonts w:hint="default" w:ascii="Times New Roman" w:hAnsi="Times New Roman" w:cs="Times New Roman"/>
          <w:color w:val="auto"/>
          <w:lang w:val="en-US" w:eastAsia="zh-CN"/>
        </w:rPr>
        <w:t>在正常工作条件下控制正常照射或防止污染扩展；</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kern w:val="2"/>
          <w:sz w:val="21"/>
          <w:szCs w:val="24"/>
          <w:lang w:val="en-US" w:eastAsia="zh-CN" w:bidi="ar-SA"/>
        </w:rPr>
        <w:t>b</w:t>
      </w:r>
      <w:r>
        <w:rPr>
          <w:rFonts w:hint="default" w:ascii="Times New Roman" w:hAnsi="Times New Roman" w:eastAsia="宋体" w:cs="Times New Roman"/>
          <w:color w:val="auto"/>
          <w:kern w:val="2"/>
          <w:sz w:val="21"/>
          <w:szCs w:val="24"/>
          <w:lang w:val="en-US" w:eastAsia="zh-CN" w:bidi="ar-SA"/>
        </w:rPr>
        <w:t>）</w:t>
      </w:r>
      <w:r>
        <w:rPr>
          <w:rFonts w:hint="default" w:ascii="Times New Roman" w:hAnsi="Times New Roman" w:cs="Times New Roman"/>
          <w:color w:val="auto"/>
          <w:lang w:val="en-US" w:eastAsia="zh-CN"/>
        </w:rPr>
        <w:t>防止潜在照射或限制其程度。</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9"/>
        <w:rPr>
          <w:rFonts w:hint="default" w:ascii="Times New Roman" w:hAnsi="Times New Roman" w:eastAsia="黑体" w:cs="Times New Roman"/>
          <w:color w:val="auto"/>
          <w:szCs w:val="22"/>
          <w:lang w:val="en-US" w:eastAsia="zh-CN"/>
        </w:rPr>
      </w:pPr>
    </w:p>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监督区Supervised area</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未被确定为控制区、通常不需要采取专门防护手段和安全措施但要不断检查其职业照射条件的任何区域。</w:t>
      </w:r>
    </w:p>
    <w:p>
      <w:pPr>
        <w:pStyle w:val="31"/>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240" w:lineRule="auto"/>
        <w:ind w:left="425" w:hanging="425" w:firstLineChars="0"/>
        <w:textAlignment w:val="auto"/>
        <w:outlineLvl w:val="0"/>
        <w:rPr>
          <w:rFonts w:hint="default" w:ascii="Arial" w:hAnsi="Arial" w:eastAsia="宋体" w:cs="Arial"/>
          <w:b w:val="0"/>
          <w:color w:val="000000"/>
          <w:sz w:val="21"/>
          <w:szCs w:val="21"/>
        </w:rPr>
      </w:pPr>
      <w:bookmarkStart w:id="5" w:name="_Toc96304158"/>
      <w:bookmarkEnd w:id="5"/>
      <w:bookmarkStart w:id="6" w:name="_Toc96309390"/>
      <w:bookmarkEnd w:id="6"/>
      <w:bookmarkStart w:id="7" w:name="_Toc96316671"/>
      <w:bookmarkEnd w:id="7"/>
      <w:bookmarkStart w:id="8" w:name="_Toc96309576"/>
      <w:bookmarkEnd w:id="8"/>
      <w:bookmarkStart w:id="9" w:name="_Toc96309279"/>
      <w:bookmarkEnd w:id="9"/>
      <w:bookmarkStart w:id="10" w:name="_Toc31572"/>
      <w:bookmarkStart w:id="11" w:name="_Toc96316675"/>
      <w:bookmarkStart w:id="12" w:name="_Toc16878"/>
      <w:r>
        <w:rPr>
          <w:rFonts w:hint="eastAsia" w:eastAsia="黑体" w:cs="Times New Roman"/>
          <w:color w:val="auto"/>
          <w:szCs w:val="22"/>
          <w:lang w:val="en-US" w:eastAsia="zh-CN"/>
        </w:rPr>
        <w:t>总则</w:t>
      </w:r>
      <w:bookmarkEnd w:id="10"/>
      <w:r>
        <w:rPr>
          <w:rFonts w:hint="default" w:ascii="Arial" w:hAnsi="Arial" w:eastAsia="宋体" w:cs="Arial"/>
          <w:b w:val="0"/>
          <w:color w:val="000000"/>
          <w:sz w:val="21"/>
          <w:szCs w:val="21"/>
        </w:rPr>
        <w:t xml:space="preserve"> </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r>
        <w:rPr>
          <w:rFonts w:hint="eastAsia" w:eastAsia="黑体" w:cs="Times New Roman"/>
          <w:color w:val="auto"/>
          <w:szCs w:val="22"/>
          <w:lang w:val="en-US" w:eastAsia="zh-CN"/>
        </w:rPr>
        <w:t>一般要求</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使用单位应对所开展</w:t>
      </w:r>
      <w:r>
        <w:rPr>
          <w:rFonts w:hint="default" w:ascii="Times New Roman" w:hAnsi="Times New Roman" w:eastAsia="宋体" w:cs="Times New Roman"/>
          <w:color w:val="auto"/>
          <w:kern w:val="0"/>
          <w:sz w:val="21"/>
          <w:szCs w:val="21"/>
          <w:lang w:val="en-US" w:eastAsia="zh-CN" w:bidi="ar"/>
        </w:rPr>
        <w:t>工业射线探伤</w:t>
      </w:r>
      <w:r>
        <w:rPr>
          <w:rFonts w:hint="eastAsia" w:ascii="Times New Roman" w:hAnsi="Times New Roman" w:eastAsia="宋体" w:cs="Times New Roman"/>
          <w:color w:val="auto"/>
          <w:kern w:val="0"/>
          <w:sz w:val="21"/>
          <w:szCs w:val="21"/>
          <w:lang w:val="en-US" w:eastAsia="zh-CN" w:bidi="ar"/>
        </w:rPr>
        <w:t>的辐射防护与安全工作全面负责，实现保护辐射工作人员、公众和环境的目标。</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eastAsia" w:ascii="Times New Roman" w:hAnsi="Times New Roman" w:cs="Times New Roman"/>
          <w:color w:val="auto"/>
          <w:szCs w:val="22"/>
          <w:lang w:val="en-US" w:eastAsia="zh-CN"/>
        </w:rPr>
      </w:pPr>
      <w:r>
        <w:rPr>
          <w:rFonts w:hint="eastAsia" w:ascii="Times New Roman" w:hAnsi="Times New Roman" w:cs="Times New Roman"/>
          <w:color w:val="auto"/>
          <w:szCs w:val="22"/>
          <w:lang w:val="en-US" w:eastAsia="zh-CN"/>
        </w:rPr>
        <w:t>在规划、设计、开展</w:t>
      </w:r>
      <w:r>
        <w:rPr>
          <w:rFonts w:hint="default" w:ascii="Times New Roman" w:hAnsi="Times New Roman" w:cs="Times New Roman"/>
          <w:color w:val="auto"/>
          <w:szCs w:val="22"/>
          <w:lang w:val="en-US" w:eastAsia="zh-CN"/>
        </w:rPr>
        <w:t>工业射线探伤</w:t>
      </w:r>
      <w:r>
        <w:rPr>
          <w:rFonts w:hint="eastAsia" w:ascii="Times New Roman" w:hAnsi="Times New Roman" w:cs="Times New Roman"/>
          <w:color w:val="auto"/>
          <w:szCs w:val="22"/>
          <w:lang w:val="en-US" w:eastAsia="zh-CN"/>
        </w:rPr>
        <w:t>的过程中，应遵循辐射实践正当性、剂量限制和潜在照射危险限制、防护与安全最优化等辐射防护要求。</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eastAsia="宋体" w:cs="Times New Roman"/>
          <w:b w:val="0"/>
          <w:color w:val="auto"/>
          <w:kern w:val="2"/>
          <w:sz w:val="21"/>
          <w:szCs w:val="21"/>
          <w:lang w:val="en-US" w:eastAsia="zh-CN" w:bidi="ar-SA"/>
        </w:rPr>
      </w:pPr>
      <w:r>
        <w:rPr>
          <w:rFonts w:hint="default" w:ascii="Times New Roman" w:hAnsi="Times New Roman" w:eastAsia="宋体" w:cs="Times New Roman"/>
          <w:color w:val="auto"/>
          <w:kern w:val="0"/>
          <w:sz w:val="21"/>
          <w:szCs w:val="21"/>
          <w:lang w:val="en-US" w:eastAsia="zh-CN" w:bidi="ar"/>
        </w:rPr>
        <w:t>工业射线探伤</w:t>
      </w:r>
      <w:r>
        <w:rPr>
          <w:rFonts w:hint="eastAsia" w:cs="Times New Roman"/>
          <w:color w:val="auto"/>
          <w:kern w:val="0"/>
          <w:sz w:val="21"/>
          <w:szCs w:val="21"/>
          <w:lang w:val="en-US" w:eastAsia="zh-CN" w:bidi="ar"/>
        </w:rPr>
        <w:t>项目在建设前应履行环境影响评价手续，并及时办理竣工验收及辐射安全许可证业务。</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eastAsia" w:ascii="Times New Roman" w:hAnsi="Times New Roman" w:eastAsia="宋体" w:cs="Times New Roman"/>
          <w:b w:val="0"/>
          <w:color w:val="auto"/>
          <w:kern w:val="2"/>
          <w:sz w:val="21"/>
          <w:szCs w:val="21"/>
          <w:lang w:val="en-US" w:eastAsia="zh-CN" w:bidi="ar-SA"/>
        </w:rPr>
      </w:pPr>
      <w:r>
        <w:rPr>
          <w:rFonts w:hint="eastAsia" w:ascii="Times New Roman" w:hAnsi="Times New Roman" w:eastAsia="宋体" w:cs="Times New Roman"/>
          <w:b w:val="0"/>
          <w:color w:val="auto"/>
          <w:kern w:val="2"/>
          <w:sz w:val="21"/>
          <w:szCs w:val="21"/>
          <w:lang w:val="en-US" w:eastAsia="zh-CN" w:bidi="ar-SA"/>
        </w:rPr>
        <w:t>使用单位应严格执行放射源进出口、转让、转移、收贮等相关</w:t>
      </w:r>
      <w:r>
        <w:rPr>
          <w:rFonts w:hint="eastAsia" w:cs="Times New Roman"/>
          <w:b w:val="0"/>
          <w:color w:val="auto"/>
          <w:kern w:val="2"/>
          <w:sz w:val="21"/>
          <w:szCs w:val="21"/>
          <w:lang w:val="en-US" w:eastAsia="zh-CN" w:bidi="ar-SA"/>
        </w:rPr>
        <w:t>要求</w:t>
      </w:r>
      <w:r>
        <w:rPr>
          <w:rFonts w:hint="eastAsia" w:ascii="Times New Roman" w:hAnsi="Times New Roman" w:eastAsia="宋体" w:cs="Times New Roman"/>
          <w:b w:val="0"/>
          <w:color w:val="auto"/>
          <w:kern w:val="2"/>
          <w:sz w:val="21"/>
          <w:szCs w:val="21"/>
          <w:lang w:val="en-US" w:eastAsia="zh-CN" w:bidi="ar-SA"/>
        </w:rPr>
        <w:t>，建立放射源、射线装置台账，并指定专人负责全国核技术利用辐射安全申报系统信息更新真实、准确、及时、完整。</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eastAsia="宋体" w:cs="Times New Roman"/>
          <w:b w:val="0"/>
          <w:color w:val="auto"/>
          <w:kern w:val="2"/>
          <w:sz w:val="21"/>
          <w:szCs w:val="21"/>
          <w:lang w:val="en-US" w:eastAsia="zh-CN" w:bidi="ar-SA"/>
        </w:rPr>
      </w:pPr>
      <w:r>
        <w:rPr>
          <w:rFonts w:hint="default" w:ascii="Times New Roman" w:hAnsi="Times New Roman" w:eastAsia="宋体" w:cs="Times New Roman"/>
          <w:b w:val="0"/>
          <w:color w:val="auto"/>
          <w:kern w:val="2"/>
          <w:sz w:val="21"/>
          <w:szCs w:val="21"/>
          <w:lang w:val="en-US" w:eastAsia="zh-CN" w:bidi="ar-SA"/>
        </w:rPr>
        <w:t>使用Ⅱ类放射源的工业</w:t>
      </w:r>
      <w:r>
        <w:rPr>
          <w:rFonts w:hint="eastAsia" w:ascii="Times New Roman" w:hAnsi="Times New Roman" w:eastAsia="宋体" w:cs="Times New Roman"/>
          <w:b w:val="0"/>
          <w:color w:val="auto"/>
          <w:kern w:val="2"/>
          <w:sz w:val="21"/>
          <w:szCs w:val="21"/>
          <w:lang w:val="en-US" w:eastAsia="zh-CN" w:bidi="ar-SA"/>
        </w:rPr>
        <w:t>射线探伤项目退役，按照建设项目环境影响评价分类管理名录要求，根据场所有无污染情况，使用单位分别组织编制环境影响报告表或者填报环境影响登记表。场所退役后，</w:t>
      </w:r>
      <w:r>
        <w:rPr>
          <w:rFonts w:hint="default" w:ascii="Times New Roman" w:hAnsi="Times New Roman" w:eastAsia="宋体" w:cs="Times New Roman"/>
          <w:b w:val="0"/>
          <w:color w:val="auto"/>
          <w:kern w:val="2"/>
          <w:sz w:val="21"/>
          <w:szCs w:val="21"/>
          <w:lang w:val="en-US" w:eastAsia="zh-CN" w:bidi="ar-SA"/>
        </w:rPr>
        <w:t>清除所有电离辐射警告标志和安全告知。</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eastAsia="宋体" w:cs="Times New Roman"/>
          <w:b w:val="0"/>
          <w:color w:val="auto"/>
          <w:kern w:val="2"/>
          <w:sz w:val="21"/>
          <w:szCs w:val="21"/>
          <w:lang w:val="en-US" w:eastAsia="zh-CN" w:bidi="ar-SA"/>
        </w:rPr>
      </w:pPr>
      <w:r>
        <w:rPr>
          <w:rFonts w:hint="eastAsia" w:ascii="Times New Roman" w:hAnsi="Times New Roman" w:eastAsia="宋体" w:cs="Times New Roman"/>
          <w:b w:val="0"/>
          <w:color w:val="auto"/>
          <w:kern w:val="2"/>
          <w:sz w:val="21"/>
          <w:szCs w:val="21"/>
          <w:lang w:val="en-US" w:eastAsia="zh-CN" w:bidi="ar-SA"/>
        </w:rPr>
        <w:t>使用单位应建立健全</w:t>
      </w:r>
      <w:r>
        <w:rPr>
          <w:rFonts w:hint="default" w:ascii="Times New Roman" w:hAnsi="Times New Roman" w:eastAsia="宋体" w:cs="Times New Roman"/>
          <w:b w:val="0"/>
          <w:color w:val="auto"/>
          <w:kern w:val="2"/>
          <w:sz w:val="21"/>
          <w:szCs w:val="21"/>
          <w:lang w:val="en-US" w:eastAsia="zh-CN" w:bidi="ar-SA"/>
        </w:rPr>
        <w:t>辐射安全与防护</w:t>
      </w:r>
      <w:r>
        <w:rPr>
          <w:rFonts w:hint="eastAsia" w:ascii="Times New Roman" w:hAnsi="Times New Roman" w:eastAsia="宋体" w:cs="Times New Roman"/>
          <w:b w:val="0"/>
          <w:color w:val="auto"/>
          <w:kern w:val="2"/>
          <w:sz w:val="21"/>
          <w:szCs w:val="21"/>
          <w:lang w:val="en-US" w:eastAsia="zh-CN" w:bidi="ar-SA"/>
        </w:rPr>
        <w:t>大</w:t>
      </w:r>
      <w:r>
        <w:rPr>
          <w:rFonts w:hint="default" w:ascii="Times New Roman" w:hAnsi="Times New Roman" w:eastAsia="宋体" w:cs="Times New Roman"/>
          <w:b w:val="0"/>
          <w:color w:val="auto"/>
          <w:kern w:val="2"/>
          <w:sz w:val="21"/>
          <w:szCs w:val="21"/>
          <w:lang w:val="en-US" w:eastAsia="zh-CN" w:bidi="ar-SA"/>
        </w:rPr>
        <w:t>纲</w:t>
      </w:r>
      <w:r>
        <w:rPr>
          <w:rFonts w:hint="eastAsia" w:ascii="Times New Roman" w:hAnsi="Times New Roman" w:eastAsia="宋体" w:cs="Times New Roman"/>
          <w:b w:val="0"/>
          <w:color w:val="auto"/>
          <w:kern w:val="2"/>
          <w:sz w:val="21"/>
          <w:szCs w:val="21"/>
          <w:lang w:val="en-US" w:eastAsia="zh-CN" w:bidi="ar-SA"/>
        </w:rPr>
        <w:t>，</w:t>
      </w:r>
      <w:r>
        <w:rPr>
          <w:rFonts w:hint="default" w:ascii="Times New Roman" w:hAnsi="Times New Roman" w:eastAsia="宋体" w:cs="Times New Roman"/>
          <w:b w:val="0"/>
          <w:color w:val="auto"/>
          <w:kern w:val="2"/>
          <w:sz w:val="21"/>
          <w:szCs w:val="21"/>
          <w:lang w:val="en-US" w:eastAsia="zh-CN" w:bidi="ar-SA"/>
        </w:rPr>
        <w:t>制定和</w:t>
      </w:r>
      <w:r>
        <w:rPr>
          <w:rFonts w:hint="eastAsia" w:ascii="Times New Roman" w:hAnsi="Times New Roman" w:eastAsia="宋体" w:cs="Times New Roman"/>
          <w:b w:val="0"/>
          <w:color w:val="auto"/>
          <w:kern w:val="2"/>
          <w:sz w:val="21"/>
          <w:szCs w:val="21"/>
          <w:lang w:val="en-US" w:eastAsia="zh-CN" w:bidi="ar-SA"/>
        </w:rPr>
        <w:t>落</w:t>
      </w:r>
      <w:r>
        <w:rPr>
          <w:rFonts w:hint="default" w:ascii="Times New Roman" w:hAnsi="Times New Roman" w:eastAsia="宋体" w:cs="Times New Roman"/>
          <w:b w:val="0"/>
          <w:color w:val="auto"/>
          <w:kern w:val="2"/>
          <w:sz w:val="21"/>
          <w:szCs w:val="21"/>
          <w:lang w:val="en-US" w:eastAsia="zh-CN" w:bidi="ar-SA"/>
        </w:rPr>
        <w:t>实各项规章制度及操作规程</w:t>
      </w:r>
      <w:r>
        <w:rPr>
          <w:rFonts w:hint="eastAsia" w:ascii="Times New Roman" w:hAnsi="Times New Roman" w:eastAsia="宋体" w:cs="Times New Roman"/>
          <w:b w:val="0"/>
          <w:color w:val="auto"/>
          <w:kern w:val="2"/>
          <w:sz w:val="21"/>
          <w:szCs w:val="21"/>
          <w:lang w:val="en-US" w:eastAsia="zh-CN" w:bidi="ar-SA"/>
        </w:rPr>
        <w:t>。其中，操作规程应包含工作前后检查项目，确保固有安全措施有效，确认放射源处于屏蔽状态等安全防护关键环节。</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eastAsia="黑体" w:cs="Times New Roman"/>
          <w:color w:val="auto"/>
          <w:szCs w:val="22"/>
          <w:lang w:val="en-US" w:eastAsia="zh-CN"/>
        </w:rPr>
      </w:pPr>
      <w:r>
        <w:rPr>
          <w:rFonts w:hint="eastAsia" w:ascii="Times New Roman" w:hAnsi="Times New Roman" w:eastAsia="宋体" w:cs="Times New Roman"/>
          <w:b w:val="0"/>
          <w:color w:val="auto"/>
          <w:kern w:val="2"/>
          <w:sz w:val="21"/>
          <w:szCs w:val="21"/>
          <w:lang w:val="en-US" w:eastAsia="zh-CN" w:bidi="ar-SA"/>
        </w:rPr>
        <w:t>使用单位应落实探伤机的领取审批制度，做好登记、检查、检测及定期盘点等记录，做到账物相符。</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宋体" w:hAnsi="宋体" w:eastAsia="宋体" w:cs="宋体"/>
          <w:b w:val="0"/>
          <w:color w:val="000000"/>
          <w:sz w:val="21"/>
          <w:szCs w:val="21"/>
        </w:rPr>
      </w:pPr>
      <w:r>
        <w:rPr>
          <w:rFonts w:hint="eastAsia" w:ascii="Times New Roman" w:hAnsi="Times New Roman" w:eastAsia="宋体" w:cs="Times New Roman"/>
          <w:b w:val="0"/>
          <w:color w:val="auto"/>
          <w:kern w:val="2"/>
          <w:sz w:val="21"/>
          <w:szCs w:val="21"/>
          <w:lang w:val="en-US" w:eastAsia="zh-CN" w:bidi="ar-SA"/>
        </w:rPr>
        <w:t>使用单位的辐射工作人员应当通过国家核技术利用辐射安全与防护培训及考核，考核合格后方可上岗。</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eastAsia="黑体" w:cs="Times New Roman"/>
          <w:color w:val="auto"/>
          <w:szCs w:val="22"/>
          <w:lang w:val="en-US" w:eastAsia="zh-CN"/>
        </w:rPr>
      </w:pPr>
      <w:r>
        <w:rPr>
          <w:rFonts w:hint="eastAsia" w:ascii="Times New Roman" w:hAnsi="Times New Roman" w:eastAsia="宋体" w:cs="Times New Roman"/>
          <w:b w:val="0"/>
          <w:color w:val="auto"/>
          <w:kern w:val="2"/>
          <w:sz w:val="21"/>
          <w:szCs w:val="21"/>
          <w:lang w:val="en-US" w:eastAsia="zh-CN" w:bidi="ar-SA"/>
        </w:rPr>
        <w:t>使用单位应对从事探伤工作的人员</w:t>
      </w:r>
      <w:r>
        <w:rPr>
          <w:rFonts w:hint="default" w:ascii="Times New Roman" w:hAnsi="Times New Roman" w:eastAsia="宋体" w:cs="Times New Roman"/>
          <w:b w:val="0"/>
          <w:color w:val="auto"/>
          <w:kern w:val="2"/>
          <w:sz w:val="21"/>
          <w:szCs w:val="21"/>
          <w:lang w:val="en-US" w:eastAsia="zh-CN" w:bidi="ar-SA"/>
        </w:rPr>
        <w:t>按 GBZ 128 的要求进行个人剂量监测，按 GBZ 98 的要求进行职业健康监护。</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r>
        <w:rPr>
          <w:rFonts w:hint="eastAsia" w:ascii="Times New Roman" w:hAnsi="Times New Roman" w:eastAsia="黑体" w:cs="Times New Roman"/>
          <w:color w:val="auto"/>
          <w:szCs w:val="22"/>
          <w:lang w:val="en-US" w:eastAsia="zh-CN"/>
        </w:rPr>
        <w:t>剂量限值和剂量约束值</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eastAsia="宋体" w:cs="Times New Roman"/>
          <w:b w:val="0"/>
          <w:color w:val="auto"/>
          <w:sz w:val="21"/>
          <w:szCs w:val="21"/>
        </w:rPr>
      </w:pPr>
      <w:r>
        <w:rPr>
          <w:rFonts w:hint="default" w:ascii="Times New Roman" w:hAnsi="Times New Roman" w:eastAsia="宋体" w:cs="Times New Roman"/>
          <w:color w:val="auto"/>
          <w:kern w:val="0"/>
          <w:sz w:val="21"/>
          <w:szCs w:val="21"/>
          <w:lang w:val="en-US" w:eastAsia="zh-CN" w:bidi="ar"/>
        </w:rPr>
        <w:t>工业射线探伤</w:t>
      </w:r>
      <w:r>
        <w:rPr>
          <w:rFonts w:hint="eastAsia" w:cs="Times New Roman"/>
          <w:color w:val="auto"/>
          <w:kern w:val="0"/>
          <w:sz w:val="21"/>
          <w:szCs w:val="21"/>
          <w:lang w:val="en-US" w:eastAsia="zh-CN" w:bidi="ar"/>
        </w:rPr>
        <w:t>实践</w:t>
      </w:r>
      <w:r>
        <w:rPr>
          <w:rFonts w:hint="default" w:ascii="Times New Roman" w:hAnsi="Times New Roman" w:eastAsia="宋体" w:cs="Times New Roman"/>
          <w:color w:val="auto"/>
          <w:kern w:val="0"/>
          <w:sz w:val="21"/>
          <w:szCs w:val="21"/>
          <w:lang w:val="en-US" w:eastAsia="zh-CN" w:bidi="ar"/>
        </w:rPr>
        <w:t>过程中，</w:t>
      </w:r>
      <w:r>
        <w:rPr>
          <w:rFonts w:hint="default" w:ascii="Times New Roman" w:hAnsi="Times New Roman" w:eastAsia="宋体" w:cs="Times New Roman"/>
          <w:b w:val="0"/>
          <w:color w:val="auto"/>
          <w:sz w:val="21"/>
          <w:szCs w:val="21"/>
        </w:rPr>
        <w:t>工作人员职业照射剂量限值和</w:t>
      </w:r>
      <w:r>
        <w:rPr>
          <w:rFonts w:hint="default" w:ascii="Times New Roman" w:hAnsi="Times New Roman" w:eastAsia="宋体" w:cs="Times New Roman"/>
          <w:b w:val="0"/>
          <w:color w:val="auto"/>
          <w:sz w:val="21"/>
          <w:szCs w:val="21"/>
          <w:lang w:val="en-US" w:eastAsia="zh-CN"/>
        </w:rPr>
        <w:t>工业射线探伤实践</w:t>
      </w:r>
      <w:r>
        <w:rPr>
          <w:rFonts w:hint="default" w:ascii="Times New Roman" w:hAnsi="Times New Roman" w:eastAsia="宋体" w:cs="Times New Roman"/>
          <w:b w:val="0"/>
          <w:color w:val="auto"/>
          <w:sz w:val="21"/>
          <w:szCs w:val="21"/>
        </w:rPr>
        <w:t>使公众成员所受到的剂量照射限值应满足</w:t>
      </w:r>
      <w:r>
        <w:rPr>
          <w:rFonts w:hint="default" w:ascii="Times New Roman" w:hAnsi="Times New Roman" w:eastAsia="TimesNewRomanPSMT" w:cs="Times New Roman"/>
          <w:b w:val="0"/>
          <w:color w:val="auto"/>
          <w:sz w:val="21"/>
          <w:szCs w:val="21"/>
        </w:rPr>
        <w:t>GB</w:t>
      </w:r>
      <w:r>
        <w:rPr>
          <w:rFonts w:hint="default" w:ascii="Times New Roman" w:hAnsi="Times New Roman" w:eastAsia="宋体" w:cs="Times New Roman"/>
          <w:b w:val="0"/>
          <w:color w:val="auto"/>
          <w:sz w:val="21"/>
          <w:szCs w:val="21"/>
          <w:lang w:val="en-US" w:eastAsia="zh-CN"/>
        </w:rPr>
        <w:t xml:space="preserve"> </w:t>
      </w:r>
      <w:r>
        <w:rPr>
          <w:rFonts w:hint="default" w:ascii="Times New Roman" w:hAnsi="Times New Roman" w:eastAsia="TimesNewRomanPSMT" w:cs="Times New Roman"/>
          <w:b w:val="0"/>
          <w:color w:val="auto"/>
          <w:sz w:val="21"/>
          <w:szCs w:val="21"/>
        </w:rPr>
        <w:t>18871</w:t>
      </w:r>
      <w:r>
        <w:rPr>
          <w:rFonts w:hint="default" w:ascii="Times New Roman" w:hAnsi="Times New Roman" w:eastAsia="宋体" w:cs="Times New Roman"/>
          <w:b w:val="0"/>
          <w:color w:val="auto"/>
          <w:sz w:val="21"/>
          <w:szCs w:val="21"/>
        </w:rPr>
        <w:t>的要求。</w:t>
      </w:r>
      <w:r>
        <w:rPr>
          <w:rFonts w:hint="eastAsia" w:ascii="Times New Roman" w:hAnsi="Times New Roman" w:eastAsia="宋体" w:cs="Times New Roman"/>
          <w:b w:val="0"/>
          <w:color w:val="auto"/>
          <w:sz w:val="21"/>
          <w:szCs w:val="21"/>
        </w:rPr>
        <w:t>从事工业射线探伤的职业照射和公众照射剂量约束值应符合以下要求：</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9"/>
        <w:rPr>
          <w:rFonts w:hint="default" w:ascii="Times New Roman" w:hAnsi="Times New Roman" w:eastAsia="TimesNewRomanPSMT" w:cs="Times New Roman"/>
          <w:b w:val="0"/>
          <w:color w:val="auto"/>
          <w:sz w:val="21"/>
          <w:szCs w:val="21"/>
        </w:rPr>
      </w:pPr>
      <w:r>
        <w:rPr>
          <w:rFonts w:hint="default" w:ascii="Times New Roman" w:hAnsi="Times New Roman" w:eastAsia="TimesNewRomanPSMT" w:cs="Times New Roman"/>
          <w:b w:val="0"/>
          <w:color w:val="auto"/>
          <w:sz w:val="21"/>
          <w:szCs w:val="21"/>
        </w:rPr>
        <w:t>a</w:t>
      </w:r>
      <w:r>
        <w:rPr>
          <w:rFonts w:hint="default" w:ascii="Times New Roman" w:hAnsi="Times New Roman" w:eastAsia="宋体" w:cs="Times New Roman"/>
          <w:b w:val="0"/>
          <w:color w:val="auto"/>
          <w:sz w:val="21"/>
          <w:szCs w:val="21"/>
        </w:rPr>
        <w:t>）一般情况下，从事工业射线探伤的职业照射剂量约束值不超过 5 mSv/a；</w:t>
      </w:r>
      <w:r>
        <w:rPr>
          <w:rFonts w:hint="default" w:ascii="Times New Roman" w:hAnsi="Times New Roman" w:eastAsia="TimesNewRomanPSMT" w:cs="Times New Roman"/>
          <w:b w:val="0"/>
          <w:color w:val="auto"/>
          <w:sz w:val="21"/>
          <w:szCs w:val="21"/>
        </w:rPr>
        <w:t xml:space="preserve"> </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textAlignment w:val="auto"/>
        <w:outlineLvl w:val="9"/>
        <w:rPr>
          <w:rFonts w:hint="default" w:cs="Times New Roman"/>
          <w:color w:val="auto"/>
          <w:szCs w:val="22"/>
          <w:lang w:val="en-US" w:eastAsia="zh-CN"/>
        </w:rPr>
      </w:pPr>
      <w:r>
        <w:rPr>
          <w:rFonts w:hint="default" w:ascii="Times New Roman" w:hAnsi="Times New Roman" w:eastAsia="TimesNewRomanPSMT" w:cs="Times New Roman"/>
          <w:b w:val="0"/>
          <w:color w:val="auto"/>
          <w:sz w:val="21"/>
          <w:szCs w:val="21"/>
        </w:rPr>
        <w:t>b</w:t>
      </w:r>
      <w:r>
        <w:rPr>
          <w:rFonts w:hint="default" w:ascii="Times New Roman" w:hAnsi="Times New Roman" w:eastAsia="宋体" w:cs="Times New Roman"/>
          <w:b w:val="0"/>
          <w:color w:val="auto"/>
          <w:sz w:val="21"/>
          <w:szCs w:val="21"/>
        </w:rPr>
        <w:t>）公众照射的剂量约束值不超过 0.1 mSv/a。</w:t>
      </w:r>
    </w:p>
    <w:p>
      <w:pPr>
        <w:pStyle w:val="31"/>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240" w:lineRule="auto"/>
        <w:ind w:left="425" w:hanging="425" w:firstLineChars="0"/>
        <w:textAlignment w:val="auto"/>
        <w:outlineLvl w:val="0"/>
        <w:rPr>
          <w:rFonts w:hint="default" w:ascii="Times New Roman" w:hAnsi="Times New Roman" w:eastAsia="黑体" w:cs="Times New Roman"/>
          <w:color w:val="auto"/>
          <w:szCs w:val="22"/>
        </w:rPr>
      </w:pPr>
      <w:bookmarkStart w:id="13" w:name="_Toc7944"/>
      <w:r>
        <w:rPr>
          <w:rFonts w:hint="default" w:ascii="Times New Roman" w:hAnsi="Times New Roman" w:eastAsia="黑体" w:cs="Times New Roman"/>
          <w:color w:val="auto"/>
          <w:szCs w:val="22"/>
        </w:rPr>
        <w:t>探伤设备辐射安全与防护</w:t>
      </w:r>
      <w:bookmarkEnd w:id="13"/>
    </w:p>
    <w:p>
      <w:pPr>
        <w:pStyle w:val="31"/>
        <w:keepNext w:val="0"/>
        <w:keepLines w:val="0"/>
        <w:pageBreakBefore w:val="0"/>
        <w:numPr>
          <w:ilvl w:val="1"/>
          <w:numId w:val="3"/>
        </w:numPr>
        <w:kinsoku/>
        <w:wordWrap/>
        <w:overflowPunct/>
        <w:topLinePunct w:val="0"/>
        <w:autoSpaceDE/>
        <w:autoSpaceDN/>
        <w:bidi w:val="0"/>
        <w:adjustRightInd/>
        <w:snapToGrid/>
        <w:spacing w:before="240" w:after="240" w:line="240" w:lineRule="auto"/>
        <w:ind w:left="0" w:firstLine="0" w:firstLineChars="0"/>
        <w:textAlignment w:val="auto"/>
        <w:outlineLvl w:val="1"/>
        <w:rPr>
          <w:rFonts w:hint="default" w:ascii="Times New Roman" w:hAnsi="Times New Roman" w:eastAsia="黑体" w:cs="Times New Roman"/>
          <w:color w:val="auto"/>
          <w:szCs w:val="22"/>
        </w:rPr>
      </w:pPr>
      <w:r>
        <w:rPr>
          <w:rFonts w:hint="default" w:ascii="Times New Roman" w:hAnsi="Times New Roman" w:eastAsia="黑体" w:cs="Times New Roman"/>
          <w:color w:val="auto"/>
          <w:szCs w:val="22"/>
        </w:rPr>
        <w:t>γ</w:t>
      </w:r>
      <w:r>
        <w:rPr>
          <w:rFonts w:hint="default" w:ascii="Times New Roman" w:hAnsi="Times New Roman" w:eastAsia="黑体" w:cs="Times New Roman"/>
          <w:color w:val="auto"/>
          <w:szCs w:val="22"/>
          <w:lang w:val="en-US" w:eastAsia="zh-CN"/>
        </w:rPr>
        <w:t>射线</w:t>
      </w:r>
      <w:r>
        <w:rPr>
          <w:rFonts w:hint="default" w:ascii="Times New Roman" w:hAnsi="Times New Roman" w:eastAsia="黑体" w:cs="Times New Roman"/>
          <w:color w:val="auto"/>
          <w:szCs w:val="22"/>
        </w:rPr>
        <w:t>探伤机</w:t>
      </w:r>
      <w:bookmarkEnd w:id="11"/>
      <w:bookmarkEnd w:id="12"/>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color w:val="auto"/>
          <w:szCs w:val="22"/>
        </w:rPr>
      </w:pPr>
      <w:bookmarkStart w:id="14" w:name="_Toc16285"/>
      <w:r>
        <w:rPr>
          <w:rFonts w:hint="default" w:ascii="Times New Roman" w:hAnsi="Times New Roman" w:cs="Times New Roman"/>
          <w:color w:val="auto"/>
          <w:szCs w:val="22"/>
        </w:rPr>
        <w:t>当源容器装载最大活度值的密封源并处于锁定状态且装配好保护盖（若有）时，源容器外表面一定距离处的周围剂量当量率应不超过表</w:t>
      </w:r>
      <w:r>
        <w:rPr>
          <w:rFonts w:hint="default" w:ascii="Times New Roman" w:hAnsi="Times New Roman" w:cs="Times New Roman"/>
          <w:color w:val="auto"/>
          <w:szCs w:val="22"/>
          <w:lang w:val="en-US" w:eastAsia="zh-CN"/>
        </w:rPr>
        <w:t>1</w:t>
      </w:r>
      <w:r>
        <w:rPr>
          <w:rFonts w:hint="default" w:ascii="Times New Roman" w:hAnsi="Times New Roman" w:cs="Times New Roman"/>
          <w:color w:val="auto"/>
          <w:szCs w:val="22"/>
        </w:rPr>
        <w:t>规定的控制值，随机文件中应有该指标的说明</w:t>
      </w:r>
      <w:r>
        <w:rPr>
          <w:rFonts w:hint="default" w:ascii="Times New Roman" w:hAnsi="Times New Roman" w:cs="Times New Roman"/>
          <w:color w:val="auto"/>
          <w:szCs w:val="22"/>
          <w:lang w:val="en-US" w:eastAsia="zh-CN"/>
        </w:rPr>
        <w:t>。</w:t>
      </w:r>
    </w:p>
    <w:bookmarkEnd w:id="14"/>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黑体" w:cs="Times New Roman"/>
          <w:color w:val="auto"/>
          <w:szCs w:val="22"/>
        </w:rPr>
      </w:pPr>
    </w:p>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黑体" w:cs="Times New Roman"/>
          <w:color w:val="auto"/>
          <w:szCs w:val="22"/>
        </w:rPr>
      </w:pPr>
      <w:r>
        <w:rPr>
          <w:rFonts w:hint="default" w:ascii="Times New Roman" w:hAnsi="Times New Roman" w:eastAsia="黑体" w:cs="Times New Roman"/>
          <w:color w:val="auto"/>
          <w:szCs w:val="22"/>
        </w:rPr>
        <w:t>表1</w:t>
      </w:r>
      <w:r>
        <w:rPr>
          <w:rFonts w:hint="eastAsia" w:eastAsia="黑体" w:cs="Times New Roman"/>
          <w:color w:val="auto"/>
          <w:szCs w:val="22"/>
          <w:lang w:val="en-US" w:eastAsia="zh-CN"/>
        </w:rPr>
        <w:t xml:space="preserve"> </w:t>
      </w:r>
      <w:r>
        <w:rPr>
          <w:rFonts w:ascii="黑体" w:hAnsi="宋体" w:eastAsia="黑体" w:cs="黑体"/>
          <w:b w:val="0"/>
          <w:color w:val="000000"/>
          <w:sz w:val="21"/>
          <w:szCs w:val="21"/>
        </w:rPr>
        <w:t>源容器外表面一定距离处周围剂量当量率控制值</w:t>
      </w:r>
    </w:p>
    <w:tbl>
      <w:tblPr>
        <w:tblStyle w:val="26"/>
        <w:tblW w:w="8259"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477"/>
        <w:gridCol w:w="1539"/>
        <w:gridCol w:w="2621"/>
        <w:gridCol w:w="26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blHeader/>
        </w:trPr>
        <w:tc>
          <w:tcPr>
            <w:tcW w:w="3016" w:type="dxa"/>
            <w:gridSpan w:val="2"/>
            <w:vMerge w:val="restart"/>
            <w:vAlign w:val="center"/>
          </w:tcPr>
          <w:p>
            <w:pPr>
              <w:pStyle w:val="31"/>
              <w:keepNext w:val="0"/>
              <w:keepLines w:val="0"/>
              <w:pageBreakBefore w:val="0"/>
              <w:kinsoku/>
              <w:wordWrap/>
              <w:overflowPunct/>
              <w:topLinePunct w:val="0"/>
              <w:autoSpaceDE/>
              <w:autoSpaceDN/>
              <w:bidi w:val="0"/>
              <w:adjustRightInd/>
              <w:snapToGrid/>
              <w:spacing w:line="240" w:lineRule="auto"/>
              <w:ind w:firstLine="33" w:firstLineChars="16"/>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γ射线探伤装置类别与代号</w:t>
            </w:r>
          </w:p>
        </w:tc>
        <w:tc>
          <w:tcPr>
            <w:tcW w:w="5243" w:type="dxa"/>
            <w:gridSpan w:val="2"/>
            <w:vAlign w:val="top"/>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最大周围剂量当量率（mSv/h）</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blHeader/>
        </w:trPr>
        <w:tc>
          <w:tcPr>
            <w:tcW w:w="3016" w:type="dxa"/>
            <w:gridSpan w:val="2"/>
            <w:vMerge w:val="continue"/>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p>
        </w:tc>
        <w:tc>
          <w:tcPr>
            <w:tcW w:w="2621"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color w:val="auto"/>
                <w:szCs w:val="22"/>
                <w:lang w:val="en-US" w:eastAsia="zh-CN"/>
              </w:rPr>
            </w:pPr>
            <w:r>
              <w:rPr>
                <w:rFonts w:hint="default" w:ascii="Times New Roman" w:hAnsi="Times New Roman" w:cs="Times New Roman"/>
                <w:color w:val="auto"/>
                <w:szCs w:val="22"/>
                <w:lang w:val="en-US" w:eastAsia="zh-CN"/>
              </w:rPr>
              <w:t>离源容器表面</w:t>
            </w:r>
            <w:r>
              <w:rPr>
                <w:rFonts w:hint="default" w:ascii="Times New Roman" w:hAnsi="Times New Roman" w:cs="Times New Roman"/>
                <w:color w:val="auto"/>
                <w:szCs w:val="22"/>
              </w:rPr>
              <w:t>5</w:t>
            </w:r>
            <w:r>
              <w:rPr>
                <w:rFonts w:hint="eastAsia" w:cs="Times New Roman"/>
                <w:color w:val="auto"/>
                <w:szCs w:val="22"/>
                <w:lang w:val="en-US" w:eastAsia="zh-CN"/>
              </w:rPr>
              <w:t xml:space="preserve"> </w:t>
            </w:r>
            <w:r>
              <w:rPr>
                <w:rFonts w:hint="default" w:ascii="Times New Roman" w:hAnsi="Times New Roman" w:cs="Times New Roman"/>
                <w:color w:val="auto"/>
                <w:szCs w:val="22"/>
              </w:rPr>
              <w:t>cm</w:t>
            </w:r>
            <w:r>
              <w:rPr>
                <w:rFonts w:hint="default" w:ascii="Times New Roman" w:hAnsi="Times New Roman" w:cs="Times New Roman"/>
                <w:color w:val="auto"/>
                <w:szCs w:val="22"/>
                <w:lang w:val="en-US" w:eastAsia="zh-CN"/>
              </w:rPr>
              <w:t>处</w:t>
            </w:r>
          </w:p>
        </w:tc>
        <w:tc>
          <w:tcPr>
            <w:tcW w:w="2622" w:type="dxa"/>
            <w:vAlign w:val="top"/>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lang w:val="en-US" w:eastAsia="zh-CN"/>
              </w:rPr>
              <w:t>离源容器表面100</w:t>
            </w:r>
            <w:r>
              <w:rPr>
                <w:rFonts w:hint="eastAsia" w:cs="Times New Roman"/>
                <w:color w:val="auto"/>
                <w:szCs w:val="22"/>
                <w:lang w:val="en-US" w:eastAsia="zh-CN"/>
              </w:rPr>
              <w:t xml:space="preserve"> </w:t>
            </w:r>
            <w:r>
              <w:rPr>
                <w:rFonts w:hint="default" w:ascii="Times New Roman" w:hAnsi="Times New Roman" w:cs="Times New Roman"/>
                <w:color w:val="auto"/>
                <w:szCs w:val="22"/>
              </w:rPr>
              <w:t>cm</w:t>
            </w:r>
            <w:r>
              <w:rPr>
                <w:rFonts w:hint="default" w:ascii="Times New Roman" w:hAnsi="Times New Roman" w:cs="Times New Roman"/>
                <w:color w:val="auto"/>
                <w:szCs w:val="22"/>
                <w:lang w:val="en-US" w:eastAsia="zh-CN"/>
              </w:rPr>
              <w:t>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1477"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color w:val="auto"/>
                <w:szCs w:val="22"/>
                <w:lang w:eastAsia="zh-CN"/>
              </w:rPr>
            </w:pPr>
            <w:r>
              <w:rPr>
                <w:rFonts w:hint="default" w:ascii="Times New Roman" w:hAnsi="Times New Roman" w:cs="Times New Roman"/>
                <w:color w:val="auto"/>
                <w:szCs w:val="22"/>
                <w:lang w:val="en-US" w:eastAsia="zh-CN"/>
              </w:rPr>
              <w:t>便携式</w:t>
            </w:r>
          </w:p>
        </w:tc>
        <w:tc>
          <w:tcPr>
            <w:tcW w:w="1539"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P</w:t>
            </w:r>
          </w:p>
        </w:tc>
        <w:tc>
          <w:tcPr>
            <w:tcW w:w="2621"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0.5</w:t>
            </w:r>
          </w:p>
        </w:tc>
        <w:tc>
          <w:tcPr>
            <w:tcW w:w="2622"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0.02</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1477"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移动式</w:t>
            </w:r>
          </w:p>
        </w:tc>
        <w:tc>
          <w:tcPr>
            <w:tcW w:w="1539"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M</w:t>
            </w:r>
          </w:p>
        </w:tc>
        <w:tc>
          <w:tcPr>
            <w:tcW w:w="2621"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1</w:t>
            </w:r>
          </w:p>
        </w:tc>
        <w:tc>
          <w:tcPr>
            <w:tcW w:w="2622"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0.05</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1477"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固定式</w:t>
            </w:r>
          </w:p>
        </w:tc>
        <w:tc>
          <w:tcPr>
            <w:tcW w:w="1539"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F</w:t>
            </w:r>
          </w:p>
        </w:tc>
        <w:tc>
          <w:tcPr>
            <w:tcW w:w="2621"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1</w:t>
            </w:r>
          </w:p>
        </w:tc>
        <w:tc>
          <w:tcPr>
            <w:tcW w:w="2622" w:type="dxa"/>
          </w:tcPr>
          <w:p>
            <w:pPr>
              <w:pStyle w:val="31"/>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0.1</w:t>
            </w:r>
          </w:p>
        </w:tc>
      </w:tr>
    </w:tbl>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color w:val="auto"/>
          <w:szCs w:val="22"/>
        </w:rPr>
      </w:pPr>
      <w:bookmarkStart w:id="15" w:name="_Toc96316676"/>
      <w:bookmarkStart w:id="16" w:name="_Toc14142"/>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color w:val="auto"/>
          <w:szCs w:val="22"/>
        </w:rPr>
      </w:pPr>
      <w:r>
        <w:rPr>
          <w:rFonts w:hint="default" w:ascii="Times New Roman" w:hAnsi="Times New Roman" w:cs="Times New Roman"/>
          <w:color w:val="auto"/>
          <w:szCs w:val="22"/>
          <w:lang w:val="en-US" w:eastAsia="zh-CN"/>
        </w:rPr>
        <w:t>探</w:t>
      </w:r>
      <w:r>
        <w:rPr>
          <w:rFonts w:hint="default" w:ascii="Times New Roman" w:hAnsi="Times New Roman" w:cs="Times New Roman"/>
          <w:szCs w:val="22"/>
        </w:rPr>
        <w:t>伤机的安全使用期限不得超过10年</w:t>
      </w:r>
      <w:r>
        <w:rPr>
          <w:rFonts w:hint="default" w:ascii="Times New Roman" w:hAnsi="Times New Roman" w:cs="Times New Roman"/>
          <w:szCs w:val="22"/>
          <w:lang w:eastAsia="zh-CN"/>
        </w:rPr>
        <w:t>。</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color w:val="auto"/>
          <w:szCs w:val="22"/>
        </w:rPr>
      </w:pPr>
      <w:r>
        <w:rPr>
          <w:rFonts w:hint="default" w:ascii="Times New Roman" w:hAnsi="Times New Roman" w:cs="Times New Roman"/>
          <w:color w:val="auto"/>
          <w:szCs w:val="22"/>
          <w:lang w:val="en-US" w:eastAsia="zh-CN"/>
        </w:rPr>
        <w:t>其他辐射安全与防护性能应符合GB/T 14058的要求。</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color w:val="auto"/>
          <w:szCs w:val="22"/>
        </w:rPr>
      </w:pPr>
      <w:r>
        <w:rPr>
          <w:rFonts w:hint="eastAsia" w:cs="Times New Roman"/>
          <w:b w:val="0"/>
          <w:bCs w:val="0"/>
          <w:color w:val="auto"/>
          <w:szCs w:val="22"/>
          <w:lang w:val="en-US" w:eastAsia="zh-CN"/>
        </w:rPr>
        <w:t>使用</w:t>
      </w:r>
      <w:r>
        <w:rPr>
          <w:rFonts w:hint="default" w:ascii="Times New Roman" w:hAnsi="Times New Roman" w:cs="Times New Roman"/>
          <w:b w:val="0"/>
          <w:bCs w:val="0"/>
          <w:color w:val="auto"/>
          <w:szCs w:val="22"/>
          <w:lang w:val="en-US" w:eastAsia="zh-CN"/>
        </w:rPr>
        <w:t>单位从事</w:t>
      </w:r>
      <w:r>
        <w:rPr>
          <w:rFonts w:hint="eastAsia" w:cs="Times New Roman"/>
          <w:b w:val="0"/>
          <w:bCs w:val="0"/>
          <w:color w:val="auto"/>
          <w:szCs w:val="22"/>
          <w:lang w:val="en-US" w:eastAsia="zh-CN"/>
        </w:rPr>
        <w:t>γ</w:t>
      </w:r>
      <w:r>
        <w:rPr>
          <w:rFonts w:hint="default" w:ascii="Times New Roman" w:hAnsi="Times New Roman" w:cs="Times New Roman"/>
          <w:b w:val="0"/>
          <w:bCs w:val="0"/>
          <w:color w:val="auto"/>
          <w:szCs w:val="22"/>
          <w:lang w:val="en-US" w:eastAsia="zh-CN"/>
        </w:rPr>
        <w:t>移动探伤作业的，应拥有5台以上探伤装置。</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Cs w:val="22"/>
          <w:lang w:val="en-US" w:eastAsia="zh-CN"/>
        </w:rPr>
      </w:pPr>
      <w:r>
        <w:rPr>
          <w:rFonts w:hint="eastAsia" w:ascii="宋体" w:hAnsi="宋体" w:eastAsia="宋体" w:cs="宋体"/>
          <w:b w:val="0"/>
          <w:color w:val="000000"/>
          <w:sz w:val="21"/>
          <w:szCs w:val="21"/>
        </w:rPr>
        <w:t>使用单位人员不应单独对探伤机进行维修</w:t>
      </w:r>
      <w:r>
        <w:rPr>
          <w:rFonts w:hint="eastAsia" w:ascii="宋体" w:hAnsi="宋体" w:cs="宋体"/>
          <w:b w:val="0"/>
          <w:color w:val="000000"/>
          <w:sz w:val="21"/>
          <w:szCs w:val="21"/>
          <w:lang w:eastAsia="zh-CN"/>
        </w:rPr>
        <w:t>，</w:t>
      </w:r>
      <w:r>
        <w:rPr>
          <w:rFonts w:hint="eastAsia" w:ascii="宋体" w:hAnsi="宋体" w:eastAsia="宋体" w:cs="宋体"/>
          <w:b w:val="0"/>
          <w:color w:val="000000"/>
          <w:sz w:val="21"/>
          <w:szCs w:val="21"/>
        </w:rPr>
        <w:t>维修γ射线探伤机时，应由厂家专业人员将放射源倒入换源器后进行。</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color w:val="auto"/>
          <w:szCs w:val="22"/>
        </w:rPr>
      </w:pPr>
      <w:r>
        <w:rPr>
          <w:rFonts w:hint="default" w:ascii="宋体" w:hAnsi="宋体" w:eastAsia="宋体" w:cs="宋体"/>
          <w:b w:val="0"/>
          <w:color w:val="000000"/>
          <w:sz w:val="21"/>
          <w:szCs w:val="21"/>
          <w:lang w:val="en-US" w:eastAsia="zh-CN"/>
        </w:rPr>
        <w:t>使用单位应与放射源生产、销售单位签订废旧放射源返回协议，当放射源需报废时，应按照协议规定将废旧放射源返回生产单位或原出口方。</w:t>
      </w:r>
    </w:p>
    <w:p>
      <w:pPr>
        <w:pStyle w:val="31"/>
        <w:keepNext w:val="0"/>
        <w:keepLines w:val="0"/>
        <w:pageBreakBefore w:val="0"/>
        <w:numPr>
          <w:ilvl w:val="1"/>
          <w:numId w:val="3"/>
        </w:numPr>
        <w:kinsoku/>
        <w:wordWrap/>
        <w:overflowPunct/>
        <w:topLinePunct w:val="0"/>
        <w:autoSpaceDE/>
        <w:autoSpaceDN/>
        <w:bidi w:val="0"/>
        <w:adjustRightInd/>
        <w:snapToGrid/>
        <w:spacing w:before="240" w:after="240" w:line="240" w:lineRule="auto"/>
        <w:ind w:left="0" w:firstLine="0" w:firstLineChars="0"/>
        <w:textAlignment w:val="auto"/>
        <w:outlineLvl w:val="1"/>
        <w:rPr>
          <w:rFonts w:hint="default" w:ascii="Times New Roman" w:hAnsi="Times New Roman" w:eastAsia="黑体" w:cs="Times New Roman"/>
          <w:color w:val="auto"/>
          <w:szCs w:val="22"/>
        </w:rPr>
      </w:pPr>
      <w:r>
        <w:rPr>
          <w:rFonts w:hint="default" w:ascii="Times New Roman" w:hAnsi="Times New Roman" w:eastAsia="黑体" w:cs="Times New Roman"/>
          <w:color w:val="auto"/>
          <w:szCs w:val="22"/>
        </w:rPr>
        <w:t>X</w:t>
      </w:r>
      <w:r>
        <w:rPr>
          <w:rFonts w:hint="default" w:ascii="Times New Roman" w:hAnsi="Times New Roman" w:eastAsia="黑体" w:cs="Times New Roman"/>
          <w:color w:val="auto"/>
          <w:szCs w:val="22"/>
          <w:lang w:val="en-US" w:eastAsia="zh-CN"/>
        </w:rPr>
        <w:t>射线</w:t>
      </w:r>
      <w:r>
        <w:rPr>
          <w:rFonts w:hint="default" w:ascii="Times New Roman" w:hAnsi="Times New Roman" w:eastAsia="黑体" w:cs="Times New Roman"/>
          <w:color w:val="auto"/>
          <w:szCs w:val="22"/>
        </w:rPr>
        <w:t>探伤机</w:t>
      </w:r>
      <w:bookmarkEnd w:id="15"/>
      <w:bookmarkEnd w:id="16"/>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eastAsia="宋体" w:cs="Times New Roman"/>
          <w:color w:val="auto"/>
          <w:szCs w:val="22"/>
          <w:lang w:val="en-US" w:eastAsia="zh-CN"/>
        </w:rPr>
      </w:pPr>
      <w:bookmarkStart w:id="17" w:name="_Toc30520"/>
      <w:r>
        <w:rPr>
          <w:rFonts w:hint="default" w:ascii="Times New Roman" w:hAnsi="Times New Roman" w:eastAsia="宋体" w:cs="Times New Roman"/>
          <w:color w:val="auto"/>
          <w:szCs w:val="22"/>
          <w:lang w:val="en-US" w:eastAsia="zh-CN"/>
        </w:rPr>
        <w:t>X射线探伤机在额定工作条件下，距X射线管焦点100</w:t>
      </w:r>
      <w:r>
        <w:rPr>
          <w:rFonts w:hint="eastAsia" w:cs="Times New Roman"/>
          <w:color w:val="auto"/>
          <w:szCs w:val="22"/>
          <w:lang w:val="en-US" w:eastAsia="zh-CN"/>
        </w:rPr>
        <w:t xml:space="preserve"> </w:t>
      </w:r>
      <w:r>
        <w:rPr>
          <w:rFonts w:hint="default" w:ascii="Times New Roman" w:hAnsi="Times New Roman" w:eastAsia="宋体" w:cs="Times New Roman"/>
          <w:color w:val="auto"/>
          <w:szCs w:val="22"/>
          <w:lang w:val="en-US" w:eastAsia="zh-CN"/>
        </w:rPr>
        <w:t>cm处的漏射线所致周围剂量当量率应符合表2的要求，在随机文件中应有这些指标的说明</w:t>
      </w:r>
      <w:bookmarkEnd w:id="17"/>
      <w:r>
        <w:rPr>
          <w:rFonts w:hint="default" w:ascii="Times New Roman" w:hAnsi="Times New Roman" w:cs="Times New Roman"/>
          <w:color w:val="auto"/>
          <w:szCs w:val="22"/>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kern w:val="0"/>
          <w:sz w:val="21"/>
          <w:szCs w:val="21"/>
          <w:lang w:val="en-US" w:eastAsia="zh-CN" w:bidi="ar"/>
        </w:rPr>
      </w:pPr>
      <w:r>
        <w:rPr>
          <w:rFonts w:hint="default" w:ascii="Times New Roman" w:hAnsi="Times New Roman" w:eastAsia="黑体" w:cs="Times New Roman"/>
          <w:color w:val="auto"/>
          <w:kern w:val="0"/>
          <w:sz w:val="21"/>
          <w:szCs w:val="21"/>
          <w:lang w:val="en-US" w:eastAsia="zh-CN" w:bidi="ar"/>
        </w:rPr>
        <w:t xml:space="preserve">表2 </w:t>
      </w:r>
      <w:r>
        <w:rPr>
          <w:rFonts w:hint="eastAsia" w:eastAsia="黑体" w:cs="Times New Roman"/>
          <w:color w:val="auto"/>
          <w:kern w:val="0"/>
          <w:sz w:val="21"/>
          <w:szCs w:val="21"/>
          <w:lang w:val="en-US" w:eastAsia="zh-CN" w:bidi="ar"/>
        </w:rPr>
        <w:t xml:space="preserve"> </w:t>
      </w:r>
      <w:r>
        <w:rPr>
          <w:rFonts w:hint="default" w:ascii="Times New Roman" w:hAnsi="Times New Roman" w:eastAsia="黑体" w:cs="Times New Roman"/>
          <w:color w:val="auto"/>
          <w:kern w:val="0"/>
          <w:sz w:val="21"/>
          <w:szCs w:val="21"/>
          <w:lang w:val="en-US" w:eastAsia="zh-CN" w:bidi="ar"/>
        </w:rPr>
        <w:t>X射线管头组装体漏射线所致周围剂量当量率控制值</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color w:val="auto"/>
                <w:kern w:val="0"/>
                <w:sz w:val="21"/>
                <w:szCs w:val="21"/>
                <w:vertAlign w:val="baseline"/>
                <w:lang w:val="en-US" w:eastAsia="zh-CN" w:bidi="ar"/>
              </w:rPr>
            </w:pPr>
            <w:r>
              <w:rPr>
                <w:rFonts w:hint="default" w:ascii="Times New Roman" w:hAnsi="Times New Roman" w:eastAsia="宋体" w:cs="Times New Roman"/>
                <w:color w:val="auto"/>
                <w:kern w:val="0"/>
                <w:sz w:val="21"/>
                <w:szCs w:val="21"/>
                <w:vertAlign w:val="baseline"/>
                <w:lang w:val="en-US" w:eastAsia="zh-CN" w:bidi="ar"/>
              </w:rPr>
              <w:t>管电压（kV）</w:t>
            </w: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color w:val="auto"/>
                <w:kern w:val="0"/>
                <w:sz w:val="21"/>
                <w:szCs w:val="21"/>
                <w:vertAlign w:val="baseline"/>
                <w:lang w:val="en-US" w:eastAsia="zh-CN" w:bidi="ar"/>
              </w:rPr>
            </w:pPr>
            <w:r>
              <w:rPr>
                <w:rFonts w:hint="default" w:ascii="Times New Roman" w:hAnsi="Times New Roman" w:eastAsia="宋体" w:cs="Times New Roman"/>
                <w:color w:val="auto"/>
                <w:kern w:val="0"/>
                <w:sz w:val="21"/>
                <w:szCs w:val="21"/>
                <w:vertAlign w:val="baseline"/>
                <w:lang w:val="en-US" w:eastAsia="zh-CN" w:bidi="ar"/>
              </w:rPr>
              <w:t>漏射线所致周围剂量当量率（mSv/h）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color w:val="auto"/>
                <w:kern w:val="0"/>
                <w:sz w:val="21"/>
                <w:szCs w:val="21"/>
                <w:vertAlign w:val="baseline"/>
                <w:lang w:val="en-US" w:eastAsia="zh-CN" w:bidi="ar"/>
              </w:rPr>
            </w:pPr>
            <w:r>
              <w:rPr>
                <w:rFonts w:hint="default" w:ascii="Times New Roman" w:hAnsi="Times New Roman" w:eastAsia="宋体" w:cs="Times New Roman"/>
                <w:color w:val="auto"/>
                <w:kern w:val="0"/>
                <w:sz w:val="21"/>
                <w:szCs w:val="21"/>
                <w:vertAlign w:val="baseline"/>
                <w:lang w:val="en-US" w:eastAsia="zh-CN" w:bidi="ar"/>
              </w:rPr>
              <w:t>＜150</w:t>
            </w: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color w:val="auto"/>
                <w:kern w:val="0"/>
                <w:sz w:val="21"/>
                <w:szCs w:val="21"/>
                <w:vertAlign w:val="baseline"/>
                <w:lang w:val="en-US" w:eastAsia="zh-CN" w:bidi="ar"/>
              </w:rPr>
            </w:pPr>
            <w:r>
              <w:rPr>
                <w:rFonts w:hint="default" w:ascii="Times New Roman" w:hAnsi="Times New Roman" w:eastAsia="宋体" w:cs="Times New Roman"/>
                <w:color w:val="auto"/>
                <w:kern w:val="0"/>
                <w:sz w:val="21"/>
                <w:szCs w:val="21"/>
                <w:vertAlign w:val="baseli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color w:val="auto"/>
                <w:kern w:val="0"/>
                <w:sz w:val="21"/>
                <w:szCs w:val="21"/>
                <w:vertAlign w:val="baseline"/>
                <w:lang w:val="en-US" w:eastAsia="zh-CN" w:bidi="ar"/>
              </w:rPr>
            </w:pPr>
            <w:r>
              <w:rPr>
                <w:rFonts w:hint="default" w:ascii="Times New Roman" w:hAnsi="Times New Roman" w:eastAsia="宋体" w:cs="Times New Roman"/>
                <w:color w:val="auto"/>
                <w:kern w:val="0"/>
                <w:sz w:val="21"/>
                <w:szCs w:val="21"/>
                <w:vertAlign w:val="baseline"/>
                <w:lang w:val="en-US" w:eastAsia="zh-CN" w:bidi="ar"/>
              </w:rPr>
              <w:t>150~200</w:t>
            </w: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color w:val="auto"/>
                <w:kern w:val="0"/>
                <w:sz w:val="21"/>
                <w:szCs w:val="21"/>
                <w:vertAlign w:val="baseline"/>
                <w:lang w:val="en-US" w:eastAsia="zh-CN" w:bidi="ar"/>
              </w:rPr>
            </w:pPr>
            <w:r>
              <w:rPr>
                <w:rFonts w:hint="default" w:ascii="Times New Roman" w:hAnsi="Times New Roman" w:eastAsia="宋体" w:cs="Times New Roman"/>
                <w:color w:val="auto"/>
                <w:kern w:val="0"/>
                <w:sz w:val="21"/>
                <w:szCs w:val="21"/>
                <w:vertAlign w:val="baseline"/>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color w:val="auto"/>
                <w:kern w:val="0"/>
                <w:sz w:val="21"/>
                <w:szCs w:val="21"/>
                <w:vertAlign w:val="baseline"/>
                <w:lang w:val="en-US" w:eastAsia="zh-CN" w:bidi="ar"/>
              </w:rPr>
            </w:pPr>
            <w:r>
              <w:rPr>
                <w:rFonts w:hint="default" w:ascii="Times New Roman" w:hAnsi="Times New Roman" w:eastAsia="宋体" w:cs="Times New Roman"/>
                <w:color w:val="auto"/>
                <w:kern w:val="0"/>
                <w:sz w:val="21"/>
                <w:szCs w:val="21"/>
                <w:vertAlign w:val="baseline"/>
                <w:lang w:val="en-US" w:eastAsia="zh-CN" w:bidi="ar"/>
              </w:rPr>
              <w:t>＞200</w:t>
            </w: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color w:val="auto"/>
                <w:kern w:val="0"/>
                <w:sz w:val="21"/>
                <w:szCs w:val="21"/>
                <w:vertAlign w:val="baseline"/>
                <w:lang w:val="en-US" w:eastAsia="zh-CN" w:bidi="ar"/>
              </w:rPr>
            </w:pPr>
            <w:r>
              <w:rPr>
                <w:rFonts w:hint="default" w:ascii="Times New Roman" w:hAnsi="Times New Roman" w:eastAsia="宋体" w:cs="Times New Roman"/>
                <w:color w:val="auto"/>
                <w:kern w:val="0"/>
                <w:sz w:val="21"/>
                <w:szCs w:val="21"/>
                <w:vertAlign w:val="baseline"/>
                <w:lang w:val="en-US" w:eastAsia="zh-CN" w:bidi="ar"/>
              </w:rPr>
              <w:t>＜5</w:t>
            </w:r>
          </w:p>
        </w:tc>
      </w:tr>
    </w:tbl>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color w:val="auto"/>
          <w:szCs w:val="22"/>
        </w:rPr>
      </w:pPr>
      <w:r>
        <w:rPr>
          <w:rFonts w:hint="default" w:ascii="Times New Roman" w:hAnsi="Times New Roman" w:cs="Times New Roman"/>
          <w:color w:val="auto"/>
          <w:lang w:val="en-US" w:eastAsia="zh-CN"/>
        </w:rPr>
        <w:t>其他</w:t>
      </w:r>
      <w:r>
        <w:rPr>
          <w:rFonts w:hint="default" w:ascii="Times New Roman" w:hAnsi="Times New Roman" w:cs="Times New Roman"/>
          <w:color w:val="auto"/>
        </w:rPr>
        <w:t>辐射安全与防护</w:t>
      </w:r>
      <w:r>
        <w:rPr>
          <w:rFonts w:hint="default" w:ascii="Times New Roman" w:hAnsi="Times New Roman" w:cs="Times New Roman"/>
          <w:color w:val="auto"/>
          <w:lang w:val="en-US" w:eastAsia="zh-CN"/>
        </w:rPr>
        <w:t>性能</w:t>
      </w:r>
      <w:r>
        <w:rPr>
          <w:rFonts w:hint="default" w:ascii="Times New Roman" w:hAnsi="Times New Roman" w:eastAsia="宋体" w:cs="Times New Roman"/>
          <w:color w:val="auto"/>
          <w:szCs w:val="22"/>
          <w:lang w:val="en-US" w:eastAsia="zh-CN"/>
        </w:rPr>
        <w:t>应符合GB/T</w:t>
      </w:r>
      <w:r>
        <w:rPr>
          <w:rFonts w:hint="default" w:ascii="Times New Roman" w:hAnsi="Times New Roman" w:cs="Times New Roman"/>
          <w:color w:val="auto"/>
          <w:szCs w:val="22"/>
          <w:lang w:val="en-US" w:eastAsia="zh-CN"/>
        </w:rPr>
        <w:t xml:space="preserve"> </w:t>
      </w:r>
      <w:r>
        <w:rPr>
          <w:rFonts w:hint="default" w:ascii="Times New Roman" w:hAnsi="Times New Roman" w:eastAsia="宋体" w:cs="Times New Roman"/>
          <w:color w:val="auto"/>
          <w:szCs w:val="22"/>
          <w:lang w:val="en-US" w:eastAsia="zh-CN"/>
        </w:rPr>
        <w:t>26837的要求。</w:t>
      </w:r>
    </w:p>
    <w:p>
      <w:pPr>
        <w:pStyle w:val="31"/>
        <w:keepNext w:val="0"/>
        <w:keepLines w:val="0"/>
        <w:pageBreakBefore w:val="0"/>
        <w:numPr>
          <w:ilvl w:val="1"/>
          <w:numId w:val="3"/>
        </w:numPr>
        <w:kinsoku/>
        <w:wordWrap/>
        <w:overflowPunct/>
        <w:topLinePunct w:val="0"/>
        <w:autoSpaceDE/>
        <w:autoSpaceDN/>
        <w:bidi w:val="0"/>
        <w:adjustRightInd/>
        <w:snapToGrid/>
        <w:spacing w:before="240" w:after="240" w:line="240" w:lineRule="auto"/>
        <w:ind w:left="0" w:firstLine="0" w:firstLineChars="0"/>
        <w:textAlignment w:val="auto"/>
        <w:outlineLvl w:val="9"/>
        <w:rPr>
          <w:rFonts w:hint="default" w:ascii="Times New Roman" w:hAnsi="Times New Roman" w:eastAsia="黑体" w:cs="Times New Roman"/>
          <w:color w:val="auto"/>
          <w:szCs w:val="22"/>
          <w:lang w:val="en-US" w:eastAsia="zh-CN"/>
        </w:rPr>
      </w:pPr>
      <w:r>
        <w:rPr>
          <w:rFonts w:hint="eastAsia" w:ascii="Times New Roman" w:hAnsi="Times New Roman" w:eastAsia="黑体" w:cs="Times New Roman"/>
          <w:color w:val="auto"/>
          <w:szCs w:val="22"/>
          <w:lang w:val="en-US" w:eastAsia="zh-CN"/>
        </w:rPr>
        <w:t>工业CT探伤设备</w:t>
      </w:r>
    </w:p>
    <w:p>
      <w:pPr>
        <w:pStyle w:val="31"/>
        <w:keepNext w:val="0"/>
        <w:keepLines w:val="0"/>
        <w:pageBreakBefore w:val="0"/>
        <w:numPr>
          <w:ilvl w:val="0"/>
          <w:numId w:val="0"/>
        </w:numPr>
        <w:kinsoku/>
        <w:wordWrap/>
        <w:overflowPunct/>
        <w:topLinePunct w:val="0"/>
        <w:autoSpaceDE/>
        <w:autoSpaceDN/>
        <w:bidi w:val="0"/>
        <w:adjustRightInd/>
        <w:snapToGrid/>
        <w:spacing w:before="240" w:after="240" w:line="240" w:lineRule="auto"/>
        <w:ind w:leftChars="0" w:firstLine="420" w:firstLineChars="200"/>
        <w:textAlignment w:val="auto"/>
        <w:outlineLvl w:val="9"/>
        <w:rPr>
          <w:rFonts w:hint="default" w:cs="Times New Roman"/>
          <w:color w:val="auto"/>
          <w:szCs w:val="22"/>
          <w:lang w:val="en-US" w:eastAsia="zh-CN"/>
        </w:rPr>
      </w:pPr>
      <w:r>
        <w:rPr>
          <w:rFonts w:hint="eastAsia" w:cs="Times New Roman"/>
          <w:color w:val="auto"/>
          <w:szCs w:val="22"/>
          <w:lang w:val="en-US" w:eastAsia="zh-CN"/>
        </w:rPr>
        <w:t>使用</w:t>
      </w:r>
      <w:r>
        <w:rPr>
          <w:rFonts w:hint="eastAsia" w:ascii="Times New Roman" w:hAnsi="Times New Roman" w:eastAsia="宋体" w:cs="Times New Roman"/>
          <w:color w:val="auto"/>
          <w:szCs w:val="22"/>
        </w:rPr>
        <w:t>γ</w:t>
      </w:r>
      <w:r>
        <w:rPr>
          <w:rFonts w:hint="eastAsia" w:ascii="Times New Roman" w:hAnsi="Times New Roman" w:eastAsia="宋体" w:cs="Times New Roman"/>
          <w:color w:val="auto"/>
          <w:szCs w:val="22"/>
          <w:lang w:val="en-US" w:eastAsia="zh-CN"/>
        </w:rPr>
        <w:t>射线</w:t>
      </w:r>
      <w:r>
        <w:rPr>
          <w:rFonts w:hint="eastAsia" w:eastAsia="宋体" w:cs="Times New Roman"/>
          <w:color w:val="auto"/>
          <w:szCs w:val="22"/>
          <w:lang w:val="en-US" w:eastAsia="zh-CN"/>
        </w:rPr>
        <w:t>的</w:t>
      </w:r>
      <w:r>
        <w:rPr>
          <w:rFonts w:hint="eastAsia" w:ascii="Times New Roman" w:hAnsi="Times New Roman" w:eastAsia="宋体" w:cs="Times New Roman"/>
          <w:color w:val="auto"/>
          <w:szCs w:val="22"/>
          <w:lang w:val="en-US" w:eastAsia="zh-CN"/>
        </w:rPr>
        <w:t>工业CT探伤设备</w:t>
      </w:r>
      <w:r>
        <w:rPr>
          <w:rFonts w:hint="eastAsia" w:cs="Times New Roman"/>
          <w:color w:val="auto"/>
          <w:szCs w:val="22"/>
          <w:lang w:val="en-US" w:eastAsia="zh-CN"/>
        </w:rPr>
        <w:t>按本文件</w:t>
      </w:r>
      <w:r>
        <w:rPr>
          <w:rFonts w:hint="eastAsia" w:eastAsia="宋体" w:cs="Times New Roman"/>
          <w:color w:val="auto"/>
          <w:szCs w:val="22"/>
          <w:lang w:val="en-US" w:eastAsia="zh-CN"/>
        </w:rPr>
        <w:t>5.1</w:t>
      </w:r>
      <w:r>
        <w:rPr>
          <w:rFonts w:hint="eastAsia" w:cs="Times New Roman"/>
          <w:color w:val="auto"/>
          <w:szCs w:val="22"/>
          <w:lang w:val="en-US" w:eastAsia="zh-CN"/>
        </w:rPr>
        <w:t>条的要求</w:t>
      </w:r>
      <w:r>
        <w:rPr>
          <w:rFonts w:hint="eastAsia" w:eastAsia="宋体" w:cs="Times New Roman"/>
          <w:color w:val="auto"/>
          <w:szCs w:val="22"/>
          <w:lang w:val="en-US" w:eastAsia="zh-CN"/>
        </w:rPr>
        <w:t>执行，</w:t>
      </w:r>
      <w:r>
        <w:rPr>
          <w:rFonts w:hint="eastAsia" w:cs="Times New Roman"/>
          <w:color w:val="auto"/>
          <w:szCs w:val="22"/>
          <w:lang w:val="en-US" w:eastAsia="zh-CN"/>
        </w:rPr>
        <w:t>使用X</w:t>
      </w:r>
      <w:r>
        <w:rPr>
          <w:rFonts w:hint="eastAsia" w:ascii="Times New Roman" w:hAnsi="Times New Roman" w:eastAsia="宋体" w:cs="Times New Roman"/>
          <w:color w:val="auto"/>
          <w:szCs w:val="22"/>
          <w:lang w:val="en-US" w:eastAsia="zh-CN"/>
        </w:rPr>
        <w:t>射线</w:t>
      </w:r>
      <w:r>
        <w:rPr>
          <w:rFonts w:hint="eastAsia" w:eastAsia="宋体" w:cs="Times New Roman"/>
          <w:color w:val="auto"/>
          <w:szCs w:val="22"/>
          <w:lang w:val="en-US" w:eastAsia="zh-CN"/>
        </w:rPr>
        <w:t>的</w:t>
      </w:r>
      <w:r>
        <w:rPr>
          <w:rFonts w:hint="eastAsia" w:ascii="Times New Roman" w:hAnsi="Times New Roman" w:eastAsia="宋体" w:cs="Times New Roman"/>
          <w:color w:val="auto"/>
          <w:szCs w:val="22"/>
          <w:lang w:val="en-US" w:eastAsia="zh-CN"/>
        </w:rPr>
        <w:t>工业CT探伤设备</w:t>
      </w:r>
      <w:r>
        <w:rPr>
          <w:rFonts w:hint="eastAsia" w:cs="Times New Roman"/>
          <w:color w:val="auto"/>
          <w:szCs w:val="22"/>
          <w:lang w:val="en-US" w:eastAsia="zh-CN"/>
        </w:rPr>
        <w:t>按本文件</w:t>
      </w:r>
      <w:r>
        <w:rPr>
          <w:rFonts w:hint="eastAsia" w:eastAsia="宋体" w:cs="Times New Roman"/>
          <w:color w:val="auto"/>
          <w:szCs w:val="22"/>
          <w:lang w:val="en-US" w:eastAsia="zh-CN"/>
        </w:rPr>
        <w:t>5.</w:t>
      </w:r>
      <w:r>
        <w:rPr>
          <w:rFonts w:hint="eastAsia" w:cs="Times New Roman"/>
          <w:color w:val="auto"/>
          <w:szCs w:val="22"/>
          <w:lang w:val="en-US" w:eastAsia="zh-CN"/>
        </w:rPr>
        <w:t>2条的要求</w:t>
      </w:r>
      <w:r>
        <w:rPr>
          <w:rFonts w:hint="eastAsia" w:eastAsia="宋体" w:cs="Times New Roman"/>
          <w:color w:val="auto"/>
          <w:szCs w:val="22"/>
          <w:lang w:val="en-US" w:eastAsia="zh-CN"/>
        </w:rPr>
        <w:t>执行</w:t>
      </w:r>
      <w:r>
        <w:rPr>
          <w:rFonts w:hint="eastAsia" w:cs="Times New Roman"/>
          <w:color w:val="auto"/>
          <w:szCs w:val="22"/>
          <w:lang w:val="en-US" w:eastAsia="zh-CN"/>
        </w:rPr>
        <w:t>。</w:t>
      </w:r>
    </w:p>
    <w:p>
      <w:pPr>
        <w:pStyle w:val="31"/>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240" w:lineRule="auto"/>
        <w:ind w:left="425" w:hanging="425" w:firstLineChars="0"/>
        <w:textAlignment w:val="auto"/>
        <w:outlineLvl w:val="0"/>
        <w:rPr>
          <w:rFonts w:hint="default" w:ascii="Times New Roman" w:hAnsi="Times New Roman" w:eastAsia="黑体" w:cs="Times New Roman"/>
          <w:color w:val="auto"/>
          <w:szCs w:val="22"/>
          <w:lang w:val="en-US" w:eastAsia="zh-CN"/>
        </w:rPr>
      </w:pPr>
      <w:bookmarkStart w:id="18" w:name="_Toc96309604"/>
      <w:bookmarkEnd w:id="18"/>
      <w:bookmarkStart w:id="19" w:name="_Toc96309307"/>
      <w:bookmarkEnd w:id="19"/>
      <w:bookmarkStart w:id="20" w:name="_Toc96309418"/>
      <w:bookmarkEnd w:id="20"/>
      <w:bookmarkStart w:id="21" w:name="_Toc96316699"/>
      <w:bookmarkEnd w:id="21"/>
      <w:bookmarkStart w:id="22" w:name="_Toc96316711"/>
      <w:bookmarkEnd w:id="22"/>
      <w:bookmarkStart w:id="23" w:name="_Toc3770"/>
      <w:bookmarkStart w:id="24" w:name="_Toc9475"/>
      <w:r>
        <w:rPr>
          <w:rFonts w:hint="default" w:ascii="Times New Roman" w:hAnsi="Times New Roman" w:eastAsia="黑体" w:cs="Times New Roman"/>
          <w:color w:val="auto"/>
          <w:szCs w:val="22"/>
          <w:lang w:val="en-US" w:eastAsia="zh-CN"/>
        </w:rPr>
        <w:t>工作场所辐射安全与防护</w:t>
      </w:r>
      <w:bookmarkEnd w:id="23"/>
    </w:p>
    <w:p>
      <w:pPr>
        <w:pStyle w:val="31"/>
        <w:keepNext w:val="0"/>
        <w:keepLines w:val="0"/>
        <w:pageBreakBefore w:val="0"/>
        <w:numPr>
          <w:ilvl w:val="1"/>
          <w:numId w:val="3"/>
        </w:numPr>
        <w:kinsoku/>
        <w:wordWrap/>
        <w:overflowPunct/>
        <w:topLinePunct w:val="0"/>
        <w:autoSpaceDE/>
        <w:autoSpaceDN/>
        <w:bidi w:val="0"/>
        <w:adjustRightInd/>
        <w:snapToGrid/>
        <w:spacing w:before="240" w:after="24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放射源的贮存</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eastAsia" w:ascii="Times New Roman" w:hAnsi="Times New Roman" w:eastAsia="宋体" w:cs="Times New Roman"/>
          <w:b w:val="0"/>
          <w:color w:val="000000"/>
          <w:sz w:val="21"/>
          <w:szCs w:val="21"/>
          <w:lang w:val="en-US" w:eastAsia="zh-CN"/>
        </w:rPr>
      </w:pPr>
      <w:r>
        <w:rPr>
          <w:rFonts w:hint="eastAsia" w:ascii="宋体" w:hAnsi="宋体" w:eastAsia="宋体" w:cs="宋体"/>
          <w:b w:val="0"/>
          <w:color w:val="000000"/>
          <w:sz w:val="21"/>
          <w:szCs w:val="21"/>
          <w:lang w:val="en-US" w:eastAsia="zh-CN"/>
        </w:rPr>
        <w:t>使用单位应</w:t>
      </w:r>
      <w:r>
        <w:rPr>
          <w:rFonts w:hint="eastAsia" w:ascii="宋体" w:hAnsi="宋体" w:cs="宋体"/>
          <w:b w:val="0"/>
          <w:color w:val="000000"/>
          <w:sz w:val="21"/>
          <w:szCs w:val="21"/>
          <w:lang w:val="en-US" w:eastAsia="zh-CN"/>
        </w:rPr>
        <w:t>选择</w:t>
      </w:r>
      <w:r>
        <w:rPr>
          <w:rFonts w:hint="default" w:ascii="宋体" w:hAnsi="宋体" w:eastAsia="宋体" w:cs="宋体"/>
          <w:b w:val="0"/>
          <w:color w:val="000000"/>
          <w:sz w:val="21"/>
          <w:szCs w:val="21"/>
          <w:lang w:val="en-US" w:eastAsia="zh-CN"/>
        </w:rPr>
        <w:t>场地稳</w:t>
      </w:r>
      <w:r>
        <w:rPr>
          <w:rFonts w:hint="default" w:ascii="Times New Roman" w:hAnsi="Times New Roman" w:eastAsia="宋体" w:cs="Times New Roman"/>
          <w:b w:val="0"/>
          <w:color w:val="000000"/>
          <w:sz w:val="21"/>
          <w:szCs w:val="21"/>
          <w:lang w:val="en-US" w:eastAsia="zh-CN"/>
        </w:rPr>
        <w:t>定、地质条件较好</w:t>
      </w:r>
      <w:r>
        <w:rPr>
          <w:rFonts w:hint="eastAsia" w:cs="Times New Roman"/>
          <w:b w:val="0"/>
          <w:color w:val="000000"/>
          <w:sz w:val="21"/>
          <w:szCs w:val="21"/>
          <w:lang w:val="en-US" w:eastAsia="zh-CN"/>
        </w:rPr>
        <w:t>、</w:t>
      </w:r>
      <w:r>
        <w:rPr>
          <w:rFonts w:hint="default" w:ascii="Times New Roman" w:hAnsi="Times New Roman" w:eastAsia="宋体" w:cs="Times New Roman"/>
          <w:b w:val="0"/>
          <w:color w:val="000000"/>
          <w:sz w:val="21"/>
          <w:szCs w:val="21"/>
          <w:lang w:val="en-US" w:eastAsia="zh-CN"/>
        </w:rPr>
        <w:t>远离腐蚀性和爆炸性等危险因素的地段</w:t>
      </w:r>
      <w:r>
        <w:rPr>
          <w:rFonts w:hint="eastAsia" w:ascii="宋体" w:hAnsi="宋体" w:eastAsia="宋体" w:cs="宋体"/>
          <w:b w:val="0"/>
          <w:color w:val="000000"/>
          <w:sz w:val="21"/>
          <w:szCs w:val="21"/>
          <w:lang w:val="en-US" w:eastAsia="zh-CN"/>
        </w:rPr>
        <w:t>设立专用</w:t>
      </w:r>
      <w:r>
        <w:rPr>
          <w:rFonts w:hint="eastAsia" w:ascii="宋体" w:hAnsi="宋体" w:cs="宋体"/>
          <w:b w:val="0"/>
          <w:color w:val="000000"/>
          <w:sz w:val="21"/>
          <w:szCs w:val="21"/>
          <w:lang w:val="en-US" w:eastAsia="zh-CN"/>
        </w:rPr>
        <w:t>、独立</w:t>
      </w:r>
      <w:r>
        <w:rPr>
          <w:rFonts w:hint="eastAsia" w:ascii="宋体" w:hAnsi="宋体" w:eastAsia="宋体" w:cs="宋体"/>
          <w:b w:val="0"/>
          <w:color w:val="000000"/>
          <w:sz w:val="21"/>
          <w:szCs w:val="21"/>
          <w:lang w:val="en-US" w:eastAsia="zh-CN"/>
        </w:rPr>
        <w:t>的放射源（或带源的探伤机）贮存库</w:t>
      </w:r>
      <w:r>
        <w:rPr>
          <w:rFonts w:hint="eastAsia" w:cs="Times New Roman"/>
          <w:b w:val="0"/>
          <w:color w:val="000000"/>
          <w:sz w:val="21"/>
          <w:szCs w:val="21"/>
          <w:lang w:val="en-US" w:eastAsia="zh-CN"/>
        </w:rPr>
        <w:t>。</w:t>
      </w:r>
      <w:r>
        <w:rPr>
          <w:rFonts w:hint="default" w:ascii="Times New Roman" w:hAnsi="Times New Roman" w:eastAsia="宋体" w:cs="Times New Roman"/>
          <w:b w:val="0"/>
          <w:color w:val="000000"/>
          <w:sz w:val="21"/>
          <w:szCs w:val="21"/>
          <w:lang w:val="en-US" w:eastAsia="zh-CN"/>
        </w:rPr>
        <w:t>源库墙体、门窗、室顶等屏蔽体外 30 cm 处周围剂量当量率小于 2.5 μSv/h</w:t>
      </w:r>
      <w:r>
        <w:rPr>
          <w:rFonts w:hint="default" w:cs="Times New Roman"/>
          <w:b w:val="0"/>
          <w:color w:val="000000"/>
          <w:sz w:val="21"/>
          <w:szCs w:val="21"/>
          <w:lang w:val="en-US" w:eastAsia="zh-CN"/>
          <w:rPrChange w:id="0" w:author="青莲剑歌" w:date="2024-10-29T10:56:51Z">
            <w:rPr>
              <w:rFonts w:hint="eastAsia" w:cs="Times New Roman"/>
              <w:b w:val="0"/>
              <w:color w:val="000000"/>
              <w:sz w:val="21"/>
              <w:szCs w:val="21"/>
              <w:lang w:val="en-US" w:eastAsia="zh-CN"/>
            </w:rPr>
          </w:rPrChange>
        </w:rPr>
        <w:t>；</w:t>
      </w:r>
      <w:r>
        <w:rPr>
          <w:rFonts w:hint="default" w:ascii="Times New Roman" w:hAnsi="Times New Roman" w:eastAsia="宋体" w:cs="Times New Roman"/>
          <w:b w:val="0"/>
          <w:color w:val="000000"/>
          <w:sz w:val="21"/>
          <w:szCs w:val="21"/>
          <w:highlight w:val="none"/>
          <w:lang w:val="en-US" w:eastAsia="zh-CN"/>
        </w:rPr>
        <w:t>对</w:t>
      </w:r>
      <w:r>
        <w:rPr>
          <w:rFonts w:hint="eastAsia" w:cs="Times New Roman"/>
          <w:b w:val="0"/>
          <w:color w:val="000000"/>
          <w:sz w:val="21"/>
          <w:szCs w:val="21"/>
          <w:lang w:val="en-US" w:eastAsia="zh-CN"/>
        </w:rPr>
        <w:t>人员不可达</w:t>
      </w:r>
      <w:r>
        <w:rPr>
          <w:rFonts w:hint="default" w:ascii="Times New Roman" w:hAnsi="Times New Roman" w:eastAsia="宋体" w:cs="Times New Roman"/>
          <w:b w:val="0"/>
          <w:color w:val="000000"/>
          <w:sz w:val="21"/>
          <w:szCs w:val="21"/>
          <w:lang w:val="en-US" w:eastAsia="zh-CN"/>
        </w:rPr>
        <w:t>的室顶</w:t>
      </w:r>
      <w:r>
        <w:rPr>
          <w:rFonts w:hint="eastAsia" w:ascii="Times New Roman" w:hAnsi="Times New Roman" w:eastAsia="宋体" w:cs="Times New Roman"/>
          <w:b w:val="0"/>
          <w:color w:val="000000"/>
          <w:sz w:val="21"/>
          <w:szCs w:val="21"/>
          <w:lang w:val="en-US" w:eastAsia="zh-CN"/>
        </w:rPr>
        <w:t>，外表面30</w:t>
      </w:r>
      <w:r>
        <w:rPr>
          <w:rFonts w:hint="eastAsia" w:cs="Times New Roman"/>
          <w:b w:val="0"/>
          <w:color w:val="000000"/>
          <w:sz w:val="21"/>
          <w:szCs w:val="21"/>
          <w:lang w:val="en-US" w:eastAsia="zh-CN"/>
        </w:rPr>
        <w:t xml:space="preserve"> </w:t>
      </w:r>
      <w:r>
        <w:rPr>
          <w:rFonts w:hint="eastAsia" w:ascii="Times New Roman" w:hAnsi="Times New Roman" w:eastAsia="宋体" w:cs="Times New Roman"/>
          <w:b w:val="0"/>
          <w:color w:val="000000"/>
          <w:sz w:val="21"/>
          <w:szCs w:val="21"/>
          <w:lang w:val="en-US" w:eastAsia="zh-CN"/>
        </w:rPr>
        <w:t>cm处的周围剂量当量率参考控制水平可取 100</w:t>
      </w:r>
      <w:r>
        <w:rPr>
          <w:rFonts w:hint="eastAsia" w:cs="Times New Roman"/>
          <w:b w:val="0"/>
          <w:color w:val="000000"/>
          <w:sz w:val="21"/>
          <w:szCs w:val="21"/>
          <w:lang w:val="en-US" w:eastAsia="zh-CN"/>
        </w:rPr>
        <w:t xml:space="preserve"> </w:t>
      </w:r>
      <w:r>
        <w:rPr>
          <w:rFonts w:hint="default" w:ascii="Times New Roman" w:hAnsi="Times New Roman" w:eastAsia="宋体" w:cs="Times New Roman"/>
          <w:b w:val="0"/>
          <w:color w:val="000000"/>
          <w:sz w:val="21"/>
          <w:szCs w:val="21"/>
          <w:lang w:val="en-US" w:eastAsia="zh-CN"/>
        </w:rPr>
        <w:t>μS</w:t>
      </w:r>
      <w:r>
        <w:rPr>
          <w:rFonts w:hint="eastAsia" w:ascii="Times New Roman" w:hAnsi="Times New Roman" w:eastAsia="宋体" w:cs="Times New Roman"/>
          <w:b w:val="0"/>
          <w:color w:val="000000"/>
          <w:sz w:val="21"/>
          <w:szCs w:val="21"/>
          <w:lang w:val="en-US" w:eastAsia="zh-CN"/>
        </w:rPr>
        <w:t>v/h。</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宋体" w:hAnsi="宋体" w:eastAsia="宋体" w:cs="宋体"/>
          <w:b w:val="0"/>
          <w:color w:val="000000"/>
          <w:sz w:val="21"/>
          <w:szCs w:val="21"/>
          <w:lang w:val="en-US" w:eastAsia="zh-CN"/>
        </w:rPr>
      </w:pPr>
      <w:r>
        <w:rPr>
          <w:rFonts w:hint="eastAsia" w:cs="Times New Roman"/>
          <w:b w:val="0"/>
          <w:bCs w:val="0"/>
          <w:color w:val="auto"/>
          <w:szCs w:val="22"/>
          <w:lang w:val="en-US" w:eastAsia="zh-CN"/>
        </w:rPr>
        <w:t>当</w:t>
      </w:r>
      <w:r>
        <w:rPr>
          <w:rFonts w:hint="default" w:ascii="Times New Roman" w:hAnsi="Times New Roman" w:cs="Times New Roman"/>
          <w:b w:val="0"/>
          <w:bCs w:val="0"/>
          <w:color w:val="auto"/>
          <w:szCs w:val="22"/>
          <w:lang w:val="en-US" w:eastAsia="zh-CN"/>
        </w:rPr>
        <w:t>放射源不能</w:t>
      </w:r>
      <w:r>
        <w:rPr>
          <w:rFonts w:hint="default" w:ascii="宋体" w:hAnsi="宋体" w:eastAsia="宋体" w:cs="宋体"/>
          <w:b w:val="0"/>
          <w:color w:val="000000"/>
          <w:sz w:val="21"/>
          <w:szCs w:val="21"/>
          <w:lang w:val="en-US" w:eastAsia="zh-CN"/>
        </w:rPr>
        <w:t>及时返回放射源</w:t>
      </w:r>
      <w:r>
        <w:rPr>
          <w:rFonts w:hint="eastAsia" w:ascii="宋体" w:hAnsi="宋体" w:eastAsia="宋体" w:cs="宋体"/>
          <w:b w:val="0"/>
          <w:color w:val="000000"/>
          <w:sz w:val="21"/>
          <w:szCs w:val="21"/>
          <w:lang w:val="en-US" w:eastAsia="zh-CN"/>
        </w:rPr>
        <w:t>贮存</w:t>
      </w:r>
      <w:r>
        <w:rPr>
          <w:rFonts w:hint="default" w:ascii="宋体" w:hAnsi="宋体" w:eastAsia="宋体" w:cs="宋体"/>
          <w:b w:val="0"/>
          <w:color w:val="000000"/>
          <w:sz w:val="21"/>
          <w:szCs w:val="21"/>
          <w:lang w:val="en-US" w:eastAsia="zh-CN"/>
        </w:rPr>
        <w:t>库</w:t>
      </w:r>
      <w:r>
        <w:rPr>
          <w:rFonts w:hint="eastAsia" w:ascii="宋体" w:hAnsi="宋体" w:cs="宋体"/>
          <w:b w:val="0"/>
          <w:color w:val="000000"/>
          <w:sz w:val="21"/>
          <w:szCs w:val="21"/>
          <w:lang w:val="en-US" w:eastAsia="zh-CN"/>
        </w:rPr>
        <w:t>贮存时</w:t>
      </w:r>
      <w:r>
        <w:rPr>
          <w:rFonts w:hint="default" w:ascii="宋体" w:hAnsi="宋体" w:eastAsia="宋体" w:cs="宋体"/>
          <w:b w:val="0"/>
          <w:color w:val="000000"/>
          <w:sz w:val="21"/>
          <w:szCs w:val="21"/>
          <w:lang w:val="en-US" w:eastAsia="zh-CN"/>
        </w:rPr>
        <w:t>，应在专用的贮存设施内临时贮存，并派专人</w:t>
      </w:r>
      <w:r>
        <w:rPr>
          <w:rFonts w:hint="default" w:ascii="Times New Roman" w:hAnsi="Times New Roman" w:eastAsia="宋体" w:cs="Times New Roman"/>
          <w:b w:val="0"/>
          <w:color w:val="000000"/>
          <w:sz w:val="21"/>
          <w:szCs w:val="21"/>
          <w:lang w:val="en-US" w:eastAsia="zh-CN"/>
        </w:rPr>
        <w:t>24小</w:t>
      </w:r>
      <w:r>
        <w:rPr>
          <w:rFonts w:hint="default" w:ascii="宋体" w:hAnsi="宋体" w:eastAsia="宋体" w:cs="宋体"/>
          <w:b w:val="0"/>
          <w:color w:val="000000"/>
          <w:sz w:val="21"/>
          <w:szCs w:val="21"/>
          <w:lang w:val="en-US" w:eastAsia="zh-CN"/>
        </w:rPr>
        <w:t>时值守。</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放射源</w:t>
      </w:r>
      <w:r>
        <w:rPr>
          <w:rFonts w:hint="eastAsia" w:ascii="宋体" w:hAnsi="宋体" w:eastAsia="宋体" w:cs="宋体"/>
          <w:b w:val="0"/>
          <w:color w:val="000000"/>
          <w:sz w:val="21"/>
          <w:szCs w:val="21"/>
        </w:rPr>
        <w:t>库</w:t>
      </w:r>
      <w:r>
        <w:rPr>
          <w:rFonts w:hint="default" w:ascii="Times New Roman" w:hAnsi="Times New Roman" w:cs="Times New Roman"/>
          <w:b w:val="0"/>
          <w:bCs w:val="0"/>
          <w:color w:val="auto"/>
          <w:szCs w:val="22"/>
          <w:lang w:val="en-US" w:eastAsia="zh-CN"/>
        </w:rPr>
        <w:t>应</w:t>
      </w:r>
      <w:r>
        <w:rPr>
          <w:rFonts w:hint="eastAsia" w:cs="Times New Roman"/>
          <w:b w:val="0"/>
          <w:bCs w:val="0"/>
          <w:color w:val="auto"/>
          <w:szCs w:val="22"/>
          <w:lang w:val="en-US" w:eastAsia="zh-CN"/>
        </w:rPr>
        <w:t>配备网络视频</w:t>
      </w:r>
      <w:r>
        <w:rPr>
          <w:rFonts w:hint="default" w:ascii="Times New Roman" w:hAnsi="Times New Roman" w:cs="Times New Roman"/>
          <w:b w:val="0"/>
          <w:bCs w:val="0"/>
          <w:color w:val="auto"/>
          <w:szCs w:val="22"/>
          <w:lang w:val="en-US" w:eastAsia="zh-CN"/>
        </w:rPr>
        <w:t>监控系统，并</w:t>
      </w:r>
      <w:r>
        <w:rPr>
          <w:rFonts w:hint="eastAsia" w:cs="Times New Roman"/>
          <w:b w:val="0"/>
          <w:bCs w:val="0"/>
          <w:color w:val="auto"/>
          <w:szCs w:val="22"/>
          <w:lang w:val="en-US" w:eastAsia="zh-CN"/>
        </w:rPr>
        <w:t>具备</w:t>
      </w:r>
      <w:r>
        <w:rPr>
          <w:rFonts w:hint="default" w:ascii="Times New Roman" w:hAnsi="Times New Roman" w:cs="Times New Roman"/>
          <w:b w:val="0"/>
          <w:bCs w:val="0"/>
          <w:color w:val="auto"/>
          <w:szCs w:val="22"/>
          <w:lang w:val="en-US" w:eastAsia="zh-CN"/>
        </w:rPr>
        <w:t>红外防盗报警</w:t>
      </w:r>
      <w:r>
        <w:rPr>
          <w:rFonts w:hint="eastAsia" w:cs="Times New Roman"/>
          <w:b w:val="0"/>
          <w:bCs w:val="0"/>
          <w:color w:val="auto"/>
          <w:szCs w:val="22"/>
          <w:lang w:val="en-US" w:eastAsia="zh-CN"/>
        </w:rPr>
        <w:t>功能</w:t>
      </w:r>
      <w:r>
        <w:rPr>
          <w:rFonts w:hint="default" w:ascii="Times New Roman" w:hAnsi="Times New Roman" w:cs="Times New Roman"/>
          <w:b w:val="0"/>
          <w:bCs w:val="0"/>
          <w:color w:val="auto"/>
          <w:szCs w:val="22"/>
          <w:lang w:val="en-US" w:eastAsia="zh-CN"/>
        </w:rPr>
        <w:t>，</w:t>
      </w:r>
      <w:r>
        <w:rPr>
          <w:rFonts w:hint="eastAsia" w:cs="Times New Roman"/>
          <w:b w:val="0"/>
          <w:bCs w:val="0"/>
          <w:color w:val="auto"/>
          <w:szCs w:val="22"/>
          <w:lang w:val="en-US" w:eastAsia="zh-CN"/>
        </w:rPr>
        <w:t>治安防范</w:t>
      </w:r>
      <w:r>
        <w:rPr>
          <w:rFonts w:hint="default" w:ascii="Times New Roman" w:hAnsi="Times New Roman" w:cs="Times New Roman"/>
          <w:b w:val="0"/>
          <w:bCs w:val="0"/>
          <w:color w:val="auto"/>
          <w:szCs w:val="22"/>
          <w:lang w:val="en-US" w:eastAsia="zh-CN"/>
        </w:rPr>
        <w:t xml:space="preserve">应符合 GA 1002 的相关要求。 </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eastAsia" w:ascii="Times New Roman" w:hAnsi="Times New Roman" w:cs="Times New Roman"/>
          <w:b w:val="0"/>
          <w:bCs w:val="0"/>
          <w:color w:val="auto"/>
          <w:szCs w:val="22"/>
          <w:lang w:val="en-US" w:eastAsia="zh-CN"/>
        </w:rPr>
        <w:t>放射</w:t>
      </w:r>
      <w:r>
        <w:rPr>
          <w:rFonts w:hint="eastAsia" w:ascii="宋体" w:hAnsi="宋体" w:cs="宋体"/>
          <w:b w:val="0"/>
          <w:color w:val="000000"/>
          <w:sz w:val="21"/>
          <w:szCs w:val="21"/>
          <w:lang w:val="en-US" w:eastAsia="zh-CN"/>
        </w:rPr>
        <w:t>源贮存</w:t>
      </w:r>
      <w:r>
        <w:rPr>
          <w:rFonts w:hint="default" w:ascii="宋体" w:hAnsi="宋体" w:eastAsia="宋体" w:cs="宋体"/>
          <w:b w:val="0"/>
          <w:color w:val="000000"/>
          <w:sz w:val="21"/>
          <w:szCs w:val="21"/>
          <w:lang w:val="en-US" w:eastAsia="zh-CN"/>
        </w:rPr>
        <w:t>设施</w:t>
      </w:r>
      <w:r>
        <w:rPr>
          <w:rFonts w:hint="default" w:ascii="Times New Roman" w:hAnsi="Times New Roman" w:cs="Times New Roman"/>
          <w:b w:val="0"/>
          <w:bCs w:val="0"/>
          <w:color w:val="auto"/>
          <w:szCs w:val="22"/>
          <w:lang w:val="en-US" w:eastAsia="zh-CN"/>
        </w:rPr>
        <w:t>外</w:t>
      </w:r>
      <w:r>
        <w:rPr>
          <w:rFonts w:hint="eastAsia" w:cs="Times New Roman"/>
          <w:b w:val="0"/>
          <w:bCs w:val="0"/>
          <w:color w:val="auto"/>
          <w:szCs w:val="22"/>
          <w:lang w:val="en-US" w:eastAsia="zh-CN"/>
        </w:rPr>
        <w:t>应</w:t>
      </w:r>
      <w:r>
        <w:rPr>
          <w:rFonts w:hint="default" w:ascii="Times New Roman" w:hAnsi="Times New Roman" w:cs="Times New Roman"/>
          <w:b w:val="0"/>
          <w:bCs w:val="0"/>
          <w:color w:val="auto"/>
          <w:szCs w:val="22"/>
          <w:lang w:val="en-US" w:eastAsia="zh-CN"/>
        </w:rPr>
        <w:t>设置电离辐射警示标志</w:t>
      </w:r>
      <w:r>
        <w:rPr>
          <w:rFonts w:hint="eastAsia" w:ascii="Times New Roman" w:hAnsi="Times New Roman" w:cs="Times New Roman"/>
          <w:b w:val="0"/>
          <w:bCs w:val="0"/>
          <w:color w:val="auto"/>
          <w:szCs w:val="22"/>
          <w:lang w:val="en-US" w:eastAsia="zh-CN"/>
        </w:rPr>
        <w:t>，并</w:t>
      </w:r>
      <w:r>
        <w:rPr>
          <w:rFonts w:hint="default" w:ascii="Times New Roman" w:hAnsi="Times New Roman" w:cs="Times New Roman"/>
          <w:b w:val="0"/>
          <w:bCs w:val="0"/>
          <w:color w:val="auto"/>
          <w:szCs w:val="22"/>
          <w:lang w:val="en-US" w:eastAsia="zh-CN"/>
        </w:rPr>
        <w:t>具有防火、防水、防盗（防抢）、防丢失、防破坏、防射线泄露等安全防护措施。</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放射源贮存设</w:t>
      </w:r>
      <w:r>
        <w:rPr>
          <w:rFonts w:hint="default" w:ascii="宋体" w:hAnsi="宋体" w:eastAsia="宋体" w:cs="宋体"/>
          <w:b w:val="0"/>
          <w:color w:val="000000"/>
          <w:sz w:val="21"/>
          <w:szCs w:val="21"/>
          <w:lang w:val="en-US" w:eastAsia="zh-CN"/>
        </w:rPr>
        <w:t>施</w:t>
      </w:r>
      <w:r>
        <w:rPr>
          <w:rFonts w:hint="eastAsia" w:ascii="宋体" w:hAnsi="宋体" w:cs="宋体"/>
          <w:b w:val="0"/>
          <w:color w:val="000000"/>
          <w:sz w:val="21"/>
          <w:szCs w:val="21"/>
          <w:lang w:val="en-US" w:eastAsia="zh-CN"/>
        </w:rPr>
        <w:t>应指派</w:t>
      </w:r>
      <w:r>
        <w:rPr>
          <w:rFonts w:hint="default" w:ascii="Times New Roman" w:hAnsi="Times New Roman" w:cs="Times New Roman"/>
          <w:b w:val="0"/>
          <w:bCs w:val="0"/>
          <w:color w:val="auto"/>
          <w:szCs w:val="22"/>
          <w:lang w:val="en-US" w:eastAsia="zh-CN"/>
        </w:rPr>
        <w:t>2名</w:t>
      </w:r>
      <w:r>
        <w:rPr>
          <w:rFonts w:hint="default" w:cs="Times New Roman"/>
          <w:b w:val="0"/>
          <w:bCs w:val="0"/>
          <w:color w:val="auto"/>
          <w:szCs w:val="22"/>
          <w:lang w:val="en-US" w:eastAsia="zh-CN"/>
        </w:rPr>
        <w:t>辐射工作人员</w:t>
      </w:r>
      <w:r>
        <w:rPr>
          <w:rFonts w:hint="default" w:ascii="Times New Roman" w:hAnsi="Times New Roman" w:cs="Times New Roman"/>
          <w:b w:val="0"/>
          <w:bCs w:val="0"/>
          <w:color w:val="auto"/>
          <w:szCs w:val="22"/>
          <w:lang w:val="en-US" w:eastAsia="zh-CN"/>
        </w:rPr>
        <w:t>专职负责，执行双人双锁要求</w:t>
      </w:r>
      <w:r>
        <w:rPr>
          <w:rFonts w:hint="default" w:cs="Times New Roman"/>
          <w:b w:val="0"/>
          <w:bCs w:val="0"/>
          <w:color w:val="auto"/>
          <w:szCs w:val="22"/>
          <w:lang w:val="en-US" w:eastAsia="zh-CN"/>
        </w:rPr>
        <w:t>。</w:t>
      </w:r>
    </w:p>
    <w:p>
      <w:pPr>
        <w:pStyle w:val="31"/>
        <w:keepNext w:val="0"/>
        <w:keepLines w:val="0"/>
        <w:pageBreakBefore w:val="0"/>
        <w:widowControl/>
        <w:numPr>
          <w:ilvl w:val="1"/>
          <w:numId w:val="3"/>
        </w:numPr>
        <w:kinsoku/>
        <w:wordWrap/>
        <w:overflowPunct/>
        <w:topLinePunct w:val="0"/>
        <w:autoSpaceDE/>
        <w:autoSpaceDN/>
        <w:bidi w:val="0"/>
        <w:adjustRightInd/>
        <w:snapToGrid/>
        <w:spacing w:before="240" w:beforeLines="-2147483648" w:after="240" w:afterLines="-2147483648" w:line="240" w:lineRule="auto"/>
        <w:ind w:left="0" w:leftChars="0" w:firstLine="0" w:firstLineChars="0"/>
        <w:textAlignment w:val="auto"/>
        <w:outlineLvl w:val="1"/>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放射源的运输</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运输车辆</w:t>
      </w:r>
      <w:r>
        <w:rPr>
          <w:rFonts w:hint="eastAsia" w:cs="Times New Roman"/>
          <w:b w:val="0"/>
          <w:bCs w:val="0"/>
          <w:color w:val="auto"/>
          <w:szCs w:val="22"/>
          <w:lang w:val="en-US" w:eastAsia="zh-CN"/>
        </w:rPr>
        <w:t>应配备</w:t>
      </w:r>
      <w:r>
        <w:rPr>
          <w:rFonts w:hint="eastAsia" w:cs="Times New Roman"/>
          <w:b w:val="0"/>
          <w:bCs w:val="0"/>
          <w:color w:val="auto"/>
          <w:szCs w:val="22"/>
          <w:shd w:val="clear" w:color="auto" w:fill="auto"/>
          <w:lang w:val="en-US" w:eastAsia="zh-CN"/>
        </w:rPr>
        <w:t>北斗</w:t>
      </w:r>
      <w:r>
        <w:rPr>
          <w:rFonts w:hint="default" w:ascii="Times New Roman" w:hAnsi="Times New Roman" w:cs="Times New Roman"/>
          <w:b w:val="0"/>
          <w:bCs w:val="0"/>
          <w:color w:val="auto"/>
          <w:szCs w:val="22"/>
          <w:shd w:val="clear" w:color="auto" w:fill="auto"/>
          <w:lang w:val="en-US" w:eastAsia="zh-CN"/>
        </w:rPr>
        <w:t>卫星</w:t>
      </w:r>
      <w:r>
        <w:rPr>
          <w:rFonts w:hint="default" w:ascii="Times New Roman" w:hAnsi="Times New Roman" w:cs="Times New Roman"/>
          <w:b w:val="0"/>
          <w:bCs w:val="0"/>
          <w:color w:val="auto"/>
          <w:szCs w:val="22"/>
          <w:lang w:val="en-US" w:eastAsia="zh-CN"/>
        </w:rPr>
        <w:t>定位系统</w:t>
      </w:r>
      <w:r>
        <w:rPr>
          <w:rFonts w:hint="default" w:ascii="Times New Roman" w:hAnsi="Times New Roman" w:cs="Times New Roman"/>
          <w:b w:val="0"/>
          <w:bCs w:val="0"/>
          <w:color w:val="auto"/>
          <w:szCs w:val="22"/>
          <w:shd w:val="clear" w:color="auto" w:fill="auto"/>
          <w:lang w:val="en-US" w:eastAsia="zh-CN"/>
        </w:rPr>
        <w:t>的</w:t>
      </w:r>
      <w:r>
        <w:rPr>
          <w:rFonts w:hint="default" w:ascii="Times New Roman" w:hAnsi="Times New Roman" w:cs="Times New Roman"/>
          <w:b w:val="0"/>
          <w:bCs w:val="0"/>
          <w:color w:val="auto"/>
          <w:szCs w:val="22"/>
          <w:lang w:val="en-US" w:eastAsia="zh-CN"/>
        </w:rPr>
        <w:t>行驶记录仪，</w:t>
      </w:r>
      <w:r>
        <w:rPr>
          <w:rFonts w:hint="eastAsia" w:cs="Times New Roman"/>
          <w:b w:val="0"/>
          <w:bCs w:val="0"/>
          <w:color w:val="auto"/>
          <w:szCs w:val="22"/>
          <w:lang w:val="en-US" w:eastAsia="zh-CN"/>
        </w:rPr>
        <w:t>且具有</w:t>
      </w:r>
      <w:r>
        <w:rPr>
          <w:rFonts w:hint="default" w:ascii="Times New Roman" w:hAnsi="Times New Roman" w:cs="Times New Roman"/>
          <w:b w:val="0"/>
          <w:bCs w:val="0"/>
          <w:color w:val="auto"/>
          <w:szCs w:val="22"/>
          <w:lang w:val="en-US" w:eastAsia="zh-CN"/>
        </w:rPr>
        <w:t>在线监控</w:t>
      </w:r>
      <w:r>
        <w:rPr>
          <w:rFonts w:hint="eastAsia" w:cs="Times New Roman"/>
          <w:b w:val="0"/>
          <w:bCs w:val="0"/>
          <w:color w:val="auto"/>
          <w:szCs w:val="22"/>
          <w:lang w:val="en-US" w:eastAsia="zh-CN"/>
        </w:rPr>
        <w:t>功能</w:t>
      </w:r>
      <w:r>
        <w:rPr>
          <w:rFonts w:hint="default" w:ascii="Times New Roman" w:hAnsi="Times New Roman" w:cs="Times New Roman"/>
          <w:b w:val="0"/>
          <w:bCs w:val="0"/>
          <w:color w:val="auto"/>
          <w:szCs w:val="22"/>
          <w:lang w:val="en-US" w:eastAsia="zh-CN"/>
        </w:rPr>
        <w:t>，并接入符合要求的监控平台。</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使用单位应委托取得</w:t>
      </w:r>
      <w:r>
        <w:rPr>
          <w:rFonts w:hint="eastAsia" w:cs="Times New Roman"/>
          <w:b w:val="0"/>
          <w:bCs w:val="0"/>
          <w:color w:val="auto"/>
          <w:szCs w:val="22"/>
          <w:lang w:val="en-US" w:eastAsia="zh-CN"/>
        </w:rPr>
        <w:t>放射性物品</w:t>
      </w:r>
      <w:r>
        <w:rPr>
          <w:rFonts w:hint="default" w:ascii="Times New Roman" w:hAnsi="Times New Roman" w:cs="Times New Roman"/>
          <w:b w:val="0"/>
          <w:bCs w:val="0"/>
          <w:color w:val="auto"/>
          <w:szCs w:val="22"/>
          <w:lang w:val="en-US" w:eastAsia="zh-CN"/>
        </w:rPr>
        <w:t>道路运输经营许可的单位运输放射源；使用单位已取得《放射性物品道路运输许可证》的，可自行运输。</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运源车应采取相应的屏蔽防护措施，</w:t>
      </w:r>
      <w:r>
        <w:rPr>
          <w:rFonts w:hint="eastAsia" w:cs="Times New Roman"/>
          <w:b w:val="0"/>
          <w:bCs w:val="0"/>
          <w:color w:val="auto"/>
          <w:szCs w:val="22"/>
          <w:lang w:val="en-US" w:eastAsia="zh-CN"/>
        </w:rPr>
        <w:t>同时应满足以下要求：</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3"/>
        <w:rPr>
          <w:rFonts w:hint="eastAsia" w:cs="Times New Roman"/>
          <w:b w:val="0"/>
          <w:bCs w:val="0"/>
          <w:color w:val="auto"/>
          <w:szCs w:val="22"/>
          <w:lang w:val="en-US" w:eastAsia="zh-CN"/>
        </w:rPr>
      </w:pPr>
      <w:r>
        <w:rPr>
          <w:rFonts w:hint="eastAsia" w:cs="Times New Roman"/>
          <w:b w:val="0"/>
          <w:bCs w:val="0"/>
          <w:color w:val="auto"/>
          <w:szCs w:val="22"/>
          <w:lang w:val="en-US" w:eastAsia="zh-CN"/>
        </w:rPr>
        <w:t>a）距</w:t>
      </w:r>
      <w:r>
        <w:rPr>
          <w:rFonts w:hint="default" w:ascii="Times New Roman" w:hAnsi="Times New Roman" w:cs="Times New Roman"/>
          <w:b w:val="0"/>
          <w:bCs w:val="0"/>
          <w:color w:val="auto"/>
          <w:szCs w:val="22"/>
          <w:lang w:val="en-US" w:eastAsia="zh-CN"/>
        </w:rPr>
        <w:t>车辆外表面 30</w:t>
      </w:r>
      <w:r>
        <w:rPr>
          <w:rFonts w:hint="eastAsia" w:cs="Times New Roman"/>
          <w:b w:val="0"/>
          <w:bCs w:val="0"/>
          <w:color w:val="auto"/>
          <w:szCs w:val="22"/>
          <w:lang w:val="en-US" w:eastAsia="zh-CN"/>
        </w:rPr>
        <w:t xml:space="preserve"> </w:t>
      </w:r>
      <w:r>
        <w:rPr>
          <w:rFonts w:hint="default" w:ascii="Times New Roman" w:hAnsi="Times New Roman" w:cs="Times New Roman"/>
          <w:b w:val="0"/>
          <w:bCs w:val="0"/>
          <w:color w:val="auto"/>
          <w:szCs w:val="22"/>
          <w:lang w:val="en-US" w:eastAsia="zh-CN"/>
        </w:rPr>
        <w:t>cm处周围剂量当量率小于 0.1</w:t>
      </w:r>
      <w:r>
        <w:rPr>
          <w:rFonts w:hint="eastAsia" w:cs="Times New Roman"/>
          <w:b w:val="0"/>
          <w:bCs w:val="0"/>
          <w:color w:val="auto"/>
          <w:szCs w:val="22"/>
          <w:lang w:val="en-US" w:eastAsia="zh-CN"/>
        </w:rPr>
        <w:t xml:space="preserve"> </w:t>
      </w:r>
      <w:r>
        <w:rPr>
          <w:rFonts w:hint="default" w:ascii="Times New Roman" w:hAnsi="Times New Roman" w:cs="Times New Roman"/>
          <w:b w:val="0"/>
          <w:bCs w:val="0"/>
          <w:color w:val="auto"/>
          <w:szCs w:val="22"/>
          <w:lang w:val="en-US" w:eastAsia="zh-CN"/>
        </w:rPr>
        <w:t>mSv/h</w:t>
      </w:r>
      <w:r>
        <w:rPr>
          <w:rFonts w:hint="eastAsia" w:cs="Times New Roman"/>
          <w:b w:val="0"/>
          <w:bCs w:val="0"/>
          <w:color w:val="auto"/>
          <w:szCs w:val="22"/>
          <w:lang w:val="en-US" w:eastAsia="zh-CN"/>
        </w:rPr>
        <w:t>；</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3"/>
        <w:rPr>
          <w:rFonts w:hint="eastAsia" w:cs="Times New Roman"/>
          <w:b w:val="0"/>
          <w:bCs w:val="0"/>
          <w:color w:val="auto"/>
          <w:szCs w:val="22"/>
          <w:lang w:val="en-US" w:eastAsia="zh-CN"/>
        </w:rPr>
      </w:pPr>
      <w:r>
        <w:rPr>
          <w:rFonts w:hint="eastAsia" w:cs="Times New Roman"/>
          <w:b w:val="0"/>
          <w:bCs w:val="0"/>
          <w:color w:val="auto"/>
          <w:szCs w:val="22"/>
          <w:lang w:val="en-US" w:eastAsia="zh-CN"/>
        </w:rPr>
        <w:t>b）</w:t>
      </w:r>
      <w:r>
        <w:rPr>
          <w:rFonts w:hint="default" w:ascii="Times New Roman" w:hAnsi="Times New Roman" w:cs="Times New Roman"/>
          <w:b w:val="0"/>
          <w:bCs w:val="0"/>
          <w:color w:val="auto"/>
          <w:szCs w:val="22"/>
          <w:lang w:val="en-US" w:eastAsia="zh-CN"/>
        </w:rPr>
        <w:t>距运源车外表面 2 m处周围剂量当量率小于 2.5</w:t>
      </w:r>
      <w:r>
        <w:rPr>
          <w:rFonts w:hint="eastAsia" w:cs="Times New Roman"/>
          <w:b w:val="0"/>
          <w:bCs w:val="0"/>
          <w:color w:val="auto"/>
          <w:szCs w:val="22"/>
          <w:lang w:val="en-US" w:eastAsia="zh-CN"/>
        </w:rPr>
        <w:t xml:space="preserve"> </w:t>
      </w:r>
      <w:r>
        <w:rPr>
          <w:rFonts w:hint="default" w:ascii="Times New Roman" w:hAnsi="Times New Roman" w:cs="Times New Roman"/>
          <w:b w:val="0"/>
          <w:bCs w:val="0"/>
          <w:color w:val="auto"/>
          <w:szCs w:val="22"/>
          <w:lang w:val="en-US" w:eastAsia="zh-CN"/>
        </w:rPr>
        <w:t>μSv/h</w:t>
      </w:r>
      <w:r>
        <w:rPr>
          <w:rFonts w:hint="eastAsia" w:cs="Times New Roman"/>
          <w:b w:val="0"/>
          <w:bCs w:val="0"/>
          <w:color w:val="auto"/>
          <w:szCs w:val="22"/>
          <w:lang w:val="en-US" w:eastAsia="zh-CN"/>
        </w:rPr>
        <w:t>；</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3"/>
        <w:rPr>
          <w:rFonts w:hint="default" w:ascii="Times New Roman" w:hAnsi="Times New Roman" w:cs="Times New Roman"/>
          <w:b w:val="0"/>
          <w:bCs w:val="0"/>
          <w:color w:val="auto"/>
          <w:szCs w:val="22"/>
          <w:lang w:val="en-US" w:eastAsia="zh-CN"/>
        </w:rPr>
      </w:pPr>
      <w:r>
        <w:rPr>
          <w:rFonts w:hint="eastAsia" w:cs="Times New Roman"/>
          <w:b w:val="0"/>
          <w:bCs w:val="0"/>
          <w:color w:val="auto"/>
          <w:szCs w:val="22"/>
          <w:lang w:val="en-US" w:eastAsia="zh-CN"/>
        </w:rPr>
        <w:t>c）</w:t>
      </w:r>
      <w:r>
        <w:rPr>
          <w:rFonts w:hint="default" w:ascii="Times New Roman" w:hAnsi="Times New Roman" w:cs="Times New Roman"/>
          <w:b w:val="0"/>
          <w:bCs w:val="0"/>
          <w:color w:val="auto"/>
          <w:szCs w:val="22"/>
          <w:lang w:val="en-US" w:eastAsia="zh-CN"/>
        </w:rPr>
        <w:t>驾驶员位置周围剂量当量率小于 2.5</w:t>
      </w:r>
      <w:r>
        <w:rPr>
          <w:rFonts w:hint="eastAsia" w:cs="Times New Roman"/>
          <w:b w:val="0"/>
          <w:bCs w:val="0"/>
          <w:color w:val="auto"/>
          <w:szCs w:val="22"/>
          <w:lang w:val="en-US" w:eastAsia="zh-CN"/>
        </w:rPr>
        <w:t xml:space="preserve"> </w:t>
      </w:r>
      <w:r>
        <w:rPr>
          <w:rFonts w:hint="default" w:ascii="Times New Roman" w:hAnsi="Times New Roman" w:cs="Times New Roman"/>
          <w:b w:val="0"/>
          <w:bCs w:val="0"/>
          <w:color w:val="auto"/>
          <w:szCs w:val="22"/>
          <w:lang w:val="en-US" w:eastAsia="zh-CN"/>
        </w:rPr>
        <w:t>μSv/h。</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运输车辆货箱设有盛装和固定源容器的装置，应与车体牢固连接，同时源容器应采取有效的防震、防冲撞、防雨、防盗、防火、防丢失、防辐射、双人双锁等安全防护措施。</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放射源的货运运输</w:t>
      </w:r>
      <w:r>
        <w:rPr>
          <w:rFonts w:hint="eastAsia" w:cs="Times New Roman"/>
          <w:b w:val="0"/>
          <w:bCs w:val="0"/>
          <w:color w:val="auto"/>
          <w:szCs w:val="22"/>
          <w:lang w:val="en-US" w:eastAsia="zh-CN"/>
        </w:rPr>
        <w:t>应符合</w:t>
      </w:r>
      <w:r>
        <w:rPr>
          <w:rFonts w:hint="default" w:ascii="Times New Roman" w:hAnsi="Times New Roman" w:cs="Times New Roman"/>
          <w:b w:val="0"/>
          <w:bCs w:val="0"/>
          <w:color w:val="auto"/>
          <w:szCs w:val="22"/>
          <w:lang w:val="en-US" w:eastAsia="zh-CN"/>
        </w:rPr>
        <w:t>GB 11806 的</w:t>
      </w:r>
      <w:r>
        <w:rPr>
          <w:rFonts w:hint="eastAsia" w:cs="Times New Roman"/>
          <w:b w:val="0"/>
          <w:bCs w:val="0"/>
          <w:color w:val="auto"/>
          <w:szCs w:val="22"/>
          <w:lang w:val="en-US" w:eastAsia="zh-CN"/>
        </w:rPr>
        <w:t>要求</w:t>
      </w:r>
      <w:r>
        <w:rPr>
          <w:rFonts w:hint="default" w:ascii="Times New Roman" w:hAnsi="Times New Roman" w:cs="Times New Roman"/>
          <w:b w:val="0"/>
          <w:bCs w:val="0"/>
          <w:color w:val="auto"/>
          <w:szCs w:val="22"/>
          <w:lang w:val="en-US" w:eastAsia="zh-CN"/>
        </w:rPr>
        <w:t>，</w:t>
      </w:r>
      <w:r>
        <w:rPr>
          <w:rFonts w:hint="eastAsia" w:cs="Times New Roman"/>
          <w:b w:val="0"/>
          <w:bCs w:val="0"/>
          <w:color w:val="auto"/>
          <w:szCs w:val="22"/>
          <w:lang w:val="en-US" w:eastAsia="zh-CN"/>
        </w:rPr>
        <w:t>运输时应</w:t>
      </w:r>
      <w:r>
        <w:rPr>
          <w:rFonts w:hint="default" w:ascii="Times New Roman" w:hAnsi="Times New Roman" w:cs="Times New Roman"/>
          <w:b w:val="0"/>
          <w:bCs w:val="0"/>
          <w:color w:val="auto"/>
          <w:szCs w:val="22"/>
          <w:lang w:val="en-US" w:eastAsia="zh-CN"/>
        </w:rPr>
        <w:t>对货包作标记、贴标签</w:t>
      </w:r>
      <w:r>
        <w:rPr>
          <w:rFonts w:hint="eastAsia" w:cs="Times New Roman"/>
          <w:b w:val="0"/>
          <w:bCs w:val="0"/>
          <w:color w:val="auto"/>
          <w:szCs w:val="22"/>
          <w:lang w:val="en-US" w:eastAsia="zh-CN"/>
        </w:rPr>
        <w:t>、</w:t>
      </w:r>
      <w:r>
        <w:rPr>
          <w:rFonts w:hint="default" w:ascii="Times New Roman" w:hAnsi="Times New Roman" w:cs="Times New Roman"/>
          <w:b w:val="0"/>
          <w:bCs w:val="0"/>
          <w:color w:val="auto"/>
          <w:szCs w:val="22"/>
          <w:lang w:val="en-US" w:eastAsia="zh-CN"/>
        </w:rPr>
        <w:t>挂标牌</w:t>
      </w:r>
      <w:r>
        <w:rPr>
          <w:rFonts w:hint="eastAsia" w:cs="Times New Roman"/>
          <w:b w:val="0"/>
          <w:bCs w:val="0"/>
          <w:color w:val="auto"/>
          <w:szCs w:val="22"/>
          <w:lang w:val="en-US" w:eastAsia="zh-CN"/>
        </w:rPr>
        <w:t>。</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运输车辆应当悬挂符合国家标准要求的警示标志。</w:t>
      </w:r>
    </w:p>
    <w:bookmarkEnd w:id="24"/>
    <w:p>
      <w:pPr>
        <w:pStyle w:val="31"/>
        <w:keepNext w:val="0"/>
        <w:keepLines w:val="0"/>
        <w:pageBreakBefore w:val="0"/>
        <w:numPr>
          <w:ilvl w:val="1"/>
          <w:numId w:val="3"/>
        </w:numPr>
        <w:kinsoku/>
        <w:wordWrap/>
        <w:overflowPunct/>
        <w:topLinePunct w:val="0"/>
        <w:autoSpaceDE/>
        <w:autoSpaceDN/>
        <w:bidi w:val="0"/>
        <w:adjustRightInd/>
        <w:snapToGrid/>
        <w:spacing w:before="240" w:after="24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bookmarkStart w:id="25" w:name="_Toc20806"/>
      <w:r>
        <w:rPr>
          <w:rFonts w:hint="default" w:ascii="Times New Roman" w:hAnsi="Times New Roman" w:eastAsia="黑体" w:cs="Times New Roman"/>
          <w:color w:val="auto"/>
          <w:szCs w:val="22"/>
          <w:lang w:val="en-US" w:eastAsia="zh-CN"/>
        </w:rPr>
        <w:t>固定式探伤的辐射安全与防护要求</w:t>
      </w:r>
    </w:p>
    <w:bookmarkEnd w:id="25"/>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eastAsia" w:ascii="黑体" w:hAnsi="黑体" w:eastAsia="黑体" w:cs="黑体"/>
          <w:b w:val="0"/>
          <w:bCs w:val="0"/>
          <w:color w:val="auto"/>
          <w:szCs w:val="22"/>
          <w:lang w:val="en-US" w:eastAsia="zh-CN"/>
        </w:rPr>
      </w:pPr>
      <w:bookmarkStart w:id="26" w:name="_Toc9040"/>
      <w:bookmarkStart w:id="27" w:name="_Toc96316738"/>
      <w:r>
        <w:rPr>
          <w:rFonts w:hint="eastAsia" w:ascii="黑体" w:hAnsi="黑体" w:eastAsia="黑体" w:cs="黑体"/>
          <w:b w:val="0"/>
          <w:bCs w:val="0"/>
          <w:color w:val="auto"/>
          <w:szCs w:val="22"/>
          <w:lang w:val="en-US" w:eastAsia="zh-CN"/>
        </w:rPr>
        <w:t>分区管理</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eastAsia="宋体" w:cs="Times New Roman"/>
          <w:color w:val="auto"/>
          <w:szCs w:val="22"/>
          <w:lang w:val="en-US" w:eastAsia="zh-CN"/>
        </w:rPr>
        <w:t>固定式探伤</w:t>
      </w:r>
      <w:r>
        <w:rPr>
          <w:rFonts w:hint="default" w:eastAsia="宋体" w:cs="Times New Roman"/>
          <w:color w:val="auto"/>
          <w:szCs w:val="22"/>
          <w:lang w:val="en-US" w:eastAsia="zh-CN"/>
        </w:rPr>
        <w:t>的辐射</w:t>
      </w:r>
      <w:r>
        <w:rPr>
          <w:rFonts w:hint="default" w:cs="Times New Roman"/>
          <w:b w:val="0"/>
          <w:bCs w:val="0"/>
          <w:color w:val="auto"/>
          <w:szCs w:val="22"/>
          <w:lang w:val="en-US" w:eastAsia="zh-CN"/>
        </w:rPr>
        <w:t>工作场所</w:t>
      </w:r>
      <w:r>
        <w:rPr>
          <w:rFonts w:hint="default" w:ascii="Times New Roman" w:hAnsi="Times New Roman" w:cs="Times New Roman"/>
          <w:b w:val="0"/>
          <w:bCs w:val="0"/>
          <w:color w:val="auto"/>
          <w:szCs w:val="22"/>
          <w:lang w:val="en-US" w:eastAsia="zh-CN"/>
        </w:rPr>
        <w:t>应划分控制区、监督区。</w:t>
      </w:r>
      <w:r>
        <w:rPr>
          <w:rFonts w:hint="eastAsia" w:cs="Times New Roman"/>
          <w:b w:val="0"/>
          <w:bCs w:val="0"/>
          <w:color w:val="auto"/>
          <w:szCs w:val="22"/>
          <w:lang w:val="en-US" w:eastAsia="zh-CN"/>
        </w:rPr>
        <w:t>通常，探伤室为控制区，监督区为操作室和其他需要对职业照射条件进行监督和评价的区域。</w:t>
      </w:r>
      <w:r>
        <w:rPr>
          <w:rFonts w:hint="default" w:ascii="Times New Roman" w:hAnsi="Times New Roman" w:cs="Times New Roman"/>
          <w:b w:val="0"/>
          <w:bCs w:val="0"/>
          <w:color w:val="auto"/>
          <w:szCs w:val="22"/>
          <w:lang w:val="en-US" w:eastAsia="zh-CN"/>
        </w:rPr>
        <w:t>探伤室辐射屏蔽应满足GB</w:t>
      </w:r>
      <w:r>
        <w:rPr>
          <w:rFonts w:hint="eastAsia" w:ascii="Times New Roman" w:hAnsi="Times New Roman" w:cs="Times New Roman"/>
          <w:b w:val="0"/>
          <w:bCs w:val="0"/>
          <w:color w:val="auto"/>
          <w:szCs w:val="22"/>
          <w:lang w:val="en-US" w:eastAsia="zh-CN"/>
        </w:rPr>
        <w:t>Z</w:t>
      </w:r>
      <w:r>
        <w:rPr>
          <w:rFonts w:hint="default" w:ascii="Times New Roman" w:hAnsi="Times New Roman" w:cs="Times New Roman"/>
          <w:b w:val="0"/>
          <w:bCs w:val="0"/>
          <w:color w:val="auto"/>
          <w:szCs w:val="22"/>
          <w:lang w:val="en-US" w:eastAsia="zh-CN"/>
        </w:rPr>
        <w:t>117的要求，同一探伤室内每次只能启动1台射线探伤装置进行探伤作业。操作室与探伤室分开，并避开有用线束照射的方向</w:t>
      </w:r>
      <w:r>
        <w:rPr>
          <w:rFonts w:hint="eastAsia" w:ascii="Times New Roman" w:hAnsi="Times New Roman" w:cs="Times New Roman"/>
          <w:b w:val="0"/>
          <w:bCs w:val="0"/>
          <w:color w:val="auto"/>
          <w:szCs w:val="22"/>
          <w:lang w:val="en-US" w:eastAsia="zh-CN"/>
        </w:rPr>
        <w:t>。</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通风要求</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探伤室设置机械通风装置，排风管道外口朝向避开人员活动密集区</w:t>
      </w:r>
      <w:r>
        <w:rPr>
          <w:rFonts w:hint="eastAsia" w:ascii="Times New Roman" w:hAnsi="Times New Roman" w:cs="Times New Roman"/>
          <w:b w:val="0"/>
          <w:bCs w:val="0"/>
          <w:color w:val="auto"/>
          <w:szCs w:val="22"/>
          <w:lang w:val="en-US" w:eastAsia="zh-CN"/>
        </w:rPr>
        <w:t>。</w:t>
      </w:r>
      <w:r>
        <w:rPr>
          <w:rFonts w:hint="default" w:ascii="Times New Roman" w:hAnsi="Times New Roman" w:cs="Times New Roman"/>
          <w:b w:val="0"/>
          <w:bCs w:val="0"/>
          <w:color w:val="auto"/>
          <w:szCs w:val="22"/>
          <w:lang w:val="en-US" w:eastAsia="zh-CN"/>
        </w:rPr>
        <w:t>每小时有效通风换气次数应不小于3次。</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联锁要求</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探伤室防护门上设置电离辐射警示标志和中文警示说明。探伤室门口和内部同时设置显示“预备”和“照射”状态的指示灯和声音提示装置，并与探伤机联锁。探伤室内、外醒目位置处设置清晰的 “预备”和“照射”信号意义说明。探伤室设置门-机联锁装置。探伤室内有多台探伤装置时，每台装置均应与防护门联锁。</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探伤室内设置紧急停机按钮或拉绳，并带有标签，标明使用方法。</w:t>
      </w:r>
      <w:r>
        <w:rPr>
          <w:rFonts w:hint="eastAsia" w:ascii="Times New Roman" w:hAnsi="Times New Roman" w:cs="Times New Roman"/>
          <w:b w:val="0"/>
          <w:bCs w:val="0"/>
          <w:color w:val="auto"/>
          <w:szCs w:val="22"/>
          <w:lang w:val="en-US" w:eastAsia="zh-CN"/>
        </w:rPr>
        <w:t>按钮或拉绳的安装，应使人员处在探伤室内任何位置时都不需要穿过主射线束就能够使用。</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探伤室内应</w:t>
      </w:r>
      <w:r>
        <w:rPr>
          <w:rFonts w:hint="eastAsia" w:cs="Times New Roman"/>
          <w:b w:val="0"/>
          <w:bCs w:val="0"/>
          <w:color w:val="auto"/>
          <w:szCs w:val="22"/>
          <w:lang w:val="en-US" w:eastAsia="zh-CN"/>
        </w:rPr>
        <w:t>在合适位置</w:t>
      </w:r>
      <w:r>
        <w:rPr>
          <w:rFonts w:hint="default" w:ascii="Times New Roman" w:hAnsi="Times New Roman" w:cs="Times New Roman"/>
          <w:b w:val="0"/>
          <w:bCs w:val="0"/>
          <w:color w:val="auto"/>
          <w:szCs w:val="22"/>
          <w:lang w:val="en-US" w:eastAsia="zh-CN"/>
        </w:rPr>
        <w:t>设置固定式场所辐射监测装置，并设置报警阈值，当探伤室内辐射剂量超过设定阈值时应给出报警，同时锁定探伤室门。</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Times New Roman" w:hAnsi="Times New Roman" w:cs="Times New Roman"/>
          <w:b w:val="0"/>
          <w:bCs w:val="0"/>
          <w:color w:val="auto"/>
          <w:szCs w:val="22"/>
          <w:lang w:val="en-US" w:eastAsia="zh-CN"/>
        </w:rPr>
      </w:pPr>
      <w:r>
        <w:rPr>
          <w:rFonts w:hint="eastAsia" w:ascii="黑体" w:hAnsi="黑体" w:eastAsia="黑体" w:cs="黑体"/>
          <w:b w:val="0"/>
          <w:bCs w:val="0"/>
          <w:color w:val="auto"/>
          <w:szCs w:val="22"/>
          <w:lang w:val="en-US" w:eastAsia="zh-CN"/>
        </w:rPr>
        <w:t>监视装置</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探伤室内和探伤室出入口应安装监视装置，在控制室的操作台应有专用的监视器，可监视探伤室内人员的活动和探伤设备的运行情况。</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便携式剂量警报设备</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探伤室应配置便携式辐射</w:t>
      </w:r>
      <w:r>
        <w:rPr>
          <w:rFonts w:hint="eastAsia" w:cs="Times New Roman"/>
          <w:b w:val="0"/>
          <w:bCs w:val="0"/>
          <w:color w:val="auto"/>
          <w:szCs w:val="22"/>
          <w:lang w:val="en-US" w:eastAsia="zh-CN"/>
        </w:rPr>
        <w:t>监测报警</w:t>
      </w:r>
      <w:r>
        <w:rPr>
          <w:rFonts w:hint="default" w:ascii="Times New Roman" w:hAnsi="Times New Roman" w:cs="Times New Roman"/>
          <w:b w:val="0"/>
          <w:bCs w:val="0"/>
          <w:color w:val="auto"/>
          <w:szCs w:val="22"/>
          <w:lang w:val="en-US" w:eastAsia="zh-CN"/>
        </w:rPr>
        <w:t>仪，该报警仪应与防护门钥匙、探伤装置的安全锁钥匙串结一起。</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探伤作业人员进入探伤室前应佩戴</w:t>
      </w:r>
      <w:r>
        <w:rPr>
          <w:rFonts w:hint="eastAsia" w:ascii="Times New Roman" w:hAnsi="Times New Roman" w:cs="Times New Roman"/>
          <w:b w:val="0"/>
          <w:bCs w:val="0"/>
          <w:color w:val="auto"/>
          <w:szCs w:val="22"/>
          <w:lang w:val="en-US" w:eastAsia="zh-CN"/>
        </w:rPr>
        <w:t>个人剂量计、</w:t>
      </w:r>
      <w:r>
        <w:rPr>
          <w:rFonts w:hint="default" w:ascii="Times New Roman" w:hAnsi="Times New Roman" w:cs="Times New Roman"/>
          <w:b w:val="0"/>
          <w:bCs w:val="0"/>
          <w:color w:val="auto"/>
          <w:szCs w:val="22"/>
          <w:lang w:val="en-US" w:eastAsia="zh-CN"/>
        </w:rPr>
        <w:t>个人剂量报警仪</w:t>
      </w:r>
      <w:r>
        <w:rPr>
          <w:rFonts w:hint="eastAsia" w:ascii="Times New Roman" w:hAnsi="Times New Roman" w:cs="Times New Roman"/>
          <w:b w:val="0"/>
          <w:bCs w:val="0"/>
          <w:color w:val="auto"/>
          <w:szCs w:val="22"/>
          <w:lang w:val="en-US" w:eastAsia="zh-CN"/>
        </w:rPr>
        <w:t>，</w:t>
      </w:r>
      <w:r>
        <w:rPr>
          <w:rFonts w:hint="default" w:ascii="Times New Roman" w:hAnsi="Times New Roman" w:cs="Times New Roman"/>
          <w:b w:val="0"/>
          <w:bCs w:val="0"/>
          <w:color w:val="auto"/>
          <w:szCs w:val="22"/>
          <w:lang w:val="en-US" w:eastAsia="zh-CN"/>
        </w:rPr>
        <w:t>携带便携式辐射监测</w:t>
      </w:r>
      <w:r>
        <w:rPr>
          <w:rFonts w:hint="eastAsia" w:cs="Times New Roman"/>
          <w:b w:val="0"/>
          <w:bCs w:val="0"/>
          <w:color w:val="auto"/>
          <w:szCs w:val="22"/>
          <w:lang w:val="en-US" w:eastAsia="zh-CN"/>
        </w:rPr>
        <w:t>报警</w:t>
      </w:r>
      <w:r>
        <w:rPr>
          <w:rFonts w:hint="default" w:ascii="Times New Roman" w:hAnsi="Times New Roman" w:cs="Times New Roman"/>
          <w:b w:val="0"/>
          <w:bCs w:val="0"/>
          <w:color w:val="auto"/>
          <w:szCs w:val="22"/>
          <w:lang w:val="en-US" w:eastAsia="zh-CN"/>
        </w:rPr>
        <w:t>仪，</w:t>
      </w:r>
      <w:r>
        <w:rPr>
          <w:rFonts w:hint="eastAsia" w:ascii="Times New Roman" w:hAnsi="Times New Roman" w:cs="Times New Roman"/>
          <w:b w:val="0"/>
          <w:bCs w:val="0"/>
          <w:color w:val="auto"/>
          <w:szCs w:val="22"/>
          <w:lang w:val="en-US" w:eastAsia="zh-CN"/>
        </w:rPr>
        <w:t>仪器先行，当剂量率达到设定的报警阈值报警时</w:t>
      </w:r>
      <w:r>
        <w:rPr>
          <w:rFonts w:hint="default" w:ascii="Times New Roman" w:hAnsi="Times New Roman" w:cs="Times New Roman"/>
          <w:b w:val="0"/>
          <w:bCs w:val="0"/>
          <w:color w:val="auto"/>
          <w:szCs w:val="22"/>
          <w:lang w:val="en-US" w:eastAsia="zh-CN"/>
        </w:rPr>
        <w:t>，应立即撤离探伤室并检查原因</w:t>
      </w:r>
      <w:r>
        <w:rPr>
          <w:rFonts w:hint="eastAsia" w:ascii="Times New Roman" w:hAnsi="Times New Roman" w:cs="Times New Roman"/>
          <w:b w:val="0"/>
          <w:bCs w:val="0"/>
          <w:color w:val="auto"/>
          <w:szCs w:val="22"/>
          <w:lang w:val="en-US" w:eastAsia="zh-CN"/>
        </w:rPr>
        <w:t>，</w:t>
      </w:r>
      <w:r>
        <w:rPr>
          <w:rFonts w:hint="default" w:ascii="Times New Roman" w:hAnsi="Times New Roman" w:cs="Times New Roman"/>
          <w:b w:val="0"/>
          <w:bCs w:val="0"/>
          <w:color w:val="auto"/>
          <w:szCs w:val="22"/>
          <w:lang w:val="en-US" w:eastAsia="zh-CN"/>
        </w:rPr>
        <w:t>确保</w:t>
      </w:r>
      <w:r>
        <w:rPr>
          <w:rFonts w:hint="eastAsia" w:ascii="Times New Roman" w:hAnsi="Times New Roman" w:cs="Times New Roman"/>
          <w:b w:val="0"/>
          <w:bCs w:val="0"/>
          <w:color w:val="auto"/>
          <w:szCs w:val="22"/>
          <w:lang w:val="en-US" w:eastAsia="zh-CN"/>
        </w:rPr>
        <w:t>人员进入探伤室时</w:t>
      </w:r>
      <w:r>
        <w:rPr>
          <w:rFonts w:hint="default" w:ascii="Times New Roman" w:hAnsi="Times New Roman" w:cs="Times New Roman"/>
          <w:b w:val="0"/>
          <w:bCs w:val="0"/>
          <w:color w:val="auto"/>
          <w:szCs w:val="22"/>
          <w:lang w:val="en-US" w:eastAsia="zh-CN"/>
        </w:rPr>
        <w:t>探伤设备已停止出束或未意外出束</w:t>
      </w:r>
      <w:r>
        <w:rPr>
          <w:rFonts w:hint="eastAsia" w:cs="Times New Roman"/>
          <w:b w:val="0"/>
          <w:bCs w:val="0"/>
          <w:color w:val="auto"/>
          <w:szCs w:val="22"/>
          <w:lang w:val="en-US" w:eastAsia="zh-CN"/>
        </w:rPr>
        <w:t>，或放射源已收回源容器</w:t>
      </w:r>
      <w:r>
        <w:rPr>
          <w:rFonts w:hint="default" w:ascii="Times New Roman" w:hAnsi="Times New Roman" w:cs="Times New Roman"/>
          <w:b w:val="0"/>
          <w:bCs w:val="0"/>
          <w:color w:val="auto"/>
          <w:szCs w:val="22"/>
          <w:lang w:val="en-US" w:eastAsia="zh-CN"/>
        </w:rPr>
        <w:t>。</w:t>
      </w:r>
    </w:p>
    <w:bookmarkEnd w:id="26"/>
    <w:bookmarkEnd w:id="27"/>
    <w:p>
      <w:pPr>
        <w:pStyle w:val="31"/>
        <w:keepNext w:val="0"/>
        <w:keepLines w:val="0"/>
        <w:pageBreakBefore w:val="0"/>
        <w:numPr>
          <w:ilvl w:val="1"/>
          <w:numId w:val="3"/>
        </w:numPr>
        <w:kinsoku/>
        <w:wordWrap/>
        <w:overflowPunct/>
        <w:topLinePunct w:val="0"/>
        <w:autoSpaceDE/>
        <w:autoSpaceDN/>
        <w:bidi w:val="0"/>
        <w:adjustRightInd/>
        <w:snapToGrid/>
        <w:spacing w:before="240" w:after="24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移动式探伤的辐射安全与防护要求</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探伤准备</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2"/>
        <w:rPr>
          <w:rFonts w:hint="eastAsia" w:ascii="Times New Roman" w:hAnsi="Times New Roman" w:cs="Times New Roman"/>
          <w:b w:val="0"/>
          <w:bCs w:val="0"/>
          <w:color w:val="auto"/>
          <w:szCs w:val="22"/>
          <w:lang w:val="en-US" w:eastAsia="zh-CN"/>
        </w:rPr>
      </w:pPr>
      <w:r>
        <w:rPr>
          <w:rFonts w:hint="eastAsia" w:ascii="Times New Roman" w:hAnsi="Times New Roman" w:cs="Times New Roman"/>
          <w:b w:val="0"/>
          <w:bCs w:val="0"/>
          <w:color w:val="auto"/>
          <w:szCs w:val="22"/>
          <w:lang w:val="en-US" w:eastAsia="zh-CN"/>
        </w:rPr>
        <w:t>移动式探伤工作如在委托单位的工作场地实施准备和规划，使用单位应与委托单位协商适当的探伤地点和探伤时间、现场的通告、警告标识和报警信号等，避免造成混淆。</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安全信息公示牌</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作业现场边界外公众可达地点应放置安全信息公示牌，并应满足以下要求：</w:t>
      </w:r>
    </w:p>
    <w:p>
      <w:pPr>
        <w:pStyle w:val="31"/>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leftChars="0" w:firstLine="638" w:firstLineChars="304"/>
        <w:textAlignment w:val="auto"/>
        <w:outlineLvl w:val="9"/>
        <w:rPr>
          <w:rFonts w:hint="default" w:ascii="Times New Roman" w:hAnsi="Times New Roman" w:cs="Times New Roman"/>
          <w:b w:val="0"/>
          <w:bCs w:val="0"/>
          <w:color w:val="auto"/>
          <w:szCs w:val="22"/>
          <w:lang w:val="en-US" w:eastAsia="zh-CN"/>
        </w:rPr>
      </w:pPr>
      <w:r>
        <w:rPr>
          <w:rFonts w:hint="eastAsia" w:cs="Times New Roman"/>
          <w:b w:val="0"/>
          <w:bCs w:val="0"/>
          <w:color w:val="auto"/>
          <w:szCs w:val="22"/>
          <w:lang w:val="en-US" w:eastAsia="zh-CN"/>
        </w:rPr>
        <w:t xml:space="preserve">a) </w:t>
      </w:r>
      <w:r>
        <w:rPr>
          <w:rFonts w:hint="default" w:ascii="Times New Roman" w:hAnsi="Times New Roman" w:cs="Times New Roman"/>
          <w:b w:val="0"/>
          <w:bCs w:val="0"/>
          <w:color w:val="auto"/>
          <w:szCs w:val="22"/>
          <w:lang w:val="en-US" w:eastAsia="zh-CN"/>
        </w:rPr>
        <w:t>公示牌面积不小于2</w:t>
      </w:r>
      <w:r>
        <w:rPr>
          <w:rFonts w:hint="eastAsia" w:cs="Times New Roman"/>
          <w:b w:val="0"/>
          <w:bCs w:val="0"/>
          <w:color w:val="auto"/>
          <w:szCs w:val="22"/>
          <w:lang w:val="en-US" w:eastAsia="zh-CN"/>
        </w:rPr>
        <w:t xml:space="preserve"> </w:t>
      </w:r>
      <w:r>
        <w:rPr>
          <w:rFonts w:hint="default" w:ascii="Times New Roman" w:hAnsi="Times New Roman" w:cs="Times New Roman"/>
          <w:b w:val="0"/>
          <w:bCs w:val="0"/>
          <w:color w:val="auto"/>
          <w:szCs w:val="22"/>
          <w:lang w:val="en-US" w:eastAsia="zh-CN"/>
        </w:rPr>
        <w:t>m</w:t>
      </w:r>
      <w:r>
        <w:rPr>
          <w:rFonts w:hint="default" w:ascii="Times New Roman" w:hAnsi="Times New Roman" w:cs="Times New Roman"/>
          <w:b w:val="0"/>
          <w:bCs w:val="0"/>
          <w:color w:val="auto"/>
          <w:szCs w:val="22"/>
          <w:vertAlign w:val="superscript"/>
          <w:lang w:val="en-US" w:eastAsia="zh-CN"/>
        </w:rPr>
        <w:t>2</w:t>
      </w:r>
      <w:r>
        <w:rPr>
          <w:rFonts w:hint="default" w:ascii="Times New Roman" w:hAnsi="Times New Roman" w:cs="Times New Roman"/>
          <w:b w:val="0"/>
          <w:bCs w:val="0"/>
          <w:color w:val="auto"/>
          <w:szCs w:val="22"/>
          <w:lang w:val="en-US" w:eastAsia="zh-CN"/>
        </w:rPr>
        <w:t>；</w:t>
      </w:r>
    </w:p>
    <w:p>
      <w:pPr>
        <w:pStyle w:val="31"/>
        <w:keepNext w:val="0"/>
        <w:keepLines w:val="0"/>
        <w:pageBreakBefore w:val="0"/>
        <w:widowControl w:val="0"/>
        <w:numPr>
          <w:ilvl w:val="-1"/>
          <w:numId w:val="0"/>
        </w:numPr>
        <w:kinsoku/>
        <w:wordWrap/>
        <w:overflowPunct/>
        <w:topLinePunct w:val="0"/>
        <w:autoSpaceDE/>
        <w:autoSpaceDN/>
        <w:bidi w:val="0"/>
        <w:adjustRightInd/>
        <w:snapToGrid/>
        <w:spacing w:line="240" w:lineRule="auto"/>
        <w:ind w:left="945" w:leftChars="300" w:hanging="315" w:hangingChars="150"/>
        <w:textAlignment w:val="auto"/>
        <w:outlineLvl w:val="9"/>
        <w:rPr>
          <w:rFonts w:hint="default" w:ascii="Times New Roman" w:hAnsi="Times New Roman" w:cs="Times New Roman"/>
          <w:b w:val="0"/>
          <w:bCs w:val="0"/>
          <w:color w:val="auto"/>
          <w:szCs w:val="22"/>
          <w:lang w:val="en-US" w:eastAsia="zh-CN"/>
        </w:rPr>
      </w:pPr>
      <w:r>
        <w:rPr>
          <w:rFonts w:hint="eastAsia" w:cs="Times New Roman"/>
          <w:b w:val="0"/>
          <w:bCs w:val="0"/>
          <w:color w:val="auto"/>
          <w:szCs w:val="22"/>
          <w:lang w:val="en-US" w:eastAsia="zh-CN"/>
        </w:rPr>
        <w:t xml:space="preserve">b) </w:t>
      </w:r>
      <w:r>
        <w:rPr>
          <w:rFonts w:hint="default" w:ascii="Times New Roman" w:hAnsi="Times New Roman" w:cs="Times New Roman"/>
          <w:b w:val="0"/>
          <w:bCs w:val="0"/>
          <w:color w:val="auto"/>
          <w:szCs w:val="22"/>
          <w:lang w:val="en-US" w:eastAsia="zh-CN"/>
        </w:rPr>
        <w:t>公示牌信息内容包括辐射安全许可证、公司法人、辐射安全负责人、操作人员和现场安全员的姓名、照片、资质证书和</w:t>
      </w:r>
      <w:r>
        <w:rPr>
          <w:rFonts w:hint="eastAsia" w:cs="Times New Roman"/>
          <w:b w:val="0"/>
          <w:bCs w:val="0"/>
          <w:color w:val="auto"/>
          <w:szCs w:val="22"/>
          <w:lang w:val="en-US" w:eastAsia="zh-CN"/>
        </w:rPr>
        <w:t>生态环境</w:t>
      </w:r>
      <w:r>
        <w:rPr>
          <w:rFonts w:hint="default" w:ascii="Times New Roman" w:hAnsi="Times New Roman" w:cs="Times New Roman"/>
          <w:b w:val="0"/>
          <w:bCs w:val="0"/>
          <w:color w:val="auto"/>
          <w:szCs w:val="22"/>
          <w:lang w:val="en-US" w:eastAsia="zh-CN"/>
        </w:rPr>
        <w:t>部门监督举报电话等；</w:t>
      </w:r>
    </w:p>
    <w:p>
      <w:pPr>
        <w:pStyle w:val="31"/>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leftChars="0" w:firstLine="638" w:firstLineChars="304"/>
        <w:textAlignment w:val="auto"/>
        <w:outlineLvl w:val="9"/>
        <w:rPr>
          <w:rFonts w:hint="default" w:ascii="Times New Roman" w:hAnsi="Times New Roman" w:cs="Times New Roman"/>
          <w:b w:val="0"/>
          <w:bCs w:val="0"/>
          <w:color w:val="auto"/>
          <w:szCs w:val="22"/>
          <w:lang w:val="en-US" w:eastAsia="zh-CN"/>
        </w:rPr>
      </w:pPr>
      <w:r>
        <w:rPr>
          <w:rFonts w:hint="eastAsia" w:cs="Times New Roman"/>
          <w:b w:val="0"/>
          <w:bCs w:val="0"/>
          <w:color w:val="auto"/>
          <w:szCs w:val="22"/>
          <w:lang w:val="en-US" w:eastAsia="zh-CN"/>
        </w:rPr>
        <w:t xml:space="preserve">c) </w:t>
      </w:r>
      <w:r>
        <w:rPr>
          <w:rFonts w:hint="default" w:ascii="Times New Roman" w:hAnsi="Times New Roman" w:cs="Times New Roman"/>
          <w:b w:val="0"/>
          <w:bCs w:val="0"/>
          <w:color w:val="auto"/>
          <w:szCs w:val="22"/>
          <w:lang w:val="en-US" w:eastAsia="zh-CN"/>
        </w:rPr>
        <w:t>公示信息采取喷绘（印刷）的方式进行制作；</w:t>
      </w:r>
    </w:p>
    <w:p>
      <w:pPr>
        <w:pStyle w:val="31"/>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leftChars="0" w:firstLine="638" w:firstLineChars="304"/>
        <w:textAlignment w:val="auto"/>
        <w:outlineLvl w:val="9"/>
        <w:rPr>
          <w:rFonts w:hint="default" w:ascii="Times New Roman" w:hAnsi="Times New Roman" w:cs="Times New Roman"/>
          <w:b w:val="0"/>
          <w:bCs w:val="0"/>
          <w:color w:val="auto"/>
          <w:szCs w:val="22"/>
          <w:lang w:val="en-US" w:eastAsia="zh-CN"/>
        </w:rPr>
      </w:pPr>
      <w:r>
        <w:rPr>
          <w:rFonts w:hint="eastAsia" w:cs="Times New Roman"/>
          <w:b w:val="0"/>
          <w:bCs w:val="0"/>
          <w:color w:val="auto"/>
          <w:szCs w:val="22"/>
          <w:lang w:val="en-US" w:eastAsia="zh-CN"/>
        </w:rPr>
        <w:t xml:space="preserve">d) </w:t>
      </w:r>
      <w:r>
        <w:rPr>
          <w:rFonts w:hint="default" w:ascii="Times New Roman" w:hAnsi="Times New Roman" w:cs="Times New Roman"/>
          <w:b w:val="0"/>
          <w:bCs w:val="0"/>
          <w:color w:val="auto"/>
          <w:szCs w:val="22"/>
          <w:lang w:val="en-US" w:eastAsia="zh-CN"/>
        </w:rPr>
        <w:t>公示牌信息应实时更新，禁止涂改、污损。</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分区管理</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eastAsia" w:cs="Times New Roman"/>
          <w:b w:val="0"/>
          <w:bCs w:val="0"/>
          <w:color w:val="auto"/>
          <w:szCs w:val="22"/>
          <w:lang w:val="en-US" w:eastAsia="zh-CN"/>
        </w:rPr>
        <w:t>移动式</w:t>
      </w:r>
      <w:r>
        <w:rPr>
          <w:rFonts w:hint="eastAsia" w:ascii="Times New Roman" w:hAnsi="Times New Roman" w:cs="Times New Roman"/>
          <w:b w:val="0"/>
          <w:bCs w:val="0"/>
          <w:color w:val="auto"/>
          <w:szCs w:val="22"/>
          <w:lang w:val="en-US" w:eastAsia="zh-CN"/>
        </w:rPr>
        <w:t>探伤</w:t>
      </w:r>
      <w:r>
        <w:rPr>
          <w:rFonts w:hint="eastAsia" w:cs="Times New Roman"/>
          <w:b w:val="0"/>
          <w:bCs w:val="0"/>
          <w:color w:val="auto"/>
          <w:szCs w:val="22"/>
          <w:lang w:val="en-US" w:eastAsia="zh-CN"/>
        </w:rPr>
        <w:t>时，工作场所</w:t>
      </w:r>
      <w:r>
        <w:rPr>
          <w:rFonts w:hint="default" w:ascii="Times New Roman" w:hAnsi="Times New Roman" w:cs="Times New Roman"/>
          <w:b w:val="0"/>
          <w:bCs w:val="0"/>
          <w:color w:val="auto"/>
          <w:szCs w:val="22"/>
          <w:lang w:val="en-US" w:eastAsia="zh-CN"/>
        </w:rPr>
        <w:t>控制区与监督区的划分应符合GBZ 117的要求</w:t>
      </w:r>
      <w:r>
        <w:rPr>
          <w:rFonts w:hint="eastAsia" w:ascii="Times New Roman" w:hAnsi="Times New Roman" w:cs="Times New Roman"/>
          <w:b w:val="0"/>
          <w:bCs w:val="0"/>
          <w:color w:val="auto"/>
          <w:szCs w:val="22"/>
          <w:lang w:val="en-US" w:eastAsia="zh-CN"/>
        </w:rPr>
        <w:t>，</w:t>
      </w:r>
      <w:r>
        <w:rPr>
          <w:rFonts w:hint="default" w:ascii="Times New Roman" w:hAnsi="Times New Roman" w:cs="Times New Roman"/>
          <w:b w:val="0"/>
          <w:bCs w:val="0"/>
          <w:color w:val="auto"/>
          <w:szCs w:val="22"/>
          <w:lang w:val="en-US" w:eastAsia="zh-CN"/>
        </w:rPr>
        <w:t>现场射线探伤工作应在指定为控制区的区域内进行。控制区距离估算参考附录</w:t>
      </w:r>
      <w:r>
        <w:rPr>
          <w:rFonts w:hint="eastAsia" w:cs="Times New Roman"/>
          <w:b w:val="0"/>
          <w:bCs w:val="0"/>
          <w:color w:val="auto"/>
          <w:szCs w:val="22"/>
          <w:lang w:val="en-US" w:eastAsia="zh-CN"/>
        </w:rPr>
        <w:t>A</w:t>
      </w:r>
      <w:r>
        <w:rPr>
          <w:rFonts w:hint="default" w:ascii="Times New Roman" w:hAnsi="Times New Roman" w:cs="Times New Roman"/>
          <w:b w:val="0"/>
          <w:bCs w:val="0"/>
          <w:color w:val="auto"/>
          <w:szCs w:val="22"/>
          <w:lang w:val="en-US" w:eastAsia="zh-CN"/>
        </w:rPr>
        <w:t>。</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控制区边界上合适的位置应设置电离辐射警告标志并悬挂清晰可见的“禁止进入射线工作区”警告牌。应有提示“预备”和“照射”状态的指示灯和声音提示装置。夜晚作业时控制区边界应设置警示灯。监督区边界上悬挂清晰可见的“无关人员禁止入内”警告牌，必要时设专人警戒。X和γ射线探伤的警示信号指示装置应与探伤机联锁。</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探伤作业人员应在控制区边界外操作，否则应采取专门的防护措施。</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便携式剂量警报设备</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每一个探伤作业班组应至少配备一台便携式X-γ剂量率仪</w:t>
      </w:r>
      <w:r>
        <w:rPr>
          <w:rFonts w:hint="eastAsia" w:ascii="Times New Roman" w:hAnsi="Times New Roman" w:cs="Times New Roman"/>
          <w:b w:val="0"/>
          <w:bCs w:val="0"/>
          <w:color w:val="auto"/>
          <w:szCs w:val="22"/>
          <w:lang w:val="en-US" w:eastAsia="zh-CN"/>
        </w:rPr>
        <w:t>，</w:t>
      </w:r>
      <w:r>
        <w:rPr>
          <w:rFonts w:hint="default" w:ascii="Times New Roman" w:hAnsi="Times New Roman" w:cs="Times New Roman"/>
          <w:b w:val="0"/>
          <w:bCs w:val="0"/>
          <w:color w:val="auto"/>
          <w:szCs w:val="22"/>
          <w:lang w:val="en-US" w:eastAsia="zh-CN"/>
        </w:rPr>
        <w:t>开始移动式探伤工作之前，应对便携式 X-γ剂量率仪进行检查，确认能正常工作。在移动式探伤工作期间，便携式 X-γ剂量率仪应一直处于开机状态，防止射线曝光异常或不能正常终止。</w:t>
      </w:r>
    </w:p>
    <w:p>
      <w:pPr>
        <w:pStyle w:val="31"/>
        <w:keepNext w:val="0"/>
        <w:keepLines w:val="0"/>
        <w:pageBreakBefore w:val="0"/>
        <w:widowControl w:val="0"/>
        <w:numPr>
          <w:ilvl w:val="3"/>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每台探伤机至少配备2名操作人员同时在场</w:t>
      </w:r>
      <w:r>
        <w:rPr>
          <w:rFonts w:hint="eastAsia" w:cs="Times New Roman"/>
          <w:b w:val="0"/>
          <w:bCs w:val="0"/>
          <w:color w:val="auto"/>
          <w:szCs w:val="22"/>
          <w:lang w:val="en-US" w:eastAsia="zh-CN"/>
        </w:rPr>
        <w:t>，</w:t>
      </w:r>
      <w:r>
        <w:rPr>
          <w:rFonts w:hint="default" w:ascii="Times New Roman" w:hAnsi="Times New Roman" w:cs="Times New Roman"/>
          <w:b w:val="0"/>
          <w:bCs w:val="0"/>
          <w:color w:val="auto"/>
          <w:szCs w:val="22"/>
          <w:lang w:val="en-US" w:eastAsia="zh-CN"/>
        </w:rPr>
        <w:t>每名操作人员应配备一台个人剂量报警仪和个人剂量计，个人剂量报警仪应能在现场环境条件下可听见、看见或产生震动信号</w:t>
      </w:r>
      <w:r>
        <w:rPr>
          <w:rFonts w:hint="eastAsia" w:ascii="Times New Roman" w:hAnsi="Times New Roman" w:cs="Times New Roman"/>
          <w:b w:val="0"/>
          <w:bCs w:val="0"/>
          <w:color w:val="auto"/>
          <w:szCs w:val="22"/>
          <w:lang w:val="en-US" w:eastAsia="zh-CN"/>
        </w:rPr>
        <w:t>。</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default" w:ascii="黑体" w:hAnsi="黑体" w:eastAsia="黑体" w:cs="黑体"/>
          <w:b w:val="0"/>
          <w:bCs w:val="0"/>
          <w:color w:val="auto"/>
          <w:szCs w:val="22"/>
          <w:lang w:val="en-US" w:eastAsia="zh-CN"/>
        </w:rPr>
        <w:t>γ</w:t>
      </w:r>
      <w:r>
        <w:rPr>
          <w:rFonts w:hint="eastAsia" w:ascii="黑体" w:hAnsi="黑体" w:eastAsia="黑体" w:cs="黑体"/>
          <w:b w:val="0"/>
          <w:bCs w:val="0"/>
          <w:color w:val="auto"/>
          <w:szCs w:val="22"/>
          <w:lang w:val="en-US" w:eastAsia="zh-CN"/>
        </w:rPr>
        <w:t>射线</w:t>
      </w:r>
      <w:r>
        <w:rPr>
          <w:rFonts w:hint="default" w:ascii="黑体" w:hAnsi="黑体" w:eastAsia="黑体" w:cs="黑体"/>
          <w:b w:val="0"/>
          <w:bCs w:val="0"/>
          <w:color w:val="auto"/>
          <w:szCs w:val="22"/>
          <w:lang w:val="en-US" w:eastAsia="zh-CN"/>
        </w:rPr>
        <w:t>探伤</w:t>
      </w:r>
      <w:r>
        <w:rPr>
          <w:rFonts w:hint="eastAsia" w:ascii="黑体" w:hAnsi="黑体" w:eastAsia="黑体" w:cs="黑体"/>
          <w:b w:val="0"/>
          <w:bCs w:val="0"/>
          <w:color w:val="auto"/>
          <w:szCs w:val="22"/>
          <w:lang w:val="en-US" w:eastAsia="zh-CN"/>
        </w:rPr>
        <w:t>机的移动</w:t>
      </w:r>
    </w:p>
    <w:p>
      <w:pPr>
        <w:pStyle w:val="31"/>
        <w:keepNext w:val="0"/>
        <w:keepLines w:val="0"/>
        <w:pageBreakBefore w:val="0"/>
        <w:widowControl w:val="0"/>
        <w:numPr>
          <w:ilvl w:val="0"/>
          <w:numId w:val="0"/>
        </w:numPr>
        <w:kinsoku/>
        <w:wordWrap/>
        <w:overflowPunct/>
        <w:topLinePunct w:val="0"/>
        <w:autoSpaceDE/>
        <w:autoSpaceDN/>
        <w:bidi w:val="0"/>
        <w:adjustRightInd/>
        <w:snapToGrid/>
        <w:spacing w:before="157" w:beforeLines="50" w:line="240" w:lineRule="auto"/>
        <w:ind w:leftChars="0" w:firstLine="420" w:firstLineChars="20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在作业点移动γ</w:t>
      </w:r>
      <w:r>
        <w:rPr>
          <w:rFonts w:hint="eastAsia" w:cs="Times New Roman"/>
          <w:b w:val="0"/>
          <w:bCs w:val="0"/>
          <w:color w:val="auto"/>
          <w:szCs w:val="22"/>
          <w:lang w:val="en-US" w:eastAsia="zh-CN"/>
        </w:rPr>
        <w:t>射线</w:t>
      </w:r>
      <w:r>
        <w:rPr>
          <w:rFonts w:hint="default" w:ascii="Times New Roman" w:hAnsi="Times New Roman" w:cs="Times New Roman"/>
          <w:b w:val="0"/>
          <w:bCs w:val="0"/>
          <w:color w:val="auto"/>
          <w:szCs w:val="22"/>
          <w:lang w:val="en-US" w:eastAsia="zh-CN"/>
        </w:rPr>
        <w:t>探伤</w:t>
      </w:r>
      <w:r>
        <w:rPr>
          <w:rFonts w:hint="eastAsia" w:cs="Times New Roman"/>
          <w:b w:val="0"/>
          <w:bCs w:val="0"/>
          <w:color w:val="auto"/>
          <w:szCs w:val="22"/>
          <w:lang w:val="en-US" w:eastAsia="zh-CN"/>
        </w:rPr>
        <w:t>机</w:t>
      </w:r>
      <w:r>
        <w:rPr>
          <w:rFonts w:hint="default" w:ascii="Times New Roman" w:hAnsi="Times New Roman" w:cs="Times New Roman"/>
          <w:b w:val="0"/>
          <w:bCs w:val="0"/>
          <w:color w:val="auto"/>
          <w:szCs w:val="22"/>
          <w:lang w:val="en-US" w:eastAsia="zh-CN"/>
        </w:rPr>
        <w:t>时应使用小型车辆或手推车，使探伤装置处于人员监视之下。</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特殊要求</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2"/>
        <w:rPr>
          <w:rFonts w:hint="default" w:ascii="Times New Roman" w:hAnsi="Times New Roman" w:cs="Times New Roman"/>
          <w:b w:val="0"/>
          <w:bCs w:val="0"/>
          <w:color w:val="auto"/>
          <w:szCs w:val="22"/>
          <w:lang w:val="en-US" w:eastAsia="zh-CN"/>
        </w:rPr>
      </w:pPr>
      <w:r>
        <w:rPr>
          <w:rFonts w:hint="default" w:ascii="Times New Roman" w:hAnsi="Times New Roman" w:cs="Times New Roman"/>
          <w:b w:val="0"/>
          <w:bCs w:val="0"/>
          <w:color w:val="auto"/>
          <w:szCs w:val="22"/>
          <w:lang w:val="en-US" w:eastAsia="zh-CN"/>
        </w:rPr>
        <w:t>管道爬行探伤和水下γ射线探伤，</w:t>
      </w:r>
      <w:r>
        <w:rPr>
          <w:rFonts w:hint="eastAsia" w:ascii="Times New Roman" w:hAnsi="Times New Roman" w:cs="Times New Roman"/>
          <w:b w:val="0"/>
          <w:bCs w:val="0"/>
          <w:color w:val="auto"/>
          <w:szCs w:val="22"/>
          <w:lang w:val="en-US" w:eastAsia="zh-CN"/>
        </w:rPr>
        <w:t>活动开展的特殊要求应满足</w:t>
      </w:r>
      <w:r>
        <w:rPr>
          <w:rFonts w:hint="default" w:ascii="Times New Roman" w:hAnsi="Times New Roman" w:cs="Times New Roman"/>
          <w:b w:val="0"/>
          <w:bCs w:val="0"/>
          <w:color w:val="auto"/>
          <w:szCs w:val="22"/>
          <w:lang w:val="en-US" w:eastAsia="zh-CN"/>
        </w:rPr>
        <w:t>GBZ 117</w:t>
      </w:r>
      <w:r>
        <w:rPr>
          <w:rFonts w:hint="eastAsia" w:ascii="Times New Roman" w:hAnsi="Times New Roman" w:cs="Times New Roman"/>
          <w:b w:val="0"/>
          <w:bCs w:val="0"/>
          <w:color w:val="auto"/>
          <w:szCs w:val="22"/>
          <w:lang w:val="en-US" w:eastAsia="zh-CN"/>
        </w:rPr>
        <w:t>规定。</w:t>
      </w:r>
    </w:p>
    <w:p>
      <w:pPr>
        <w:pStyle w:val="31"/>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240" w:lineRule="auto"/>
        <w:ind w:left="425" w:hanging="425" w:firstLineChars="0"/>
        <w:textAlignment w:val="auto"/>
        <w:outlineLvl w:val="0"/>
        <w:rPr>
          <w:rFonts w:hint="default" w:ascii="Times New Roman" w:hAnsi="Times New Roman" w:eastAsia="黑体" w:cs="Times New Roman"/>
          <w:color w:val="auto"/>
          <w:szCs w:val="22"/>
          <w:lang w:val="en-US" w:eastAsia="zh-CN"/>
        </w:rPr>
      </w:pPr>
      <w:bookmarkStart w:id="28" w:name="_Toc23082"/>
      <w:bookmarkStart w:id="29" w:name="OLE_LINK2"/>
      <w:bookmarkStart w:id="30" w:name="_Toc5051"/>
      <w:r>
        <w:rPr>
          <w:rFonts w:hint="default" w:ascii="Times New Roman" w:hAnsi="Times New Roman" w:eastAsia="黑体" w:cs="Times New Roman"/>
          <w:color w:val="auto"/>
          <w:szCs w:val="22"/>
          <w:lang w:val="en-US" w:eastAsia="zh-CN"/>
        </w:rPr>
        <w:t>辐射</w:t>
      </w:r>
      <w:r>
        <w:rPr>
          <w:rFonts w:hint="eastAsia" w:eastAsia="黑体" w:cs="Times New Roman"/>
          <w:color w:val="auto"/>
          <w:szCs w:val="22"/>
          <w:lang w:val="en-US" w:eastAsia="zh-CN"/>
        </w:rPr>
        <w:t>环境</w:t>
      </w:r>
      <w:r>
        <w:rPr>
          <w:rFonts w:hint="default" w:ascii="Times New Roman" w:hAnsi="Times New Roman" w:eastAsia="黑体" w:cs="Times New Roman"/>
          <w:color w:val="auto"/>
          <w:szCs w:val="22"/>
          <w:lang w:val="en-US" w:eastAsia="zh-CN"/>
        </w:rPr>
        <w:t>监测要求</w:t>
      </w:r>
      <w:bookmarkEnd w:id="28"/>
      <w:bookmarkEnd w:id="29"/>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b w:val="0"/>
          <w:bCs w:val="0"/>
          <w:color w:val="auto"/>
          <w:szCs w:val="22"/>
          <w:lang w:val="en-US" w:eastAsia="zh-CN"/>
        </w:rPr>
      </w:pPr>
      <w:r>
        <w:rPr>
          <w:rFonts w:hint="default" w:ascii="Times New Roman" w:hAnsi="Times New Roman" w:eastAsia="黑体" w:cs="Times New Roman"/>
          <w:b w:val="0"/>
          <w:bCs w:val="0"/>
          <w:color w:val="auto"/>
          <w:szCs w:val="22"/>
          <w:lang w:val="en-US" w:eastAsia="zh-CN"/>
        </w:rPr>
        <w:t>监测仪器</w:t>
      </w:r>
      <w:bookmarkEnd w:id="30"/>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lang w:val="en-US" w:eastAsia="zh-CN"/>
        </w:rPr>
      </w:pPr>
      <w:bookmarkStart w:id="31" w:name="_Toc18071"/>
      <w:r>
        <w:rPr>
          <w:rFonts w:hint="eastAsia" w:cs="Times New Roman"/>
          <w:color w:val="auto"/>
          <w:szCs w:val="22"/>
          <w:lang w:val="en-US" w:eastAsia="zh-CN"/>
        </w:rPr>
        <w:t>使用单位</w:t>
      </w:r>
      <w:r>
        <w:rPr>
          <w:rFonts w:hint="default" w:ascii="Times New Roman" w:hAnsi="Times New Roman" w:cs="Times New Roman"/>
          <w:color w:val="auto"/>
          <w:szCs w:val="22"/>
          <w:lang w:val="en-US" w:eastAsia="zh-CN"/>
        </w:rPr>
        <w:t>应选用合适的</w:t>
      </w:r>
      <w:r>
        <w:rPr>
          <w:rFonts w:hint="eastAsia" w:ascii="宋体" w:hAnsi="宋体" w:eastAsia="宋体" w:cs="宋体"/>
          <w:b w:val="0"/>
          <w:color w:val="000000"/>
          <w:sz w:val="21"/>
          <w:szCs w:val="21"/>
        </w:rPr>
        <w:t>辐射</w:t>
      </w:r>
      <w:r>
        <w:rPr>
          <w:rFonts w:hint="eastAsia" w:ascii="宋体" w:hAnsi="宋体" w:cs="宋体"/>
          <w:b w:val="0"/>
          <w:color w:val="000000"/>
          <w:sz w:val="21"/>
          <w:szCs w:val="21"/>
          <w:lang w:val="en-US" w:eastAsia="zh-CN"/>
        </w:rPr>
        <w:t>监测仪器</w:t>
      </w:r>
      <w:r>
        <w:rPr>
          <w:rFonts w:hint="default" w:ascii="Times New Roman" w:hAnsi="Times New Roman" w:cs="Times New Roman"/>
          <w:color w:val="auto"/>
          <w:szCs w:val="22"/>
          <w:lang w:val="en-US" w:eastAsia="zh-CN"/>
        </w:rPr>
        <w:t>，并按</w:t>
      </w:r>
      <w:r>
        <w:rPr>
          <w:rFonts w:hint="eastAsia" w:cs="Times New Roman"/>
          <w:color w:val="auto"/>
          <w:szCs w:val="22"/>
          <w:lang w:val="en-US" w:eastAsia="zh-CN"/>
        </w:rPr>
        <w:t>要求</w:t>
      </w:r>
      <w:r>
        <w:rPr>
          <w:rFonts w:hint="default" w:ascii="Times New Roman" w:hAnsi="Times New Roman" w:cs="Times New Roman"/>
          <w:color w:val="auto"/>
          <w:szCs w:val="22"/>
          <w:lang w:val="en-US" w:eastAsia="zh-CN"/>
        </w:rPr>
        <w:t>进行定期检定/校准，取得相应证书。使用前，应检查辐射</w:t>
      </w:r>
      <w:r>
        <w:rPr>
          <w:rFonts w:hint="eastAsia" w:cs="Times New Roman"/>
          <w:color w:val="auto"/>
          <w:szCs w:val="22"/>
          <w:lang w:val="en-US" w:eastAsia="zh-CN"/>
        </w:rPr>
        <w:t>监测</w:t>
      </w:r>
      <w:r>
        <w:rPr>
          <w:rFonts w:hint="default" w:ascii="Times New Roman" w:hAnsi="Times New Roman" w:cs="Times New Roman"/>
          <w:color w:val="auto"/>
          <w:szCs w:val="22"/>
          <w:lang w:val="en-US" w:eastAsia="zh-CN"/>
        </w:rPr>
        <w:t>仪器，包括电池、仪器对射线的响应及是否有物理损坏、调零问题等。</w:t>
      </w:r>
      <w:bookmarkEnd w:id="31"/>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rPr>
      </w:pPr>
      <w:bookmarkStart w:id="32" w:name="_Toc96316787"/>
      <w:r>
        <w:rPr>
          <w:rFonts w:hint="eastAsia" w:ascii="宋体" w:hAnsi="宋体" w:eastAsia="宋体" w:cs="宋体"/>
          <w:b w:val="0"/>
          <w:color w:val="000000"/>
          <w:sz w:val="21"/>
          <w:szCs w:val="21"/>
        </w:rPr>
        <w:t>辐射</w:t>
      </w:r>
      <w:r>
        <w:rPr>
          <w:rFonts w:hint="eastAsia" w:ascii="宋体" w:hAnsi="宋体" w:cs="宋体"/>
          <w:b w:val="0"/>
          <w:color w:val="000000"/>
          <w:sz w:val="21"/>
          <w:szCs w:val="21"/>
          <w:lang w:val="en-US" w:eastAsia="zh-CN"/>
        </w:rPr>
        <w:t>监测仪器</w:t>
      </w:r>
      <w:r>
        <w:rPr>
          <w:rFonts w:hint="default" w:ascii="Times New Roman" w:hAnsi="Times New Roman" w:cs="Times New Roman"/>
          <w:color w:val="auto"/>
          <w:szCs w:val="22"/>
        </w:rPr>
        <w:t>的主要性能应满足以下要求：</w:t>
      </w:r>
    </w:p>
    <w:p>
      <w:pPr>
        <w:pStyle w:val="31"/>
        <w:keepNext w:val="0"/>
        <w:keepLines w:val="0"/>
        <w:pageBreakBefore w:val="0"/>
        <w:kinsoku/>
        <w:wordWrap/>
        <w:overflowPunct/>
        <w:topLinePunct w:val="0"/>
        <w:autoSpaceDE/>
        <w:autoSpaceDN/>
        <w:bidi w:val="0"/>
        <w:adjustRightInd/>
        <w:snapToGrid/>
        <w:spacing w:line="240" w:lineRule="auto"/>
        <w:ind w:firstLine="424" w:firstLineChars="202"/>
        <w:textAlignment w:val="auto"/>
        <w:outlineLvl w:val="9"/>
        <w:rPr>
          <w:rFonts w:hint="eastAsia" w:ascii="Times New Roman" w:hAnsi="Times New Roman" w:eastAsia="宋体" w:cs="Times New Roman"/>
          <w:color w:val="auto"/>
          <w:szCs w:val="22"/>
          <w:lang w:eastAsia="zh-CN"/>
        </w:rPr>
      </w:pPr>
      <w:r>
        <w:rPr>
          <w:rFonts w:hint="default" w:ascii="Times New Roman" w:hAnsi="Times New Roman" w:cs="Times New Roman"/>
          <w:color w:val="auto"/>
          <w:szCs w:val="22"/>
        </w:rPr>
        <w:t>a)</w:t>
      </w:r>
      <w:r>
        <w:rPr>
          <w:rFonts w:hint="eastAsia" w:cs="Times New Roman"/>
          <w:color w:val="auto"/>
          <w:szCs w:val="22"/>
          <w:lang w:val="en-US" w:eastAsia="zh-CN"/>
        </w:rPr>
        <w:t xml:space="preserve"> </w:t>
      </w:r>
      <w:r>
        <w:rPr>
          <w:rFonts w:hint="default" w:ascii="Times New Roman" w:hAnsi="Times New Roman" w:cs="Times New Roman"/>
          <w:color w:val="auto"/>
          <w:szCs w:val="22"/>
        </w:rPr>
        <w:t>量程范围：最低示值不高于1×10</w:t>
      </w:r>
      <w:r>
        <w:rPr>
          <w:rFonts w:hint="default" w:ascii="Times New Roman" w:hAnsi="Times New Roman" w:cs="Times New Roman"/>
          <w:color w:val="auto"/>
          <w:szCs w:val="22"/>
          <w:vertAlign w:val="superscript"/>
        </w:rPr>
        <w:t>-1</w:t>
      </w:r>
      <w:r>
        <w:rPr>
          <w:rFonts w:hint="eastAsia" w:cs="Times New Roman"/>
          <w:color w:val="auto"/>
          <w:szCs w:val="22"/>
          <w:vertAlign w:val="superscript"/>
          <w:lang w:val="en-US" w:eastAsia="zh-CN"/>
        </w:rPr>
        <w:t xml:space="preserve"> </w:t>
      </w:r>
      <w:r>
        <w:rPr>
          <w:rFonts w:hint="default" w:ascii="Times New Roman" w:hAnsi="Times New Roman" w:cs="Times New Roman"/>
          <w:color w:val="auto"/>
          <w:szCs w:val="22"/>
        </w:rPr>
        <w:t>μGy/h (μSv/h)，最高示值不低于</w:t>
      </w:r>
      <w:r>
        <w:rPr>
          <w:rFonts w:hint="eastAsia" w:cs="Times New Roman"/>
          <w:color w:val="auto"/>
          <w:szCs w:val="22"/>
          <w:lang w:val="en-US" w:eastAsia="zh-CN"/>
        </w:rPr>
        <w:t xml:space="preserve">5 </w:t>
      </w:r>
      <w:r>
        <w:rPr>
          <w:rFonts w:hint="default" w:ascii="Times New Roman" w:hAnsi="Times New Roman" w:cs="Times New Roman"/>
          <w:color w:val="auto"/>
          <w:szCs w:val="22"/>
        </w:rPr>
        <w:t>mGy/h (mSv/h)</w:t>
      </w:r>
      <w:r>
        <w:rPr>
          <w:rFonts w:hint="eastAsia" w:cs="Times New Roman"/>
          <w:color w:val="auto"/>
          <w:szCs w:val="22"/>
          <w:lang w:eastAsia="zh-CN"/>
        </w:rPr>
        <w:t>；</w:t>
      </w:r>
    </w:p>
    <w:p>
      <w:pPr>
        <w:pStyle w:val="31"/>
        <w:keepNext w:val="0"/>
        <w:keepLines w:val="0"/>
        <w:pageBreakBefore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b)</w:t>
      </w:r>
      <w:r>
        <w:rPr>
          <w:rFonts w:hint="eastAsia" w:cs="Times New Roman"/>
          <w:color w:val="auto"/>
          <w:szCs w:val="22"/>
          <w:lang w:val="en-US" w:eastAsia="zh-CN"/>
        </w:rPr>
        <w:t xml:space="preserve"> </w:t>
      </w:r>
      <w:r>
        <w:rPr>
          <w:rFonts w:hint="default" w:ascii="Times New Roman" w:hAnsi="Times New Roman" w:cs="Times New Roman"/>
          <w:color w:val="auto"/>
          <w:szCs w:val="22"/>
        </w:rPr>
        <w:t>能量响应：50</w:t>
      </w:r>
      <w:r>
        <w:rPr>
          <w:rFonts w:hint="eastAsia" w:cs="Times New Roman"/>
          <w:color w:val="auto"/>
          <w:szCs w:val="22"/>
          <w:lang w:val="en-US" w:eastAsia="zh-CN"/>
        </w:rPr>
        <w:t xml:space="preserve"> </w:t>
      </w:r>
      <w:r>
        <w:rPr>
          <w:rFonts w:hint="default" w:ascii="Times New Roman" w:hAnsi="Times New Roman" w:cs="Times New Roman"/>
          <w:color w:val="auto"/>
          <w:szCs w:val="22"/>
        </w:rPr>
        <w:t>keV～1.3</w:t>
      </w:r>
      <w:r>
        <w:rPr>
          <w:rFonts w:hint="eastAsia" w:cs="Times New Roman"/>
          <w:color w:val="auto"/>
          <w:szCs w:val="22"/>
          <w:lang w:val="en-US" w:eastAsia="zh-CN"/>
        </w:rPr>
        <w:t xml:space="preserve"> </w:t>
      </w:r>
      <w:r>
        <w:rPr>
          <w:rFonts w:hint="default" w:ascii="Times New Roman" w:hAnsi="Times New Roman" w:cs="Times New Roman"/>
          <w:color w:val="auto"/>
          <w:szCs w:val="22"/>
        </w:rPr>
        <w:t>MeV≤±30%（</w:t>
      </w:r>
      <w:r>
        <w:rPr>
          <w:rFonts w:hint="default" w:ascii="Times New Roman" w:hAnsi="Times New Roman" w:cs="Times New Roman"/>
          <w:color w:val="auto"/>
          <w:szCs w:val="22"/>
          <w:vertAlign w:val="superscript"/>
        </w:rPr>
        <w:t>137</w:t>
      </w:r>
      <w:r>
        <w:rPr>
          <w:rFonts w:hint="default" w:ascii="Times New Roman" w:hAnsi="Times New Roman" w:cs="Times New Roman"/>
          <w:color w:val="auto"/>
          <w:szCs w:val="22"/>
        </w:rPr>
        <w:t>Cs）</w:t>
      </w:r>
      <w:r>
        <w:rPr>
          <w:rFonts w:hint="eastAsia" w:cs="Times New Roman"/>
          <w:color w:val="auto"/>
          <w:szCs w:val="22"/>
          <w:lang w:eastAsia="zh-CN"/>
        </w:rPr>
        <w:t>；</w:t>
      </w:r>
      <w:r>
        <w:rPr>
          <w:rFonts w:hint="default" w:ascii="Times New Roman" w:hAnsi="Times New Roman" w:cs="Times New Roman"/>
          <w:color w:val="auto"/>
          <w:szCs w:val="22"/>
        </w:rPr>
        <w:t xml:space="preserve"> </w:t>
      </w:r>
    </w:p>
    <w:p>
      <w:pPr>
        <w:pStyle w:val="31"/>
        <w:keepNext w:val="0"/>
        <w:keepLines w:val="0"/>
        <w:pageBreakBefore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c)</w:t>
      </w:r>
      <w:r>
        <w:rPr>
          <w:rFonts w:hint="eastAsia" w:cs="Times New Roman"/>
          <w:color w:val="auto"/>
          <w:szCs w:val="22"/>
          <w:lang w:val="en-US" w:eastAsia="zh-CN"/>
        </w:rPr>
        <w:t xml:space="preserve"> </w:t>
      </w:r>
      <w:r>
        <w:rPr>
          <w:rFonts w:hint="default" w:ascii="Times New Roman" w:hAnsi="Times New Roman" w:cs="Times New Roman"/>
          <w:color w:val="auto"/>
          <w:szCs w:val="22"/>
        </w:rPr>
        <w:t>具有声、光报警及电池电量检查功能。</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highlight w:val="none"/>
          <w:lang w:val="en-US" w:eastAsia="zh-CN"/>
        </w:rPr>
      </w:pPr>
      <w:bookmarkStart w:id="33" w:name="_Toc25324"/>
      <w:r>
        <w:rPr>
          <w:rFonts w:hint="eastAsia" w:cs="Times New Roman"/>
          <w:color w:val="auto"/>
          <w:szCs w:val="22"/>
          <w:highlight w:val="none"/>
          <w:lang w:val="en-US" w:eastAsia="zh-CN"/>
        </w:rPr>
        <w:t>使用单位</w:t>
      </w:r>
      <w:r>
        <w:rPr>
          <w:rFonts w:hint="default" w:ascii="Times New Roman" w:hAnsi="Times New Roman" w:cs="Times New Roman"/>
          <w:color w:val="auto"/>
          <w:szCs w:val="22"/>
          <w:highlight w:val="none"/>
          <w:lang w:val="en-US" w:eastAsia="zh-CN"/>
        </w:rPr>
        <w:t>应选用低响应时间的</w:t>
      </w:r>
      <w:r>
        <w:rPr>
          <w:rFonts w:hint="eastAsia" w:ascii="宋体" w:hAnsi="宋体" w:eastAsia="宋体" w:cs="宋体"/>
          <w:b w:val="0"/>
          <w:color w:val="000000"/>
          <w:sz w:val="21"/>
          <w:szCs w:val="21"/>
        </w:rPr>
        <w:t>辐射</w:t>
      </w:r>
      <w:r>
        <w:rPr>
          <w:rFonts w:hint="eastAsia" w:ascii="宋体" w:hAnsi="宋体" w:cs="宋体"/>
          <w:b w:val="0"/>
          <w:color w:val="000000"/>
          <w:sz w:val="21"/>
          <w:szCs w:val="21"/>
          <w:lang w:val="en-US" w:eastAsia="zh-CN"/>
        </w:rPr>
        <w:t>监测仪器</w:t>
      </w:r>
      <w:r>
        <w:rPr>
          <w:rFonts w:hint="default" w:ascii="Times New Roman" w:hAnsi="Times New Roman" w:cs="Times New Roman"/>
          <w:color w:val="auto"/>
          <w:szCs w:val="22"/>
          <w:highlight w:val="none"/>
          <w:lang w:val="en-US" w:eastAsia="zh-CN"/>
        </w:rPr>
        <w:t>，若辐射防护</w:t>
      </w:r>
      <w:r>
        <w:rPr>
          <w:rFonts w:hint="eastAsia" w:cs="Times New Roman"/>
          <w:color w:val="auto"/>
          <w:szCs w:val="22"/>
          <w:highlight w:val="none"/>
          <w:lang w:val="en-US" w:eastAsia="zh-CN"/>
        </w:rPr>
        <w:t>监测</w:t>
      </w:r>
      <w:r>
        <w:rPr>
          <w:rFonts w:hint="default" w:ascii="Times New Roman" w:hAnsi="Times New Roman" w:cs="Times New Roman"/>
          <w:color w:val="auto"/>
          <w:szCs w:val="22"/>
          <w:highlight w:val="none"/>
          <w:lang w:val="en-US" w:eastAsia="zh-CN"/>
        </w:rPr>
        <w:t>仪器响应时间高于X射线探伤机单次曝光时间，应按照附录</w:t>
      </w:r>
      <w:r>
        <w:rPr>
          <w:rFonts w:hint="eastAsia" w:cs="Times New Roman"/>
          <w:color w:val="auto"/>
          <w:szCs w:val="22"/>
          <w:highlight w:val="none"/>
          <w:lang w:val="en-US" w:eastAsia="zh-CN"/>
        </w:rPr>
        <w:t>B</w:t>
      </w:r>
      <w:r>
        <w:rPr>
          <w:rFonts w:hint="default" w:ascii="Times New Roman" w:hAnsi="Times New Roman" w:cs="Times New Roman"/>
          <w:color w:val="auto"/>
          <w:szCs w:val="22"/>
          <w:highlight w:val="none"/>
          <w:lang w:val="en-US" w:eastAsia="zh-CN"/>
        </w:rPr>
        <w:t>对检测结果进行响应时间修正。</w:t>
      </w:r>
      <w:bookmarkEnd w:id="33"/>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γ射线探伤机源容器辐射监测</w:t>
      </w:r>
    </w:p>
    <w:p>
      <w:pPr>
        <w:pStyle w:val="31"/>
        <w:keepNext w:val="0"/>
        <w:keepLines w:val="0"/>
        <w:pageBreakBefore w:val="0"/>
        <w:kinsoku/>
        <w:wordWrap/>
        <w:overflowPunct/>
        <w:topLinePunct w:val="0"/>
        <w:autoSpaceDE/>
        <w:autoSpaceDN/>
        <w:bidi w:val="0"/>
        <w:adjustRightInd/>
        <w:snapToGrid/>
        <w:spacing w:line="240" w:lineRule="auto"/>
        <w:ind w:firstLine="424" w:firstLineChars="202"/>
        <w:textAlignment w:val="auto"/>
        <w:outlineLvl w:val="9"/>
        <w:rPr>
          <w:rFonts w:hint="default" w:ascii="Times New Roman" w:hAnsi="Times New Roman" w:cs="Times New Roman"/>
          <w:color w:val="auto"/>
          <w:szCs w:val="22"/>
          <w:lang w:val="en-US" w:eastAsia="zh-CN"/>
        </w:rPr>
      </w:pPr>
      <w:r>
        <w:rPr>
          <w:rFonts w:hint="default" w:ascii="Times New Roman" w:hAnsi="Times New Roman" w:cs="Times New Roman"/>
          <w:color w:val="auto"/>
          <w:szCs w:val="22"/>
          <w:lang w:val="en-US" w:eastAsia="zh-CN"/>
        </w:rPr>
        <w:t>放射源每次出入库、使用、运输前后，均应对源容器进行辐射监测，以判断放射源是否处于源容器内及源容器屏蔽是否符合要求</w:t>
      </w:r>
      <w:r>
        <w:rPr>
          <w:rFonts w:hint="eastAsia" w:cs="Times New Roman"/>
          <w:color w:val="auto"/>
          <w:szCs w:val="22"/>
          <w:lang w:val="en-US" w:eastAsia="zh-CN"/>
        </w:rPr>
        <w:t>，监测位置为源容器表面5 cm和1 m，监测结果应满足表1的要求，监测记录表可参考附录C</w:t>
      </w:r>
      <w:r>
        <w:rPr>
          <w:rFonts w:hint="default" w:ascii="Times New Roman" w:hAnsi="Times New Roman" w:cs="Times New Roman"/>
          <w:color w:val="auto"/>
          <w:szCs w:val="22"/>
          <w:lang w:val="en-US" w:eastAsia="zh-CN"/>
        </w:rPr>
        <w:t>。</w:t>
      </w:r>
    </w:p>
    <w:bookmarkEnd w:id="32"/>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固定式探伤辐射监测</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lang w:val="en-US" w:eastAsia="zh-CN"/>
        </w:rPr>
      </w:pPr>
      <w:r>
        <w:rPr>
          <w:rFonts w:hint="default" w:ascii="Times New Roman" w:hAnsi="Times New Roman" w:cs="Times New Roman"/>
          <w:color w:val="auto"/>
          <w:szCs w:val="22"/>
        </w:rPr>
        <w:t>应采取</w:t>
      </w:r>
      <w:r>
        <w:rPr>
          <w:rFonts w:hint="default" w:ascii="Times New Roman" w:hAnsi="Times New Roman" w:cs="Times New Roman"/>
          <w:color w:val="auto"/>
          <w:szCs w:val="22"/>
          <w:lang w:val="en-US" w:eastAsia="zh-CN"/>
        </w:rPr>
        <w:t>巡测和</w:t>
      </w:r>
      <w:r>
        <w:rPr>
          <w:rFonts w:hint="default" w:ascii="Times New Roman" w:hAnsi="Times New Roman" w:cs="Times New Roman"/>
          <w:color w:val="auto"/>
          <w:szCs w:val="22"/>
        </w:rPr>
        <w:t>定点监测相结合的方式监测探伤室周围的辐射水平</w:t>
      </w:r>
      <w:r>
        <w:rPr>
          <w:rFonts w:hint="eastAsia" w:ascii="Times New Roman" w:hAnsi="Times New Roman" w:cs="Times New Roman"/>
          <w:color w:val="auto"/>
          <w:szCs w:val="22"/>
          <w:lang w:eastAsia="zh-CN"/>
        </w:rPr>
        <w:t>，</w:t>
      </w:r>
      <w:r>
        <w:rPr>
          <w:rFonts w:hint="eastAsia" w:ascii="Times New Roman" w:hAnsi="Times New Roman" w:cs="Times New Roman"/>
          <w:color w:val="auto"/>
          <w:szCs w:val="22"/>
        </w:rPr>
        <w:t>首先</w:t>
      </w:r>
      <w:r>
        <w:rPr>
          <w:rFonts w:hint="eastAsia" w:cs="Times New Roman"/>
          <w:color w:val="auto"/>
          <w:szCs w:val="22"/>
          <w:lang w:val="en-US" w:eastAsia="zh-CN"/>
        </w:rPr>
        <w:t>巡测</w:t>
      </w:r>
      <w:r>
        <w:rPr>
          <w:rFonts w:hint="eastAsia" w:ascii="Times New Roman" w:hAnsi="Times New Roman" w:cs="Times New Roman"/>
          <w:color w:val="auto"/>
          <w:szCs w:val="22"/>
        </w:rPr>
        <w:t>周围辐射水平，用便携式X-γ剂量率仪巡测探伤室墙壁外30</w:t>
      </w:r>
      <w:r>
        <w:rPr>
          <w:rFonts w:hint="default" w:ascii="Times New Roman" w:hAnsi="Times New Roman" w:cs="Times New Roman"/>
          <w:color w:val="auto"/>
          <w:szCs w:val="22"/>
        </w:rPr>
        <w:t xml:space="preserve"> </w:t>
      </w:r>
      <w:r>
        <w:rPr>
          <w:rFonts w:hint="eastAsia" w:ascii="Times New Roman" w:hAnsi="Times New Roman" w:cs="Times New Roman"/>
          <w:color w:val="auto"/>
          <w:szCs w:val="22"/>
        </w:rPr>
        <w:t>cm处的辐射水平，以发现可能出现的高辐射水平区</w:t>
      </w:r>
      <w:r>
        <w:rPr>
          <w:rFonts w:hint="default" w:ascii="Times New Roman" w:hAnsi="Times New Roman" w:cs="Times New Roman"/>
          <w:color w:val="auto"/>
          <w:szCs w:val="22"/>
          <w:lang w:eastAsia="zh-CN"/>
        </w:rPr>
        <w:t>。</w:t>
      </w:r>
      <w:r>
        <w:rPr>
          <w:rFonts w:hint="default" w:ascii="Times New Roman" w:hAnsi="Times New Roman" w:cs="Times New Roman"/>
          <w:color w:val="auto"/>
          <w:szCs w:val="22"/>
        </w:rPr>
        <w:t>定点</w:t>
      </w:r>
      <w:r>
        <w:rPr>
          <w:rFonts w:hint="eastAsia" w:cs="Times New Roman"/>
          <w:color w:val="auto"/>
          <w:szCs w:val="22"/>
          <w:lang w:val="en-US" w:eastAsia="zh-CN"/>
        </w:rPr>
        <w:t>监测应包含以下各点：</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9"/>
        <w:rPr>
          <w:rFonts w:hint="default" w:ascii="Times New Roman" w:hAnsi="Times New Roman" w:cs="Times New Roman"/>
          <w:color w:val="auto"/>
          <w:szCs w:val="22"/>
          <w:lang w:val="en-US" w:eastAsia="zh-CN"/>
        </w:rPr>
      </w:pPr>
      <w:r>
        <w:rPr>
          <w:rFonts w:hint="eastAsia" w:cs="Times New Roman"/>
          <w:color w:val="auto"/>
          <w:szCs w:val="22"/>
          <w:lang w:val="en-US" w:eastAsia="zh-CN"/>
        </w:rPr>
        <w:t>a</w:t>
      </w:r>
      <w:r>
        <w:rPr>
          <w:rFonts w:hint="default" w:ascii="Times New Roman" w:hAnsi="Times New Roman" w:cs="Times New Roman"/>
          <w:color w:val="auto"/>
          <w:szCs w:val="22"/>
          <w:lang w:val="en-US" w:eastAsia="zh-CN"/>
        </w:rPr>
        <w:t>)</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探伤室门外30</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cm离地面高度为1</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m处，门体左、中、右侧3个点和门缝四周；</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9"/>
        <w:rPr>
          <w:rFonts w:hint="default" w:ascii="Times New Roman" w:hAnsi="Times New Roman" w:cs="Times New Roman"/>
          <w:color w:val="auto"/>
          <w:szCs w:val="22"/>
          <w:lang w:val="en-US" w:eastAsia="zh-CN"/>
        </w:rPr>
      </w:pPr>
      <w:r>
        <w:rPr>
          <w:rFonts w:hint="eastAsia" w:cs="Times New Roman"/>
          <w:color w:val="auto"/>
          <w:szCs w:val="22"/>
          <w:lang w:val="en-US" w:eastAsia="zh-CN"/>
        </w:rPr>
        <w:t>b</w:t>
      </w:r>
      <w:r>
        <w:rPr>
          <w:rFonts w:hint="default" w:ascii="Times New Roman" w:hAnsi="Times New Roman" w:cs="Times New Roman"/>
          <w:color w:val="auto"/>
          <w:szCs w:val="22"/>
          <w:lang w:val="en-US" w:eastAsia="zh-CN"/>
        </w:rPr>
        <w:t>)</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探伤室墙外30</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cm离地面高度为1</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m处，每个墙面至少测3个点；</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9"/>
        <w:rPr>
          <w:rFonts w:hint="default" w:ascii="Times New Roman" w:hAnsi="Times New Roman" w:cs="Times New Roman"/>
          <w:color w:val="auto"/>
          <w:szCs w:val="22"/>
          <w:lang w:val="en-US" w:eastAsia="zh-CN"/>
        </w:rPr>
      </w:pPr>
      <w:r>
        <w:rPr>
          <w:rFonts w:hint="eastAsia" w:cs="Times New Roman"/>
          <w:color w:val="auto"/>
          <w:szCs w:val="22"/>
          <w:lang w:val="en-US" w:eastAsia="zh-CN"/>
        </w:rPr>
        <w:t>c</w:t>
      </w:r>
      <w:r>
        <w:rPr>
          <w:rFonts w:hint="default" w:ascii="Times New Roman" w:hAnsi="Times New Roman" w:cs="Times New Roman"/>
          <w:color w:val="auto"/>
          <w:szCs w:val="22"/>
          <w:lang w:val="en-US" w:eastAsia="zh-CN"/>
        </w:rPr>
        <w:t>)</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人员可能到达的探伤室上层外30</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cm处，至少包括主射束到达范围的5个检测点；</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9"/>
        <w:rPr>
          <w:rFonts w:hint="default" w:ascii="Times New Roman" w:hAnsi="Times New Roman" w:cs="Times New Roman"/>
          <w:color w:val="auto"/>
          <w:szCs w:val="22"/>
          <w:lang w:val="en-US" w:eastAsia="zh-CN"/>
        </w:rPr>
      </w:pPr>
      <w:r>
        <w:rPr>
          <w:rFonts w:hint="eastAsia" w:cs="Times New Roman"/>
          <w:color w:val="auto"/>
          <w:szCs w:val="22"/>
          <w:lang w:val="en-US" w:eastAsia="zh-CN"/>
        </w:rPr>
        <w:t>d</w:t>
      </w:r>
      <w:r>
        <w:rPr>
          <w:rFonts w:hint="default" w:ascii="Times New Roman" w:hAnsi="Times New Roman" w:cs="Times New Roman"/>
          <w:color w:val="auto"/>
          <w:szCs w:val="22"/>
          <w:lang w:val="en-US" w:eastAsia="zh-CN"/>
        </w:rPr>
        <w:t>)</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人员经常活动位置；</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outlineLvl w:val="9"/>
        <w:rPr>
          <w:rFonts w:hint="default" w:ascii="Times New Roman" w:hAnsi="Times New Roman" w:cs="Times New Roman"/>
          <w:color w:val="auto"/>
          <w:szCs w:val="22"/>
          <w:lang w:val="en-US" w:eastAsia="zh-CN"/>
        </w:rPr>
      </w:pPr>
      <w:r>
        <w:rPr>
          <w:rFonts w:hint="eastAsia" w:cs="Times New Roman"/>
          <w:color w:val="auto"/>
          <w:szCs w:val="22"/>
          <w:lang w:val="en-US" w:eastAsia="zh-CN"/>
        </w:rPr>
        <w:t>e</w:t>
      </w:r>
      <w:r>
        <w:rPr>
          <w:rFonts w:hint="default" w:ascii="Times New Roman" w:hAnsi="Times New Roman" w:cs="Times New Roman"/>
          <w:color w:val="auto"/>
          <w:szCs w:val="22"/>
          <w:lang w:val="en-US" w:eastAsia="zh-CN"/>
        </w:rPr>
        <w:t>)</w:t>
      </w:r>
      <w:r>
        <w:rPr>
          <w:rFonts w:hint="eastAsia" w:cs="Times New Roman"/>
          <w:color w:val="auto"/>
          <w:szCs w:val="22"/>
          <w:lang w:val="en-US" w:eastAsia="zh-CN"/>
        </w:rPr>
        <w:t xml:space="preserve"> </w:t>
      </w:r>
      <w:r>
        <w:rPr>
          <w:rFonts w:hint="default" w:ascii="Times New Roman" w:hAnsi="Times New Roman" w:cs="Times New Roman"/>
          <w:color w:val="auto"/>
          <w:szCs w:val="22"/>
          <w:lang w:val="en-US" w:eastAsia="zh-CN"/>
        </w:rPr>
        <w:t>巡测发现的辐射水平异常高的位置。</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lang w:val="en-US" w:eastAsia="zh-CN"/>
        </w:rPr>
      </w:pPr>
      <w:r>
        <w:rPr>
          <w:rFonts w:hint="default" w:ascii="Times New Roman" w:hAnsi="Times New Roman" w:cs="Times New Roman"/>
          <w:color w:val="auto"/>
          <w:szCs w:val="22"/>
          <w:lang w:val="en-US" w:eastAsia="zh-CN"/>
        </w:rPr>
        <w:t>每次探伤</w:t>
      </w:r>
      <w:r>
        <w:rPr>
          <w:rFonts w:hint="eastAsia" w:ascii="Times New Roman" w:hAnsi="Times New Roman" w:cs="Times New Roman"/>
          <w:color w:val="auto"/>
          <w:szCs w:val="22"/>
          <w:lang w:val="en-US" w:eastAsia="zh-CN"/>
        </w:rPr>
        <w:t>作业</w:t>
      </w:r>
      <w:r>
        <w:rPr>
          <w:rFonts w:hint="default" w:ascii="Times New Roman" w:hAnsi="Times New Roman" w:cs="Times New Roman"/>
          <w:color w:val="auto"/>
          <w:szCs w:val="22"/>
          <w:lang w:val="en-US" w:eastAsia="zh-CN"/>
        </w:rPr>
        <w:t>结束后，</w:t>
      </w:r>
      <w:r>
        <w:rPr>
          <w:rFonts w:hint="eastAsia" w:ascii="Times New Roman" w:hAnsi="Times New Roman" w:cs="Times New Roman"/>
          <w:color w:val="auto"/>
          <w:szCs w:val="22"/>
          <w:lang w:val="en-US" w:eastAsia="zh-CN"/>
        </w:rPr>
        <w:t>监测</w:t>
      </w:r>
      <w:r>
        <w:rPr>
          <w:rFonts w:hint="default" w:ascii="Times New Roman" w:hAnsi="Times New Roman" w:cs="Times New Roman"/>
          <w:color w:val="auto"/>
          <w:szCs w:val="22"/>
          <w:lang w:val="en-US" w:eastAsia="zh-CN"/>
        </w:rPr>
        <w:t>探伤室的入口，以确保探伤机已经停止工作。</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lang w:val="en-US" w:eastAsia="zh-CN"/>
        </w:rPr>
      </w:pPr>
      <w:r>
        <w:rPr>
          <w:rFonts w:hint="default" w:ascii="Times New Roman" w:hAnsi="Times New Roman" w:cs="Times New Roman"/>
          <w:color w:val="auto"/>
          <w:szCs w:val="22"/>
          <w:lang w:val="en-US" w:eastAsia="zh-CN"/>
        </w:rPr>
        <w:t>使用单位应每季度至少进行一次自主监测，每年至少委托有资质的技术服务机构进行一次委托监测。</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移动式探伤辐射监测</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lang w:val="en-US" w:eastAsia="zh-CN"/>
        </w:rPr>
      </w:pPr>
      <w:r>
        <w:rPr>
          <w:rFonts w:hint="default" w:ascii="Times New Roman" w:hAnsi="Times New Roman" w:cs="Times New Roman"/>
          <w:b w:val="0"/>
          <w:bCs w:val="0"/>
          <w:color w:val="auto"/>
          <w:szCs w:val="22"/>
          <w:lang w:val="en-US" w:eastAsia="zh-CN"/>
        </w:rPr>
        <w:t>每次移动式探伤</w:t>
      </w:r>
      <w:r>
        <w:rPr>
          <w:rFonts w:hint="eastAsia" w:cs="Times New Roman"/>
          <w:b w:val="0"/>
          <w:bCs w:val="0"/>
          <w:color w:val="auto"/>
          <w:szCs w:val="22"/>
          <w:lang w:val="en-US" w:eastAsia="zh-CN"/>
        </w:rPr>
        <w:t>作业</w:t>
      </w:r>
      <w:r>
        <w:rPr>
          <w:rFonts w:hint="default" w:ascii="Times New Roman" w:hAnsi="Times New Roman" w:cs="Times New Roman"/>
          <w:color w:val="auto"/>
          <w:szCs w:val="22"/>
          <w:lang w:val="en-US" w:eastAsia="zh-CN"/>
        </w:rPr>
        <w:t>时，探伤作业人员均应对控制区、监督区</w:t>
      </w:r>
      <w:r>
        <w:rPr>
          <w:rFonts w:hint="eastAsia" w:cs="Times New Roman"/>
          <w:color w:val="auto"/>
          <w:szCs w:val="22"/>
          <w:lang w:val="en-US" w:eastAsia="zh-CN"/>
        </w:rPr>
        <w:t>及</w:t>
      </w:r>
      <w:r>
        <w:rPr>
          <w:rFonts w:hint="default" w:ascii="Times New Roman" w:hAnsi="Times New Roman" w:cs="Times New Roman"/>
          <w:color w:val="auto"/>
          <w:szCs w:val="22"/>
          <w:lang w:val="en-US" w:eastAsia="zh-CN"/>
        </w:rPr>
        <w:t>探伤前后操作位进行监测并形成记录，当探伤机、场所、被检物体（材料、规格、形状）、照射方向、屏蔽等条件发生变化时，均应重新进行巡测，确定新的划区界线。</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lang w:val="en-US" w:eastAsia="zh-CN"/>
        </w:rPr>
      </w:pPr>
      <w:r>
        <w:rPr>
          <w:rFonts w:hint="default" w:ascii="Times New Roman" w:hAnsi="Times New Roman" w:cs="Times New Roman"/>
          <w:color w:val="auto"/>
          <w:szCs w:val="22"/>
          <w:lang w:val="en-US" w:eastAsia="zh-CN"/>
        </w:rPr>
        <w:t>每年至少委托有资质的技术服务机构进行一次委托监测。</w:t>
      </w:r>
    </w:p>
    <w:p>
      <w:pPr>
        <w:pStyle w:val="31"/>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240" w:lineRule="auto"/>
        <w:ind w:left="425" w:hanging="425" w:firstLineChars="0"/>
        <w:textAlignment w:val="auto"/>
        <w:outlineLvl w:val="0"/>
        <w:rPr>
          <w:rFonts w:hint="default" w:ascii="Times New Roman" w:hAnsi="Times New Roman" w:eastAsia="黑体" w:cs="Times New Roman"/>
          <w:color w:val="auto"/>
          <w:szCs w:val="22"/>
          <w:lang w:val="en-US" w:eastAsia="zh-CN"/>
        </w:rPr>
      </w:pPr>
      <w:bookmarkStart w:id="34" w:name="_Toc26487"/>
      <w:bookmarkStart w:id="35" w:name="_Toc96316767"/>
      <w:bookmarkStart w:id="36" w:name="_Toc20480"/>
      <w:r>
        <w:rPr>
          <w:rFonts w:hint="default" w:ascii="Times New Roman" w:hAnsi="Times New Roman" w:eastAsia="黑体" w:cs="Times New Roman"/>
          <w:color w:val="auto"/>
          <w:szCs w:val="22"/>
          <w:lang w:val="en-US" w:eastAsia="zh-CN"/>
        </w:rPr>
        <w:t>辐射事故应急响应要求</w:t>
      </w:r>
      <w:bookmarkEnd w:id="34"/>
      <w:r>
        <w:rPr>
          <w:rFonts w:hint="default" w:ascii="Times New Roman" w:hAnsi="Times New Roman" w:eastAsia="黑体" w:cs="Times New Roman"/>
          <w:color w:val="auto"/>
          <w:szCs w:val="22"/>
          <w:lang w:val="en-US" w:eastAsia="zh-CN"/>
        </w:rPr>
        <w:tab/>
      </w:r>
      <w:bookmarkEnd w:id="35"/>
      <w:bookmarkEnd w:id="36"/>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t>编制应急预案</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rPr>
      </w:pPr>
      <w:bookmarkStart w:id="37" w:name="_Toc23290"/>
      <w:bookmarkStart w:id="38" w:name="_Toc96316768"/>
      <w:r>
        <w:rPr>
          <w:rFonts w:hint="default" w:ascii="Times New Roman" w:hAnsi="Times New Roman" w:cs="Times New Roman"/>
          <w:color w:val="auto"/>
          <w:szCs w:val="22"/>
          <w:lang w:val="en-US" w:eastAsia="zh-CN"/>
        </w:rPr>
        <w:t>使用</w:t>
      </w:r>
      <w:r>
        <w:rPr>
          <w:rFonts w:hint="default" w:ascii="Times New Roman" w:hAnsi="Times New Roman" w:cs="Times New Roman"/>
          <w:color w:val="auto"/>
          <w:szCs w:val="22"/>
        </w:rPr>
        <w:t>单位应根据实际情况，制定具有可操作性的辐射事故应急预案，</w:t>
      </w:r>
      <w:bookmarkEnd w:id="37"/>
      <w:bookmarkEnd w:id="38"/>
      <w:bookmarkStart w:id="39" w:name="_Toc7996"/>
      <w:bookmarkStart w:id="40" w:name="_Toc96316769"/>
      <w:r>
        <w:rPr>
          <w:rFonts w:hint="default" w:ascii="Times New Roman" w:hAnsi="Times New Roman" w:cs="Times New Roman"/>
          <w:color w:val="auto"/>
          <w:szCs w:val="22"/>
          <w:lang w:val="en-US" w:eastAsia="zh-CN"/>
        </w:rPr>
        <w:t>辐射事故应急预案的编制大纲可参考附录</w:t>
      </w:r>
      <w:r>
        <w:rPr>
          <w:rFonts w:hint="eastAsia" w:cs="Times New Roman"/>
          <w:color w:val="auto"/>
          <w:szCs w:val="22"/>
          <w:lang w:val="en-US" w:eastAsia="zh-CN"/>
        </w:rPr>
        <w:t>D</w:t>
      </w:r>
      <w:r>
        <w:rPr>
          <w:rFonts w:hint="default" w:ascii="Times New Roman" w:hAnsi="Times New Roman" w:cs="Times New Roman"/>
          <w:color w:val="auto"/>
          <w:szCs w:val="22"/>
          <w:lang w:val="en-US" w:eastAsia="zh-CN"/>
        </w:rPr>
        <w:t>。</w:t>
      </w:r>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rPr>
        <w:t>辐射事故应急预案应报所在地县级</w:t>
      </w:r>
      <w:r>
        <w:rPr>
          <w:rFonts w:hint="eastAsia" w:cs="Times New Roman"/>
          <w:color w:val="auto"/>
          <w:szCs w:val="22"/>
          <w:lang w:val="en-US" w:eastAsia="zh-CN"/>
        </w:rPr>
        <w:t>生态环境</w:t>
      </w:r>
      <w:r>
        <w:rPr>
          <w:rFonts w:hint="default" w:ascii="Times New Roman" w:hAnsi="Times New Roman" w:cs="Times New Roman"/>
          <w:color w:val="auto"/>
          <w:szCs w:val="22"/>
        </w:rPr>
        <w:t>行政主管部门备案。</w:t>
      </w:r>
      <w:bookmarkEnd w:id="39"/>
      <w:bookmarkEnd w:id="40"/>
    </w:p>
    <w:p>
      <w:pPr>
        <w:pStyle w:val="31"/>
        <w:keepNext w:val="0"/>
        <w:keepLines w:val="0"/>
        <w:pageBreakBefore w:val="0"/>
        <w:widowControl w:val="0"/>
        <w:numPr>
          <w:ilvl w:val="2"/>
          <w:numId w:val="3"/>
        </w:numPr>
        <w:kinsoku/>
        <w:wordWrap/>
        <w:overflowPunct/>
        <w:topLinePunct w:val="0"/>
        <w:autoSpaceDE/>
        <w:autoSpaceDN/>
        <w:bidi w:val="0"/>
        <w:adjustRightInd/>
        <w:snapToGrid/>
        <w:spacing w:line="240" w:lineRule="auto"/>
        <w:ind w:left="0" w:firstLine="0" w:firstLineChars="0"/>
        <w:textAlignment w:val="auto"/>
        <w:outlineLvl w:val="9"/>
        <w:rPr>
          <w:rFonts w:hint="default" w:ascii="Times New Roman" w:hAnsi="Times New Roman" w:cs="Times New Roman"/>
          <w:color w:val="auto"/>
          <w:szCs w:val="22"/>
        </w:rPr>
      </w:pPr>
      <w:bookmarkStart w:id="41" w:name="_Toc22296"/>
      <w:bookmarkStart w:id="42" w:name="_Toc96316771"/>
      <w:r>
        <w:rPr>
          <w:rFonts w:hint="eastAsia" w:cs="Times New Roman"/>
          <w:color w:val="auto"/>
          <w:szCs w:val="21"/>
          <w:lang w:val="en-US" w:eastAsia="zh-CN"/>
        </w:rPr>
        <w:t>辐射事故</w:t>
      </w:r>
      <w:r>
        <w:rPr>
          <w:rFonts w:hint="default" w:ascii="Times New Roman" w:hAnsi="Times New Roman" w:cs="Times New Roman"/>
          <w:color w:val="auto"/>
          <w:szCs w:val="21"/>
        </w:rPr>
        <w:t>应急预案应定期评审，并根据评审结果或实际情况的变化进行修订和完善。</w:t>
      </w:r>
      <w:bookmarkEnd w:id="41"/>
      <w:bookmarkEnd w:id="42"/>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lang w:val="en-US" w:eastAsia="zh-CN"/>
        </w:rPr>
      </w:pPr>
      <w:bookmarkStart w:id="43" w:name="_Toc96316772"/>
      <w:bookmarkStart w:id="44" w:name="_Toc18582"/>
      <w:r>
        <w:rPr>
          <w:rFonts w:hint="default" w:ascii="Times New Roman" w:hAnsi="Times New Roman" w:eastAsia="黑体" w:cs="Times New Roman"/>
          <w:color w:val="auto"/>
          <w:szCs w:val="22"/>
          <w:lang w:val="en-US" w:eastAsia="zh-CN"/>
        </w:rPr>
        <w:t>应急物资</w:t>
      </w:r>
      <w:bookmarkEnd w:id="43"/>
      <w:bookmarkEnd w:id="44"/>
      <w:r>
        <w:rPr>
          <w:rFonts w:hint="eastAsia" w:eastAsia="黑体" w:cs="Times New Roman"/>
          <w:color w:val="auto"/>
          <w:szCs w:val="22"/>
          <w:lang w:val="en-US" w:eastAsia="zh-CN"/>
        </w:rPr>
        <w:t>配备</w:t>
      </w:r>
    </w:p>
    <w:p>
      <w:pPr>
        <w:pStyle w:val="31"/>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lang w:val="en-US" w:eastAsia="zh-CN"/>
        </w:rPr>
        <w:t>使用</w:t>
      </w:r>
      <w:r>
        <w:rPr>
          <w:rFonts w:hint="default" w:ascii="Times New Roman" w:hAnsi="Times New Roman" w:cs="Times New Roman"/>
          <w:color w:val="auto"/>
          <w:szCs w:val="22"/>
        </w:rPr>
        <w:t>单位应针对可能发生的辐射事故类型配备必要</w:t>
      </w:r>
      <w:r>
        <w:rPr>
          <w:rFonts w:hint="eastAsia" w:cs="Times New Roman"/>
          <w:color w:val="auto"/>
          <w:szCs w:val="22"/>
          <w:lang w:val="en-US" w:eastAsia="zh-CN"/>
        </w:rPr>
        <w:t>的</w:t>
      </w:r>
      <w:r>
        <w:rPr>
          <w:rFonts w:hint="default" w:ascii="Times New Roman" w:hAnsi="Times New Roman" w:cs="Times New Roman"/>
          <w:color w:val="auto"/>
          <w:szCs w:val="22"/>
        </w:rPr>
        <w:t>辐射事故应急</w:t>
      </w:r>
      <w:r>
        <w:rPr>
          <w:rFonts w:hint="eastAsia" w:ascii="Times New Roman" w:hAnsi="Times New Roman" w:cs="Times New Roman"/>
          <w:color w:val="auto"/>
          <w:szCs w:val="22"/>
          <w:lang w:val="en-US" w:eastAsia="zh-CN"/>
        </w:rPr>
        <w:t>物资</w:t>
      </w:r>
      <w:r>
        <w:rPr>
          <w:rFonts w:hint="default" w:ascii="Times New Roman" w:hAnsi="Times New Roman" w:cs="Times New Roman"/>
          <w:color w:val="auto"/>
          <w:szCs w:val="22"/>
        </w:rPr>
        <w:t>，如</w:t>
      </w:r>
      <w:r>
        <w:rPr>
          <w:rFonts w:hint="default" w:ascii="Times New Roman" w:hAnsi="Times New Roman" w:cs="Times New Roman"/>
          <w:color w:val="auto"/>
          <w:szCs w:val="22"/>
          <w:lang w:val="en-US" w:eastAsia="zh-CN"/>
        </w:rPr>
        <w:t>应急监测设备、</w:t>
      </w:r>
      <w:r>
        <w:rPr>
          <w:rFonts w:hint="default" w:ascii="Times New Roman" w:hAnsi="Times New Roman" w:cs="Times New Roman"/>
          <w:color w:val="auto"/>
          <w:szCs w:val="22"/>
        </w:rPr>
        <w:t>应急处理工具（长柄夹具等）、个人防护用品（铅衣、铅眼镜、铅帽子、铅围裙、铅手套、铅围脖、</w:t>
      </w:r>
      <w:r>
        <w:rPr>
          <w:rFonts w:hint="eastAsia" w:cs="Times New Roman"/>
          <w:color w:val="auto"/>
          <w:szCs w:val="22"/>
          <w:lang w:val="en-US" w:eastAsia="zh-CN"/>
        </w:rPr>
        <w:t>铅屏风、</w:t>
      </w:r>
      <w:r>
        <w:rPr>
          <w:rFonts w:hint="default" w:ascii="Times New Roman" w:hAnsi="Times New Roman" w:cs="Times New Roman"/>
          <w:color w:val="auto"/>
          <w:szCs w:val="22"/>
        </w:rPr>
        <w:t>口罩等）、</w:t>
      </w:r>
      <w:r>
        <w:rPr>
          <w:rFonts w:hint="default" w:ascii="Times New Roman" w:hAnsi="Times New Roman" w:cs="Times New Roman"/>
          <w:color w:val="auto"/>
          <w:szCs w:val="22"/>
          <w:lang w:val="en-US" w:eastAsia="zh-CN"/>
        </w:rPr>
        <w:t>必备的</w:t>
      </w:r>
      <w:r>
        <w:rPr>
          <w:rFonts w:hint="default" w:ascii="Times New Roman" w:hAnsi="Times New Roman" w:cs="Times New Roman"/>
          <w:color w:val="auto"/>
          <w:szCs w:val="22"/>
        </w:rPr>
        <w:t>警示标志和标识线、灭火器材及应急包装容器等。</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rPr>
      </w:pPr>
      <w:bookmarkStart w:id="45" w:name="_Toc96316773"/>
      <w:bookmarkStart w:id="46" w:name="_Toc9976"/>
      <w:r>
        <w:rPr>
          <w:rFonts w:hint="default" w:ascii="Times New Roman" w:hAnsi="Times New Roman" w:eastAsia="黑体" w:cs="Times New Roman"/>
          <w:color w:val="auto"/>
          <w:szCs w:val="22"/>
        </w:rPr>
        <w:t>应急</w:t>
      </w:r>
      <w:r>
        <w:rPr>
          <w:rFonts w:hint="default" w:ascii="Times New Roman" w:hAnsi="Times New Roman" w:eastAsia="黑体" w:cs="Times New Roman"/>
          <w:color w:val="auto"/>
          <w:szCs w:val="22"/>
          <w:lang w:val="en-US" w:eastAsia="zh-CN"/>
        </w:rPr>
        <w:t>演练</w:t>
      </w:r>
      <w:bookmarkEnd w:id="45"/>
      <w:bookmarkEnd w:id="46"/>
    </w:p>
    <w:p>
      <w:pPr>
        <w:pStyle w:val="31"/>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auto"/>
          <w:szCs w:val="22"/>
        </w:rPr>
      </w:pPr>
      <w:r>
        <w:rPr>
          <w:rFonts w:hint="default" w:ascii="Times New Roman" w:hAnsi="Times New Roman" w:cs="Times New Roman"/>
          <w:color w:val="auto"/>
          <w:szCs w:val="22"/>
          <w:lang w:val="en-US" w:eastAsia="zh-CN"/>
        </w:rPr>
        <w:t>使用</w:t>
      </w:r>
      <w:r>
        <w:rPr>
          <w:rFonts w:hint="default" w:ascii="Times New Roman" w:hAnsi="Times New Roman" w:cs="Times New Roman"/>
          <w:color w:val="auto"/>
          <w:szCs w:val="22"/>
        </w:rPr>
        <w:t>单位应组织相关人员进行应急</w:t>
      </w:r>
      <w:r>
        <w:rPr>
          <w:rFonts w:hint="eastAsia" w:cs="Times New Roman"/>
          <w:color w:val="auto"/>
          <w:szCs w:val="22"/>
          <w:lang w:val="en-US" w:eastAsia="zh-CN"/>
        </w:rPr>
        <w:t>演练</w:t>
      </w:r>
      <w:r>
        <w:rPr>
          <w:rFonts w:hint="default" w:ascii="Times New Roman" w:hAnsi="Times New Roman" w:cs="Times New Roman"/>
          <w:color w:val="auto"/>
          <w:szCs w:val="22"/>
        </w:rPr>
        <w:t>，每年开展1次，</w:t>
      </w:r>
      <w:r>
        <w:rPr>
          <w:rFonts w:hint="eastAsia" w:cs="Times New Roman"/>
          <w:color w:val="auto"/>
          <w:szCs w:val="22"/>
          <w:lang w:val="en-US" w:eastAsia="zh-CN"/>
        </w:rPr>
        <w:t>并</w:t>
      </w:r>
      <w:r>
        <w:rPr>
          <w:rFonts w:hint="default" w:ascii="Times New Roman" w:hAnsi="Times New Roman" w:cs="Times New Roman"/>
          <w:color w:val="auto"/>
          <w:szCs w:val="22"/>
        </w:rPr>
        <w:t>评价演练效果，形成记录和总结，并留存相关档案。</w:t>
      </w:r>
    </w:p>
    <w:p>
      <w:pPr>
        <w:pStyle w:val="31"/>
        <w:keepNext w:val="0"/>
        <w:keepLines w:val="0"/>
        <w:pageBreakBefore w:val="0"/>
        <w:widowControl w:val="0"/>
        <w:numPr>
          <w:ilvl w:val="1"/>
          <w:numId w:val="3"/>
        </w:numPr>
        <w:kinsoku/>
        <w:wordWrap/>
        <w:overflowPunct/>
        <w:topLinePunct w:val="0"/>
        <w:autoSpaceDE/>
        <w:autoSpaceDN/>
        <w:bidi w:val="0"/>
        <w:adjustRightInd/>
        <w:snapToGrid/>
        <w:spacing w:before="157" w:beforeLines="50" w:after="157" w:afterLines="50" w:line="240" w:lineRule="auto"/>
        <w:ind w:left="0" w:firstLine="0" w:firstLineChars="0"/>
        <w:textAlignment w:val="auto"/>
        <w:outlineLvl w:val="1"/>
        <w:rPr>
          <w:rFonts w:hint="default" w:ascii="Times New Roman" w:hAnsi="Times New Roman" w:eastAsia="黑体" w:cs="Times New Roman"/>
          <w:color w:val="auto"/>
          <w:szCs w:val="22"/>
        </w:rPr>
      </w:pPr>
      <w:bookmarkStart w:id="47" w:name="_Toc96316774"/>
      <w:bookmarkStart w:id="48" w:name="_Toc28723"/>
      <w:r>
        <w:rPr>
          <w:rFonts w:hint="default" w:ascii="Times New Roman" w:hAnsi="Times New Roman" w:eastAsia="黑体" w:cs="Times New Roman"/>
          <w:color w:val="auto"/>
          <w:szCs w:val="22"/>
          <w:lang w:val="en-US" w:eastAsia="zh-CN"/>
        </w:rPr>
        <w:t>应急响应</w:t>
      </w:r>
      <w:bookmarkEnd w:id="47"/>
      <w:bookmarkEnd w:id="48"/>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eastAsia" w:ascii="黑体" w:hAnsi="黑体" w:eastAsia="黑体" w:cs="黑体"/>
          <w:b w:val="0"/>
          <w:bCs w:val="0"/>
          <w:color w:val="auto"/>
          <w:szCs w:val="22"/>
          <w:lang w:val="en-US" w:eastAsia="zh-CN"/>
        </w:rPr>
      </w:pPr>
      <w:r>
        <w:rPr>
          <w:rFonts w:hint="eastAsia" w:ascii="黑体" w:hAnsi="黑体" w:eastAsia="黑体" w:cs="黑体"/>
          <w:b w:val="0"/>
          <w:bCs w:val="0"/>
          <w:color w:val="auto"/>
          <w:szCs w:val="22"/>
          <w:lang w:val="en-US" w:eastAsia="zh-CN"/>
        </w:rPr>
        <w:t>启动预案</w:t>
      </w:r>
    </w:p>
    <w:p>
      <w:pPr>
        <w:pStyle w:val="31"/>
        <w:keepNext w:val="0"/>
        <w:keepLines w:val="0"/>
        <w:pageBreakBefore w:val="0"/>
        <w:kinsoku/>
        <w:wordWrap/>
        <w:overflowPunct/>
        <w:topLinePunct w:val="0"/>
        <w:autoSpaceDE/>
        <w:autoSpaceDN/>
        <w:bidi w:val="0"/>
        <w:adjustRightInd/>
        <w:snapToGrid/>
        <w:spacing w:line="240" w:lineRule="auto"/>
        <w:textAlignment w:val="auto"/>
        <w:outlineLvl w:val="9"/>
        <w:rPr>
          <w:rFonts w:hint="eastAsia" w:eastAsia="黑体" w:cs="Times New Roman"/>
          <w:color w:val="auto"/>
          <w:szCs w:val="22"/>
          <w:lang w:val="en-US" w:eastAsia="zh-CN"/>
        </w:rPr>
      </w:pPr>
      <w:r>
        <w:rPr>
          <w:rFonts w:hint="default" w:ascii="Times New Roman" w:hAnsi="Times New Roman" w:cs="Times New Roman"/>
          <w:color w:val="auto"/>
          <w:szCs w:val="22"/>
        </w:rPr>
        <w:t>发生或者可能发生辐射事故时，</w:t>
      </w:r>
      <w:r>
        <w:rPr>
          <w:rFonts w:hint="eastAsia" w:ascii="Times New Roman" w:hAnsi="Times New Roman" w:cs="Times New Roman"/>
          <w:color w:val="auto"/>
          <w:szCs w:val="22"/>
          <w:lang w:val="en-US" w:eastAsia="zh-CN"/>
        </w:rPr>
        <w:t>使</w:t>
      </w:r>
      <w:r>
        <w:rPr>
          <w:rFonts w:hint="eastAsia" w:cs="Times New Roman"/>
          <w:color w:val="auto"/>
          <w:szCs w:val="22"/>
          <w:lang w:val="en-US" w:eastAsia="zh-CN"/>
        </w:rPr>
        <w:t>用</w:t>
      </w:r>
      <w:r>
        <w:rPr>
          <w:rFonts w:hint="default" w:ascii="Times New Roman" w:hAnsi="Times New Roman" w:cs="Times New Roman"/>
          <w:color w:val="auto"/>
          <w:szCs w:val="22"/>
        </w:rPr>
        <w:t>单位应当立即启动辐射事故应急预案，采取必要措施，</w:t>
      </w:r>
      <w:r>
        <w:rPr>
          <w:rFonts w:hint="eastAsia" w:cs="Times New Roman"/>
          <w:color w:val="auto"/>
          <w:szCs w:val="22"/>
          <w:lang w:val="en-US" w:eastAsia="zh-CN"/>
        </w:rPr>
        <w:t>制定事故处置方案，</w:t>
      </w:r>
      <w:r>
        <w:rPr>
          <w:rFonts w:hint="default" w:ascii="Times New Roman" w:hAnsi="Times New Roman" w:cs="Times New Roman"/>
          <w:color w:val="auto"/>
          <w:szCs w:val="22"/>
        </w:rPr>
        <w:t>组织救治可能受到辐射伤害的人员，并</w:t>
      </w:r>
      <w:r>
        <w:rPr>
          <w:rFonts w:hint="eastAsia" w:cs="Times New Roman"/>
          <w:color w:val="auto"/>
          <w:szCs w:val="22"/>
          <w:lang w:val="en-US" w:eastAsia="zh-CN"/>
        </w:rPr>
        <w:t>立即</w:t>
      </w:r>
      <w:r>
        <w:rPr>
          <w:rFonts w:hint="default" w:ascii="Times New Roman" w:hAnsi="Times New Roman" w:cs="Times New Roman"/>
          <w:color w:val="auto"/>
          <w:szCs w:val="22"/>
        </w:rPr>
        <w:t>向所在地县级以上生态环境、公安、卫生健康等行政主管部门报告，及时告知周围可能受到辐射危害的单位和个人。</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eastAsia="黑体" w:cs="Times New Roman"/>
          <w:color w:val="auto"/>
          <w:szCs w:val="22"/>
          <w:lang w:val="en-US" w:eastAsia="zh-CN"/>
        </w:rPr>
      </w:pPr>
      <w:r>
        <w:rPr>
          <w:rFonts w:hint="eastAsia" w:eastAsia="黑体" w:cs="Times New Roman"/>
          <w:color w:val="auto"/>
          <w:szCs w:val="22"/>
          <w:lang w:val="en-US" w:eastAsia="zh-CN"/>
        </w:rPr>
        <w:t>应急处理</w:t>
      </w:r>
    </w:p>
    <w:p>
      <w:pPr>
        <w:pStyle w:val="31"/>
        <w:keepNext w:val="0"/>
        <w:keepLines w:val="0"/>
        <w:pageBreakBefore w:val="0"/>
        <w:kinsoku/>
        <w:wordWrap/>
        <w:overflowPunct/>
        <w:topLinePunct w:val="0"/>
        <w:autoSpaceDE/>
        <w:autoSpaceDN/>
        <w:bidi w:val="0"/>
        <w:adjustRightInd/>
        <w:snapToGrid/>
        <w:spacing w:line="240" w:lineRule="auto"/>
        <w:textAlignment w:val="auto"/>
        <w:outlineLvl w:val="9"/>
        <w:rPr>
          <w:rFonts w:hint="default" w:eastAsia="黑体" w:cs="Times New Roman"/>
          <w:color w:val="auto"/>
          <w:szCs w:val="22"/>
          <w:lang w:val="en-US" w:eastAsia="zh-CN"/>
        </w:rPr>
      </w:pPr>
      <w:r>
        <w:rPr>
          <w:rFonts w:hint="eastAsia" w:ascii="Times New Roman" w:hAnsi="Times New Roman" w:cs="Times New Roman"/>
          <w:color w:val="auto"/>
          <w:szCs w:val="22"/>
          <w:lang w:val="en-US" w:eastAsia="zh-CN"/>
        </w:rPr>
        <w:t>现场处置在当地人民政府或辐射安全许可证发证机关的监督、指导下实施。</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eastAsia="黑体" w:cs="Times New Roman"/>
          <w:color w:val="auto"/>
          <w:szCs w:val="22"/>
          <w:lang w:val="en-US" w:eastAsia="zh-CN"/>
        </w:rPr>
      </w:pPr>
      <w:r>
        <w:rPr>
          <w:rFonts w:hint="eastAsia" w:eastAsia="黑体" w:cs="Times New Roman"/>
          <w:color w:val="auto"/>
          <w:szCs w:val="22"/>
          <w:lang w:val="en-US" w:eastAsia="zh-CN"/>
        </w:rPr>
        <w:t>应急调查</w:t>
      </w:r>
    </w:p>
    <w:p>
      <w:pPr>
        <w:pStyle w:val="31"/>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auto"/>
          <w:szCs w:val="22"/>
          <w:lang w:val="en-US" w:eastAsia="zh-CN"/>
        </w:rPr>
      </w:pPr>
      <w:r>
        <w:rPr>
          <w:rFonts w:hint="eastAsia" w:ascii="Times New Roman" w:hAnsi="Times New Roman" w:cs="Times New Roman"/>
          <w:color w:val="auto"/>
          <w:szCs w:val="22"/>
          <w:lang w:val="en-US" w:eastAsia="zh-CN"/>
        </w:rPr>
        <w:t>使用</w:t>
      </w:r>
      <w:r>
        <w:rPr>
          <w:rFonts w:hint="default" w:ascii="Times New Roman" w:hAnsi="Times New Roman" w:cs="Times New Roman"/>
          <w:color w:val="auto"/>
          <w:szCs w:val="22"/>
          <w:lang w:val="en-US" w:eastAsia="zh-CN"/>
        </w:rPr>
        <w:t>单位应按</w:t>
      </w:r>
      <w:r>
        <w:rPr>
          <w:rFonts w:hint="eastAsia" w:cs="Times New Roman"/>
          <w:color w:val="auto"/>
          <w:szCs w:val="22"/>
          <w:lang w:val="en-US" w:eastAsia="zh-CN"/>
        </w:rPr>
        <w:t>要求</w:t>
      </w:r>
      <w:r>
        <w:rPr>
          <w:rFonts w:hint="default" w:ascii="Times New Roman" w:hAnsi="Times New Roman" w:cs="Times New Roman"/>
          <w:color w:val="auto"/>
          <w:szCs w:val="22"/>
          <w:lang w:val="en-US" w:eastAsia="zh-CN"/>
        </w:rPr>
        <w:t>成立事故调查</w:t>
      </w:r>
      <w:r>
        <w:rPr>
          <w:rFonts w:hint="eastAsia" w:ascii="Times New Roman" w:hAnsi="Times New Roman" w:cs="Times New Roman"/>
          <w:color w:val="auto"/>
          <w:szCs w:val="22"/>
          <w:lang w:val="en-US" w:eastAsia="zh-CN"/>
        </w:rPr>
        <w:t>组</w:t>
      </w:r>
      <w:r>
        <w:rPr>
          <w:rFonts w:hint="default" w:ascii="Times New Roman" w:hAnsi="Times New Roman" w:cs="Times New Roman"/>
          <w:color w:val="auto"/>
          <w:szCs w:val="22"/>
          <w:lang w:val="en-US" w:eastAsia="zh-CN"/>
        </w:rPr>
        <w:t>，按时提交事故调查报告</w:t>
      </w:r>
      <w:r>
        <w:rPr>
          <w:rFonts w:hint="eastAsia" w:ascii="Times New Roman" w:hAnsi="Times New Roman" w:cs="Times New Roman"/>
          <w:color w:val="auto"/>
          <w:szCs w:val="22"/>
          <w:lang w:val="en-US" w:eastAsia="zh-CN"/>
        </w:rPr>
        <w:t>，并</w:t>
      </w:r>
      <w:r>
        <w:rPr>
          <w:rFonts w:hint="default" w:ascii="Times New Roman" w:hAnsi="Times New Roman" w:cs="Times New Roman"/>
          <w:color w:val="auto"/>
          <w:szCs w:val="22"/>
          <w:lang w:val="en-US" w:eastAsia="zh-CN"/>
        </w:rPr>
        <w:t>积极配合各级人民政府组织的事故调查，应随时接受事故调查组的询问，如实</w:t>
      </w:r>
      <w:r>
        <w:rPr>
          <w:rFonts w:hint="eastAsia" w:cs="Times New Roman"/>
          <w:color w:val="auto"/>
          <w:szCs w:val="22"/>
          <w:lang w:val="en-US" w:eastAsia="zh-CN"/>
        </w:rPr>
        <w:t>反映</w:t>
      </w:r>
      <w:r>
        <w:rPr>
          <w:rFonts w:hint="default" w:ascii="Times New Roman" w:hAnsi="Times New Roman" w:cs="Times New Roman"/>
          <w:color w:val="auto"/>
          <w:szCs w:val="22"/>
          <w:lang w:val="en-US" w:eastAsia="zh-CN"/>
        </w:rPr>
        <w:t>有关情况。</w:t>
      </w:r>
    </w:p>
    <w:p>
      <w:pPr>
        <w:pStyle w:val="31"/>
        <w:keepNext w:val="0"/>
        <w:keepLines w:val="0"/>
        <w:pageBreakBefore w:val="0"/>
        <w:widowControl w:val="0"/>
        <w:numPr>
          <w:ilvl w:val="2"/>
          <w:numId w:val="3"/>
        </w:numPr>
        <w:kinsoku/>
        <w:wordWrap/>
        <w:overflowPunct/>
        <w:topLinePunct w:val="0"/>
        <w:autoSpaceDE/>
        <w:autoSpaceDN/>
        <w:bidi w:val="0"/>
        <w:adjustRightInd/>
        <w:snapToGrid/>
        <w:spacing w:before="157" w:beforeLines="50" w:after="157" w:afterLines="50" w:line="240" w:lineRule="auto"/>
        <w:ind w:left="0" w:leftChars="0" w:firstLine="0" w:firstLineChars="0"/>
        <w:textAlignment w:val="auto"/>
        <w:outlineLvl w:val="2"/>
        <w:rPr>
          <w:rFonts w:hint="default" w:ascii="Times New Roman" w:hAnsi="Times New Roman" w:eastAsia="宋体" w:cs="Times New Roman"/>
          <w:color w:val="auto"/>
          <w:szCs w:val="22"/>
          <w:lang w:eastAsia="zh-CN"/>
        </w:rPr>
      </w:pPr>
      <w:r>
        <w:rPr>
          <w:rFonts w:hint="eastAsia" w:eastAsia="黑体" w:cs="Times New Roman"/>
          <w:color w:val="auto"/>
          <w:szCs w:val="22"/>
          <w:lang w:val="en-US" w:eastAsia="zh-CN"/>
        </w:rPr>
        <w:t>总结评价</w:t>
      </w:r>
    </w:p>
    <w:p>
      <w:pPr>
        <w:pStyle w:val="31"/>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auto"/>
          <w:szCs w:val="22"/>
        </w:rPr>
      </w:pPr>
      <w:r>
        <w:rPr>
          <w:rFonts w:hint="eastAsia" w:cs="Times New Roman"/>
          <w:color w:val="auto"/>
          <w:szCs w:val="22"/>
          <w:lang w:val="en-US" w:eastAsia="zh-CN"/>
        </w:rPr>
        <w:t>使用</w:t>
      </w:r>
      <w:r>
        <w:rPr>
          <w:rFonts w:hint="default" w:ascii="Times New Roman" w:hAnsi="Times New Roman" w:cs="Times New Roman"/>
          <w:color w:val="auto"/>
          <w:szCs w:val="22"/>
        </w:rPr>
        <w:t>单位应建立辐射事故/事件档案</w:t>
      </w:r>
      <w:r>
        <w:rPr>
          <w:rFonts w:hint="eastAsia" w:cs="Times New Roman"/>
          <w:color w:val="auto"/>
          <w:szCs w:val="22"/>
          <w:lang w:eastAsia="zh-CN"/>
        </w:rPr>
        <w:t>，</w:t>
      </w:r>
      <w:r>
        <w:rPr>
          <w:rFonts w:hint="eastAsia" w:cs="Times New Roman"/>
          <w:color w:val="auto"/>
          <w:szCs w:val="22"/>
          <w:lang w:val="en-US" w:eastAsia="zh-CN"/>
        </w:rPr>
        <w:t>内容包括事故/事件时间、地点、级别、类型、经过、原因、处理和教训等内容</w:t>
      </w:r>
      <w:r>
        <w:rPr>
          <w:rFonts w:hint="default" w:ascii="Times New Roman" w:hAnsi="Times New Roman" w:cs="Times New Roman"/>
          <w:color w:val="auto"/>
          <w:szCs w:val="22"/>
        </w:rPr>
        <w:t>。</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color w:val="auto"/>
          <w:szCs w:val="22"/>
          <w:lang w:val="en-US" w:eastAsia="zh-CN"/>
        </w:rPr>
      </w:pPr>
      <w:bookmarkStart w:id="49" w:name="_Toc6534"/>
      <w:bookmarkStart w:id="50" w:name="_Toc96316785"/>
    </w:p>
    <w:bookmarkEnd w:id="49"/>
    <w:bookmarkEnd w:id="50"/>
    <w:p>
      <w:pPr>
        <w:pStyle w:val="31"/>
        <w:keepNext w:val="0"/>
        <w:keepLines w:val="0"/>
        <w:pageBreakBefore w:val="0"/>
        <w:widowControl w:val="0"/>
        <w:numPr>
          <w:ilvl w:val="0"/>
          <w:numId w:val="0"/>
        </w:numPr>
        <w:kinsoku/>
        <w:wordWrap/>
        <w:overflowPunct/>
        <w:topLinePunct w:val="0"/>
        <w:autoSpaceDE/>
        <w:autoSpaceDN/>
        <w:bidi w:val="0"/>
        <w:adjustRightInd/>
        <w:snapToGrid/>
        <w:spacing w:before="640" w:line="240" w:lineRule="auto"/>
        <w:ind w:leftChars="0"/>
        <w:jc w:val="center"/>
        <w:textAlignment w:val="auto"/>
        <w:outlineLvl w:val="0"/>
        <w:rPr>
          <w:rFonts w:hint="default" w:ascii="Times New Roman" w:hAnsi="Times New Roman" w:eastAsia="黑体" w:cs="Times New Roman"/>
          <w:color w:val="auto"/>
          <w:szCs w:val="22"/>
          <w:lang w:val="en-US" w:eastAsia="zh-CN"/>
        </w:rPr>
      </w:pPr>
      <w:bookmarkStart w:id="51" w:name="_Toc15469"/>
    </w:p>
    <w:p>
      <w:pPr>
        <w:rPr>
          <w:rFonts w:hint="default" w:ascii="Times New Roman" w:hAnsi="Times New Roman" w:eastAsia="黑体" w:cs="Times New Roman"/>
          <w:color w:val="auto"/>
          <w:szCs w:val="22"/>
          <w:lang w:val="en-US" w:eastAsia="zh-CN"/>
        </w:rPr>
      </w:pPr>
      <w:r>
        <w:rPr>
          <w:rFonts w:hint="default" w:ascii="Times New Roman" w:hAnsi="Times New Roman" w:eastAsia="黑体" w:cs="Times New Roman"/>
          <w:color w:val="auto"/>
          <w:szCs w:val="22"/>
          <w:lang w:val="en-US" w:eastAsia="zh-CN"/>
        </w:rPr>
        <w:br w:type="page"/>
      </w:r>
    </w:p>
    <w:p>
      <w:pPr>
        <w:pStyle w:val="31"/>
        <w:keepNext w:val="0"/>
        <w:keepLines w:val="0"/>
        <w:pageBreakBefore w:val="0"/>
        <w:widowControl w:val="0"/>
        <w:numPr>
          <w:ilvl w:val="0"/>
          <w:numId w:val="0"/>
        </w:numPr>
        <w:kinsoku/>
        <w:wordWrap/>
        <w:overflowPunct/>
        <w:topLinePunct w:val="0"/>
        <w:autoSpaceDE/>
        <w:autoSpaceDN/>
        <w:bidi w:val="0"/>
        <w:adjustRightInd/>
        <w:snapToGrid/>
        <w:spacing w:before="640" w:line="240" w:lineRule="auto"/>
        <w:ind w:leftChars="0"/>
        <w:jc w:val="center"/>
        <w:textAlignment w:val="auto"/>
        <w:outlineLvl w:val="0"/>
        <w:rPr>
          <w:rFonts w:hint="default" w:ascii="Times New Roman" w:hAnsi="Times New Roman" w:eastAsia="黑体" w:cs="Times New Roman"/>
          <w:color w:val="auto"/>
          <w:szCs w:val="22"/>
          <w:lang w:val="en-US" w:eastAsia="zh-CN"/>
        </w:rPr>
      </w:pPr>
      <w:bookmarkStart w:id="52" w:name="_Toc29478"/>
      <w:r>
        <w:rPr>
          <w:rFonts w:hint="default" w:ascii="Times New Roman" w:hAnsi="Times New Roman" w:eastAsia="黑体" w:cs="Times New Roman"/>
          <w:color w:val="auto"/>
          <w:szCs w:val="22"/>
          <w:lang w:val="en-US" w:eastAsia="zh-CN"/>
        </w:rPr>
        <w:t>附录</w:t>
      </w:r>
      <w:r>
        <w:rPr>
          <w:rFonts w:hint="eastAsia" w:eastAsia="黑体" w:cs="Times New Roman"/>
          <w:color w:val="auto"/>
          <w:szCs w:val="22"/>
          <w:lang w:val="en-US" w:eastAsia="zh-CN"/>
        </w:rPr>
        <w:t>A</w:t>
      </w:r>
      <w:bookmarkEnd w:id="52"/>
    </w:p>
    <w:p>
      <w:pPr>
        <w:pStyle w:val="31"/>
        <w:keepLines w:val="0"/>
        <w:pageBreakBefore w:val="0"/>
        <w:numPr>
          <w:ilvl w:val="0"/>
          <w:numId w:val="0"/>
        </w:numPr>
        <w:kinsoku/>
        <w:wordWrap/>
        <w:overflowPunct/>
        <w:topLinePunct w:val="0"/>
        <w:autoSpaceDE/>
        <w:autoSpaceDN/>
        <w:bidi w:val="0"/>
        <w:adjustRightInd/>
        <w:snapToGrid/>
        <w:spacing w:line="240" w:lineRule="auto"/>
        <w:ind w:leftChars="0"/>
        <w:jc w:val="center"/>
        <w:textAlignment w:val="auto"/>
        <w:outlineLvl w:val="0"/>
        <w:rPr>
          <w:rFonts w:hint="default" w:ascii="Times New Roman" w:hAnsi="Times New Roman" w:eastAsia="黑体" w:cs="Times New Roman"/>
          <w:color w:val="auto"/>
          <w:szCs w:val="22"/>
          <w:lang w:val="en-US" w:eastAsia="zh-CN"/>
        </w:rPr>
      </w:pPr>
      <w:bookmarkStart w:id="53" w:name="_Toc28166"/>
      <w:r>
        <w:rPr>
          <w:rFonts w:hint="default" w:ascii="Times New Roman" w:hAnsi="Times New Roman" w:eastAsia="黑体" w:cs="Times New Roman"/>
          <w:color w:val="auto"/>
          <w:szCs w:val="22"/>
          <w:lang w:val="en-US" w:eastAsia="zh-CN"/>
        </w:rPr>
        <w:t>（资料性）</w:t>
      </w:r>
      <w:bookmarkEnd w:id="51"/>
      <w:bookmarkEnd w:id="53"/>
    </w:p>
    <w:p>
      <w:pPr>
        <w:pStyle w:val="31"/>
        <w:keepLines w:val="0"/>
        <w:pageBreakBefore w:val="0"/>
        <w:numPr>
          <w:ilvl w:val="0"/>
          <w:numId w:val="0"/>
        </w:numPr>
        <w:kinsoku/>
        <w:wordWrap/>
        <w:overflowPunct/>
        <w:topLinePunct w:val="0"/>
        <w:autoSpaceDE/>
        <w:autoSpaceDN/>
        <w:bidi w:val="0"/>
        <w:adjustRightInd/>
        <w:snapToGrid/>
        <w:spacing w:line="240" w:lineRule="auto"/>
        <w:ind w:leftChars="0"/>
        <w:jc w:val="center"/>
        <w:textAlignment w:val="auto"/>
        <w:outlineLvl w:val="0"/>
        <w:rPr>
          <w:rFonts w:hint="default" w:ascii="Times New Roman" w:hAnsi="Times New Roman" w:eastAsia="黑体" w:cs="Times New Roman"/>
          <w:color w:val="auto"/>
          <w:szCs w:val="22"/>
          <w:lang w:val="en-US" w:eastAsia="zh-CN"/>
        </w:rPr>
      </w:pPr>
      <w:bookmarkStart w:id="54" w:name="_Toc14734"/>
      <w:bookmarkStart w:id="55" w:name="_Toc27034"/>
      <w:r>
        <w:rPr>
          <w:rFonts w:hint="default" w:ascii="Times New Roman" w:hAnsi="Times New Roman" w:eastAsia="黑体" w:cs="Times New Roman"/>
          <w:color w:val="auto"/>
          <w:szCs w:val="22"/>
          <w:lang w:val="en-US" w:eastAsia="zh-CN"/>
        </w:rPr>
        <w:t>移动式探伤控制区距离估算</w:t>
      </w:r>
      <w:bookmarkEnd w:id="54"/>
      <w:bookmarkEnd w:id="55"/>
    </w:p>
    <w:p>
      <w:pPr>
        <w:pStyle w:val="31"/>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Chars="0"/>
        <w:textAlignment w:val="auto"/>
        <w:outlineLvl w:val="9"/>
        <w:rPr>
          <w:rFonts w:hint="default" w:ascii="Times New Roman" w:hAnsi="Times New Roman" w:eastAsia="黑体" w:cs="Times New Roman"/>
          <w:color w:val="auto"/>
          <w:szCs w:val="22"/>
          <w:lang w:val="en-US" w:eastAsia="zh-CN"/>
        </w:rPr>
      </w:pPr>
      <w:bookmarkStart w:id="56" w:name="_Toc12752"/>
      <w:r>
        <w:rPr>
          <w:rFonts w:hint="eastAsia" w:eastAsia="黑体" w:cs="Times New Roman"/>
          <w:color w:val="auto"/>
          <w:szCs w:val="22"/>
          <w:lang w:val="en-US" w:eastAsia="zh-CN"/>
        </w:rPr>
        <w:t>A</w:t>
      </w:r>
      <w:r>
        <w:rPr>
          <w:rFonts w:hint="default" w:ascii="Times New Roman" w:hAnsi="Times New Roman" w:eastAsia="黑体" w:cs="Times New Roman"/>
          <w:color w:val="auto"/>
          <w:szCs w:val="22"/>
          <w:lang w:val="en-US" w:eastAsia="zh-CN"/>
        </w:rPr>
        <w:t>.1控制区距离标识</w:t>
      </w:r>
      <w:bookmarkEnd w:id="56"/>
    </w:p>
    <w:p>
      <w:pPr>
        <w:pStyle w:val="35"/>
        <w:keepNext w:val="0"/>
        <w:keepLines w:val="0"/>
        <w:pageBreakBefore w:val="0"/>
        <w:widowControl/>
        <w:kinsoku/>
        <w:wordWrap/>
        <w:overflowPunct/>
        <w:topLinePunct w:val="0"/>
        <w:autoSpaceDE w:val="0"/>
        <w:autoSpaceDN w:val="0"/>
        <w:bidi w:val="0"/>
        <w:adjustRightInd/>
        <w:snapToGrid/>
        <w:ind w:left="0" w:leftChars="0"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根据探伤机向各个方向辐射时的不同情况，确定三类不同的控制区距离，如图</w:t>
      </w:r>
      <w:r>
        <w:rPr>
          <w:rFonts w:hint="eastAsia" w:ascii="Times New Roman" w:cs="Times New Roman"/>
          <w:color w:val="auto"/>
          <w:lang w:val="en-US" w:eastAsia="zh-CN"/>
        </w:rPr>
        <w:t>A</w:t>
      </w:r>
      <w:r>
        <w:rPr>
          <w:rFonts w:hint="default" w:ascii="Times New Roman" w:hAnsi="Times New Roman" w:cs="Times New Roman"/>
          <w:color w:val="auto"/>
          <w:lang w:val="en-US" w:eastAsia="zh-CN"/>
        </w:rPr>
        <w:t>.1所示。</w:t>
      </w:r>
    </w:p>
    <w:p>
      <w:pPr>
        <w:pStyle w:val="35"/>
        <w:keepNext w:val="0"/>
        <w:keepLines w:val="0"/>
        <w:pageBreakBefore w:val="0"/>
        <w:widowControl/>
        <w:kinsoku/>
        <w:wordWrap/>
        <w:overflowPunct/>
        <w:topLinePunct w:val="0"/>
        <w:autoSpaceDE w:val="0"/>
        <w:autoSpaceDN w:val="0"/>
        <w:bidi w:val="0"/>
        <w:adjustRightInd/>
        <w:snapToGrid/>
        <w:ind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drawing>
          <wp:inline distT="0" distB="0" distL="114300" distR="114300">
            <wp:extent cx="4930775" cy="2949575"/>
            <wp:effectExtent l="0" t="0" r="317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930775" cy="2949575"/>
                    </a:xfrm>
                    <a:prstGeom prst="rect">
                      <a:avLst/>
                    </a:prstGeom>
                    <a:noFill/>
                    <a:ln>
                      <a:noFill/>
                    </a:ln>
                  </pic:spPr>
                </pic:pic>
              </a:graphicData>
            </a:graphic>
          </wp:inline>
        </w:drawing>
      </w:r>
    </w:p>
    <w:p>
      <w:pPr>
        <w:pStyle w:val="35"/>
        <w:keepNext w:val="0"/>
        <w:keepLines w:val="0"/>
        <w:pageBreakBefore w:val="0"/>
        <w:widowControl/>
        <w:kinsoku/>
        <w:wordWrap/>
        <w:overflowPunct/>
        <w:topLinePunct w:val="0"/>
        <w:autoSpaceDE w:val="0"/>
        <w:autoSpaceDN w:val="0"/>
        <w:bidi w:val="0"/>
        <w:adjustRightInd/>
        <w:snapToGrid/>
        <w:ind w:firstLine="0" w:firstLineChars="0"/>
        <w:jc w:val="both"/>
        <w:textAlignment w:val="auto"/>
        <w:outlineLvl w:val="9"/>
        <w:rPr>
          <w:rFonts w:hint="default" w:ascii="Times New Roman" w:hAnsi="Times New Roman" w:cs="Times New Roman"/>
          <w:color w:val="auto"/>
          <w:lang w:val="en-US" w:eastAsia="zh-CN"/>
        </w:rPr>
      </w:pP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标引序号说明：</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C1、C2、C3：控制区边界示意；</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S1、S2、S3：监督区边界示意；</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L1：辐射未经工件屏蔽时要求的控制区距离；</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L2：有用线束方向，经检测对象屏蔽后要求的控制区距离；</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L3：有用线束方向以外，经源容器或其他屏蔽物屏蔽后要求的控制区距离。</w:t>
      </w:r>
    </w:p>
    <w:p>
      <w:pPr>
        <w:pStyle w:val="35"/>
        <w:keepNext w:val="0"/>
        <w:keepLines w:val="0"/>
        <w:pageBreakBefore w:val="0"/>
        <w:widowControl/>
        <w:kinsoku/>
        <w:wordWrap/>
        <w:overflowPunct/>
        <w:topLinePunct w:val="0"/>
        <w:autoSpaceDE w:val="0"/>
        <w:autoSpaceDN w:val="0"/>
        <w:bidi w:val="0"/>
        <w:adjustRightInd/>
        <w:snapToGrid/>
        <w:ind w:firstLine="0" w:firstLineChars="0"/>
        <w:jc w:val="both"/>
        <w:textAlignment w:val="auto"/>
        <w:outlineLvl w:val="9"/>
        <w:rPr>
          <w:rFonts w:hint="default" w:ascii="Times New Roman" w:hAnsi="Times New Roman" w:cs="Times New Roman"/>
          <w:color w:val="auto"/>
          <w:lang w:val="en-US" w:eastAsia="zh-CN"/>
        </w:rPr>
      </w:pPr>
    </w:p>
    <w:p>
      <w:pPr>
        <w:pStyle w:val="35"/>
        <w:keepNext w:val="0"/>
        <w:keepLines w:val="0"/>
        <w:pageBreakBefore w:val="0"/>
        <w:widowControl/>
        <w:kinsoku/>
        <w:wordWrap/>
        <w:overflowPunct/>
        <w:topLinePunct w:val="0"/>
        <w:autoSpaceDE w:val="0"/>
        <w:autoSpaceDN w:val="0"/>
        <w:bidi w:val="0"/>
        <w:adjustRightInd/>
        <w:snapToGrid/>
        <w:ind w:firstLine="0" w:firstLineChars="0"/>
        <w:jc w:val="center"/>
        <w:textAlignment w:val="auto"/>
        <w:outlineLvl w:val="9"/>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图</w:t>
      </w:r>
      <w:r>
        <w:rPr>
          <w:rFonts w:hint="eastAsia" w:ascii="Times New Roman" w:cs="Times New Roman"/>
          <w:b/>
          <w:bCs/>
          <w:color w:val="auto"/>
          <w:lang w:val="en-US" w:eastAsia="zh-CN"/>
        </w:rPr>
        <w:t>A</w:t>
      </w:r>
      <w:r>
        <w:rPr>
          <w:rFonts w:hint="default" w:ascii="Times New Roman" w:hAnsi="Times New Roman" w:cs="Times New Roman"/>
          <w:b/>
          <w:bCs/>
          <w:color w:val="auto"/>
          <w:lang w:val="en-US" w:eastAsia="zh-CN"/>
        </w:rPr>
        <w:t>.1  移动式探伤控制区距离示意图（无比例）</w:t>
      </w:r>
    </w:p>
    <w:p>
      <w:pPr>
        <w:pStyle w:val="31"/>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Chars="0"/>
        <w:textAlignment w:val="auto"/>
        <w:outlineLvl w:val="9"/>
        <w:rPr>
          <w:rFonts w:hint="default" w:ascii="Times New Roman" w:hAnsi="Times New Roman" w:eastAsia="黑体" w:cs="Times New Roman"/>
          <w:color w:val="auto"/>
          <w:szCs w:val="22"/>
          <w:lang w:val="en-US" w:eastAsia="zh-CN"/>
        </w:rPr>
      </w:pPr>
      <w:bookmarkStart w:id="57" w:name="_Toc9000"/>
      <w:r>
        <w:rPr>
          <w:rFonts w:hint="eastAsia" w:eastAsia="黑体" w:cs="Times New Roman"/>
          <w:color w:val="auto"/>
          <w:szCs w:val="22"/>
          <w:lang w:val="en-US" w:eastAsia="zh-CN"/>
        </w:rPr>
        <w:t>A</w:t>
      </w:r>
      <w:r>
        <w:rPr>
          <w:rFonts w:hint="default" w:ascii="Times New Roman" w:hAnsi="Times New Roman" w:eastAsia="黑体" w:cs="Times New Roman"/>
          <w:color w:val="auto"/>
          <w:szCs w:val="22"/>
          <w:lang w:val="en-US" w:eastAsia="zh-CN"/>
        </w:rPr>
        <w:t>.2 γ射线移动式探伤控制区距离的确定</w:t>
      </w:r>
      <w:bookmarkEnd w:id="57"/>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对于移动式探伤，控制区边界的周围剂量当量率为15</w:t>
      </w:r>
      <w:r>
        <w:rPr>
          <w:rFonts w:hint="eastAsia" w:ascii="Times New Roman" w:cs="Times New Roman"/>
          <w:color w:val="auto"/>
          <w:lang w:val="en-US" w:eastAsia="zh-CN"/>
        </w:rPr>
        <w:t xml:space="preserve"> </w:t>
      </w:r>
      <w:r>
        <w:rPr>
          <w:rFonts w:hint="default" w:ascii="Times New Roman" w:hAnsi="Times New Roman" w:cs="Times New Roman"/>
          <w:color w:val="auto"/>
          <w:lang w:val="en-US" w:eastAsia="zh-CN"/>
        </w:rPr>
        <w:t>μSv/h，可由公式（</w:t>
      </w:r>
      <w:r>
        <w:rPr>
          <w:rFonts w:hint="eastAsia" w:ascii="Times New Roman" w:cs="Times New Roman"/>
          <w:color w:val="auto"/>
          <w:lang w:val="en-US" w:eastAsia="zh-CN"/>
        </w:rPr>
        <w:t>A</w:t>
      </w:r>
      <w:r>
        <w:rPr>
          <w:rFonts w:hint="default" w:ascii="Times New Roman" w:hAnsi="Times New Roman" w:cs="Times New Roman"/>
          <w:color w:val="auto"/>
          <w:lang w:val="en-US" w:eastAsia="zh-CN"/>
        </w:rPr>
        <w:t>.1）计算确定γ射线移动式探伤的控制区距离。</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right"/>
        <w:textAlignment w:val="auto"/>
        <w:outlineLvl w:val="9"/>
        <w:rPr>
          <w:rFonts w:hint="default" w:ascii="Times New Roman" w:hAnsi="Times New Roman" w:cs="Times New Roman"/>
          <w:i w:val="0"/>
          <w:color w:val="auto"/>
          <w:lang w:val="en-US" w:eastAsia="zh-CN"/>
        </w:rPr>
      </w:pPr>
      <w:r>
        <w:rPr>
          <w:rFonts w:hint="default" w:ascii="Cambria Math" w:hAnsi="Cambria Math" w:cs="Times New Roman"/>
          <w:i/>
          <w:color w:val="auto"/>
          <w:position w:val="-26"/>
          <w:lang w:val="en-US"/>
        </w:rPr>
        <w:object>
          <v:shape id="_x0000_i1025" o:spt="75" type="#_x0000_t75" style="height:35pt;width:64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default" w:ascii="Times New Roman" w:hAnsi="Times New Roman" w:cs="Times New Roman"/>
          <w:i w:val="0"/>
          <w:color w:val="auto"/>
          <w:lang w:val="en-US" w:eastAsia="zh-CN"/>
        </w:rPr>
        <w:t xml:space="preserve">      </w:t>
      </w:r>
      <w:r>
        <w:rPr>
          <w:rFonts w:ascii="宋体" w:hAnsi="宋体" w:eastAsia="宋体" w:cs="宋体"/>
          <w:sz w:val="24"/>
          <w:szCs w:val="24"/>
        </w:rPr>
        <w:t>......................</w:t>
      </w:r>
      <w:r>
        <w:rPr>
          <w:rFonts w:hint="default" w:ascii="Times New Roman" w:hAnsi="Times New Roman" w:cs="Times New Roman"/>
          <w:color w:val="auto"/>
          <w:lang w:val="en-US" w:eastAsia="zh-CN"/>
        </w:rPr>
        <w:t>（</w:t>
      </w:r>
      <w:r>
        <w:rPr>
          <w:rFonts w:hint="eastAsia" w:ascii="Times New Roman" w:cs="Times New Roman"/>
          <w:color w:val="auto"/>
          <w:lang w:val="en-US" w:eastAsia="zh-CN"/>
        </w:rPr>
        <w:t>A</w:t>
      </w:r>
      <w:r>
        <w:rPr>
          <w:rFonts w:hint="default" w:ascii="Times New Roman" w:hAnsi="Times New Roman" w:cs="Times New Roman"/>
          <w:color w:val="auto"/>
          <w:lang w:val="en-US" w:eastAsia="zh-CN"/>
        </w:rPr>
        <w:t>.1）</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式中：</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1</w:t>
      </w:r>
      <w:r>
        <w:rPr>
          <w:rFonts w:hint="default" w:ascii="Times New Roman" w:hAnsi="Times New Roman" w:eastAsia="宋体" w:cs="Times New Roman"/>
          <w:color w:val="auto"/>
          <w:kern w:val="0"/>
          <w:sz w:val="21"/>
          <w:szCs w:val="21"/>
          <w:lang w:val="en-US" w:eastAsia="zh-CN" w:bidi="ar"/>
        </w:rPr>
        <w:t>——无工件衰减时需要的控制区距离值，单位为米（m）；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A</w:t>
      </w:r>
      <w:r>
        <w:rPr>
          <w:rFonts w:hint="default" w:ascii="Times New Roman" w:hAnsi="Times New Roman" w:eastAsia="宋体" w:cs="Times New Roman"/>
          <w:color w:val="auto"/>
          <w:kern w:val="0"/>
          <w:sz w:val="21"/>
          <w:szCs w:val="21"/>
          <w:lang w:val="en-US" w:eastAsia="zh-CN" w:bidi="ar"/>
        </w:rPr>
        <w:t>——放射源的活度，单位为兆贝可（MBq）；</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Γ</w:t>
      </w:r>
      <w:r>
        <w:rPr>
          <w:rFonts w:hint="default" w:ascii="Times New Roman" w:hAnsi="Times New Roman" w:eastAsia="宋体" w:cs="Times New Roman"/>
          <w:color w:val="auto"/>
          <w:kern w:val="0"/>
          <w:sz w:val="21"/>
          <w:szCs w:val="21"/>
          <w:lang w:val="en-US" w:eastAsia="zh-CN" w:bidi="ar"/>
        </w:rPr>
        <w:t>——周围剂量当量率常数，单位为微希沃特平方米每兆贝可每小时[μSv·m</w:t>
      </w:r>
      <w:r>
        <w:rPr>
          <w:rFonts w:hint="default" w:ascii="Times New Roman" w:hAnsi="Times New Roman" w:eastAsia="宋体" w:cs="Times New Roman"/>
          <w:color w:val="auto"/>
          <w:kern w:val="0"/>
          <w:sz w:val="21"/>
          <w:szCs w:val="21"/>
          <w:vertAlign w:val="superscript"/>
          <w:lang w:val="en-US" w:eastAsia="zh-CN" w:bidi="ar"/>
        </w:rPr>
        <w:t>2</w:t>
      </w:r>
      <w:r>
        <w:rPr>
          <w:rFonts w:hint="eastAsia" w:cs="Times New Roman"/>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MBq·h</w:t>
      </w:r>
      <w:r>
        <w:rPr>
          <w:rFonts w:hint="eastAsia" w:cs="Times New Roman"/>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]，见表A.1；</w:t>
      </w:r>
    </w:p>
    <w:p>
      <w:pPr>
        <w:pStyle w:val="35"/>
        <w:keepNext w:val="0"/>
        <w:keepLines w:val="0"/>
        <w:pageBreakBefore w:val="0"/>
        <w:widowControl/>
        <w:kinsoku/>
        <w:wordWrap/>
        <w:overflowPunct/>
        <w:topLinePunct w:val="0"/>
        <w:autoSpaceDE w:val="0"/>
        <w:autoSpaceDN w:val="0"/>
        <w:bidi w:val="0"/>
        <w:adjustRightInd/>
        <w:snapToGrid/>
        <w:spacing w:before="313" w:beforeLines="100" w:line="240" w:lineRule="auto"/>
        <w:ind w:firstLine="0" w:firstLineChars="0"/>
        <w:jc w:val="center"/>
        <w:textAlignment w:val="auto"/>
        <w:outlineLvl w:val="9"/>
        <w:rPr>
          <w:rFonts w:hint="default" w:ascii="Times New Roman" w:hAnsi="Times New Roman" w:eastAsia="黑体" w:cs="Times New Roman"/>
          <w:b w:val="0"/>
          <w:bCs w:val="0"/>
          <w:i w:val="0"/>
          <w:color w:val="auto"/>
          <w:szCs w:val="22"/>
          <w:lang w:val="en-US" w:eastAsia="zh-CN"/>
        </w:rPr>
      </w:pPr>
      <w:r>
        <w:rPr>
          <w:rFonts w:hint="default" w:ascii="Times New Roman" w:hAnsi="Times New Roman" w:eastAsia="黑体" w:cs="Times New Roman"/>
          <w:b w:val="0"/>
          <w:bCs w:val="0"/>
          <w:i w:val="0"/>
          <w:color w:val="auto"/>
          <w:szCs w:val="22"/>
          <w:lang w:val="en-US" w:eastAsia="zh-CN"/>
        </w:rPr>
        <w:t>表</w:t>
      </w:r>
      <w:r>
        <w:rPr>
          <w:rFonts w:hint="eastAsia" w:ascii="Times New Roman" w:eastAsia="黑体" w:cs="Times New Roman"/>
          <w:b w:val="0"/>
          <w:bCs w:val="0"/>
          <w:i w:val="0"/>
          <w:color w:val="auto"/>
          <w:szCs w:val="22"/>
          <w:lang w:val="en-US" w:eastAsia="zh-CN"/>
        </w:rPr>
        <w:t>A</w:t>
      </w:r>
      <w:r>
        <w:rPr>
          <w:rFonts w:hint="default" w:ascii="Times New Roman" w:hAnsi="Times New Roman" w:eastAsia="黑体" w:cs="Times New Roman"/>
          <w:b w:val="0"/>
          <w:bCs w:val="0"/>
          <w:i w:val="0"/>
          <w:color w:val="auto"/>
          <w:szCs w:val="22"/>
          <w:lang w:val="en-US" w:eastAsia="zh-CN"/>
        </w:rPr>
        <w:t>.1  射线探伤中最常用的放射性核素及其特性</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1539"/>
        <w:gridCol w:w="2629"/>
        <w:gridCol w:w="1062"/>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trPr>
        <w:tc>
          <w:tcPr>
            <w:tcW w:w="1308"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放射性核素</w:t>
            </w:r>
          </w:p>
        </w:tc>
        <w:tc>
          <w:tcPr>
            <w:tcW w:w="153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能量</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keV</w:t>
            </w:r>
          </w:p>
        </w:tc>
        <w:tc>
          <w:tcPr>
            <w:tcW w:w="262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周围剂量当量率常数（</w:t>
            </w:r>
            <w:r>
              <w:rPr>
                <w:rFonts w:hint="default" w:ascii="Times New Roman" w:hAnsi="Times New Roman" w:eastAsia="宋体" w:cs="Times New Roman"/>
                <w:i w:val="0"/>
                <w:color w:val="auto"/>
                <w:vertAlign w:val="baseline"/>
                <w:lang w:val="en-US" w:eastAsia="zh-CN"/>
              </w:rPr>
              <w:t>Γ</w:t>
            </w:r>
            <w:r>
              <w:rPr>
                <w:rFonts w:hint="default" w:ascii="Times New Roman" w:hAnsi="Times New Roman" w:cs="Times New Roman"/>
                <w:i w:val="0"/>
                <w:color w:val="auto"/>
                <w:vertAlign w:val="baseline"/>
                <w:lang w:val="en-US" w:eastAsia="zh-CN"/>
              </w:rPr>
              <w:t>）</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μSv·m</w:t>
            </w:r>
            <w:r>
              <w:rPr>
                <w:rFonts w:hint="default" w:ascii="Times New Roman" w:hAnsi="Times New Roman" w:cs="Times New Roman"/>
                <w:i w:val="0"/>
                <w:color w:val="auto"/>
                <w:vertAlign w:val="superscript"/>
                <w:lang w:val="en-US" w:eastAsia="zh-CN"/>
              </w:rPr>
              <w:t>2</w:t>
            </w:r>
            <w:r>
              <w:rPr>
                <w:rFonts w:hint="default" w:ascii="Times New Roman" w:hAnsi="Times New Roman" w:cs="Times New Roman"/>
                <w:i w:val="0"/>
                <w:color w:val="auto"/>
                <w:vertAlign w:val="baseline"/>
                <w:lang w:val="en-US" w:eastAsia="zh-CN"/>
              </w:rPr>
              <w:t>/(MBq·h)</w:t>
            </w:r>
          </w:p>
        </w:tc>
        <w:tc>
          <w:tcPr>
            <w:tcW w:w="1062"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半衰期</w:t>
            </w:r>
          </w:p>
        </w:tc>
        <w:tc>
          <w:tcPr>
            <w:tcW w:w="198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常用探伤钢件厚度（mm）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60</w:t>
            </w:r>
            <w:r>
              <w:rPr>
                <w:rFonts w:hint="default" w:ascii="Times New Roman" w:hAnsi="Times New Roman" w:cs="Times New Roman"/>
                <w:i w:val="0"/>
                <w:color w:val="auto"/>
                <w:vertAlign w:val="baseline"/>
                <w:lang w:val="en-US" w:eastAsia="zh-CN"/>
              </w:rPr>
              <w:t>C</w:t>
            </w:r>
            <w:r>
              <w:rPr>
                <w:rFonts w:hint="eastAsia" w:ascii="Times New Roman" w:cs="Times New Roman"/>
                <w:i w:val="0"/>
                <w:color w:val="auto"/>
                <w:vertAlign w:val="baseline"/>
                <w:lang w:val="en-US" w:eastAsia="zh-CN"/>
              </w:rPr>
              <w:t>o</w:t>
            </w:r>
          </w:p>
        </w:tc>
        <w:tc>
          <w:tcPr>
            <w:tcW w:w="153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1170和1330</w:t>
            </w:r>
          </w:p>
        </w:tc>
        <w:tc>
          <w:tcPr>
            <w:tcW w:w="262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sz w:val="21"/>
                <w:vertAlign w:val="baseline"/>
                <w:lang w:val="en-US" w:eastAsia="zh-CN" w:bidi="ar-SA"/>
              </w:rPr>
            </w:pPr>
            <w:r>
              <w:rPr>
                <w:rFonts w:hint="default" w:ascii="Times New Roman" w:hAnsi="Times New Roman" w:cs="Times New Roman"/>
                <w:i w:val="0"/>
                <w:color w:val="auto"/>
                <w:vertAlign w:val="baseline"/>
                <w:lang w:val="en-US" w:eastAsia="zh-CN"/>
              </w:rPr>
              <w:t>0.35</w:t>
            </w:r>
            <w:r>
              <w:rPr>
                <w:rFonts w:hint="default" w:ascii="Times New Roman" w:hAnsi="Times New Roman" w:cs="Times New Roman"/>
                <w:i w:val="0"/>
                <w:color w:val="auto"/>
                <w:vertAlign w:val="superscript"/>
                <w:lang w:val="en-US" w:eastAsia="zh-CN"/>
              </w:rPr>
              <w:t>a</w:t>
            </w:r>
          </w:p>
        </w:tc>
        <w:tc>
          <w:tcPr>
            <w:tcW w:w="1062"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5.3a</w:t>
            </w:r>
          </w:p>
        </w:tc>
        <w:tc>
          <w:tcPr>
            <w:tcW w:w="198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50~120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192</w:t>
            </w:r>
            <w:r>
              <w:rPr>
                <w:rFonts w:hint="default" w:ascii="Times New Roman" w:hAnsi="Times New Roman" w:cs="Times New Roman"/>
                <w:i w:val="0"/>
                <w:color w:val="auto"/>
                <w:vertAlign w:val="baseline"/>
                <w:lang w:val="en-US" w:eastAsia="zh-CN"/>
              </w:rPr>
              <w:t>Ir</w:t>
            </w:r>
          </w:p>
        </w:tc>
        <w:tc>
          <w:tcPr>
            <w:tcW w:w="153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206~612</w:t>
            </w:r>
          </w:p>
        </w:tc>
        <w:tc>
          <w:tcPr>
            <w:tcW w:w="262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sz w:val="21"/>
                <w:vertAlign w:val="baseline"/>
                <w:lang w:val="en-US" w:eastAsia="zh-CN" w:bidi="ar-SA"/>
              </w:rPr>
            </w:pPr>
            <w:r>
              <w:rPr>
                <w:rFonts w:hint="default" w:ascii="Times New Roman" w:hAnsi="Times New Roman" w:cs="Times New Roman"/>
                <w:i w:val="0"/>
                <w:color w:val="auto"/>
                <w:vertAlign w:val="baseline"/>
                <w:lang w:val="en-US" w:eastAsia="zh-CN"/>
              </w:rPr>
              <w:t>0.17</w:t>
            </w:r>
          </w:p>
        </w:tc>
        <w:tc>
          <w:tcPr>
            <w:tcW w:w="1062"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74d</w:t>
            </w:r>
          </w:p>
        </w:tc>
        <w:tc>
          <w:tcPr>
            <w:tcW w:w="198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12~70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75</w:t>
            </w:r>
            <w:r>
              <w:rPr>
                <w:rFonts w:hint="default" w:ascii="Times New Roman" w:hAnsi="Times New Roman" w:cs="Times New Roman"/>
                <w:i w:val="0"/>
                <w:color w:val="auto"/>
                <w:vertAlign w:val="baseline"/>
                <w:lang w:val="en-US" w:eastAsia="zh-CN"/>
              </w:rPr>
              <w:t>Se</w:t>
            </w:r>
          </w:p>
        </w:tc>
        <w:tc>
          <w:tcPr>
            <w:tcW w:w="153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97~401</w:t>
            </w:r>
          </w:p>
        </w:tc>
        <w:tc>
          <w:tcPr>
            <w:tcW w:w="262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sz w:val="21"/>
                <w:vertAlign w:val="baseline"/>
                <w:lang w:val="en-US" w:eastAsia="zh-CN" w:bidi="ar-SA"/>
              </w:rPr>
            </w:pPr>
            <w:r>
              <w:rPr>
                <w:rFonts w:hint="default" w:ascii="Times New Roman" w:hAnsi="Times New Roman" w:cs="Times New Roman"/>
                <w:i w:val="0"/>
                <w:color w:val="auto"/>
                <w:vertAlign w:val="baseline"/>
                <w:lang w:val="en-US" w:eastAsia="zh-CN"/>
              </w:rPr>
              <w:t>0.072</w:t>
            </w:r>
          </w:p>
        </w:tc>
        <w:tc>
          <w:tcPr>
            <w:tcW w:w="1062"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120d</w:t>
            </w:r>
          </w:p>
        </w:tc>
        <w:tc>
          <w:tcPr>
            <w:tcW w:w="198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169</w:t>
            </w:r>
            <w:r>
              <w:rPr>
                <w:rFonts w:hint="default" w:ascii="Times New Roman" w:hAnsi="Times New Roman" w:cs="Times New Roman"/>
                <w:i w:val="0"/>
                <w:color w:val="auto"/>
                <w:vertAlign w:val="baseline"/>
                <w:lang w:val="en-US" w:eastAsia="zh-CN"/>
              </w:rPr>
              <w:t>Yb</w:t>
            </w:r>
          </w:p>
        </w:tc>
        <w:tc>
          <w:tcPr>
            <w:tcW w:w="153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63~308</w:t>
            </w:r>
          </w:p>
        </w:tc>
        <w:tc>
          <w:tcPr>
            <w:tcW w:w="262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sz w:val="21"/>
                <w:vertAlign w:val="baseline"/>
                <w:lang w:val="en-US" w:eastAsia="zh-CN" w:bidi="ar-SA"/>
              </w:rPr>
            </w:pPr>
            <w:r>
              <w:rPr>
                <w:rFonts w:hint="default" w:ascii="Times New Roman" w:hAnsi="Times New Roman" w:cs="Times New Roman"/>
                <w:i w:val="0"/>
                <w:color w:val="auto"/>
                <w:vertAlign w:val="baseline"/>
                <w:lang w:val="en-US" w:eastAsia="zh-CN"/>
              </w:rPr>
              <w:t>0.064</w:t>
            </w:r>
          </w:p>
        </w:tc>
        <w:tc>
          <w:tcPr>
            <w:tcW w:w="1062"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32d</w:t>
            </w:r>
          </w:p>
        </w:tc>
        <w:tc>
          <w:tcPr>
            <w:tcW w:w="198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170</w:t>
            </w:r>
            <w:r>
              <w:rPr>
                <w:rFonts w:hint="default" w:ascii="Times New Roman" w:hAnsi="Times New Roman" w:cs="Times New Roman"/>
                <w:i w:val="0"/>
                <w:color w:val="auto"/>
                <w:vertAlign w:val="baseline"/>
                <w:lang w:val="en-US" w:eastAsia="zh-CN"/>
              </w:rPr>
              <w:t>Tm</w:t>
            </w:r>
          </w:p>
        </w:tc>
        <w:tc>
          <w:tcPr>
            <w:tcW w:w="153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51~84</w:t>
            </w:r>
          </w:p>
        </w:tc>
        <w:tc>
          <w:tcPr>
            <w:tcW w:w="2629"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sz w:val="21"/>
                <w:vertAlign w:val="baseline"/>
                <w:lang w:val="en-US" w:eastAsia="zh-CN" w:bidi="ar-SA"/>
              </w:rPr>
            </w:pPr>
            <w:r>
              <w:rPr>
                <w:rFonts w:hint="default" w:ascii="Times New Roman" w:hAnsi="Times New Roman" w:cs="Times New Roman"/>
                <w:i w:val="0"/>
                <w:color w:val="auto"/>
                <w:vertAlign w:val="baseline"/>
                <w:lang w:val="en-US" w:eastAsia="zh-CN"/>
              </w:rPr>
              <w:t>0.007</w:t>
            </w:r>
          </w:p>
        </w:tc>
        <w:tc>
          <w:tcPr>
            <w:tcW w:w="1062"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128d</w:t>
            </w:r>
          </w:p>
        </w:tc>
        <w:tc>
          <w:tcPr>
            <w:tcW w:w="198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2.5~12.5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5"/>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jc w:val="both"/>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a</w:t>
            </w:r>
            <w:r>
              <w:rPr>
                <w:rFonts w:hint="default" w:ascii="Times New Roman" w:hAnsi="Times New Roman" w:cs="Times New Roman"/>
                <w:i w:val="0"/>
                <w:color w:val="auto"/>
                <w:vertAlign w:val="baseline"/>
                <w:lang w:val="en-US" w:eastAsia="zh-CN"/>
              </w:rPr>
              <w:t>除该数据来源于DIN2006外，其余数据来源于IAEASSG-11,2011。</w:t>
            </w:r>
          </w:p>
        </w:tc>
      </w:tr>
    </w:tbl>
    <w:p>
      <w:pPr>
        <w:keepNext w:val="0"/>
        <w:keepLines w:val="0"/>
        <w:pageBreakBefore w:val="0"/>
        <w:widowControl/>
        <w:suppressLineNumbers w:val="0"/>
        <w:kinsoku/>
        <w:wordWrap/>
        <w:overflowPunct/>
        <w:topLinePunct w:val="0"/>
        <w:autoSpaceDE/>
        <w:autoSpaceDN/>
        <w:bidi w:val="0"/>
        <w:adjustRightInd w:val="0"/>
        <w:snapToGrid/>
        <w:spacing w:line="240" w:lineRule="auto"/>
        <w:ind w:firstLine="420" w:firstLineChars="200"/>
        <w:jc w:val="left"/>
        <w:textAlignment w:val="auto"/>
        <w:outlineLvl w:val="9"/>
        <w:rPr>
          <w:rFonts w:hint="default" w:ascii="Times New Roman" w:hAnsi="Times New Roman" w:cs="Times New Roman"/>
          <w:i w:val="0"/>
          <w:color w:val="auto"/>
          <w:lang w:val="en-US" w:eastAsia="zh-CN"/>
        </w:rPr>
      </w:pPr>
    </w:p>
    <w:p>
      <w:pPr>
        <w:keepNext w:val="0"/>
        <w:keepLines w:val="0"/>
        <w:pageBreakBefore w:val="0"/>
        <w:widowControl/>
        <w:suppressLineNumbers w:val="0"/>
        <w:kinsoku/>
        <w:wordWrap/>
        <w:overflowPunct/>
        <w:topLinePunct w:val="0"/>
        <w:autoSpaceDE/>
        <w:autoSpaceDN/>
        <w:bidi w:val="0"/>
        <w:adjustRightInd w:val="0"/>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cs="Times New Roman"/>
          <w:i/>
          <w:iCs/>
          <w:color w:val="auto"/>
          <w:lang w:val="en-US" w:eastAsia="zh-CN"/>
        </w:rPr>
        <w:t>L</w:t>
      </w:r>
      <w:r>
        <w:rPr>
          <w:rFonts w:hint="default" w:ascii="Times New Roman" w:hAnsi="Times New Roman" w:cs="Times New Roman"/>
          <w:i/>
          <w:iCs/>
          <w:color w:val="auto"/>
          <w:vertAlign w:val="subscript"/>
          <w:lang w:val="en-US" w:eastAsia="zh-CN"/>
        </w:rPr>
        <w:t>2</w:t>
      </w:r>
      <w:r>
        <w:rPr>
          <w:rFonts w:hint="default" w:ascii="Times New Roman" w:hAnsi="Times New Roman" w:cs="Times New Roman"/>
          <w:i w:val="0"/>
          <w:color w:val="auto"/>
          <w:lang w:val="en-US" w:eastAsia="zh-CN"/>
        </w:rPr>
        <w:t>和</w:t>
      </w:r>
      <w:r>
        <w:rPr>
          <w:rFonts w:hint="default" w:ascii="Times New Roman" w:hAnsi="Times New Roman" w:cs="Times New Roman"/>
          <w:i/>
          <w:iCs/>
          <w:color w:val="auto"/>
          <w:lang w:val="en-US" w:eastAsia="zh-CN"/>
        </w:rPr>
        <w:t>L</w:t>
      </w:r>
      <w:r>
        <w:rPr>
          <w:rFonts w:hint="default" w:ascii="Times New Roman" w:hAnsi="Times New Roman" w:cs="Times New Roman"/>
          <w:i/>
          <w:iCs/>
          <w:color w:val="auto"/>
          <w:vertAlign w:val="subscript"/>
          <w:lang w:val="en-US" w:eastAsia="zh-CN"/>
        </w:rPr>
        <w:t>3</w:t>
      </w:r>
      <w:r>
        <w:rPr>
          <w:rFonts w:hint="default" w:ascii="Times New Roman" w:hAnsi="Times New Roman" w:cs="Times New Roman"/>
          <w:i w:val="0"/>
          <w:color w:val="auto"/>
          <w:lang w:val="en-US" w:eastAsia="zh-CN"/>
        </w:rPr>
        <w:t>分别由</w:t>
      </w:r>
      <w:r>
        <w:rPr>
          <w:rFonts w:hint="default" w:ascii="Times New Roman" w:hAnsi="Times New Roman" w:cs="Times New Roman"/>
          <w:i/>
          <w:iCs/>
          <w:color w:val="auto"/>
          <w:lang w:val="en-US" w:eastAsia="zh-CN"/>
        </w:rPr>
        <w:t>L</w:t>
      </w:r>
      <w:r>
        <w:rPr>
          <w:rFonts w:hint="default" w:ascii="Times New Roman" w:hAnsi="Times New Roman" w:cs="Times New Roman"/>
          <w:i/>
          <w:iCs/>
          <w:color w:val="auto"/>
          <w:vertAlign w:val="subscript"/>
          <w:lang w:val="en-US" w:eastAsia="zh-CN"/>
        </w:rPr>
        <w:t>1</w:t>
      </w:r>
      <w:r>
        <w:rPr>
          <w:rFonts w:hint="default" w:ascii="Times New Roman" w:hAnsi="Times New Roman" w:cs="Times New Roman"/>
          <w:i w:val="0"/>
          <w:color w:val="auto"/>
          <w:lang w:val="en-US" w:eastAsia="zh-CN"/>
        </w:rPr>
        <w:t>乘以检测工件和放射源屏蔽物（照射容器壁）</w:t>
      </w:r>
      <w:r>
        <w:rPr>
          <w:rFonts w:hint="default" w:ascii="Times New Roman" w:hAnsi="Times New Roman" w:eastAsia="宋体" w:cs="Times New Roman"/>
          <w:color w:val="auto"/>
          <w:kern w:val="0"/>
          <w:sz w:val="21"/>
          <w:szCs w:val="21"/>
          <w:lang w:val="en-US" w:eastAsia="zh-CN" w:bidi="ar"/>
        </w:rPr>
        <w:t>屏蔽衰减因子获得。有用线束方向，经检测对象屏蔽后要求的控制区距离的计算见公式（</w:t>
      </w:r>
      <w:r>
        <w:rPr>
          <w:rFonts w:hint="eastAsia" w:cs="Times New Roman"/>
          <w:color w:val="auto"/>
          <w:kern w:val="0"/>
          <w:sz w:val="21"/>
          <w:szCs w:val="21"/>
          <w:lang w:val="en-US" w:eastAsia="zh-CN" w:bidi="ar"/>
        </w:rPr>
        <w:t>A</w:t>
      </w:r>
      <w:r>
        <w:rPr>
          <w:rFonts w:hint="default" w:ascii="Times New Roman" w:hAnsi="Times New Roman" w:eastAsia="宋体" w:cs="Times New Roman"/>
          <w:color w:val="auto"/>
          <w:kern w:val="0"/>
          <w:sz w:val="21"/>
          <w:szCs w:val="21"/>
          <w:lang w:val="en-US" w:eastAsia="zh-CN" w:bidi="ar"/>
        </w:rPr>
        <w:t>.2）：</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right"/>
        <w:textAlignment w:val="auto"/>
        <w:outlineLvl w:val="9"/>
        <w:rPr>
          <w:rFonts w:hint="default" w:ascii="Times New Roman" w:hAnsi="Times New Roman" w:cs="Times New Roman"/>
          <w:i w:val="0"/>
          <w:color w:val="auto"/>
          <w:lang w:val="en-US" w:eastAsia="zh-CN"/>
        </w:rPr>
      </w:pPr>
      <m:oMath>
        <m:sSub>
          <m:sSubPr>
            <m:ctrlPr>
              <w:rPr>
                <w:rFonts w:hint="default" w:ascii="Cambria Math" w:hAnsi="Cambria Math" w:cs="Times New Roman"/>
                <w:i/>
                <w:color w:val="auto"/>
                <w:kern w:val="0"/>
                <w:sz w:val="21"/>
                <w:szCs w:val="21"/>
                <w:lang w:val="en-US"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bidi="ar"/>
              </w:rPr>
            </m:ctrlPr>
          </m:e>
          <m:sub>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bidi="ar"/>
              </w:rPr>
            </m:ctrlPr>
          </m:sub>
        </m:sSub>
        <m:r>
          <w:rPr>
            <w:rFonts w:hint="default" w:ascii="Cambria Math" w:hAnsi="Cambria Math" w:cs="Times New Roman"/>
            <w:color w:val="auto"/>
            <w:kern w:val="0"/>
            <w:sz w:val="21"/>
            <w:szCs w:val="21"/>
            <w:lang w:val="en-US" w:eastAsia="zh-CN" w:bidi="ar"/>
          </w:rPr>
          <m:t>=</m:t>
        </m:r>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1</m:t>
            </m:r>
            <m:ctrlPr>
              <w:rPr>
                <w:rFonts w:hint="default" w:ascii="Cambria Math" w:hAnsi="Cambria Math" w:cs="Times New Roman"/>
                <w:i/>
                <w:color w:val="auto"/>
                <w:kern w:val="0"/>
                <w:sz w:val="21"/>
                <w:szCs w:val="21"/>
                <w:lang w:val="en-US" w:eastAsia="zh-CN" w:bidi="ar"/>
              </w:rPr>
            </m:ctrlPr>
          </m:sub>
        </m:sSub>
        <m:r>
          <w:rPr>
            <w:rFonts w:hint="default" w:ascii="Cambria Math" w:hAnsi="Cambria Math" w:cs="Times New Roman"/>
            <w:color w:val="auto"/>
            <w:kern w:val="0"/>
            <w:sz w:val="21"/>
            <w:szCs w:val="21"/>
            <w:lang w:val="en-US" w:eastAsia="zh-CN" w:bidi="ar"/>
          </w:rPr>
          <m:t>×</m:t>
        </m:r>
        <m:rad>
          <m:radPr>
            <m:degHide m:val="1"/>
            <m:ctrlPr>
              <w:rPr>
                <w:rFonts w:hint="default" w:ascii="Cambria Math" w:hAnsi="Cambria Math" w:cs="Times New Roman"/>
                <w:i/>
                <w:color w:val="auto"/>
                <w:kern w:val="0"/>
                <w:sz w:val="21"/>
                <w:szCs w:val="21"/>
                <w:lang w:val="en-US" w:eastAsia="zh-CN" w:bidi="ar"/>
              </w:rPr>
            </m:ctrlPr>
          </m:radPr>
          <m:deg>
            <m:ctrlPr>
              <w:rPr>
                <w:rFonts w:hint="default" w:ascii="Cambria Math" w:hAnsi="Cambria Math" w:cs="Times New Roman"/>
                <w:i/>
                <w:color w:val="auto"/>
                <w:kern w:val="0"/>
                <w:sz w:val="21"/>
                <w:szCs w:val="21"/>
                <w:lang w:val="en-US" w:eastAsia="zh-CN" w:bidi="ar"/>
              </w:rPr>
            </m:ctrlPr>
          </m:deg>
          <m:e>
            <m:sSup>
              <m:sSupPr>
                <m:ctrlPr>
                  <w:rPr>
                    <w:rFonts w:hint="default" w:ascii="Cambria Math" w:hAnsi="Cambria Math" w:cs="Times New Roman"/>
                    <w:i/>
                    <w:color w:val="auto"/>
                    <w:kern w:val="0"/>
                    <w:sz w:val="21"/>
                    <w:szCs w:val="21"/>
                    <w:lang w:val="en-US" w:eastAsia="zh-CN" w:bidi="ar"/>
                  </w:rPr>
                </m:ctrlPr>
              </m:sSupPr>
              <m:e>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e>
              <m:sup>
                <m:r>
                  <w:rPr>
                    <w:rFonts w:hint="default" w:ascii="Cambria Math" w:hAnsi="Cambria Math" w:cs="Times New Roman"/>
                    <w:color w:val="auto"/>
                    <w:kern w:val="0"/>
                    <w:sz w:val="21"/>
                    <w:szCs w:val="21"/>
                    <w:lang w:val="en-US" w:eastAsia="zh-CN" w:bidi="ar"/>
                  </w:rPr>
                  <m:t>−</m:t>
                </m:r>
                <m:f>
                  <m:fPr>
                    <m:ctrlPr>
                      <w:rPr>
                        <w:rFonts w:hint="default" w:ascii="Cambria Math" w:hAnsi="Cambria Math" w:cs="Times New Roman"/>
                        <w:i/>
                        <w:color w:val="auto"/>
                        <w:kern w:val="0"/>
                        <w:sz w:val="21"/>
                        <w:szCs w:val="21"/>
                        <w:lang w:val="en-US" w:eastAsia="zh-CN" w:bidi="ar"/>
                      </w:rPr>
                    </m:ctrlPr>
                  </m:fPr>
                  <m:num>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t</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1</m:t>
                        </m:r>
                        <m:ctrlPr>
                          <w:rPr>
                            <w:rFonts w:hint="default" w:ascii="Cambria Math" w:hAnsi="Cambria Math" w:cs="Times New Roman"/>
                            <w:i/>
                            <w:color w:val="auto"/>
                            <w:kern w:val="0"/>
                            <w:sz w:val="21"/>
                            <w:szCs w:val="21"/>
                            <w:lang w:val="en-US" w:eastAsia="zh-CN" w:bidi="ar"/>
                          </w:rPr>
                        </m:ctrlPr>
                      </m:sub>
                    </m:sSub>
                    <m:ctrlPr>
                      <w:rPr>
                        <w:rFonts w:hint="default" w:ascii="Cambria Math" w:hAnsi="Cambria Math" w:cs="Times New Roman"/>
                        <w:i/>
                        <w:color w:val="auto"/>
                        <w:kern w:val="0"/>
                        <w:sz w:val="21"/>
                        <w:szCs w:val="21"/>
                        <w:lang w:val="en-US" w:eastAsia="zh-CN" w:bidi="ar"/>
                      </w:rPr>
                    </m:ctrlPr>
                  </m:num>
                  <m:den>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HVL</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1</m:t>
                        </m:r>
                        <m:ctrlPr>
                          <w:rPr>
                            <w:rFonts w:hint="default" w:ascii="Cambria Math" w:hAnsi="Cambria Math" w:cs="Times New Roman"/>
                            <w:i/>
                            <w:color w:val="auto"/>
                            <w:kern w:val="0"/>
                            <w:sz w:val="21"/>
                            <w:szCs w:val="21"/>
                            <w:lang w:val="en-US" w:eastAsia="zh-CN" w:bidi="ar"/>
                          </w:rPr>
                        </m:ctrlPr>
                      </m:sub>
                    </m:sSub>
                    <m:ctrlPr>
                      <w:rPr>
                        <w:rFonts w:hint="default" w:ascii="Cambria Math" w:hAnsi="Cambria Math" w:cs="Times New Roman"/>
                        <w:i/>
                        <w:color w:val="auto"/>
                        <w:kern w:val="0"/>
                        <w:sz w:val="21"/>
                        <w:szCs w:val="21"/>
                        <w:lang w:val="en-US" w:eastAsia="zh-CN" w:bidi="ar"/>
                      </w:rPr>
                    </m:ctrlPr>
                  </m:den>
                </m:f>
                <m:ctrlPr>
                  <w:rPr>
                    <w:rFonts w:hint="default" w:ascii="Cambria Math" w:hAnsi="Cambria Math" w:cs="Times New Roman"/>
                    <w:i/>
                    <w:color w:val="auto"/>
                    <w:kern w:val="0"/>
                    <w:sz w:val="21"/>
                    <w:szCs w:val="21"/>
                    <w:lang w:val="en-US" w:eastAsia="zh-CN" w:bidi="ar"/>
                  </w:rPr>
                </m:ctrlPr>
              </m:sup>
            </m:sSup>
            <m:ctrlPr>
              <w:rPr>
                <w:rFonts w:hint="default" w:ascii="Cambria Math" w:hAnsi="Cambria Math" w:cs="Times New Roman"/>
                <w:i/>
                <w:color w:val="auto"/>
                <w:kern w:val="0"/>
                <w:sz w:val="21"/>
                <w:szCs w:val="21"/>
                <w:lang w:val="en-US" w:eastAsia="zh-CN" w:bidi="ar"/>
              </w:rPr>
            </m:ctrlPr>
          </m:e>
        </m:rad>
      </m:oMath>
      <w:r>
        <w:rPr>
          <w:rFonts w:hint="default" w:ascii="Times New Roman" w:hAnsi="Times New Roman" w:cs="Times New Roman"/>
          <w:i w:val="0"/>
          <w:color w:val="auto"/>
          <w:lang w:val="en-US" w:eastAsia="zh-CN"/>
        </w:rPr>
        <w:t xml:space="preserve"> </w:t>
      </w:r>
      <w:r>
        <w:rPr>
          <w:rFonts w:ascii="宋体" w:hAnsi="宋体" w:eastAsia="宋体" w:cs="宋体"/>
          <w:sz w:val="24"/>
          <w:szCs w:val="24"/>
        </w:rPr>
        <w:t>.</w:t>
      </w:r>
      <w:r>
        <w:rPr>
          <w:rFonts w:hint="default" w:ascii="Times New Roman" w:hAnsi="Times New Roman" w:cs="Times New Roman"/>
          <w:i w:val="0"/>
          <w:color w:val="auto"/>
          <w:lang w:val="en-US" w:eastAsia="zh-CN"/>
        </w:rPr>
        <w:t xml:space="preserve"> </w:t>
      </w:r>
      <w:r>
        <w:rPr>
          <w:rFonts w:ascii="宋体" w:hAnsi="宋体" w:eastAsia="宋体" w:cs="宋体"/>
          <w:sz w:val="24"/>
          <w:szCs w:val="24"/>
        </w:rPr>
        <w:t>......................</w:t>
      </w:r>
      <w:r>
        <w:rPr>
          <w:rFonts w:hint="default" w:ascii="Times New Roman" w:hAnsi="Times New Roman" w:cs="Times New Roman"/>
          <w:color w:val="auto"/>
          <w:lang w:val="en-US" w:eastAsia="zh-CN"/>
        </w:rPr>
        <w:t>（</w:t>
      </w:r>
      <w:r>
        <w:rPr>
          <w:rFonts w:hint="eastAsia" w:ascii="Times New Roman" w:cs="Times New Roman"/>
          <w:color w:val="auto"/>
          <w:lang w:val="en-US" w:eastAsia="zh-CN"/>
        </w:rPr>
        <w:t>A</w:t>
      </w:r>
      <w:r>
        <w:rPr>
          <w:rFonts w:hint="default" w:ascii="Times New Roman" w:hAnsi="Times New Roman" w:cs="Times New Roman"/>
          <w:color w:val="auto"/>
          <w:lang w:val="en-US" w:eastAsia="zh-CN"/>
        </w:rPr>
        <w:t>.2）</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式中：</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2</w:t>
      </w:r>
      <w:r>
        <w:rPr>
          <w:rFonts w:hint="default" w:ascii="Times New Roman" w:hAnsi="Times New Roman" w:eastAsia="宋体" w:cs="Times New Roman"/>
          <w:color w:val="auto"/>
          <w:kern w:val="0"/>
          <w:sz w:val="21"/>
          <w:szCs w:val="21"/>
          <w:lang w:val="en-US" w:eastAsia="zh-CN" w:bidi="ar"/>
        </w:rPr>
        <w:t>——有工件衰减时需要的控制区距离值，单位为米（m）；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1</w:t>
      </w:r>
      <w:r>
        <w:rPr>
          <w:rFonts w:hint="default" w:ascii="Times New Roman" w:hAnsi="Times New Roman" w:eastAsia="宋体" w:cs="Times New Roman"/>
          <w:color w:val="auto"/>
          <w:kern w:val="0"/>
          <w:sz w:val="21"/>
          <w:szCs w:val="21"/>
          <w:lang w:val="en-US" w:eastAsia="zh-CN" w:bidi="ar"/>
        </w:rPr>
        <w:t>——无工件衰减时需要的控制区距离值，单位为米（m）；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t</w:t>
      </w:r>
      <w:r>
        <w:rPr>
          <w:rFonts w:hint="default" w:ascii="Times New Roman" w:hAnsi="Times New Roman" w:eastAsia="宋体" w:cs="Times New Roman"/>
          <w:color w:val="auto"/>
          <w:kern w:val="0"/>
          <w:sz w:val="11"/>
          <w:szCs w:val="11"/>
          <w:lang w:val="en-US" w:eastAsia="zh-CN" w:bidi="ar"/>
        </w:rPr>
        <w:t>1</w:t>
      </w:r>
      <w:r>
        <w:rPr>
          <w:rFonts w:hint="default" w:ascii="Times New Roman" w:hAnsi="Times New Roman" w:eastAsia="宋体" w:cs="Times New Roman"/>
          <w:color w:val="auto"/>
          <w:kern w:val="0"/>
          <w:sz w:val="21"/>
          <w:szCs w:val="21"/>
          <w:lang w:val="en-US" w:eastAsia="zh-CN" w:bidi="ar"/>
        </w:rPr>
        <w:t>——被检测工件的厚度，单位为毫米（mm）；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HVL</w:t>
      </w:r>
      <w:r>
        <w:rPr>
          <w:rFonts w:hint="default" w:ascii="Times New Roman" w:hAnsi="Times New Roman" w:eastAsia="宋体" w:cs="Times New Roman"/>
          <w:color w:val="auto"/>
          <w:kern w:val="0"/>
          <w:sz w:val="13"/>
          <w:szCs w:val="13"/>
          <w:lang w:val="en-US" w:eastAsia="zh-CN" w:bidi="ar"/>
        </w:rPr>
        <w:t>1</w:t>
      </w:r>
      <w:r>
        <w:rPr>
          <w:rFonts w:hint="default" w:ascii="Times New Roman" w:hAnsi="Times New Roman" w:eastAsia="宋体" w:cs="Times New Roman"/>
          <w:color w:val="auto"/>
          <w:kern w:val="0"/>
          <w:sz w:val="21"/>
          <w:szCs w:val="21"/>
          <w:lang w:val="en-US" w:eastAsia="zh-CN" w:bidi="ar"/>
        </w:rPr>
        <w:t>——被检测工件的半值层厚度，单位为毫米（mm），近似值见表</w:t>
      </w:r>
      <w:r>
        <w:rPr>
          <w:rFonts w:hint="eastAsia" w:cs="Times New Roman"/>
          <w:color w:val="auto"/>
          <w:kern w:val="0"/>
          <w:sz w:val="21"/>
          <w:szCs w:val="21"/>
          <w:lang w:val="en-US" w:eastAsia="zh-CN" w:bidi="ar"/>
        </w:rPr>
        <w:t>A</w:t>
      </w:r>
      <w:r>
        <w:rPr>
          <w:rFonts w:hint="default" w:ascii="Times New Roman" w:hAnsi="Times New Roman" w:eastAsia="宋体" w:cs="Times New Roman"/>
          <w:color w:val="auto"/>
          <w:kern w:val="0"/>
          <w:sz w:val="21"/>
          <w:szCs w:val="21"/>
          <w:lang w:val="en-US" w:eastAsia="zh-CN" w:bidi="ar"/>
        </w:rPr>
        <w:t>.2。</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有用线束方向以外，经源容器或其他屏蔽物屏蔽后要求的控制区距离的计算见公式（</w:t>
      </w:r>
      <w:r>
        <w:rPr>
          <w:rFonts w:hint="eastAsia" w:cs="Times New Roman"/>
          <w:color w:val="auto"/>
          <w:kern w:val="0"/>
          <w:sz w:val="21"/>
          <w:szCs w:val="21"/>
          <w:lang w:val="en-US" w:eastAsia="zh-CN" w:bidi="ar"/>
        </w:rPr>
        <w:t>A</w:t>
      </w:r>
      <w:r>
        <w:rPr>
          <w:rFonts w:hint="default" w:ascii="Times New Roman" w:hAnsi="Times New Roman" w:eastAsia="宋体" w:cs="Times New Roman"/>
          <w:color w:val="auto"/>
          <w:kern w:val="0"/>
          <w:sz w:val="21"/>
          <w:szCs w:val="21"/>
          <w:lang w:val="en-US" w:eastAsia="zh-CN" w:bidi="ar"/>
        </w:rPr>
        <w:t>.3）：</w:t>
      </w:r>
    </w:p>
    <w:p>
      <w:pPr>
        <w:keepNext w:val="0"/>
        <w:keepLines w:val="0"/>
        <w:pageBreakBefore w:val="0"/>
        <w:widowControl/>
        <w:suppressLineNumbers w:val="0"/>
        <w:kinsoku/>
        <w:wordWrap/>
        <w:overflowPunct/>
        <w:topLinePunct w:val="0"/>
        <w:bidi w:val="0"/>
        <w:snapToGrid/>
        <w:spacing w:line="240" w:lineRule="auto"/>
        <w:jc w:val="right"/>
        <w:textAlignment w:val="auto"/>
        <w:outlineLvl w:val="9"/>
        <w:rPr>
          <w:rFonts w:hint="default" w:ascii="Times New Roman" w:hAnsi="Times New Roman" w:eastAsia="宋体" w:cs="Times New Roman"/>
          <w:color w:val="auto"/>
          <w:kern w:val="0"/>
          <w:sz w:val="21"/>
          <w:szCs w:val="21"/>
          <w:lang w:val="en-US" w:eastAsia="zh-CN" w:bidi="ar"/>
        </w:rPr>
      </w:pPr>
      <m:oMath>
        <m:sSub>
          <m:sSubPr>
            <m:ctrlPr>
              <w:rPr>
                <w:rFonts w:hint="default" w:ascii="Cambria Math" w:hAnsi="Cambria Math" w:cs="Times New Roman"/>
                <w:i/>
                <w:color w:val="auto"/>
                <w:kern w:val="0"/>
                <w:sz w:val="21"/>
                <w:szCs w:val="21"/>
                <w:lang w:val="en-US"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bidi="ar"/>
              </w:rPr>
            </m:ctrlPr>
          </m:e>
          <m:sub>
            <m:r>
              <w:rPr>
                <w:rFonts w:hint="default" w:ascii="Cambria Math" w:hAnsi="Cambria Math" w:cs="Times New Roman"/>
                <w:color w:val="auto"/>
                <w:kern w:val="0"/>
                <w:sz w:val="21"/>
                <w:szCs w:val="21"/>
                <w:lang w:val="en-US" w:eastAsia="zh-CN" w:bidi="ar"/>
              </w:rPr>
              <m:t>3</m:t>
            </m:r>
            <m:ctrlPr>
              <w:rPr>
                <w:rFonts w:hint="default" w:ascii="Cambria Math" w:hAnsi="Cambria Math" w:cs="Times New Roman"/>
                <w:i/>
                <w:color w:val="auto"/>
                <w:kern w:val="0"/>
                <w:sz w:val="21"/>
                <w:szCs w:val="21"/>
                <w:lang w:val="en-US" w:bidi="ar"/>
              </w:rPr>
            </m:ctrlPr>
          </m:sub>
        </m:sSub>
        <m:r>
          <w:rPr>
            <w:rFonts w:hint="default" w:ascii="Cambria Math" w:hAnsi="Cambria Math" w:cs="Times New Roman"/>
            <w:color w:val="auto"/>
            <w:kern w:val="0"/>
            <w:sz w:val="21"/>
            <w:szCs w:val="21"/>
            <w:lang w:val="en-US" w:eastAsia="zh-CN" w:bidi="ar"/>
          </w:rPr>
          <m:t>=</m:t>
        </m:r>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1</m:t>
            </m:r>
            <m:ctrlPr>
              <w:rPr>
                <w:rFonts w:hint="default" w:ascii="Cambria Math" w:hAnsi="Cambria Math" w:cs="Times New Roman"/>
                <w:i/>
                <w:color w:val="auto"/>
                <w:kern w:val="0"/>
                <w:sz w:val="21"/>
                <w:szCs w:val="21"/>
                <w:lang w:val="en-US" w:eastAsia="zh-CN" w:bidi="ar"/>
              </w:rPr>
            </m:ctrlPr>
          </m:sub>
        </m:sSub>
        <m:r>
          <w:rPr>
            <w:rFonts w:hint="default" w:ascii="Cambria Math" w:hAnsi="Cambria Math" w:cs="Times New Roman"/>
            <w:color w:val="auto"/>
            <w:kern w:val="0"/>
            <w:sz w:val="21"/>
            <w:szCs w:val="21"/>
            <w:lang w:val="en-US" w:eastAsia="zh-CN" w:bidi="ar"/>
          </w:rPr>
          <m:t>×</m:t>
        </m:r>
        <m:rad>
          <m:radPr>
            <m:degHide m:val="1"/>
            <m:ctrlPr>
              <w:rPr>
                <w:rFonts w:hint="default" w:ascii="Cambria Math" w:hAnsi="Cambria Math" w:cs="Times New Roman"/>
                <w:i/>
                <w:color w:val="auto"/>
                <w:kern w:val="0"/>
                <w:sz w:val="21"/>
                <w:szCs w:val="21"/>
                <w:lang w:val="en-US" w:eastAsia="zh-CN" w:bidi="ar"/>
              </w:rPr>
            </m:ctrlPr>
          </m:radPr>
          <m:deg>
            <m:ctrlPr>
              <w:rPr>
                <w:rFonts w:hint="default" w:ascii="Cambria Math" w:hAnsi="Cambria Math" w:cs="Times New Roman"/>
                <w:i/>
                <w:color w:val="auto"/>
                <w:kern w:val="0"/>
                <w:sz w:val="21"/>
                <w:szCs w:val="21"/>
                <w:lang w:val="en-US" w:eastAsia="zh-CN" w:bidi="ar"/>
              </w:rPr>
            </m:ctrlPr>
          </m:deg>
          <m:e>
            <m:sSup>
              <m:sSupPr>
                <m:ctrlPr>
                  <w:rPr>
                    <w:rFonts w:hint="default" w:ascii="Cambria Math" w:hAnsi="Cambria Math" w:cs="Times New Roman"/>
                    <w:i/>
                    <w:color w:val="auto"/>
                    <w:kern w:val="0"/>
                    <w:sz w:val="21"/>
                    <w:szCs w:val="21"/>
                    <w:lang w:val="en-US" w:eastAsia="zh-CN" w:bidi="ar"/>
                  </w:rPr>
                </m:ctrlPr>
              </m:sSupPr>
              <m:e>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e>
              <m:sup>
                <m:r>
                  <w:rPr>
                    <w:rFonts w:hint="default" w:ascii="Cambria Math" w:hAnsi="Cambria Math" w:cs="Times New Roman"/>
                    <w:color w:val="auto"/>
                    <w:kern w:val="0"/>
                    <w:sz w:val="21"/>
                    <w:szCs w:val="21"/>
                    <w:lang w:val="en-US" w:eastAsia="zh-CN" w:bidi="ar"/>
                  </w:rPr>
                  <m:t>−</m:t>
                </m:r>
                <m:f>
                  <m:fPr>
                    <m:ctrlPr>
                      <w:rPr>
                        <w:rFonts w:hint="default" w:ascii="Cambria Math" w:hAnsi="Cambria Math" w:cs="Times New Roman"/>
                        <w:i/>
                        <w:color w:val="auto"/>
                        <w:kern w:val="0"/>
                        <w:sz w:val="21"/>
                        <w:szCs w:val="21"/>
                        <w:lang w:val="en-US" w:eastAsia="zh-CN" w:bidi="ar"/>
                      </w:rPr>
                    </m:ctrlPr>
                  </m:fPr>
                  <m:num>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t</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sub>
                    </m:sSub>
                    <m:ctrlPr>
                      <w:rPr>
                        <w:rFonts w:hint="default" w:ascii="Cambria Math" w:hAnsi="Cambria Math" w:cs="Times New Roman"/>
                        <w:i/>
                        <w:color w:val="auto"/>
                        <w:kern w:val="0"/>
                        <w:sz w:val="21"/>
                        <w:szCs w:val="21"/>
                        <w:lang w:val="en-US" w:eastAsia="zh-CN" w:bidi="ar"/>
                      </w:rPr>
                    </m:ctrlPr>
                  </m:num>
                  <m:den>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HVL</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sub>
                    </m:sSub>
                    <m:ctrlPr>
                      <w:rPr>
                        <w:rFonts w:hint="default" w:ascii="Cambria Math" w:hAnsi="Cambria Math" w:cs="Times New Roman"/>
                        <w:i/>
                        <w:color w:val="auto"/>
                        <w:kern w:val="0"/>
                        <w:sz w:val="21"/>
                        <w:szCs w:val="21"/>
                        <w:lang w:val="en-US" w:eastAsia="zh-CN" w:bidi="ar"/>
                      </w:rPr>
                    </m:ctrlPr>
                  </m:den>
                </m:f>
                <m:ctrlPr>
                  <w:rPr>
                    <w:rFonts w:hint="default" w:ascii="Cambria Math" w:hAnsi="Cambria Math" w:cs="Times New Roman"/>
                    <w:i/>
                    <w:color w:val="auto"/>
                    <w:kern w:val="0"/>
                    <w:sz w:val="21"/>
                    <w:szCs w:val="21"/>
                    <w:lang w:val="en-US" w:eastAsia="zh-CN" w:bidi="ar"/>
                  </w:rPr>
                </m:ctrlPr>
              </m:sup>
            </m:sSup>
            <m:ctrlPr>
              <w:rPr>
                <w:rFonts w:hint="default" w:ascii="Cambria Math" w:hAnsi="Cambria Math" w:cs="Times New Roman"/>
                <w:i/>
                <w:color w:val="auto"/>
                <w:kern w:val="0"/>
                <w:sz w:val="21"/>
                <w:szCs w:val="21"/>
                <w:lang w:val="en-US" w:eastAsia="zh-CN" w:bidi="ar"/>
              </w:rPr>
            </m:ctrlPr>
          </m:e>
        </m:rad>
      </m:oMath>
      <w:r>
        <w:rPr>
          <w:rFonts w:hint="default" w:ascii="Times New Roman" w:hAnsi="Times New Roman" w:cs="Times New Roman"/>
          <w:i w:val="0"/>
          <w:color w:val="auto"/>
          <w:lang w:val="en-US" w:eastAsia="zh-CN"/>
        </w:rPr>
        <w:t xml:space="preserve"> </w:t>
      </w:r>
      <w:r>
        <w:rPr>
          <w:rFonts w:ascii="宋体" w:hAnsi="宋体" w:eastAsia="宋体" w:cs="宋体"/>
          <w:sz w:val="24"/>
          <w:szCs w:val="24"/>
        </w:rPr>
        <w:t>......................</w:t>
      </w:r>
      <w:r>
        <w:rPr>
          <w:rFonts w:hint="default" w:ascii="Times New Roman" w:hAnsi="Times New Roman" w:cs="Times New Roman"/>
          <w:color w:val="auto"/>
          <w:lang w:val="en-US" w:eastAsia="zh-CN"/>
        </w:rPr>
        <w:t>（</w:t>
      </w:r>
      <w:r>
        <w:rPr>
          <w:rFonts w:hint="eastAsia" w:cs="Times New Roman"/>
          <w:color w:val="auto"/>
          <w:lang w:val="en-US" w:eastAsia="zh-CN"/>
        </w:rPr>
        <w:t>A</w:t>
      </w:r>
      <w:r>
        <w:rPr>
          <w:rFonts w:hint="default" w:ascii="Times New Roman" w:hAnsi="Times New Roman" w:cs="Times New Roman"/>
          <w:color w:val="auto"/>
          <w:lang w:val="en-US" w:eastAsia="zh-CN"/>
        </w:rPr>
        <w:t>.3）</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式中：</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3</w:t>
      </w:r>
      <w:r>
        <w:rPr>
          <w:rFonts w:hint="default" w:ascii="Times New Roman" w:hAnsi="Times New Roman" w:eastAsia="宋体" w:cs="Times New Roman"/>
          <w:color w:val="auto"/>
          <w:kern w:val="0"/>
          <w:sz w:val="21"/>
          <w:szCs w:val="21"/>
          <w:lang w:val="en-US" w:eastAsia="zh-CN" w:bidi="ar"/>
        </w:rPr>
        <w:t>——有用线束方向以外，经源容器或其他屏蔽物屏蔽后要求的控制区距离值，单位为米（m）；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u w:val="none"/>
          <w:lang w:val="en-US" w:eastAsia="zh-CN" w:bidi="ar"/>
        </w:rPr>
        <w:t>L</w:t>
      </w:r>
      <w:r>
        <w:rPr>
          <w:rFonts w:hint="default" w:ascii="Times New Roman" w:hAnsi="Times New Roman" w:eastAsia="宋体" w:cs="Times New Roman"/>
          <w:i/>
          <w:iCs/>
          <w:color w:val="auto"/>
          <w:kern w:val="0"/>
          <w:sz w:val="21"/>
          <w:szCs w:val="21"/>
          <w:u w:val="none"/>
          <w:vertAlign w:val="subscript"/>
          <w:lang w:val="en-US" w:eastAsia="zh-CN" w:bidi="ar"/>
        </w:rPr>
        <w:t>1</w:t>
      </w:r>
      <w:r>
        <w:rPr>
          <w:rFonts w:hint="default" w:ascii="Times New Roman" w:hAnsi="Times New Roman" w:eastAsia="宋体" w:cs="Times New Roman"/>
          <w:color w:val="auto"/>
          <w:kern w:val="0"/>
          <w:sz w:val="21"/>
          <w:szCs w:val="21"/>
          <w:lang w:val="en-US" w:eastAsia="zh-CN" w:bidi="ar"/>
        </w:rPr>
        <w:t>——无工件衰减时需要的控制区距离值，单位为米（m）；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t</w:t>
      </w:r>
      <w:r>
        <w:rPr>
          <w:rFonts w:hint="default" w:ascii="Times New Roman" w:hAnsi="Times New Roman" w:eastAsia="宋体" w:cs="Times New Roman"/>
          <w:color w:val="auto"/>
          <w:kern w:val="0"/>
          <w:sz w:val="13"/>
          <w:szCs w:val="13"/>
          <w:lang w:val="en-US" w:eastAsia="zh-CN" w:bidi="ar"/>
        </w:rPr>
        <w:t>2</w:t>
      </w:r>
      <w:r>
        <w:rPr>
          <w:rFonts w:hint="default" w:ascii="Times New Roman" w:hAnsi="Times New Roman" w:eastAsia="宋体" w:cs="Times New Roman"/>
          <w:color w:val="auto"/>
          <w:kern w:val="0"/>
          <w:sz w:val="21"/>
          <w:szCs w:val="21"/>
          <w:lang w:val="en-US" w:eastAsia="zh-CN" w:bidi="ar"/>
        </w:rPr>
        <w:t>——源容器或其他屏蔽物厚度，单位为毫米（mm）；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i/>
          <w:iCs/>
          <w:color w:val="auto"/>
          <w:kern w:val="0"/>
          <w:sz w:val="21"/>
          <w:szCs w:val="21"/>
          <w:lang w:val="en-US" w:eastAsia="zh-CN" w:bidi="ar"/>
        </w:rPr>
        <w:t>HVL</w:t>
      </w:r>
      <w:r>
        <w:rPr>
          <w:rFonts w:hint="default" w:ascii="Times New Roman" w:hAnsi="Times New Roman" w:eastAsia="宋体" w:cs="Times New Roman"/>
          <w:color w:val="auto"/>
          <w:kern w:val="0"/>
          <w:sz w:val="13"/>
          <w:szCs w:val="13"/>
          <w:lang w:val="en-US" w:eastAsia="zh-CN" w:bidi="ar"/>
        </w:rPr>
        <w:t>2</w:t>
      </w:r>
      <w:r>
        <w:rPr>
          <w:rFonts w:hint="default" w:ascii="Times New Roman" w:hAnsi="Times New Roman" w:eastAsia="宋体" w:cs="Times New Roman"/>
          <w:color w:val="auto"/>
          <w:kern w:val="0"/>
          <w:sz w:val="21"/>
          <w:szCs w:val="21"/>
          <w:lang w:val="en-US" w:eastAsia="zh-CN" w:bidi="ar"/>
        </w:rPr>
        <w:t>——源容器或其他屏蔽物的半值层厚度，单位为毫米（mm）。</w:t>
      </w:r>
    </w:p>
    <w:p>
      <w:pPr>
        <w:pStyle w:val="31"/>
        <w:keepNext w:val="0"/>
        <w:keepLines w:val="0"/>
        <w:pageBreakBefore w:val="0"/>
        <w:numPr>
          <w:ilvl w:val="0"/>
          <w:numId w:val="0"/>
        </w:numPr>
        <w:kinsoku/>
        <w:wordWrap/>
        <w:overflowPunct/>
        <w:topLinePunct w:val="0"/>
        <w:bidi w:val="0"/>
        <w:snapToGrid/>
        <w:spacing w:before="240" w:after="240" w:line="240" w:lineRule="auto"/>
        <w:ind w:leftChars="0"/>
        <w:textAlignment w:val="auto"/>
        <w:outlineLvl w:val="9"/>
        <w:rPr>
          <w:rFonts w:hint="default" w:ascii="Times New Roman" w:hAnsi="Times New Roman" w:eastAsia="黑体" w:cs="Times New Roman"/>
          <w:color w:val="auto"/>
          <w:szCs w:val="22"/>
          <w:lang w:val="en-US" w:eastAsia="zh-CN"/>
        </w:rPr>
      </w:pPr>
      <w:bookmarkStart w:id="58" w:name="_Toc1441"/>
      <w:r>
        <w:rPr>
          <w:rFonts w:hint="eastAsia" w:cs="Times New Roman"/>
          <w:color w:val="auto"/>
          <w:lang w:val="en-US" w:eastAsia="zh-CN"/>
        </w:rPr>
        <w:t>A</w:t>
      </w:r>
      <w:r>
        <w:rPr>
          <w:rFonts w:hint="default" w:ascii="Times New Roman" w:hAnsi="Times New Roman" w:eastAsia="黑体" w:cs="Times New Roman"/>
          <w:color w:val="auto"/>
          <w:szCs w:val="22"/>
          <w:lang w:val="en-US" w:eastAsia="zh-CN"/>
        </w:rPr>
        <w:t>.3 X射线移动式探伤控制区距离的确定</w:t>
      </w:r>
      <w:bookmarkEnd w:id="58"/>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对于移动式探伤，控制区边界的周围剂量当量率为15</w:t>
      </w:r>
      <w:r>
        <w:rPr>
          <w:rFonts w:hint="eastAsia" w:ascii="Times New Roman" w:cs="Times New Roman"/>
          <w:color w:val="auto"/>
          <w:lang w:val="en-US" w:eastAsia="zh-CN"/>
        </w:rPr>
        <w:t xml:space="preserve"> </w:t>
      </w:r>
      <w:r>
        <w:rPr>
          <w:rFonts w:hint="default" w:ascii="Times New Roman" w:hAnsi="Times New Roman" w:cs="Times New Roman"/>
          <w:color w:val="auto"/>
          <w:lang w:val="en-US" w:eastAsia="zh-CN"/>
        </w:rPr>
        <w:t>μSv/h，可由公式（</w:t>
      </w:r>
      <w:r>
        <w:rPr>
          <w:rFonts w:hint="eastAsia" w:ascii="Times New Roman" w:cs="Times New Roman"/>
          <w:color w:val="auto"/>
          <w:lang w:val="en-US" w:eastAsia="zh-CN"/>
        </w:rPr>
        <w:t>A</w:t>
      </w:r>
      <w:r>
        <w:rPr>
          <w:rFonts w:hint="default" w:ascii="Times New Roman" w:hAnsi="Times New Roman" w:cs="Times New Roman"/>
          <w:color w:val="auto"/>
          <w:lang w:val="en-US" w:eastAsia="zh-CN"/>
        </w:rPr>
        <w:t>.4）计算确定X射线移动式探伤的控制区距离。</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right"/>
        <w:textAlignment w:val="auto"/>
        <w:outlineLvl w:val="9"/>
        <w:rPr>
          <w:rFonts w:hint="default" w:ascii="Times New Roman" w:hAnsi="Times New Roman" w:cs="Times New Roman"/>
          <w:i w:val="0"/>
          <w:color w:val="auto"/>
          <w:lang w:val="en-US" w:eastAsia="zh-CN"/>
        </w:rPr>
      </w:pPr>
      <m:oMath>
        <m:sSub>
          <m:sSubPr>
            <m:ctrlPr>
              <w:rPr>
                <w:rFonts w:hint="default" w:ascii="Cambria Math" w:hAnsi="Cambria Math" w:cs="Times New Roman"/>
                <w:i/>
                <w:color w:val="auto"/>
                <w:lang w:val="en-US"/>
              </w:rPr>
            </m:ctrlPr>
          </m:sSubPr>
          <m:e>
            <m:r>
              <w:rPr>
                <w:rFonts w:hint="default" w:ascii="Cambria Math" w:hAnsi="Cambria Math" w:cs="Times New Roman"/>
                <w:color w:val="auto"/>
                <w:lang w:val="en-US" w:eastAsia="zh-CN"/>
              </w:rPr>
              <m:t>L</m:t>
            </m:r>
            <m:ctrlPr>
              <w:rPr>
                <w:rFonts w:hint="default" w:ascii="Cambria Math" w:hAnsi="Cambria Math" w:cs="Times New Roman"/>
                <w:i/>
                <w:color w:val="auto"/>
                <w:lang w:val="en-US"/>
              </w:rPr>
            </m:ctrlPr>
          </m:e>
          <m:sub>
            <m:r>
              <w:rPr>
                <w:rFonts w:hint="default" w:ascii="Cambria Math" w:hAnsi="Cambria Math" w:cs="Times New Roman"/>
                <w:color w:val="auto"/>
                <w:lang w:val="en-US" w:eastAsia="zh-CN"/>
              </w:rPr>
              <m:t>1</m:t>
            </m:r>
            <m:ctrlPr>
              <w:rPr>
                <w:rFonts w:hint="default" w:ascii="Cambria Math" w:hAnsi="Cambria Math" w:cs="Times New Roman"/>
                <w:i/>
                <w:color w:val="auto"/>
                <w:lang w:val="en-US"/>
              </w:rPr>
            </m:ctrlPr>
          </m:sub>
        </m:sSub>
        <m:r>
          <w:rPr>
            <w:rFonts w:hint="default" w:ascii="Cambria Math" w:hAnsi="Cambria Math" w:cs="Times New Roman"/>
            <w:color w:val="auto"/>
            <w:lang w:val="en-US" w:eastAsia="zh-CN"/>
          </w:rPr>
          <m:t>=</m:t>
        </m:r>
        <m:rad>
          <m:radPr>
            <m:degHide m:val="1"/>
            <m:ctrlPr>
              <w:rPr>
                <w:rFonts w:hint="default" w:ascii="Cambria Math" w:hAnsi="Cambria Math" w:cs="Times New Roman"/>
                <w:i/>
                <w:color w:val="auto"/>
                <w:lang w:val="en-US" w:eastAsia="zh-CN"/>
              </w:rPr>
            </m:ctrlPr>
          </m:radPr>
          <m:deg>
            <m:ctrlPr>
              <w:rPr>
                <w:rFonts w:hint="default" w:ascii="Cambria Math" w:hAnsi="Cambria Math" w:cs="Times New Roman"/>
                <w:i/>
                <w:color w:val="auto"/>
                <w:lang w:val="en-US" w:eastAsia="zh-CN"/>
              </w:rPr>
            </m:ctrlPr>
          </m:deg>
          <m:e>
            <m:f>
              <m:fPr>
                <m:ctrlPr>
                  <w:rPr>
                    <w:rFonts w:hint="default" w:ascii="Cambria Math" w:hAnsi="Cambria Math" w:cs="Times New Roman"/>
                    <w:i/>
                    <w:color w:val="auto"/>
                    <w:lang w:val="en-US" w:eastAsia="zh-CN"/>
                  </w:rPr>
                </m:ctrlPr>
              </m:fPr>
              <m:num>
                <m:r>
                  <w:rPr>
                    <w:rFonts w:hint="default" w:ascii="Cambria Math" w:hAnsi="Cambria Math" w:cs="Times New Roman"/>
                    <w:color w:val="auto"/>
                    <w:lang w:val="en-US" w:eastAsia="zh-CN"/>
                  </w:rPr>
                  <m:t>I</m:t>
                </m:r>
                <m:r>
                  <w:rPr>
                    <w:rFonts w:hint="default" w:ascii="Cambria Math" w:hAnsi="Cambria Math" w:cs="Times New Roman"/>
                    <w:color w:val="auto"/>
                    <w:lang w:val="en-US"/>
                  </w:rPr>
                  <m:t>×</m:t>
                </m:r>
                <m:sSub>
                  <m:sSubPr>
                    <m:ctrlPr>
                      <w:rPr>
                        <w:rFonts w:hint="default" w:ascii="Cambria Math" w:hAnsi="Cambria Math" w:cs="Times New Roman"/>
                        <w:i/>
                        <w:color w:val="auto"/>
                        <w:lang w:val="en-US"/>
                      </w:rPr>
                    </m:ctrlPr>
                  </m:sSubPr>
                  <m:e>
                    <m:r>
                      <w:rPr>
                        <w:rFonts w:hint="default" w:ascii="Cambria Math" w:hAnsi="Cambria Math" w:cs="Times New Roman"/>
                        <w:color w:val="auto"/>
                        <w:lang w:val="en-US" w:eastAsia="zh-CN"/>
                      </w:rPr>
                      <m:t>H</m:t>
                    </m:r>
                    <m:ctrlPr>
                      <w:rPr>
                        <w:rFonts w:hint="default" w:ascii="Cambria Math" w:hAnsi="Cambria Math" w:cs="Times New Roman"/>
                        <w:i/>
                        <w:color w:val="auto"/>
                        <w:lang w:val="en-US"/>
                      </w:rPr>
                    </m:ctrlPr>
                  </m:e>
                  <m:sub>
                    <m:r>
                      <w:rPr>
                        <w:rFonts w:hint="default" w:ascii="Cambria Math" w:hAnsi="Cambria Math" w:cs="Times New Roman"/>
                        <w:color w:val="auto"/>
                        <w:lang w:val="en-US" w:eastAsia="zh-CN"/>
                      </w:rPr>
                      <m:t>0</m:t>
                    </m:r>
                    <m:ctrlPr>
                      <w:rPr>
                        <w:rFonts w:hint="default" w:ascii="Cambria Math" w:hAnsi="Cambria Math" w:cs="Times New Roman"/>
                        <w:i/>
                        <w:color w:val="auto"/>
                        <w:lang w:val="en-US"/>
                      </w:rPr>
                    </m:ctrlPr>
                  </m:sub>
                </m:sSub>
                <m:ctrlPr>
                  <w:rPr>
                    <w:rFonts w:hint="default" w:ascii="Cambria Math" w:hAnsi="Cambria Math" w:cs="Times New Roman"/>
                    <w:i/>
                    <w:color w:val="auto"/>
                    <w:lang w:val="en-US" w:eastAsia="zh-CN"/>
                  </w:rPr>
                </m:ctrlPr>
              </m:num>
              <m:den>
                <m:r>
                  <w:rPr>
                    <w:rFonts w:hint="default" w:ascii="Cambria Math" w:hAnsi="Cambria Math" w:cs="Times New Roman"/>
                    <w:color w:val="auto"/>
                    <w:lang w:val="en-US" w:eastAsia="zh-CN"/>
                  </w:rPr>
                  <m:t>15</m:t>
                </m:r>
                <m:ctrlPr>
                  <w:rPr>
                    <w:rFonts w:hint="default" w:ascii="Cambria Math" w:hAnsi="Cambria Math" w:cs="Times New Roman"/>
                    <w:i/>
                    <w:color w:val="auto"/>
                    <w:lang w:val="en-US" w:eastAsia="zh-CN"/>
                  </w:rPr>
                </m:ctrlPr>
              </m:den>
            </m:f>
            <m:ctrlPr>
              <w:rPr>
                <w:rFonts w:hint="default" w:ascii="Cambria Math" w:hAnsi="Cambria Math" w:cs="Times New Roman"/>
                <w:i/>
                <w:color w:val="auto"/>
                <w:lang w:val="en-US" w:eastAsia="zh-CN"/>
              </w:rPr>
            </m:ctrlPr>
          </m:e>
        </m:rad>
      </m:oMath>
      <w:r>
        <w:rPr>
          <w:rFonts w:hint="default" w:ascii="Times New Roman" w:hAnsi="Times New Roman" w:cs="Times New Roman"/>
          <w:i w:val="0"/>
          <w:color w:val="auto"/>
          <w:lang w:val="en-US" w:eastAsia="zh-CN"/>
        </w:rPr>
        <w:t xml:space="preserve"> </w:t>
      </w:r>
      <w:r>
        <w:rPr>
          <w:rFonts w:ascii="宋体" w:hAnsi="宋体" w:eastAsia="宋体" w:cs="宋体"/>
          <w:sz w:val="24"/>
          <w:szCs w:val="24"/>
        </w:rPr>
        <w:t>.......................</w:t>
      </w:r>
      <w:r>
        <w:rPr>
          <w:rFonts w:hint="default" w:ascii="Times New Roman" w:hAnsi="Times New Roman" w:cs="Times New Roman"/>
          <w:color w:val="auto"/>
          <w:lang w:val="en-US" w:eastAsia="zh-CN"/>
        </w:rPr>
        <w:t>（</w:t>
      </w:r>
      <w:r>
        <w:rPr>
          <w:rFonts w:hint="eastAsia" w:ascii="Times New Roman" w:cs="Times New Roman"/>
          <w:color w:val="auto"/>
          <w:lang w:val="en-US" w:eastAsia="zh-CN"/>
        </w:rPr>
        <w:t>A</w:t>
      </w:r>
      <w:r>
        <w:rPr>
          <w:rFonts w:hint="default" w:ascii="Times New Roman" w:hAnsi="Times New Roman" w:cs="Times New Roman"/>
          <w:color w:val="auto"/>
          <w:lang w:val="en-US" w:eastAsia="zh-CN"/>
        </w:rPr>
        <w:t>.4）</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式中：</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1</w:t>
      </w:r>
      <w:r>
        <w:rPr>
          <w:rFonts w:hint="default" w:ascii="Times New Roman" w:hAnsi="Times New Roman" w:eastAsia="宋体" w:cs="Times New Roman"/>
          <w:color w:val="auto"/>
          <w:kern w:val="0"/>
          <w:sz w:val="21"/>
          <w:szCs w:val="21"/>
          <w:lang w:val="en-US" w:eastAsia="zh-CN" w:bidi="ar"/>
        </w:rPr>
        <w:t>——无工件衰减时需要的控制区距离值，单位为米（m）；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cs="Times New Roman"/>
          <w:i/>
          <w:iCs/>
          <w:color w:val="auto"/>
          <w:kern w:val="0"/>
          <w:sz w:val="21"/>
          <w:szCs w:val="21"/>
          <w:lang w:val="en-US" w:eastAsia="zh-CN" w:bidi="ar"/>
        </w:rPr>
        <w:t>I</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X射线机管电流</w:t>
      </w:r>
      <w:r>
        <w:rPr>
          <w:rFonts w:hint="default" w:ascii="Times New Roman" w:hAnsi="Times New Roman" w:eastAsia="宋体" w:cs="Times New Roman"/>
          <w:color w:val="auto"/>
          <w:kern w:val="0"/>
          <w:sz w:val="21"/>
          <w:szCs w:val="21"/>
          <w:lang w:val="en-US" w:eastAsia="zh-CN" w:bidi="ar"/>
        </w:rPr>
        <w:t>，单位为</w:t>
      </w:r>
      <w:r>
        <w:rPr>
          <w:rFonts w:hint="default" w:ascii="Times New Roman" w:hAnsi="Times New Roman" w:cs="Times New Roman"/>
          <w:color w:val="auto"/>
          <w:kern w:val="0"/>
          <w:sz w:val="21"/>
          <w:szCs w:val="21"/>
          <w:lang w:val="en-US" w:eastAsia="zh-CN" w:bidi="ar"/>
        </w:rPr>
        <w:t>毫安</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mA</w:t>
      </w:r>
      <w:r>
        <w:rPr>
          <w:rFonts w:hint="default" w:ascii="Times New Roman" w:hAnsi="Times New Roman" w:eastAsia="宋体" w:cs="Times New Roman"/>
          <w:color w:val="auto"/>
          <w:kern w:val="0"/>
          <w:sz w:val="21"/>
          <w:szCs w:val="21"/>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i/>
          <w:iCs/>
          <w:color w:val="auto"/>
          <w:kern w:val="0"/>
          <w:sz w:val="21"/>
          <w:szCs w:val="21"/>
          <w:lang w:val="en-US" w:eastAsia="zh-CN" w:bidi="ar"/>
        </w:rPr>
        <w:t>H</w:t>
      </w:r>
      <w:r>
        <w:rPr>
          <w:rFonts w:hint="default" w:ascii="Times New Roman" w:hAnsi="Times New Roman" w:eastAsia="宋体" w:cs="Times New Roman"/>
          <w:i/>
          <w:iCs/>
          <w:color w:val="auto"/>
          <w:kern w:val="0"/>
          <w:sz w:val="21"/>
          <w:szCs w:val="21"/>
          <w:vertAlign w:val="subscript"/>
          <w:lang w:val="en-US" w:eastAsia="zh-CN" w:bidi="ar"/>
        </w:rPr>
        <w:t>0</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X射线机发射</w:t>
      </w:r>
      <w:r>
        <w:rPr>
          <w:rFonts w:hint="default" w:ascii="Times New Roman" w:hAnsi="Times New Roman" w:eastAsia="宋体" w:cs="Times New Roman"/>
          <w:color w:val="auto"/>
          <w:kern w:val="0"/>
          <w:sz w:val="21"/>
          <w:szCs w:val="21"/>
          <w:lang w:val="en-US" w:eastAsia="zh-CN" w:bidi="ar"/>
        </w:rPr>
        <w:t>率常数，单位为</w:t>
      </w:r>
      <w:r>
        <w:rPr>
          <w:rFonts w:hint="default" w:ascii="Times New Roman" w:hAnsi="Times New Roman" w:cs="Times New Roman"/>
          <w:color w:val="auto"/>
          <w:kern w:val="0"/>
          <w:sz w:val="21"/>
          <w:szCs w:val="21"/>
          <w:lang w:val="en-US" w:eastAsia="zh-CN" w:bidi="ar"/>
        </w:rPr>
        <w:t>毫</w:t>
      </w:r>
      <w:r>
        <w:rPr>
          <w:rFonts w:hint="default" w:ascii="Times New Roman" w:hAnsi="Times New Roman" w:eastAsia="宋体" w:cs="Times New Roman"/>
          <w:color w:val="auto"/>
          <w:kern w:val="0"/>
          <w:sz w:val="21"/>
          <w:szCs w:val="21"/>
          <w:lang w:val="en-US" w:eastAsia="zh-CN" w:bidi="ar"/>
        </w:rPr>
        <w:t>希沃特平方米每</w:t>
      </w:r>
      <w:r>
        <w:rPr>
          <w:rFonts w:hint="default" w:ascii="Times New Roman" w:hAnsi="Times New Roman" w:cs="Times New Roman"/>
          <w:color w:val="auto"/>
          <w:kern w:val="0"/>
          <w:sz w:val="21"/>
          <w:szCs w:val="21"/>
          <w:lang w:val="en-US" w:eastAsia="zh-CN" w:bidi="ar"/>
        </w:rPr>
        <w:t>毫安分</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i w:val="0"/>
          <w:color w:val="auto"/>
          <w:vertAlign w:val="baseline"/>
          <w:lang w:val="en-US" w:eastAsia="zh-CN"/>
        </w:rPr>
        <w:t>mSv·m</w:t>
      </w:r>
      <w:r>
        <w:rPr>
          <w:rFonts w:hint="default" w:ascii="Times New Roman" w:hAnsi="Times New Roman" w:cs="Times New Roman"/>
          <w:i w:val="0"/>
          <w:color w:val="auto"/>
          <w:vertAlign w:val="superscript"/>
          <w:lang w:val="en-US" w:eastAsia="zh-CN"/>
        </w:rPr>
        <w:t>2</w:t>
      </w:r>
      <w:r>
        <w:rPr>
          <w:rFonts w:hint="eastAsia" w:cs="Times New Roman"/>
          <w:i w:val="0"/>
          <w:color w:val="auto"/>
          <w:vertAlign w:val="baseline"/>
          <w:lang w:val="en-US" w:eastAsia="zh-CN"/>
        </w:rPr>
        <w:t>/(</w:t>
      </w:r>
      <w:r>
        <w:rPr>
          <w:rFonts w:hint="default" w:ascii="Times New Roman" w:hAnsi="Times New Roman" w:cs="Times New Roman"/>
          <w:i w:val="0"/>
          <w:color w:val="auto"/>
          <w:vertAlign w:val="baseline"/>
          <w:lang w:val="en-US" w:eastAsia="zh-CN"/>
        </w:rPr>
        <w:t>mA·min</w:t>
      </w:r>
      <w:r>
        <w:rPr>
          <w:rFonts w:hint="eastAsia" w:cs="Times New Roman"/>
          <w:i w:val="0"/>
          <w:color w:val="auto"/>
          <w:vertAlign w:val="baseline"/>
          <w:lang w:val="en-US" w:eastAsia="zh-CN"/>
        </w:rPr>
        <w:t>)</w:t>
      </w:r>
      <w:r>
        <w:rPr>
          <w:rFonts w:hint="default" w:ascii="Times New Roman" w:hAnsi="Times New Roman" w:eastAsia="宋体" w:cs="Times New Roman"/>
          <w:color w:val="auto"/>
          <w:kern w:val="0"/>
          <w:sz w:val="21"/>
          <w:szCs w:val="21"/>
          <w:lang w:val="en-US" w:eastAsia="zh-CN" w:bidi="ar"/>
        </w:rPr>
        <w:t>]，见表</w:t>
      </w:r>
      <w:r>
        <w:rPr>
          <w:rFonts w:hint="eastAsia" w:cs="Times New Roman"/>
          <w:color w:val="auto"/>
          <w:lang w:val="en-US" w:eastAsia="zh-CN"/>
        </w:rPr>
        <w:t>A</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3</w:t>
      </w:r>
      <w:r>
        <w:rPr>
          <w:rFonts w:hint="default" w:ascii="Times New Roman" w:hAnsi="Times New Roman" w:eastAsia="宋体" w:cs="Times New Roman"/>
          <w:color w:val="auto"/>
          <w:kern w:val="0"/>
          <w:sz w:val="21"/>
          <w:szCs w:val="21"/>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cs="Times New Roman"/>
          <w:i/>
          <w:iCs/>
          <w:color w:val="auto"/>
          <w:lang w:val="en-US" w:eastAsia="zh-CN"/>
        </w:rPr>
        <w:t>L</w:t>
      </w:r>
      <w:r>
        <w:rPr>
          <w:rFonts w:hint="default" w:ascii="Times New Roman" w:hAnsi="Times New Roman" w:cs="Times New Roman"/>
          <w:i/>
          <w:iCs/>
          <w:color w:val="auto"/>
          <w:vertAlign w:val="subscript"/>
          <w:lang w:val="en-US" w:eastAsia="zh-CN"/>
        </w:rPr>
        <w:t>2</w:t>
      </w:r>
      <w:r>
        <w:rPr>
          <w:rFonts w:hint="default" w:ascii="Times New Roman" w:hAnsi="Times New Roman" w:cs="Times New Roman"/>
          <w:i w:val="0"/>
          <w:color w:val="auto"/>
          <w:lang w:val="en-US" w:eastAsia="zh-CN"/>
        </w:rPr>
        <w:t>和</w:t>
      </w:r>
      <w:r>
        <w:rPr>
          <w:rFonts w:hint="default" w:ascii="Times New Roman" w:hAnsi="Times New Roman" w:cs="Times New Roman"/>
          <w:i/>
          <w:iCs/>
          <w:color w:val="auto"/>
          <w:lang w:val="en-US" w:eastAsia="zh-CN"/>
        </w:rPr>
        <w:t>L</w:t>
      </w:r>
      <w:r>
        <w:rPr>
          <w:rFonts w:hint="default" w:ascii="Times New Roman" w:hAnsi="Times New Roman" w:cs="Times New Roman"/>
          <w:i/>
          <w:iCs/>
          <w:color w:val="auto"/>
          <w:vertAlign w:val="subscript"/>
          <w:lang w:val="en-US" w:eastAsia="zh-CN"/>
        </w:rPr>
        <w:t>3</w:t>
      </w:r>
      <w:r>
        <w:rPr>
          <w:rFonts w:hint="default" w:ascii="Times New Roman" w:hAnsi="Times New Roman" w:cs="Times New Roman"/>
          <w:i w:val="0"/>
          <w:color w:val="auto"/>
          <w:lang w:val="en-US" w:eastAsia="zh-CN"/>
        </w:rPr>
        <w:t>分别由</w:t>
      </w:r>
      <w:r>
        <w:rPr>
          <w:rFonts w:hint="default" w:ascii="Times New Roman" w:hAnsi="Times New Roman" w:cs="Times New Roman"/>
          <w:i/>
          <w:iCs/>
          <w:color w:val="auto"/>
          <w:lang w:val="en-US" w:eastAsia="zh-CN"/>
        </w:rPr>
        <w:t>L</w:t>
      </w:r>
      <w:r>
        <w:rPr>
          <w:rFonts w:hint="default" w:ascii="Times New Roman" w:hAnsi="Times New Roman" w:cs="Times New Roman"/>
          <w:i/>
          <w:iCs/>
          <w:color w:val="auto"/>
          <w:vertAlign w:val="subscript"/>
          <w:lang w:val="en-US" w:eastAsia="zh-CN"/>
        </w:rPr>
        <w:t>1</w:t>
      </w:r>
      <w:r>
        <w:rPr>
          <w:rFonts w:hint="default" w:ascii="Times New Roman" w:hAnsi="Times New Roman" w:cs="Times New Roman"/>
          <w:i w:val="0"/>
          <w:color w:val="auto"/>
          <w:lang w:val="en-US" w:eastAsia="zh-CN"/>
        </w:rPr>
        <w:t>乘以检测工件</w:t>
      </w:r>
      <w:r>
        <w:rPr>
          <w:rFonts w:hint="default" w:ascii="Times New Roman" w:hAnsi="Times New Roman" w:eastAsia="宋体" w:cs="Times New Roman"/>
          <w:color w:val="auto"/>
          <w:kern w:val="0"/>
          <w:sz w:val="21"/>
          <w:szCs w:val="21"/>
          <w:lang w:val="en-US" w:eastAsia="zh-CN" w:bidi="ar"/>
        </w:rPr>
        <w:t>屏蔽衰减因子获得。有用线束方向，经检测对象屏蔽后要求的控制区距离的计算见公式（</w:t>
      </w:r>
      <w:r>
        <w:rPr>
          <w:rFonts w:hint="eastAsia" w:cs="Times New Roman"/>
          <w:color w:val="auto"/>
          <w:lang w:val="en-US" w:eastAsia="zh-CN"/>
        </w:rPr>
        <w:t>A</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5</w:t>
      </w:r>
      <w:r>
        <w:rPr>
          <w:rFonts w:hint="default" w:ascii="Times New Roman" w:hAnsi="Times New Roman" w:eastAsia="宋体" w:cs="Times New Roman"/>
          <w:color w:val="auto"/>
          <w:kern w:val="0"/>
          <w:sz w:val="21"/>
          <w:szCs w:val="21"/>
          <w:lang w:val="en-US" w:eastAsia="zh-CN" w:bidi="ar"/>
        </w:rPr>
        <w:t>）：</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right"/>
        <w:textAlignment w:val="auto"/>
        <w:outlineLvl w:val="9"/>
        <w:rPr>
          <w:rFonts w:hint="default" w:ascii="Times New Roman" w:hAnsi="Times New Roman" w:cs="Times New Roman"/>
          <w:i w:val="0"/>
          <w:color w:val="auto"/>
          <w:lang w:val="en-US" w:eastAsia="zh-CN"/>
        </w:rPr>
      </w:pPr>
      <w:r>
        <w:rPr>
          <w:rFonts w:hint="default" w:ascii="Times New Roman" w:hAnsi="Times New Roman" w:cs="Times New Roman"/>
          <w:i w:val="0"/>
          <w:color w:val="auto"/>
          <w:lang w:val="en-US" w:eastAsia="zh-CN"/>
        </w:rPr>
        <w:t xml:space="preserve">  </w:t>
      </w:r>
      <w:r>
        <w:rPr>
          <w:rFonts w:hint="default" w:ascii="Times New Roman" w:hAnsi="Times New Roman" w:cs="Times New Roman"/>
          <w:i w:val="0"/>
          <w:color w:val="auto"/>
          <w:position w:val="-12"/>
          <w:lang w:val="en-US" w:eastAsia="zh-CN"/>
        </w:rPr>
        <w:object>
          <v:shape id="_x0000_i1026" o:spt="75" type="#_x0000_t75" style="height:20pt;width:54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ascii="Times New Roman" w:cs="Times New Roman"/>
          <w:i w:val="0"/>
          <w:color w:val="auto"/>
          <w:lang w:val="en-US" w:eastAsia="zh-CN"/>
        </w:rPr>
        <w:t xml:space="preserve"> </w:t>
      </w:r>
      <w:r>
        <w:rPr>
          <w:rFonts w:ascii="宋体" w:hAnsi="宋体" w:eastAsia="宋体" w:cs="宋体"/>
          <w:sz w:val="24"/>
          <w:szCs w:val="24"/>
        </w:rPr>
        <w:t>......................</w:t>
      </w:r>
      <w:r>
        <w:rPr>
          <w:rFonts w:hint="default" w:ascii="Times New Roman" w:hAnsi="Times New Roman" w:cs="Times New Roman"/>
          <w:color w:val="auto"/>
          <w:lang w:val="en-US" w:eastAsia="zh-CN"/>
        </w:rPr>
        <w:t>（</w:t>
      </w:r>
      <w:r>
        <w:rPr>
          <w:rFonts w:hint="eastAsia" w:ascii="Times New Roman" w:cs="Times New Roman"/>
          <w:color w:val="auto"/>
          <w:lang w:val="en-US" w:eastAsia="zh-CN"/>
        </w:rPr>
        <w:t>A</w:t>
      </w:r>
      <w:r>
        <w:rPr>
          <w:rFonts w:hint="default" w:ascii="Times New Roman" w:hAnsi="Times New Roman" w:cs="Times New Roman"/>
          <w:color w:val="auto"/>
          <w:lang w:val="en-US" w:eastAsia="zh-CN"/>
        </w:rPr>
        <w:t>.5）</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式中：</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2</w:t>
      </w:r>
      <w:r>
        <w:rPr>
          <w:rFonts w:hint="default" w:ascii="Times New Roman" w:hAnsi="Times New Roman" w:eastAsia="宋体" w:cs="Times New Roman"/>
          <w:color w:val="auto"/>
          <w:kern w:val="0"/>
          <w:sz w:val="21"/>
          <w:szCs w:val="21"/>
          <w:lang w:val="en-US" w:eastAsia="zh-CN" w:bidi="ar"/>
        </w:rPr>
        <w:t>——有工件衰减时需要的控制区距离值，单位为米（m）；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1</w:t>
      </w:r>
      <w:r>
        <w:rPr>
          <w:rFonts w:hint="default" w:ascii="Times New Roman" w:hAnsi="Times New Roman" w:eastAsia="宋体" w:cs="Times New Roman"/>
          <w:color w:val="auto"/>
          <w:kern w:val="0"/>
          <w:sz w:val="21"/>
          <w:szCs w:val="21"/>
          <w:lang w:val="en-US" w:eastAsia="zh-CN" w:bidi="ar"/>
        </w:rPr>
        <w:t>——无工件衰减时需要的控制区距离值，单位为米（m）；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highlight w:val="none"/>
        </w:rPr>
      </w:pPr>
      <w:r>
        <w:rPr>
          <w:rFonts w:hint="eastAsia" w:ascii="黑体" w:hAnsi="黑体" w:eastAsia="黑体" w:cs="黑体"/>
          <w:i/>
          <w:iCs/>
          <w:color w:val="auto"/>
          <w:kern w:val="0"/>
          <w:sz w:val="21"/>
          <w:szCs w:val="21"/>
          <w:highlight w:val="none"/>
          <w:lang w:val="en-US" w:eastAsia="zh-CN" w:bidi="ar"/>
        </w:rPr>
        <w:t>η</w:t>
      </w:r>
      <w:r>
        <w:rPr>
          <w:rFonts w:hint="default" w:ascii="Times New Roman" w:hAnsi="Times New Roman" w:eastAsia="宋体" w:cs="Times New Roman"/>
          <w:color w:val="auto"/>
          <w:kern w:val="0"/>
          <w:sz w:val="21"/>
          <w:szCs w:val="21"/>
          <w:lang w:val="en-US" w:eastAsia="zh-CN" w:bidi="ar"/>
        </w:rPr>
        <w:t>——透射比，</w:t>
      </w:r>
      <w:r>
        <w:rPr>
          <w:rFonts w:hint="eastAsia" w:cs="Times New Roman"/>
          <w:color w:val="auto"/>
          <w:kern w:val="0"/>
          <w:sz w:val="21"/>
          <w:szCs w:val="21"/>
          <w:lang w:val="en-US" w:eastAsia="zh-CN" w:bidi="ar"/>
        </w:rPr>
        <w:t>不同管电压下铁的近似铅当量厚度见</w:t>
      </w:r>
      <w:r>
        <w:rPr>
          <w:rFonts w:hint="default" w:ascii="Times New Roman" w:hAnsi="Times New Roman" w:eastAsia="宋体" w:cs="Times New Roman"/>
          <w:color w:val="auto"/>
          <w:kern w:val="0"/>
          <w:sz w:val="21"/>
          <w:szCs w:val="21"/>
          <w:highlight w:val="none"/>
          <w:lang w:val="en-US" w:eastAsia="zh-CN" w:bidi="ar"/>
        </w:rPr>
        <w:t>表</w:t>
      </w:r>
      <w:r>
        <w:rPr>
          <w:rFonts w:hint="eastAsia" w:cs="Times New Roman"/>
          <w:color w:val="auto"/>
          <w:lang w:val="en-US" w:eastAsia="zh-CN"/>
        </w:rPr>
        <w:t>A</w:t>
      </w:r>
      <w:r>
        <w:rPr>
          <w:rFonts w:hint="default" w:ascii="Times New Roman" w:hAnsi="Times New Roman" w:eastAsia="宋体" w:cs="Times New Roman"/>
          <w:color w:val="auto"/>
          <w:kern w:val="0"/>
          <w:sz w:val="21"/>
          <w:szCs w:val="21"/>
          <w:highlight w:val="none"/>
          <w:lang w:val="en-US" w:eastAsia="zh-CN" w:bidi="ar"/>
        </w:rPr>
        <w:t>.</w:t>
      </w:r>
      <w:r>
        <w:rPr>
          <w:rFonts w:hint="default" w:ascii="Times New Roman" w:hAnsi="Times New Roman" w:cs="Times New Roman"/>
          <w:color w:val="auto"/>
          <w:kern w:val="0"/>
          <w:sz w:val="21"/>
          <w:szCs w:val="21"/>
          <w:highlight w:val="none"/>
          <w:lang w:val="en-US" w:eastAsia="zh-CN" w:bidi="ar"/>
        </w:rPr>
        <w:t>4</w:t>
      </w:r>
      <w:r>
        <w:rPr>
          <w:rFonts w:hint="eastAsia" w:cs="Times New Roman"/>
          <w:color w:val="auto"/>
          <w:kern w:val="0"/>
          <w:sz w:val="21"/>
          <w:szCs w:val="21"/>
          <w:highlight w:val="none"/>
          <w:lang w:val="en-US" w:eastAsia="zh-CN" w:bidi="ar"/>
        </w:rPr>
        <w:t>（</w:t>
      </w:r>
      <w:r>
        <w:rPr>
          <w:rFonts w:hint="eastAsia" w:cs="Times New Roman"/>
          <w:color w:val="auto"/>
          <w:kern w:val="0"/>
          <w:sz w:val="21"/>
          <w:szCs w:val="21"/>
          <w:lang w:val="en-US" w:eastAsia="zh-CN" w:bidi="ar"/>
        </w:rPr>
        <w:t xml:space="preserve">《辐射防护手册 第三分册》表 </w:t>
      </w:r>
      <w:r>
        <w:rPr>
          <w:rFonts w:hint="default" w:cs="Times New Roman"/>
          <w:color w:val="auto"/>
          <w:kern w:val="0"/>
          <w:sz w:val="21"/>
          <w:szCs w:val="21"/>
          <w:lang w:val="en-US" w:eastAsia="zh-CN" w:bidi="ar"/>
        </w:rPr>
        <w:t>3.4</w:t>
      </w:r>
      <w:r>
        <w:rPr>
          <w:rFonts w:hint="eastAsia" w:cs="Times New Roman"/>
          <w:color w:val="auto"/>
          <w:kern w:val="0"/>
          <w:sz w:val="21"/>
          <w:szCs w:val="21"/>
          <w:lang w:val="en-US" w:eastAsia="zh-CN" w:bidi="ar"/>
        </w:rPr>
        <w:t>）</w:t>
      </w:r>
      <w:r>
        <w:rPr>
          <w:rFonts w:hint="eastAsia" w:cs="Times New Roman"/>
          <w:color w:val="auto"/>
          <w:kern w:val="0"/>
          <w:sz w:val="21"/>
          <w:szCs w:val="21"/>
          <w:highlight w:val="none"/>
          <w:lang w:val="en-US" w:eastAsia="zh-CN" w:bidi="ar"/>
        </w:rPr>
        <w:t>，根据GBZ/T250-2014附录B.1曲线，可查得其透射比</w:t>
      </w:r>
      <w:r>
        <w:rPr>
          <w:rFonts w:hint="default" w:ascii="Times New Roman" w:hAnsi="Times New Roman" w:eastAsia="宋体" w:cs="Times New Roman"/>
          <w:color w:val="auto"/>
          <w:kern w:val="0"/>
          <w:sz w:val="21"/>
          <w:szCs w:val="21"/>
          <w:highlight w:val="none"/>
          <w:lang w:val="en-US" w:eastAsia="zh-CN" w:bidi="ar"/>
        </w:rPr>
        <w:t>。</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b/>
          <w:bCs/>
          <w:i w:val="0"/>
          <w:color w:val="auto"/>
          <w:lang w:val="en-US" w:eastAsia="zh-CN"/>
        </w:rPr>
      </w:pP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黑体" w:cs="Times New Roman"/>
          <w:b w:val="0"/>
          <w:bCs w:val="0"/>
          <w:i w:val="0"/>
          <w:color w:val="auto"/>
          <w:lang w:val="en-US" w:eastAsia="zh-CN"/>
        </w:rPr>
      </w:pPr>
      <w:r>
        <w:rPr>
          <w:rFonts w:hint="eastAsia" w:ascii="黑体" w:hAnsi="黑体" w:eastAsia="黑体" w:cs="黑体"/>
          <w:b w:val="0"/>
          <w:bCs w:val="0"/>
          <w:i w:val="0"/>
          <w:color w:val="auto"/>
          <w:lang w:val="en-US" w:eastAsia="zh-CN"/>
        </w:rPr>
        <w:t>表</w:t>
      </w:r>
      <w:r>
        <w:rPr>
          <w:rFonts w:hint="eastAsia" w:ascii="黑体" w:hAnsi="黑体" w:eastAsia="黑体" w:cs="黑体"/>
          <w:color w:val="auto"/>
          <w:lang w:val="en-US" w:eastAsia="zh-CN"/>
        </w:rPr>
        <w:t>A</w:t>
      </w:r>
      <w:r>
        <w:rPr>
          <w:rFonts w:hint="eastAsia" w:ascii="黑体" w:hAnsi="黑体" w:eastAsia="黑体" w:cs="黑体"/>
          <w:b w:val="0"/>
          <w:bCs w:val="0"/>
          <w:i w:val="0"/>
          <w:color w:val="auto"/>
          <w:lang w:val="en-US" w:eastAsia="zh-CN"/>
        </w:rPr>
        <w:t>.2  不同</w:t>
      </w:r>
      <w:r>
        <w:rPr>
          <w:rFonts w:hint="default" w:ascii="Times New Roman" w:hAnsi="Times New Roman" w:eastAsia="黑体" w:cs="Times New Roman"/>
          <w:b w:val="0"/>
          <w:bCs w:val="0"/>
          <w:i w:val="0"/>
          <w:color w:val="auto"/>
          <w:lang w:val="en-US" w:eastAsia="zh-CN"/>
        </w:rPr>
        <w:t>材料在不同放射源能量下半值层厚度的近似值</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trPr>
        <w:tc>
          <w:tcPr>
            <w:tcW w:w="1704" w:type="dxa"/>
            <w:vMerge w:val="restart"/>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屏蔽材料</w:t>
            </w:r>
          </w:p>
        </w:tc>
        <w:tc>
          <w:tcPr>
            <w:tcW w:w="6818" w:type="dxa"/>
            <w:gridSpan w:val="4"/>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半值层厚度（</w:t>
            </w:r>
            <w:r>
              <w:rPr>
                <w:rFonts w:hint="default" w:ascii="Times New Roman" w:hAnsi="Times New Roman" w:cs="Times New Roman"/>
                <w:i/>
                <w:iCs/>
                <w:color w:val="auto"/>
                <w:vertAlign w:val="baseline"/>
                <w:lang w:val="en-US" w:eastAsia="zh-CN"/>
              </w:rPr>
              <w:t>HVL</w:t>
            </w:r>
            <w:r>
              <w:rPr>
                <w:rFonts w:hint="default" w:ascii="Times New Roman" w:hAnsi="Times New Roman" w:cs="Times New Roman"/>
                <w:i w:val="0"/>
                <w:color w:val="auto"/>
                <w:vertAlign w:val="baseline"/>
                <w:lang w:val="en-US" w:eastAsia="zh-CN"/>
              </w:rPr>
              <w:t>）</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trPr>
        <w:tc>
          <w:tcPr>
            <w:tcW w:w="1704" w:type="dxa"/>
            <w:vMerge w:val="continue"/>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60</w:t>
            </w:r>
            <w:r>
              <w:rPr>
                <w:rFonts w:hint="default" w:ascii="Times New Roman" w:hAnsi="Times New Roman" w:cs="Times New Roman"/>
                <w:i w:val="0"/>
                <w:color w:val="auto"/>
                <w:vertAlign w:val="baseline"/>
                <w:lang w:val="en-US" w:eastAsia="zh-CN"/>
              </w:rPr>
              <w:t>Co</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192</w:t>
            </w:r>
            <w:r>
              <w:rPr>
                <w:rFonts w:hint="eastAsia" w:ascii="Times New Roman" w:cs="Times New Roman"/>
                <w:i w:val="0"/>
                <w:color w:val="auto"/>
                <w:vertAlign w:val="baseline"/>
                <w:lang w:val="en-US" w:eastAsia="zh-CN"/>
              </w:rPr>
              <w:t>I</w:t>
            </w:r>
            <w:r>
              <w:rPr>
                <w:rFonts w:hint="default" w:ascii="Times New Roman" w:hAnsi="Times New Roman" w:cs="Times New Roman"/>
                <w:i w:val="0"/>
                <w:color w:val="auto"/>
                <w:vertAlign w:val="baseline"/>
                <w:lang w:val="en-US" w:eastAsia="zh-CN"/>
              </w:rPr>
              <w:t>r</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169</w:t>
            </w:r>
            <w:r>
              <w:rPr>
                <w:rFonts w:hint="default" w:ascii="Times New Roman" w:hAnsi="Times New Roman" w:cs="Times New Roman"/>
                <w:i w:val="0"/>
                <w:color w:val="auto"/>
                <w:vertAlign w:val="baseline"/>
                <w:lang w:val="en-US" w:eastAsia="zh-CN"/>
              </w:rPr>
              <w:t>Yb</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superscript"/>
                <w:lang w:val="en-US" w:eastAsia="zh-CN"/>
              </w:rPr>
              <w:t>75</w:t>
            </w:r>
            <w:r>
              <w:rPr>
                <w:rFonts w:hint="default" w:ascii="Times New Roman" w:hAnsi="Times New Roman" w:cs="Times New Roman"/>
                <w:i w:val="0"/>
                <w:color w:val="auto"/>
                <w:vertAlign w:val="baseline"/>
                <w:lang w:val="en-US" w:eastAsia="zh-CN"/>
              </w:rPr>
              <w:t>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铝</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70</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50</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27</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混凝土</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70</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50</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27</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钢</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24</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14</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8.5</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铅</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13</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3</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0.8</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钨</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10</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2.5</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铀</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6</w:t>
            </w:r>
          </w:p>
        </w:tc>
        <w:tc>
          <w:tcPr>
            <w:tcW w:w="1704"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2.3</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w:t>
            </w:r>
          </w:p>
        </w:tc>
        <w:tc>
          <w:tcPr>
            <w:tcW w:w="1705"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w:t>
            </w:r>
          </w:p>
        </w:tc>
      </w:tr>
    </w:tbl>
    <w:p>
      <w:pPr>
        <w:pStyle w:val="35"/>
        <w:keepNext w:val="0"/>
        <w:keepLines w:val="0"/>
        <w:pageBreakBefore w:val="0"/>
        <w:widowControl/>
        <w:kinsoku/>
        <w:wordWrap/>
        <w:overflowPunct/>
        <w:topLinePunct w:val="0"/>
        <w:autoSpaceDE w:val="0"/>
        <w:autoSpaceDN w:val="0"/>
        <w:bidi w:val="0"/>
        <w:adjustRightInd/>
        <w:snapToGrid/>
        <w:spacing w:before="313" w:beforeLines="100" w:line="240" w:lineRule="auto"/>
        <w:ind w:firstLine="0" w:firstLineChars="0"/>
        <w:jc w:val="center"/>
        <w:textAlignment w:val="auto"/>
        <w:outlineLvl w:val="9"/>
        <w:rPr>
          <w:rFonts w:hint="default" w:ascii="Times New Roman" w:hAnsi="Times New Roman" w:eastAsia="黑体" w:cs="Times New Roman"/>
          <w:b w:val="0"/>
          <w:bCs w:val="0"/>
          <w:i w:val="0"/>
          <w:color w:val="auto"/>
          <w:szCs w:val="22"/>
          <w:lang w:val="en-US" w:eastAsia="zh-CN"/>
        </w:rPr>
      </w:pPr>
      <w:r>
        <w:rPr>
          <w:rFonts w:hint="default" w:ascii="Times New Roman" w:hAnsi="Times New Roman" w:eastAsia="黑体" w:cs="Times New Roman"/>
          <w:b w:val="0"/>
          <w:bCs w:val="0"/>
          <w:i w:val="0"/>
          <w:color w:val="auto"/>
          <w:szCs w:val="22"/>
          <w:lang w:val="en-US" w:eastAsia="zh-CN"/>
        </w:rPr>
        <w:t>表</w:t>
      </w:r>
      <w:r>
        <w:rPr>
          <w:rFonts w:hint="eastAsia" w:ascii="Times New Roman" w:cs="Times New Roman"/>
          <w:color w:val="auto"/>
          <w:lang w:val="en-US" w:eastAsia="zh-CN"/>
        </w:rPr>
        <w:t>A</w:t>
      </w:r>
      <w:r>
        <w:rPr>
          <w:rFonts w:hint="default" w:ascii="Times New Roman" w:hAnsi="Times New Roman" w:eastAsia="黑体" w:cs="Times New Roman"/>
          <w:b w:val="0"/>
          <w:bCs w:val="0"/>
          <w:i w:val="0"/>
          <w:color w:val="auto"/>
          <w:szCs w:val="22"/>
          <w:lang w:val="en-US" w:eastAsia="zh-CN"/>
        </w:rPr>
        <w:t>.3  X射线输出量</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1921"/>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8"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jc w:val="both"/>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管电压（kV）</w:t>
            </w: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jc w:val="both"/>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滤过条件</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jc w:val="both"/>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输出量</w:t>
            </w:r>
            <w:r>
              <w:rPr>
                <w:rFonts w:hint="default" w:ascii="Times New Roman" w:hAnsi="Times New Roman" w:cs="Times New Roman"/>
                <w:i/>
                <w:iCs/>
                <w:color w:val="auto"/>
                <w:vertAlign w:val="baseline"/>
                <w:lang w:val="en-US" w:eastAsia="zh-CN"/>
              </w:rPr>
              <w:t>H</w:t>
            </w:r>
            <w:r>
              <w:rPr>
                <w:rFonts w:hint="default" w:ascii="Times New Roman" w:hAnsi="Times New Roman" w:cs="Times New Roman"/>
                <w:i/>
                <w:iCs/>
                <w:color w:val="auto"/>
                <w:vertAlign w:val="subscript"/>
                <w:lang w:val="en-US" w:eastAsia="zh-CN"/>
              </w:rPr>
              <w:t>0</w:t>
            </w:r>
            <w:r>
              <w:rPr>
                <w:rFonts w:hint="eastAsia" w:ascii="Times New Roman" w:cs="Times New Roman"/>
                <w:i/>
                <w:iCs/>
                <w:color w:val="auto"/>
                <w:vertAlign w:val="subscript"/>
                <w:lang w:val="en-US" w:eastAsia="zh-CN"/>
              </w:rPr>
              <w:t xml:space="preserve"> </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i w:val="0"/>
                <w:color w:val="auto"/>
                <w:vertAlign w:val="baseline"/>
                <w:lang w:val="en-US" w:eastAsia="zh-CN"/>
              </w:rPr>
              <w:t>mSv·m</w:t>
            </w:r>
            <w:r>
              <w:rPr>
                <w:rFonts w:hint="default" w:ascii="Times New Roman" w:hAnsi="Times New Roman" w:cs="Times New Roman"/>
                <w:i w:val="0"/>
                <w:color w:val="auto"/>
                <w:vertAlign w:val="superscript"/>
                <w:lang w:val="en-US" w:eastAsia="zh-CN"/>
              </w:rPr>
              <w:t>2</w:t>
            </w:r>
            <w:r>
              <w:rPr>
                <w:rFonts w:hint="eastAsia" w:cs="Times New Roman"/>
                <w:i w:val="0"/>
                <w:color w:val="auto"/>
                <w:vertAlign w:val="baseline"/>
                <w:lang w:val="en-US" w:eastAsia="zh-CN"/>
              </w:rPr>
              <w:t>/(</w:t>
            </w:r>
            <w:r>
              <w:rPr>
                <w:rFonts w:hint="default" w:ascii="Times New Roman" w:hAnsi="Times New Roman" w:cs="Times New Roman"/>
                <w:i w:val="0"/>
                <w:color w:val="auto"/>
                <w:vertAlign w:val="baseline"/>
                <w:lang w:val="en-US" w:eastAsia="zh-CN"/>
              </w:rPr>
              <w:t>mA·min</w:t>
            </w:r>
            <w:r>
              <w:rPr>
                <w:rFonts w:hint="eastAsia" w:cs="Times New Roman"/>
                <w:i w:val="0"/>
                <w:color w:val="auto"/>
                <w:vertAlign w:val="baseline"/>
                <w:lang w:val="en-US" w:eastAsia="zh-CN"/>
              </w:rPr>
              <w:t>)</w:t>
            </w:r>
            <w:r>
              <w:rPr>
                <w:rFonts w:hint="default" w:ascii="Times New Roman" w:hAnsi="Times New Roman" w:eastAsia="宋体" w:cs="Times New Roman"/>
                <w:color w:val="auto"/>
                <w:kern w:val="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trPr>
        <w:tc>
          <w:tcPr>
            <w:tcW w:w="2168" w:type="dxa"/>
            <w:vMerge w:val="restart"/>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150</w:t>
            </w: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2mm铝</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trPr>
        <w:tc>
          <w:tcPr>
            <w:tcW w:w="2168" w:type="dxa"/>
            <w:vMerge w:val="continue"/>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3mm铝</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 w:hRule="atLeast"/>
        </w:trPr>
        <w:tc>
          <w:tcPr>
            <w:tcW w:w="2168" w:type="dxa"/>
            <w:vMerge w:val="restart"/>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200</w:t>
            </w: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2mm铝</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2168" w:type="dxa"/>
            <w:vMerge w:val="continue"/>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3mm铝</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2168" w:type="dxa"/>
            <w:vMerge w:val="restart"/>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250</w:t>
            </w: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0.5mm铜</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 w:hRule="atLeast"/>
        </w:trPr>
        <w:tc>
          <w:tcPr>
            <w:tcW w:w="2168" w:type="dxa"/>
            <w:vMerge w:val="continue"/>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3mm铝</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 w:hRule="atLeast"/>
        </w:trPr>
        <w:tc>
          <w:tcPr>
            <w:tcW w:w="2168" w:type="dxa"/>
            <w:vMerge w:val="restart"/>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300</w:t>
            </w: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3mm铝</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2168" w:type="dxa"/>
            <w:vMerge w:val="continue"/>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3mm铜</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trPr>
        <w:tc>
          <w:tcPr>
            <w:tcW w:w="2168"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400</w:t>
            </w:r>
          </w:p>
        </w:tc>
        <w:tc>
          <w:tcPr>
            <w:tcW w:w="1921"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3mm铜</w:t>
            </w:r>
          </w:p>
        </w:tc>
        <w:tc>
          <w:tcPr>
            <w:tcW w:w="4433" w:type="dxa"/>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eastAsia="宋体" w:cs="Times New Roman"/>
                <w:i w:val="0"/>
                <w:color w:val="auto"/>
                <w:vertAlign w:val="baseline"/>
                <w:lang w:val="en-US" w:eastAsia="zh-CN"/>
              </w:rPr>
            </w:pPr>
            <w:r>
              <w:rPr>
                <w:rFonts w:hint="default" w:ascii="Times New Roman" w:hAnsi="Times New Roman" w:eastAsia="宋体" w:cs="Times New Roman"/>
                <w:i w:val="0"/>
                <w:color w:val="auto"/>
                <w:vertAlign w:val="baseline"/>
                <w:lang w:val="en-US" w:eastAsia="zh-CN"/>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8522" w:type="dxa"/>
            <w:gridSpan w:val="3"/>
            <w:vAlign w:val="center"/>
          </w:tcPr>
          <w:p>
            <w:pPr>
              <w:pStyle w:val="35"/>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both"/>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注1：表中值取自ICRP33，在本</w:t>
            </w:r>
            <w:r>
              <w:rPr>
                <w:rFonts w:hint="eastAsia" w:ascii="Times New Roman" w:cs="Times New Roman"/>
                <w:i w:val="0"/>
                <w:color w:val="auto"/>
                <w:vertAlign w:val="baseline"/>
                <w:lang w:val="en-US" w:eastAsia="zh-CN"/>
              </w:rPr>
              <w:t>文件</w:t>
            </w:r>
            <w:r>
              <w:rPr>
                <w:rFonts w:hint="default" w:ascii="Times New Roman" w:hAnsi="Times New Roman" w:cs="Times New Roman"/>
                <w:i w:val="0"/>
                <w:color w:val="auto"/>
                <w:vertAlign w:val="baseline"/>
                <w:lang w:val="en-US" w:eastAsia="zh-CN"/>
              </w:rPr>
              <w:t>中以等量值的</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i w:val="0"/>
                <w:color w:val="auto"/>
                <w:vertAlign w:val="baseline"/>
                <w:lang w:val="en-US" w:eastAsia="zh-CN"/>
              </w:rPr>
              <w:t>mSv·m</w:t>
            </w:r>
            <w:r>
              <w:rPr>
                <w:rFonts w:hint="default" w:ascii="Times New Roman" w:hAnsi="Times New Roman" w:cs="Times New Roman"/>
                <w:i w:val="0"/>
                <w:color w:val="auto"/>
                <w:vertAlign w:val="superscript"/>
                <w:lang w:val="en-US" w:eastAsia="zh-CN"/>
              </w:rPr>
              <w:t>2</w:t>
            </w:r>
            <w:r>
              <w:rPr>
                <w:rFonts w:hint="eastAsia" w:cs="Times New Roman"/>
                <w:i w:val="0"/>
                <w:color w:val="auto"/>
                <w:vertAlign w:val="baseline"/>
                <w:lang w:val="en-US" w:eastAsia="zh-CN"/>
              </w:rPr>
              <w:t>/(</w:t>
            </w:r>
            <w:r>
              <w:rPr>
                <w:rFonts w:hint="default" w:ascii="Times New Roman" w:hAnsi="Times New Roman" w:cs="Times New Roman"/>
                <w:i w:val="0"/>
                <w:color w:val="auto"/>
                <w:vertAlign w:val="baseline"/>
                <w:lang w:val="en-US" w:eastAsia="zh-CN"/>
              </w:rPr>
              <w:t>mA·min</w:t>
            </w:r>
            <w:r>
              <w:rPr>
                <w:rFonts w:hint="eastAsia" w:cs="Times New Roman"/>
                <w:i w:val="0"/>
                <w:color w:val="auto"/>
                <w:vertAlign w:val="baseline"/>
                <w:lang w:val="en-US" w:eastAsia="zh-CN"/>
              </w:rPr>
              <w:t>)</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i w:val="0"/>
                <w:color w:val="auto"/>
                <w:vertAlign w:val="baseline"/>
                <w:lang w:val="en-US" w:eastAsia="zh-CN"/>
              </w:rPr>
              <w:t>进行屏蔽计算。</w:t>
            </w:r>
          </w:p>
          <w:p>
            <w:pPr>
              <w:pStyle w:val="35"/>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both"/>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注2：有用线束屏蔽估算时根据透射曲线的过滤条件选取相对应的输出量。</w:t>
            </w:r>
          </w:p>
          <w:p>
            <w:pPr>
              <w:pStyle w:val="35"/>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both"/>
              <w:textAlignment w:val="auto"/>
              <w:outlineLvl w:val="9"/>
              <w:rPr>
                <w:rFonts w:hint="default" w:ascii="Times New Roman" w:hAnsi="Times New Roman" w:cs="Times New Roman"/>
                <w:i w:val="0"/>
                <w:color w:val="auto"/>
                <w:vertAlign w:val="baseline"/>
                <w:lang w:val="en-US" w:eastAsia="zh-CN"/>
              </w:rPr>
            </w:pPr>
            <w:r>
              <w:rPr>
                <w:rFonts w:hint="default" w:ascii="Times New Roman" w:hAnsi="Times New Roman" w:cs="Times New Roman"/>
                <w:i w:val="0"/>
                <w:color w:val="auto"/>
                <w:vertAlign w:val="baseline"/>
                <w:lang w:val="en-US" w:eastAsia="zh-CN"/>
              </w:rPr>
              <w:t>注3：在未获得厂家给出的输出量，散射辐射屏蔽估算选取表中各</w:t>
            </w:r>
            <w:r>
              <w:rPr>
                <w:rFonts w:hint="eastAsia" w:ascii="Times New Roman" w:cs="Times New Roman"/>
                <w:i w:val="0"/>
                <w:color w:val="auto"/>
                <w:vertAlign w:val="baseline"/>
                <w:lang w:val="en-US" w:eastAsia="zh-CN"/>
              </w:rPr>
              <w:t>千</w:t>
            </w:r>
            <w:r>
              <w:rPr>
                <w:rFonts w:hint="default" w:ascii="Times New Roman" w:hAnsi="Times New Roman" w:cs="Times New Roman"/>
                <w:i w:val="0"/>
                <w:color w:val="auto"/>
                <w:vertAlign w:val="baseline"/>
                <w:lang w:val="en-US" w:eastAsia="zh-CN"/>
              </w:rPr>
              <w:t>伏（kV）下输出量的较大值保守估计。</w:t>
            </w:r>
          </w:p>
        </w:tc>
      </w:tr>
    </w:tbl>
    <w:p>
      <w:pPr>
        <w:pStyle w:val="35"/>
        <w:keepNext w:val="0"/>
        <w:keepLines w:val="0"/>
        <w:pageBreakBefore w:val="0"/>
        <w:widowControl/>
        <w:kinsoku/>
        <w:wordWrap/>
        <w:overflowPunct/>
        <w:topLinePunct w:val="0"/>
        <w:autoSpaceDE w:val="0"/>
        <w:autoSpaceDN w:val="0"/>
        <w:bidi w:val="0"/>
        <w:adjustRightInd/>
        <w:snapToGrid/>
        <w:spacing w:before="313" w:beforeLines="100" w:line="240" w:lineRule="auto"/>
        <w:ind w:firstLine="0" w:firstLineChars="0"/>
        <w:jc w:val="center"/>
        <w:textAlignment w:val="auto"/>
        <w:outlineLvl w:val="9"/>
        <w:rPr>
          <w:rFonts w:hint="default" w:ascii="Times New Roman" w:hAnsi="Times New Roman" w:eastAsia="黑体" w:cs="Times New Roman"/>
          <w:b w:val="0"/>
          <w:bCs w:val="0"/>
          <w:i w:val="0"/>
          <w:color w:val="auto"/>
          <w:szCs w:val="22"/>
          <w:lang w:val="en-US" w:eastAsia="zh-CN"/>
        </w:rPr>
      </w:pPr>
      <w:bookmarkStart w:id="59" w:name="_Toc19440"/>
      <w:r>
        <w:rPr>
          <w:rFonts w:hint="default" w:ascii="Times New Roman" w:hAnsi="Times New Roman" w:eastAsia="黑体" w:cs="Times New Roman"/>
          <w:b w:val="0"/>
          <w:bCs w:val="0"/>
          <w:i w:val="0"/>
          <w:color w:val="auto"/>
          <w:szCs w:val="22"/>
          <w:lang w:val="en-US" w:eastAsia="zh-CN"/>
        </w:rPr>
        <w:t>表</w:t>
      </w:r>
      <w:r>
        <w:rPr>
          <w:rFonts w:hint="eastAsia" w:ascii="Times New Roman" w:cs="Times New Roman"/>
          <w:color w:val="auto"/>
          <w:lang w:val="en-US" w:eastAsia="zh-CN"/>
        </w:rPr>
        <w:t>A.</w:t>
      </w:r>
      <w:r>
        <w:rPr>
          <w:rFonts w:hint="eastAsia" w:ascii="Times New Roman" w:eastAsia="黑体" w:cs="Times New Roman"/>
          <w:b w:val="0"/>
          <w:bCs w:val="0"/>
          <w:i w:val="0"/>
          <w:color w:val="auto"/>
          <w:szCs w:val="22"/>
          <w:lang w:val="en-US" w:eastAsia="zh-CN"/>
        </w:rPr>
        <w:t>4</w:t>
      </w:r>
      <w:r>
        <w:rPr>
          <w:rFonts w:hint="default" w:ascii="Times New Roman" w:hAnsi="Times New Roman" w:eastAsia="黑体" w:cs="Times New Roman"/>
          <w:b w:val="0"/>
          <w:bCs w:val="0"/>
          <w:i w:val="0"/>
          <w:color w:val="auto"/>
          <w:szCs w:val="22"/>
          <w:lang w:val="en-US" w:eastAsia="zh-CN"/>
        </w:rPr>
        <w:t xml:space="preserve">  不同管电压下铁的近似铅当量厚度</w:t>
      </w:r>
      <w:bookmarkEnd w:id="59"/>
      <w:r>
        <w:rPr>
          <w:rFonts w:hint="eastAsia" w:ascii="Times New Roman" w:eastAsia="黑体" w:cs="Times New Roman"/>
          <w:b w:val="0"/>
          <w:bCs w:val="0"/>
          <w:i w:val="0"/>
          <w:color w:val="auto"/>
          <w:szCs w:val="22"/>
          <w:lang w:val="en-US" w:eastAsia="zh-CN"/>
        </w:rPr>
        <w:t>(mm)</w:t>
      </w:r>
    </w:p>
    <w:tbl>
      <w:tblPr>
        <w:tblStyle w:val="26"/>
        <w:tblW w:w="8475" w:type="dxa"/>
        <w:jc w:val="center"/>
        <w:tblInd w:w="-7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5"/>
        <w:gridCol w:w="1582"/>
        <w:gridCol w:w="1658"/>
        <w:gridCol w:w="1450"/>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35"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color w:val="auto"/>
                <w:szCs w:val="22"/>
                <w:vertAlign w:val="baseline"/>
                <w:lang w:val="en-US" w:eastAsia="zh-CN"/>
              </w:rPr>
            </w:pPr>
            <w:bookmarkStart w:id="60" w:name="_Toc5648"/>
            <w:r>
              <w:rPr>
                <w:rFonts w:hint="default" w:ascii="Times New Roman" w:hAnsi="Times New Roman" w:cs="Times New Roman"/>
                <w:b/>
                <w:bCs/>
                <w:color w:val="auto"/>
                <w:szCs w:val="22"/>
                <w:vertAlign w:val="baseline"/>
                <w:lang w:val="en-US" w:eastAsia="zh-CN"/>
              </w:rPr>
              <w:t>管电压（kV）</w:t>
            </w:r>
            <w:bookmarkEnd w:id="60"/>
          </w:p>
        </w:tc>
        <w:tc>
          <w:tcPr>
            <w:tcW w:w="6140" w:type="dxa"/>
            <w:gridSpan w:val="4"/>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color w:val="auto"/>
                <w:szCs w:val="22"/>
                <w:vertAlign w:val="baseline"/>
                <w:lang w:val="en-US" w:eastAsia="zh-CN"/>
              </w:rPr>
            </w:pPr>
            <w:bookmarkStart w:id="61" w:name="_Toc25690"/>
            <w:r>
              <w:rPr>
                <w:rFonts w:hint="default" w:ascii="Times New Roman" w:hAnsi="Times New Roman" w:cs="Times New Roman"/>
                <w:b/>
                <w:bCs/>
                <w:color w:val="auto"/>
                <w:szCs w:val="22"/>
                <w:vertAlign w:val="baseline"/>
                <w:lang w:val="en-US" w:eastAsia="zh-CN"/>
              </w:rPr>
              <w:t>铅当量（</w:t>
            </w:r>
            <w:r>
              <w:rPr>
                <w:rFonts w:hint="eastAsia" w:cs="Times New Roman"/>
                <w:b w:val="0"/>
                <w:bCs w:val="0"/>
                <w:color w:val="auto"/>
                <w:szCs w:val="22"/>
                <w:vertAlign w:val="baseline"/>
                <w:lang w:val="en-US" w:eastAsia="zh-CN"/>
              </w:rPr>
              <w:t>Pb</w:t>
            </w:r>
            <w:r>
              <w:rPr>
                <w:rFonts w:hint="default" w:ascii="Times New Roman" w:hAnsi="Times New Roman" w:cs="Times New Roman"/>
                <w:b w:val="0"/>
                <w:bCs w:val="0"/>
                <w:color w:val="auto"/>
                <w:szCs w:val="22"/>
                <w:vertAlign w:val="baseline"/>
                <w:lang w:val="en-US" w:eastAsia="zh-CN"/>
              </w:rPr>
              <w:t>mm</w:t>
            </w:r>
            <w:r>
              <w:rPr>
                <w:rFonts w:hint="default" w:ascii="Times New Roman" w:hAnsi="Times New Roman" w:cs="Times New Roman"/>
                <w:b/>
                <w:bCs/>
                <w:color w:val="auto"/>
                <w:szCs w:val="22"/>
                <w:vertAlign w:val="baseline"/>
                <w:lang w:val="en-US" w:eastAsia="zh-CN"/>
              </w:rPr>
              <w:t>）</w:t>
            </w:r>
            <w:bookmark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35"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color w:val="auto"/>
                <w:szCs w:val="22"/>
                <w:vertAlign w:val="baseline"/>
                <w:lang w:val="en-US" w:eastAsia="zh-CN"/>
              </w:rPr>
            </w:pPr>
          </w:p>
        </w:tc>
        <w:tc>
          <w:tcPr>
            <w:tcW w:w="158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cs="Times New Roman"/>
                <w:b/>
                <w:bCs/>
                <w:color w:val="auto"/>
                <w:szCs w:val="22"/>
                <w:vertAlign w:val="baseline"/>
                <w:lang w:val="en-US" w:eastAsia="zh-CN"/>
              </w:rPr>
            </w:pPr>
            <w:bookmarkStart w:id="62" w:name="_Toc2351"/>
            <w:r>
              <w:rPr>
                <w:rFonts w:hint="default" w:ascii="Times New Roman" w:hAnsi="Times New Roman" w:cs="Times New Roman"/>
                <w:b/>
                <w:bCs/>
                <w:color w:val="auto"/>
                <w:szCs w:val="22"/>
                <w:vertAlign w:val="baseline"/>
                <w:lang w:val="en-US" w:eastAsia="zh-CN"/>
              </w:rPr>
              <w:t>1</w:t>
            </w:r>
            <w:bookmarkEnd w:id="62"/>
          </w:p>
        </w:tc>
        <w:tc>
          <w:tcPr>
            <w:tcW w:w="165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cs="Times New Roman"/>
                <w:b/>
                <w:bCs/>
                <w:color w:val="auto"/>
                <w:szCs w:val="22"/>
                <w:vertAlign w:val="baseline"/>
                <w:lang w:val="en-US" w:eastAsia="zh-CN"/>
              </w:rPr>
            </w:pPr>
            <w:bookmarkStart w:id="63" w:name="_Toc27271"/>
            <w:r>
              <w:rPr>
                <w:rFonts w:hint="default" w:ascii="Times New Roman" w:hAnsi="Times New Roman" w:cs="Times New Roman"/>
                <w:b/>
                <w:bCs/>
                <w:color w:val="auto"/>
                <w:szCs w:val="22"/>
                <w:vertAlign w:val="baseline"/>
                <w:lang w:val="en-US" w:eastAsia="zh-CN"/>
              </w:rPr>
              <w:t>2</w:t>
            </w:r>
            <w:bookmarkEnd w:id="63"/>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cs="Times New Roman"/>
                <w:b/>
                <w:bCs/>
                <w:color w:val="auto"/>
                <w:szCs w:val="22"/>
                <w:vertAlign w:val="baseline"/>
                <w:lang w:val="en-US" w:eastAsia="zh-CN"/>
              </w:rPr>
            </w:pPr>
            <w:bookmarkStart w:id="64" w:name="_Toc6698"/>
            <w:r>
              <w:rPr>
                <w:rFonts w:hint="default" w:ascii="Times New Roman" w:hAnsi="Times New Roman" w:cs="Times New Roman"/>
                <w:b/>
                <w:bCs/>
                <w:color w:val="auto"/>
                <w:szCs w:val="22"/>
                <w:vertAlign w:val="baseline"/>
                <w:lang w:val="en-US" w:eastAsia="zh-CN"/>
              </w:rPr>
              <w:t>3</w:t>
            </w:r>
            <w:bookmarkEnd w:id="64"/>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cs="Times New Roman"/>
                <w:b/>
                <w:bCs/>
                <w:color w:val="auto"/>
                <w:szCs w:val="22"/>
                <w:vertAlign w:val="baseline"/>
                <w:lang w:val="en-US" w:eastAsia="zh-CN"/>
              </w:rPr>
            </w:pPr>
            <w:bookmarkStart w:id="65" w:name="_Toc1711"/>
            <w:r>
              <w:rPr>
                <w:rFonts w:hint="default" w:ascii="Times New Roman" w:hAnsi="Times New Roman" w:cs="Times New Roman"/>
                <w:b/>
                <w:bCs/>
                <w:color w:val="auto"/>
                <w:szCs w:val="22"/>
                <w:vertAlign w:val="baseline"/>
                <w:lang w:val="en-US" w:eastAsia="zh-CN"/>
              </w:rPr>
              <w:t>4</w:t>
            </w:r>
            <w:bookmarkEnd w:id="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35"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66" w:name="_Toc11137"/>
            <w:r>
              <w:rPr>
                <w:rFonts w:hint="default" w:ascii="Times New Roman" w:hAnsi="Times New Roman" w:cs="Times New Roman"/>
                <w:color w:val="auto"/>
                <w:szCs w:val="22"/>
                <w:vertAlign w:val="baseline"/>
                <w:lang w:val="en-US" w:eastAsia="zh-CN"/>
              </w:rPr>
              <w:t>100</w:t>
            </w:r>
            <w:bookmarkEnd w:id="66"/>
          </w:p>
        </w:tc>
        <w:tc>
          <w:tcPr>
            <w:tcW w:w="158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cs="Times New Roman"/>
                <w:color w:val="auto"/>
                <w:szCs w:val="22"/>
                <w:vertAlign w:val="baseline"/>
                <w:lang w:val="en-US" w:eastAsia="zh-CN"/>
              </w:rPr>
            </w:pPr>
            <w:bookmarkStart w:id="67" w:name="_Toc10199"/>
            <w:r>
              <w:rPr>
                <w:rFonts w:hint="default" w:ascii="Times New Roman" w:hAnsi="Times New Roman" w:cs="Times New Roman"/>
                <w:color w:val="auto"/>
                <w:szCs w:val="22"/>
                <w:vertAlign w:val="baseline"/>
                <w:lang w:val="en-US" w:eastAsia="zh-CN"/>
              </w:rPr>
              <w:t>6.4</w:t>
            </w:r>
            <w:bookmarkEnd w:id="67"/>
          </w:p>
        </w:tc>
        <w:tc>
          <w:tcPr>
            <w:tcW w:w="165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cs="Times New Roman"/>
                <w:color w:val="auto"/>
                <w:szCs w:val="22"/>
                <w:vertAlign w:val="baseline"/>
                <w:lang w:val="en-US" w:eastAsia="zh-CN"/>
              </w:rPr>
            </w:pPr>
            <w:bookmarkStart w:id="68" w:name="_Toc13478"/>
            <w:r>
              <w:rPr>
                <w:rFonts w:hint="default" w:ascii="Times New Roman" w:hAnsi="Times New Roman" w:cs="Times New Roman"/>
                <w:color w:val="auto"/>
                <w:szCs w:val="22"/>
                <w:vertAlign w:val="baseline"/>
                <w:lang w:val="en-US" w:eastAsia="zh-CN"/>
              </w:rPr>
              <w:t>13</w:t>
            </w:r>
            <w:bookmarkEnd w:id="68"/>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69" w:name="_Toc570"/>
            <w:r>
              <w:rPr>
                <w:rFonts w:hint="default" w:ascii="Times New Roman" w:hAnsi="Times New Roman" w:cs="Times New Roman"/>
                <w:color w:val="auto"/>
                <w:szCs w:val="22"/>
                <w:vertAlign w:val="baseline"/>
                <w:lang w:val="en-US" w:eastAsia="zh-CN"/>
              </w:rPr>
              <w:t>/</w:t>
            </w:r>
            <w:bookmarkEnd w:id="69"/>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0" w:name="_Toc4393"/>
            <w:r>
              <w:rPr>
                <w:rFonts w:hint="default" w:ascii="Times New Roman" w:hAnsi="Times New Roman" w:cs="Times New Roman"/>
                <w:color w:val="auto"/>
                <w:szCs w:val="22"/>
                <w:vertAlign w:val="baseline"/>
                <w:lang w:val="en-US" w:eastAsia="zh-CN"/>
              </w:rPr>
              <w:t>/</w:t>
            </w:r>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35"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1" w:name="_Toc16968"/>
            <w:r>
              <w:rPr>
                <w:rFonts w:hint="default" w:ascii="Times New Roman" w:hAnsi="Times New Roman" w:cs="Times New Roman"/>
                <w:color w:val="auto"/>
                <w:szCs w:val="22"/>
                <w:vertAlign w:val="baseline"/>
                <w:lang w:val="en-US" w:eastAsia="zh-CN"/>
              </w:rPr>
              <w:t>150</w:t>
            </w:r>
            <w:bookmarkEnd w:id="71"/>
          </w:p>
        </w:tc>
        <w:tc>
          <w:tcPr>
            <w:tcW w:w="158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2" w:name="_Toc1627"/>
            <w:r>
              <w:rPr>
                <w:rFonts w:hint="default" w:ascii="Times New Roman" w:hAnsi="Times New Roman" w:cs="Times New Roman"/>
                <w:color w:val="auto"/>
                <w:szCs w:val="22"/>
                <w:vertAlign w:val="baseline"/>
                <w:lang w:val="en-US" w:eastAsia="zh-CN"/>
              </w:rPr>
              <w:t>11</w:t>
            </w:r>
            <w:bookmarkEnd w:id="72"/>
          </w:p>
        </w:tc>
        <w:tc>
          <w:tcPr>
            <w:tcW w:w="165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3" w:name="_Toc8256"/>
            <w:r>
              <w:rPr>
                <w:rFonts w:hint="default" w:ascii="Times New Roman" w:hAnsi="Times New Roman" w:cs="Times New Roman"/>
                <w:color w:val="auto"/>
                <w:szCs w:val="22"/>
                <w:vertAlign w:val="baseline"/>
                <w:lang w:val="en-US" w:eastAsia="zh-CN"/>
              </w:rPr>
              <w:t>25</w:t>
            </w:r>
            <w:bookmarkEnd w:id="73"/>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4" w:name="_Toc6884"/>
            <w:r>
              <w:rPr>
                <w:rFonts w:hint="default" w:ascii="Times New Roman" w:hAnsi="Times New Roman" w:cs="Times New Roman"/>
                <w:color w:val="auto"/>
                <w:szCs w:val="22"/>
                <w:vertAlign w:val="baseline"/>
                <w:lang w:val="en-US" w:eastAsia="zh-CN"/>
              </w:rPr>
              <w:t>37</w:t>
            </w:r>
            <w:bookmarkEnd w:id="74"/>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5" w:name="_Toc8687"/>
            <w:r>
              <w:rPr>
                <w:rFonts w:hint="default" w:ascii="Times New Roman" w:hAnsi="Times New Roman" w:cs="Times New Roman"/>
                <w:color w:val="auto"/>
                <w:szCs w:val="22"/>
                <w:vertAlign w:val="baseline"/>
                <w:lang w:val="en-US" w:eastAsia="zh-CN"/>
              </w:rPr>
              <w:t>50</w:t>
            </w:r>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35"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6" w:name="_Toc30747"/>
            <w:r>
              <w:rPr>
                <w:rFonts w:hint="default" w:ascii="Times New Roman" w:hAnsi="Times New Roman" w:cs="Times New Roman"/>
                <w:color w:val="auto"/>
                <w:szCs w:val="22"/>
                <w:vertAlign w:val="baseline"/>
                <w:lang w:val="en-US" w:eastAsia="zh-CN"/>
              </w:rPr>
              <w:t>200</w:t>
            </w:r>
            <w:bookmarkEnd w:id="76"/>
          </w:p>
        </w:tc>
        <w:tc>
          <w:tcPr>
            <w:tcW w:w="158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7" w:name="_Toc798"/>
            <w:r>
              <w:rPr>
                <w:rFonts w:hint="default" w:ascii="Times New Roman" w:hAnsi="Times New Roman" w:cs="Times New Roman"/>
                <w:color w:val="auto"/>
                <w:szCs w:val="22"/>
                <w:vertAlign w:val="baseline"/>
                <w:lang w:val="en-US" w:eastAsia="zh-CN"/>
              </w:rPr>
              <w:t>12</w:t>
            </w:r>
            <w:bookmarkEnd w:id="77"/>
          </w:p>
        </w:tc>
        <w:tc>
          <w:tcPr>
            <w:tcW w:w="165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8" w:name="_Toc2859"/>
            <w:r>
              <w:rPr>
                <w:rFonts w:hint="default" w:ascii="Times New Roman" w:hAnsi="Times New Roman" w:cs="Times New Roman"/>
                <w:color w:val="auto"/>
                <w:szCs w:val="22"/>
                <w:vertAlign w:val="baseline"/>
                <w:lang w:val="en-US" w:eastAsia="zh-CN"/>
              </w:rPr>
              <w:t>27</w:t>
            </w:r>
            <w:bookmarkEnd w:id="78"/>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79" w:name="_Toc17074"/>
            <w:r>
              <w:rPr>
                <w:rFonts w:hint="default" w:ascii="Times New Roman" w:hAnsi="Times New Roman" w:cs="Times New Roman"/>
                <w:color w:val="auto"/>
                <w:szCs w:val="22"/>
                <w:vertAlign w:val="baseline"/>
                <w:lang w:val="en-US" w:eastAsia="zh-CN"/>
              </w:rPr>
              <w:t>40</w:t>
            </w:r>
            <w:bookmarkEnd w:id="79"/>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0" w:name="_Toc3140"/>
            <w:r>
              <w:rPr>
                <w:rFonts w:hint="default" w:ascii="Times New Roman" w:hAnsi="Times New Roman" w:cs="Times New Roman"/>
                <w:color w:val="auto"/>
                <w:szCs w:val="22"/>
                <w:vertAlign w:val="baseline"/>
                <w:lang w:val="en-US" w:eastAsia="zh-CN"/>
              </w:rPr>
              <w:t>55</w:t>
            </w:r>
            <w:bookmarkEnd w:id="8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35"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1" w:name="_Toc397"/>
            <w:r>
              <w:rPr>
                <w:rFonts w:hint="default" w:ascii="Times New Roman" w:hAnsi="Times New Roman" w:cs="Times New Roman"/>
                <w:color w:val="auto"/>
                <w:szCs w:val="22"/>
                <w:vertAlign w:val="baseline"/>
                <w:lang w:val="en-US" w:eastAsia="zh-CN"/>
              </w:rPr>
              <w:t>300</w:t>
            </w:r>
            <w:bookmarkEnd w:id="81"/>
          </w:p>
        </w:tc>
        <w:tc>
          <w:tcPr>
            <w:tcW w:w="158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2" w:name="_Toc1126"/>
            <w:r>
              <w:rPr>
                <w:rFonts w:hint="default" w:ascii="Times New Roman" w:hAnsi="Times New Roman" w:cs="Times New Roman"/>
                <w:color w:val="auto"/>
                <w:szCs w:val="22"/>
                <w:vertAlign w:val="baseline"/>
                <w:lang w:val="en-US" w:eastAsia="zh-CN"/>
              </w:rPr>
              <w:t>12</w:t>
            </w:r>
            <w:bookmarkEnd w:id="82"/>
          </w:p>
        </w:tc>
        <w:tc>
          <w:tcPr>
            <w:tcW w:w="165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3" w:name="_Toc2477"/>
            <w:r>
              <w:rPr>
                <w:rFonts w:hint="default" w:ascii="Times New Roman" w:hAnsi="Times New Roman" w:cs="Times New Roman"/>
                <w:color w:val="auto"/>
                <w:szCs w:val="22"/>
                <w:vertAlign w:val="baseline"/>
                <w:lang w:val="en-US" w:eastAsia="zh-CN"/>
              </w:rPr>
              <w:t>20</w:t>
            </w:r>
            <w:bookmarkEnd w:id="83"/>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4" w:name="_Toc28306"/>
            <w:r>
              <w:rPr>
                <w:rFonts w:hint="default" w:ascii="Times New Roman" w:hAnsi="Times New Roman" w:cs="Times New Roman"/>
                <w:color w:val="auto"/>
                <w:szCs w:val="22"/>
                <w:vertAlign w:val="baseline"/>
                <w:lang w:val="en-US" w:eastAsia="zh-CN"/>
              </w:rPr>
              <w:t>28</w:t>
            </w:r>
            <w:bookmarkEnd w:id="84"/>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5" w:name="_Toc18212"/>
            <w:r>
              <w:rPr>
                <w:rFonts w:hint="default" w:ascii="Times New Roman" w:hAnsi="Times New Roman" w:cs="Times New Roman"/>
                <w:color w:val="auto"/>
                <w:szCs w:val="22"/>
                <w:vertAlign w:val="baseline"/>
                <w:lang w:val="en-US" w:eastAsia="zh-CN"/>
              </w:rPr>
              <w:t>35</w:t>
            </w:r>
            <w:bookmark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35"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6" w:name="_Toc14173"/>
            <w:r>
              <w:rPr>
                <w:rFonts w:hint="default" w:ascii="Times New Roman" w:hAnsi="Times New Roman" w:cs="Times New Roman"/>
                <w:color w:val="auto"/>
                <w:szCs w:val="22"/>
                <w:vertAlign w:val="baseline"/>
                <w:lang w:val="en-US" w:eastAsia="zh-CN"/>
              </w:rPr>
              <w:t>400</w:t>
            </w:r>
            <w:bookmarkEnd w:id="86"/>
          </w:p>
        </w:tc>
        <w:tc>
          <w:tcPr>
            <w:tcW w:w="158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7" w:name="_Toc2517"/>
            <w:r>
              <w:rPr>
                <w:rFonts w:hint="default" w:ascii="Times New Roman" w:hAnsi="Times New Roman" w:cs="Times New Roman"/>
                <w:color w:val="auto"/>
                <w:szCs w:val="22"/>
                <w:vertAlign w:val="baseline"/>
                <w:lang w:val="en-US" w:eastAsia="zh-CN"/>
              </w:rPr>
              <w:t>11</w:t>
            </w:r>
            <w:bookmarkEnd w:id="87"/>
          </w:p>
        </w:tc>
        <w:tc>
          <w:tcPr>
            <w:tcW w:w="165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8" w:name="_Toc13879"/>
            <w:r>
              <w:rPr>
                <w:rFonts w:hint="default" w:ascii="Times New Roman" w:hAnsi="Times New Roman" w:cs="Times New Roman"/>
                <w:color w:val="auto"/>
                <w:szCs w:val="22"/>
                <w:vertAlign w:val="baseline"/>
                <w:lang w:val="en-US" w:eastAsia="zh-CN"/>
              </w:rPr>
              <w:t>18</w:t>
            </w:r>
            <w:bookmarkEnd w:id="88"/>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89" w:name="_Toc24095"/>
            <w:r>
              <w:rPr>
                <w:rFonts w:hint="default" w:ascii="Times New Roman" w:hAnsi="Times New Roman" w:cs="Times New Roman"/>
                <w:color w:val="auto"/>
                <w:szCs w:val="22"/>
                <w:vertAlign w:val="baseline"/>
                <w:lang w:val="en-US" w:eastAsia="zh-CN"/>
              </w:rPr>
              <w:t>23</w:t>
            </w:r>
            <w:bookmarkEnd w:id="89"/>
          </w:p>
        </w:tc>
        <w:tc>
          <w:tcPr>
            <w:tcW w:w="1450"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color w:val="auto"/>
                <w:szCs w:val="22"/>
                <w:vertAlign w:val="baseline"/>
                <w:lang w:val="en-US" w:eastAsia="zh-CN"/>
              </w:rPr>
            </w:pPr>
            <w:bookmarkStart w:id="90" w:name="_Toc21999"/>
            <w:r>
              <w:rPr>
                <w:rFonts w:hint="default" w:ascii="Times New Roman" w:hAnsi="Times New Roman" w:cs="Times New Roman"/>
                <w:color w:val="auto"/>
                <w:szCs w:val="22"/>
                <w:vertAlign w:val="baseline"/>
                <w:lang w:val="en-US" w:eastAsia="zh-CN"/>
              </w:rPr>
              <w:t>28</w:t>
            </w:r>
            <w:bookmarkEnd w:id="90"/>
          </w:p>
        </w:tc>
      </w:tr>
    </w:tbl>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bookmarkStart w:id="91" w:name="_Toc31707"/>
      <w:r>
        <w:rPr>
          <w:rFonts w:hint="default" w:ascii="Times New Roman" w:hAnsi="Times New Roman" w:eastAsia="宋体" w:cs="Times New Roman"/>
          <w:color w:val="auto"/>
          <w:kern w:val="0"/>
          <w:sz w:val="21"/>
          <w:szCs w:val="21"/>
          <w:lang w:val="en-US" w:eastAsia="zh-CN" w:bidi="ar"/>
        </w:rPr>
        <w:t>有用线束</w:t>
      </w:r>
      <w:r>
        <w:rPr>
          <w:rFonts w:hint="default" w:cs="Times New Roman"/>
          <w:color w:val="auto"/>
          <w:kern w:val="0"/>
          <w:sz w:val="21"/>
          <w:szCs w:val="21"/>
          <w:lang w:val="en-US" w:eastAsia="zh-CN" w:bidi="ar"/>
        </w:rPr>
        <w:t>方向</w:t>
      </w:r>
      <w:r>
        <w:rPr>
          <w:rFonts w:hint="default" w:ascii="Times New Roman" w:hAnsi="Times New Roman" w:eastAsia="宋体" w:cs="Times New Roman"/>
          <w:color w:val="auto"/>
          <w:kern w:val="0"/>
          <w:sz w:val="21"/>
          <w:szCs w:val="21"/>
          <w:lang w:val="en-US" w:eastAsia="zh-CN" w:bidi="ar"/>
        </w:rPr>
        <w:t>以外，</w:t>
      </w:r>
      <w:r>
        <w:rPr>
          <w:rFonts w:hint="default" w:ascii="Times New Roman" w:hAnsi="Times New Roman" w:cs="Times New Roman"/>
          <w:color w:val="auto"/>
          <w:kern w:val="0"/>
          <w:sz w:val="21"/>
          <w:szCs w:val="21"/>
          <w:lang w:val="en-US" w:eastAsia="zh-CN" w:bidi="ar"/>
        </w:rPr>
        <w:t>无附加屏蔽</w:t>
      </w:r>
      <w:r>
        <w:rPr>
          <w:rFonts w:hint="default" w:ascii="Times New Roman" w:hAnsi="Times New Roman" w:eastAsia="宋体" w:cs="Times New Roman"/>
          <w:color w:val="auto"/>
          <w:kern w:val="0"/>
          <w:sz w:val="21"/>
          <w:szCs w:val="21"/>
          <w:lang w:val="en-US" w:eastAsia="zh-CN" w:bidi="ar"/>
        </w:rPr>
        <w:t>的控制区距离的计算见公式（</w:t>
      </w:r>
      <w:r>
        <w:rPr>
          <w:rFonts w:hint="eastAsia" w:cs="Times New Roman"/>
          <w:color w:val="auto"/>
          <w:lang w:val="en-US" w:eastAsia="zh-CN"/>
        </w:rPr>
        <w:t>A</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6</w:t>
      </w:r>
      <w:r>
        <w:rPr>
          <w:rFonts w:hint="default" w:ascii="Times New Roman" w:hAnsi="Times New Roman" w:eastAsia="宋体" w:cs="Times New Roman"/>
          <w:color w:val="auto"/>
          <w:kern w:val="0"/>
          <w:sz w:val="21"/>
          <w:szCs w:val="21"/>
          <w:lang w:val="en-US" w:eastAsia="zh-CN" w:bidi="ar"/>
        </w:rPr>
        <w:t>）：</w:t>
      </w:r>
    </w:p>
    <w:p>
      <w:pPr>
        <w:keepNext w:val="0"/>
        <w:keepLines w:val="0"/>
        <w:pageBreakBefore w:val="0"/>
        <w:widowControl/>
        <w:suppressLineNumbers w:val="0"/>
        <w:kinsoku/>
        <w:wordWrap/>
        <w:overflowPunct/>
        <w:topLinePunct w:val="0"/>
        <w:bidi w:val="0"/>
        <w:snapToGrid/>
        <w:spacing w:line="240" w:lineRule="auto"/>
        <w:jc w:val="right"/>
        <w:textAlignment w:val="auto"/>
        <w:outlineLvl w:val="9"/>
        <w:rPr>
          <w:rFonts w:hint="default" w:ascii="Times New Roman" w:hAnsi="Times New Roman" w:cs="Times New Roman"/>
          <w:color w:val="auto"/>
          <w:lang w:val="en-US" w:eastAsia="zh-CN"/>
        </w:rPr>
      </w:pPr>
      <m:oMath>
        <m:sSub>
          <m:sSubPr>
            <m:ctrlPr>
              <w:rPr>
                <w:rFonts w:hint="default" w:ascii="Cambria Math" w:hAnsi="Cambria Math" w:cs="Times New Roman"/>
                <w:i/>
                <w:color w:val="auto"/>
                <w:kern w:val="0"/>
                <w:sz w:val="21"/>
                <w:szCs w:val="21"/>
                <w:lang w:val="en-US"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bidi="ar"/>
              </w:rPr>
            </m:ctrlPr>
          </m:e>
          <m:sub>
            <m:r>
              <w:rPr>
                <w:rFonts w:hint="default" w:ascii="Cambria Math" w:hAnsi="Cambria Math" w:cs="Times New Roman"/>
                <w:color w:val="auto"/>
                <w:kern w:val="0"/>
                <w:sz w:val="21"/>
                <w:szCs w:val="21"/>
                <w:lang w:val="en-US" w:eastAsia="zh-CN" w:bidi="ar"/>
              </w:rPr>
              <m:t>3</m:t>
            </m:r>
            <m:ctrlPr>
              <w:rPr>
                <w:rFonts w:hint="default" w:ascii="Cambria Math" w:hAnsi="Cambria Math" w:cs="Times New Roman"/>
                <w:i/>
                <w:color w:val="auto"/>
                <w:kern w:val="0"/>
                <w:sz w:val="21"/>
                <w:szCs w:val="21"/>
                <w:lang w:val="en-US" w:bidi="ar"/>
              </w:rPr>
            </m:ctrlPr>
          </m:sub>
        </m:sSub>
        <m:r>
          <w:rPr>
            <w:rFonts w:hint="default" w:ascii="Cambria Math" w:hAnsi="Cambria Math" w:cs="Times New Roman"/>
            <w:color w:val="auto"/>
            <w:kern w:val="0"/>
            <w:sz w:val="21"/>
            <w:szCs w:val="21"/>
            <w:lang w:val="en-US" w:eastAsia="zh-CN" w:bidi="ar"/>
          </w:rPr>
          <m:t>=</m:t>
        </m:r>
        <m:rad>
          <m:radPr>
            <m:degHide m:val="1"/>
            <m:ctrlPr>
              <w:rPr>
                <w:rFonts w:hint="default" w:ascii="Cambria Math" w:hAnsi="Cambria Math" w:cs="Times New Roman"/>
                <w:i/>
                <w:color w:val="auto"/>
                <w:lang w:val="en-US" w:eastAsia="zh-CN"/>
              </w:rPr>
            </m:ctrlPr>
          </m:radPr>
          <m:deg>
            <m:ctrlPr>
              <w:rPr>
                <w:rFonts w:hint="default" w:ascii="Cambria Math" w:hAnsi="Cambria Math" w:cs="Times New Roman"/>
                <w:i/>
                <w:color w:val="auto"/>
                <w:lang w:val="en-US" w:eastAsia="zh-CN"/>
              </w:rPr>
            </m:ctrlPr>
          </m:deg>
          <m:e>
            <m:f>
              <m:fPr>
                <m:ctrlPr>
                  <w:rPr>
                    <w:rFonts w:hint="default" w:ascii="Cambria Math" w:hAnsi="Cambria Math" w:cs="Times New Roman"/>
                    <w:i/>
                    <w:color w:val="auto"/>
                    <w:lang w:val="en-US" w:eastAsia="zh-CN"/>
                  </w:rPr>
                </m:ctrlPr>
              </m:fPr>
              <m:num>
                <m:sSub>
                  <m:sSubPr>
                    <m:ctrlPr>
                      <w:rPr>
                        <w:rFonts w:hint="default" w:ascii="Cambria Math" w:hAnsi="Cambria Math" w:cs="Times New Roman"/>
                        <w:i/>
                        <w:color w:val="auto"/>
                        <w:lang w:val="en-US"/>
                      </w:rPr>
                    </m:ctrlPr>
                  </m:sSubPr>
                  <m:e>
                    <m:r>
                      <w:rPr>
                        <w:rFonts w:hint="default" w:ascii="Cambria Math" w:hAnsi="Cambria Math" w:cs="Times New Roman"/>
                        <w:color w:val="auto"/>
                        <w:lang w:val="en-US" w:eastAsia="zh-CN"/>
                      </w:rPr>
                      <m:t>H</m:t>
                    </m:r>
                    <m:ctrlPr>
                      <w:rPr>
                        <w:rFonts w:hint="default" w:ascii="Cambria Math" w:hAnsi="Cambria Math" w:cs="Times New Roman"/>
                        <w:i/>
                        <w:color w:val="auto"/>
                        <w:lang w:val="en-US"/>
                      </w:rPr>
                    </m:ctrlPr>
                  </m:e>
                  <m:sub>
                    <m:r>
                      <w:rPr>
                        <w:rFonts w:hint="default" w:ascii="Cambria Math" w:hAnsi="Cambria Math" w:cs="Times New Roman"/>
                        <w:color w:val="auto"/>
                        <w:lang w:val="en-US" w:eastAsia="zh-CN"/>
                      </w:rPr>
                      <m:t>L</m:t>
                    </m:r>
                    <m:ctrlPr>
                      <w:rPr>
                        <w:rFonts w:hint="default" w:ascii="Cambria Math" w:hAnsi="Cambria Math" w:cs="Times New Roman"/>
                        <w:i/>
                        <w:color w:val="auto"/>
                        <w:lang w:val="en-US"/>
                      </w:rPr>
                    </m:ctrlPr>
                  </m:sub>
                </m:sSub>
                <m:ctrlPr>
                  <w:rPr>
                    <w:rFonts w:hint="default" w:ascii="Cambria Math" w:hAnsi="Cambria Math" w:cs="Times New Roman"/>
                    <w:i/>
                    <w:color w:val="auto"/>
                    <w:lang w:val="en-US" w:eastAsia="zh-CN"/>
                  </w:rPr>
                </m:ctrlPr>
              </m:num>
              <m:den>
                <m:r>
                  <w:rPr>
                    <w:rFonts w:hint="default" w:ascii="Cambria Math" w:hAnsi="Cambria Math" w:cs="Times New Roman"/>
                    <w:color w:val="auto"/>
                    <w:lang w:val="en-US" w:eastAsia="zh-CN"/>
                  </w:rPr>
                  <m:t>15</m:t>
                </m:r>
                <m:ctrlPr>
                  <w:rPr>
                    <w:rFonts w:hint="default" w:ascii="Cambria Math" w:hAnsi="Cambria Math" w:cs="Times New Roman"/>
                    <w:i/>
                    <w:color w:val="auto"/>
                    <w:lang w:val="en-US" w:eastAsia="zh-CN"/>
                  </w:rPr>
                </m:ctrlPr>
              </m:den>
            </m:f>
            <m:ctrlPr>
              <w:rPr>
                <w:rFonts w:hint="default" w:ascii="Cambria Math" w:hAnsi="Cambria Math" w:cs="Times New Roman"/>
                <w:i/>
                <w:color w:val="auto"/>
                <w:lang w:val="en-US" w:eastAsia="zh-CN"/>
              </w:rPr>
            </m:ctrlPr>
          </m:e>
        </m:rad>
        <m:r>
          <m:rPr>
            <m:sty m:val="p"/>
          </m:rPr>
          <w:rPr>
            <w:rFonts w:hint="default" w:ascii="Cambria Math" w:hAnsi="Cambria Math" w:cs="Times New Roman"/>
            <w:color w:val="auto"/>
            <w:lang w:val="en-US" w:eastAsia="zh-CN"/>
          </w:rPr>
          <m:t xml:space="preserve"> </m:t>
        </m:r>
      </m:oMath>
      <w:r>
        <w:rPr>
          <w:rFonts w:hint="eastAsia" w:ascii="Cambria Math" w:hAnsi="Cambria Math" w:cs="Times New Roman"/>
          <w:b w:val="0"/>
          <w:i w:val="0"/>
          <w:color w:val="auto"/>
          <w:lang w:val="en-US" w:eastAsia="zh-CN"/>
        </w:rPr>
        <w:t xml:space="preserve"> </w:t>
      </w:r>
      <w:r>
        <w:rPr>
          <w:rFonts w:ascii="宋体" w:hAnsi="宋体" w:eastAsia="宋体" w:cs="宋体"/>
          <w:sz w:val="24"/>
          <w:szCs w:val="24"/>
        </w:rPr>
        <w:t>......................</w:t>
      </w:r>
      <w:r>
        <w:rPr>
          <w:rFonts w:hint="default" w:ascii="Times New Roman" w:hAnsi="Times New Roman" w:cs="Times New Roman"/>
          <w:color w:val="auto"/>
          <w:lang w:val="en-US" w:eastAsia="zh-CN"/>
        </w:rPr>
        <w:t>（</w:t>
      </w:r>
      <w:r>
        <w:rPr>
          <w:rFonts w:hint="eastAsia" w:cs="Times New Roman"/>
          <w:color w:val="auto"/>
          <w:lang w:val="en-US" w:eastAsia="zh-CN"/>
        </w:rPr>
        <w:t>A.</w:t>
      </w:r>
      <w:r>
        <w:rPr>
          <w:rFonts w:hint="default" w:ascii="Times New Roman" w:hAnsi="Times New Roman" w:cs="Times New Roman"/>
          <w:color w:val="auto"/>
          <w:lang w:val="en-US" w:eastAsia="zh-CN"/>
        </w:rPr>
        <w:t>6）</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式中：</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3</w:t>
      </w:r>
      <w:r>
        <w:rPr>
          <w:rFonts w:hint="default" w:ascii="Times New Roman" w:hAnsi="Times New Roman" w:eastAsia="宋体" w:cs="Times New Roman"/>
          <w:color w:val="auto"/>
          <w:kern w:val="0"/>
          <w:sz w:val="21"/>
          <w:szCs w:val="21"/>
          <w:lang w:val="en-US" w:eastAsia="zh-CN" w:bidi="ar"/>
        </w:rPr>
        <w:t>——有用线束方向以外，</w:t>
      </w:r>
      <w:r>
        <w:rPr>
          <w:rFonts w:hint="default" w:ascii="Times New Roman" w:hAnsi="Times New Roman" w:cs="Times New Roman"/>
          <w:color w:val="auto"/>
          <w:kern w:val="0"/>
          <w:sz w:val="21"/>
          <w:szCs w:val="21"/>
          <w:lang w:val="en-US" w:eastAsia="zh-CN" w:bidi="ar"/>
        </w:rPr>
        <w:t>无附加屏蔽</w:t>
      </w:r>
      <w:r>
        <w:rPr>
          <w:rFonts w:hint="default" w:ascii="Times New Roman" w:hAnsi="Times New Roman" w:eastAsia="宋体" w:cs="Times New Roman"/>
          <w:color w:val="auto"/>
          <w:kern w:val="0"/>
          <w:sz w:val="21"/>
          <w:szCs w:val="21"/>
          <w:lang w:val="en-US" w:eastAsia="zh-CN" w:bidi="ar"/>
        </w:rPr>
        <w:t>的控制区距离，单位为米（m）；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cs="Times New Roman"/>
          <w:i/>
          <w:iCs/>
          <w:color w:val="auto"/>
          <w:kern w:val="0"/>
          <w:sz w:val="21"/>
          <w:szCs w:val="21"/>
          <w:lang w:val="en-US" w:eastAsia="zh-CN" w:bidi="ar"/>
        </w:rPr>
        <w:t>H</w:t>
      </w:r>
      <w:r>
        <w:rPr>
          <w:rFonts w:hint="default" w:ascii="Times New Roman" w:hAnsi="Times New Roman" w:cs="Times New Roman"/>
          <w:i/>
          <w:iCs/>
          <w:color w:val="auto"/>
          <w:kern w:val="0"/>
          <w:sz w:val="21"/>
          <w:szCs w:val="21"/>
          <w:vertAlign w:val="subscript"/>
          <w:lang w:val="en-US" w:eastAsia="zh-CN" w:bidi="ar"/>
        </w:rPr>
        <w:t>L</w:t>
      </w:r>
      <w:r>
        <w:rPr>
          <w:rFonts w:hint="default" w:ascii="Times New Roman" w:hAnsi="Times New Roman" w:eastAsia="宋体" w:cs="Times New Roman"/>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X射线管泄露辐射限值，见</w:t>
      </w:r>
      <w:r>
        <w:rPr>
          <w:rFonts w:hint="eastAsia" w:cs="Times New Roman"/>
          <w:color w:val="auto"/>
          <w:kern w:val="0"/>
          <w:sz w:val="21"/>
          <w:szCs w:val="21"/>
          <w:lang w:val="en-US" w:eastAsia="zh-CN" w:bidi="ar"/>
        </w:rPr>
        <w:t>本文件</w:t>
      </w:r>
      <w:r>
        <w:rPr>
          <w:rFonts w:hint="default" w:ascii="Times New Roman" w:hAnsi="Times New Roman" w:cs="Times New Roman"/>
          <w:color w:val="auto"/>
          <w:kern w:val="0"/>
          <w:sz w:val="21"/>
          <w:szCs w:val="21"/>
          <w:lang w:val="en-US" w:eastAsia="zh-CN" w:bidi="ar"/>
        </w:rPr>
        <w:t>表2，单位（μSv/h）。</w:t>
      </w:r>
    </w:p>
    <w:p>
      <w:pPr>
        <w:pStyle w:val="31"/>
        <w:keepNext w:val="0"/>
        <w:keepLines w:val="0"/>
        <w:pageBreakBefore w:val="0"/>
        <w:numPr>
          <w:ilvl w:val="0"/>
          <w:numId w:val="0"/>
        </w:numPr>
        <w:kinsoku/>
        <w:wordWrap/>
        <w:overflowPunct/>
        <w:topLinePunct w:val="0"/>
        <w:bidi w:val="0"/>
        <w:snapToGrid/>
        <w:spacing w:before="240" w:after="240" w:line="240" w:lineRule="auto"/>
        <w:ind w:leftChars="0"/>
        <w:textAlignment w:val="auto"/>
        <w:outlineLvl w:val="9"/>
        <w:rPr>
          <w:rFonts w:hint="default" w:ascii="Times New Roman" w:hAnsi="Times New Roman" w:eastAsia="黑体" w:cs="Times New Roman"/>
          <w:color w:val="auto"/>
          <w:szCs w:val="22"/>
          <w:lang w:val="en-US" w:eastAsia="zh-CN"/>
        </w:rPr>
      </w:pPr>
      <w:r>
        <w:rPr>
          <w:rFonts w:hint="eastAsia" w:cs="Times New Roman"/>
          <w:color w:val="auto"/>
          <w:lang w:val="en-US" w:eastAsia="zh-CN"/>
        </w:rPr>
        <w:t>A.</w:t>
      </w:r>
      <w:r>
        <w:rPr>
          <w:rFonts w:hint="default" w:ascii="Times New Roman" w:hAnsi="Times New Roman" w:eastAsia="黑体" w:cs="Times New Roman"/>
          <w:color w:val="auto"/>
          <w:szCs w:val="22"/>
          <w:lang w:val="en-US" w:eastAsia="zh-CN"/>
        </w:rPr>
        <w:t>4估算示例</w:t>
      </w:r>
      <w:bookmarkEnd w:id="91"/>
    </w:p>
    <w:p>
      <w:pPr>
        <w:pStyle w:val="31"/>
        <w:keepNext w:val="0"/>
        <w:keepLines w:val="0"/>
        <w:pageBreakBefore w:val="0"/>
        <w:numPr>
          <w:ilvl w:val="0"/>
          <w:numId w:val="0"/>
        </w:numPr>
        <w:kinsoku/>
        <w:wordWrap/>
        <w:overflowPunct/>
        <w:topLinePunct w:val="0"/>
        <w:bidi w:val="0"/>
        <w:snapToGrid/>
        <w:spacing w:before="240" w:after="240" w:line="240" w:lineRule="auto"/>
        <w:ind w:leftChars="0"/>
        <w:textAlignment w:val="auto"/>
        <w:outlineLvl w:val="9"/>
        <w:rPr>
          <w:rFonts w:hint="default" w:ascii="Times New Roman" w:hAnsi="Times New Roman" w:eastAsia="黑体" w:cs="Times New Roman"/>
          <w:color w:val="auto"/>
          <w:szCs w:val="22"/>
          <w:lang w:val="en-US" w:eastAsia="zh-CN"/>
        </w:rPr>
      </w:pPr>
      <w:bookmarkStart w:id="92" w:name="_Toc3630"/>
      <w:r>
        <w:rPr>
          <w:rFonts w:hint="eastAsia" w:cs="Times New Roman"/>
          <w:color w:val="auto"/>
          <w:lang w:val="en-US" w:eastAsia="zh-CN"/>
        </w:rPr>
        <w:t>A.</w:t>
      </w:r>
      <w:r>
        <w:rPr>
          <w:rFonts w:hint="default" w:ascii="Times New Roman" w:hAnsi="Times New Roman" w:eastAsia="黑体" w:cs="Times New Roman"/>
          <w:color w:val="auto"/>
          <w:szCs w:val="22"/>
          <w:lang w:val="en-US" w:eastAsia="zh-CN"/>
        </w:rPr>
        <w:t>4.1 γ射线移动式探伤控制区距离估算</w:t>
      </w:r>
      <w:bookmarkEnd w:id="92"/>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vertAlign w:val="superscript"/>
          <w:lang w:val="en-US" w:eastAsia="zh-CN" w:bidi="ar"/>
        </w:rPr>
        <w:t>192</w:t>
      </w:r>
      <w:r>
        <w:rPr>
          <w:rFonts w:hint="default" w:ascii="Times New Roman" w:hAnsi="Times New Roman" w:eastAsia="宋体" w:cs="Times New Roman"/>
          <w:color w:val="auto"/>
          <w:kern w:val="0"/>
          <w:sz w:val="21"/>
          <w:szCs w:val="21"/>
          <w:lang w:val="en-US" w:eastAsia="zh-CN" w:bidi="ar"/>
        </w:rPr>
        <w:t>Ir，放射源活度1.85×10</w:t>
      </w:r>
      <w:r>
        <w:rPr>
          <w:rFonts w:hint="default" w:ascii="Times New Roman" w:hAnsi="Times New Roman" w:eastAsia="宋体" w:cs="Times New Roman"/>
          <w:color w:val="auto"/>
          <w:kern w:val="0"/>
          <w:sz w:val="21"/>
          <w:szCs w:val="21"/>
          <w:vertAlign w:val="superscript"/>
          <w:lang w:val="en-US" w:eastAsia="zh-CN" w:bidi="ar"/>
        </w:rPr>
        <w:t>12</w:t>
      </w:r>
      <w:r>
        <w:rPr>
          <w:rFonts w:hint="eastAsia" w:cs="Times New Roman"/>
          <w:color w:val="auto"/>
          <w:kern w:val="0"/>
          <w:sz w:val="21"/>
          <w:szCs w:val="21"/>
          <w:vertAlign w:val="superscript"/>
          <w:lang w:val="en-US" w:eastAsia="zh-CN" w:bidi="ar"/>
        </w:rPr>
        <w:t xml:space="preserve"> </w:t>
      </w:r>
      <w:r>
        <w:rPr>
          <w:rFonts w:hint="default" w:ascii="Times New Roman" w:hAnsi="Times New Roman" w:eastAsia="宋体" w:cs="Times New Roman"/>
          <w:color w:val="auto"/>
          <w:kern w:val="0"/>
          <w:sz w:val="21"/>
          <w:szCs w:val="21"/>
          <w:lang w:val="en-US" w:eastAsia="zh-CN" w:bidi="ar"/>
        </w:rPr>
        <w:t>Bq，检测对象为结构钢，厚度28</w:t>
      </w:r>
      <w:r>
        <w:rPr>
          <w:rFonts w:hint="eastAsia" w:cs="Times New Roman"/>
          <w:color w:val="auto"/>
          <w:kern w:val="0"/>
          <w:sz w:val="21"/>
          <w:szCs w:val="21"/>
          <w:lang w:val="en-US" w:eastAsia="zh-CN" w:bidi="ar"/>
        </w:rPr>
        <w:t xml:space="preserve"> </w:t>
      </w:r>
      <w:r>
        <w:rPr>
          <w:rFonts w:hint="default" w:ascii="Times New Roman" w:hAnsi="Times New Roman" w:eastAsia="宋体" w:cs="Times New Roman"/>
          <w:color w:val="auto"/>
          <w:kern w:val="0"/>
          <w:sz w:val="21"/>
          <w:szCs w:val="21"/>
          <w:lang w:val="en-US" w:eastAsia="zh-CN" w:bidi="ar"/>
        </w:rPr>
        <w:t>mm(对于</w:t>
      </w:r>
      <w:r>
        <w:rPr>
          <w:rFonts w:hint="default" w:ascii="Times New Roman" w:hAnsi="Times New Roman" w:eastAsia="宋体" w:cs="Times New Roman"/>
          <w:color w:val="auto"/>
          <w:kern w:val="0"/>
          <w:sz w:val="21"/>
          <w:szCs w:val="21"/>
          <w:vertAlign w:val="superscript"/>
          <w:lang w:val="en-US" w:eastAsia="zh-CN" w:bidi="ar"/>
        </w:rPr>
        <w:t>192</w:t>
      </w:r>
      <w:r>
        <w:rPr>
          <w:rFonts w:hint="default" w:ascii="Times New Roman" w:hAnsi="Times New Roman" w:eastAsia="宋体" w:cs="Times New Roman"/>
          <w:color w:val="auto"/>
          <w:kern w:val="0"/>
          <w:sz w:val="21"/>
          <w:szCs w:val="21"/>
          <w:lang w:val="en-US" w:eastAsia="zh-CN" w:bidi="ar"/>
        </w:rPr>
        <w:t>Ir放射源，HVL=14</w:t>
      </w:r>
      <w:r>
        <w:rPr>
          <w:rFonts w:hint="eastAsia" w:cs="Times New Roman"/>
          <w:color w:val="auto"/>
          <w:kern w:val="0"/>
          <w:sz w:val="21"/>
          <w:szCs w:val="21"/>
          <w:lang w:val="en-US" w:eastAsia="zh-CN" w:bidi="ar"/>
        </w:rPr>
        <w:t xml:space="preserve"> </w:t>
      </w:r>
      <w:r>
        <w:rPr>
          <w:rFonts w:hint="default" w:ascii="Times New Roman" w:hAnsi="Times New Roman" w:eastAsia="宋体" w:cs="Times New Roman"/>
          <w:color w:val="auto"/>
          <w:kern w:val="0"/>
          <w:sz w:val="21"/>
          <w:szCs w:val="21"/>
          <w:lang w:val="en-US" w:eastAsia="zh-CN" w:bidi="ar"/>
        </w:rPr>
        <w:t>mm)，放射源屏蔽物（照射容器壁）为钨制，厚25</w:t>
      </w:r>
      <w:r>
        <w:rPr>
          <w:rFonts w:hint="eastAsia" w:cs="Times New Roman"/>
          <w:color w:val="auto"/>
          <w:kern w:val="0"/>
          <w:sz w:val="21"/>
          <w:szCs w:val="21"/>
          <w:lang w:val="en-US" w:eastAsia="zh-CN" w:bidi="ar"/>
        </w:rPr>
        <w:t xml:space="preserve"> </w:t>
      </w:r>
      <w:r>
        <w:rPr>
          <w:rFonts w:hint="default" w:ascii="Times New Roman" w:hAnsi="Times New Roman" w:eastAsia="宋体" w:cs="Times New Roman"/>
          <w:color w:val="auto"/>
          <w:kern w:val="0"/>
          <w:sz w:val="21"/>
          <w:szCs w:val="21"/>
          <w:lang w:val="en-US" w:eastAsia="zh-CN" w:bidi="ar"/>
        </w:rPr>
        <w:t>mm(对于</w:t>
      </w:r>
      <w:r>
        <w:rPr>
          <w:rFonts w:hint="default" w:ascii="Times New Roman" w:hAnsi="Times New Roman" w:eastAsia="宋体" w:cs="Times New Roman"/>
          <w:color w:val="auto"/>
          <w:kern w:val="0"/>
          <w:sz w:val="21"/>
          <w:szCs w:val="21"/>
          <w:vertAlign w:val="superscript"/>
          <w:lang w:val="en-US" w:eastAsia="zh-CN" w:bidi="ar"/>
        </w:rPr>
        <w:t>192</w:t>
      </w:r>
      <w:r>
        <w:rPr>
          <w:rFonts w:hint="default" w:ascii="Times New Roman" w:hAnsi="Times New Roman" w:eastAsia="宋体" w:cs="Times New Roman"/>
          <w:color w:val="auto"/>
          <w:kern w:val="0"/>
          <w:sz w:val="21"/>
          <w:szCs w:val="21"/>
          <w:lang w:val="en-US" w:eastAsia="zh-CN" w:bidi="ar"/>
        </w:rPr>
        <w:t>Ir放射源，HVL=2.5</w:t>
      </w:r>
      <w:r>
        <w:rPr>
          <w:rFonts w:hint="eastAsia" w:cs="Times New Roman"/>
          <w:color w:val="auto"/>
          <w:kern w:val="0"/>
          <w:sz w:val="21"/>
          <w:szCs w:val="21"/>
          <w:lang w:val="en-US" w:eastAsia="zh-CN" w:bidi="ar"/>
        </w:rPr>
        <w:t xml:space="preserve"> </w:t>
      </w:r>
      <w:r>
        <w:rPr>
          <w:rFonts w:hint="default" w:ascii="Times New Roman" w:hAnsi="Times New Roman" w:eastAsia="宋体" w:cs="Times New Roman"/>
          <w:color w:val="auto"/>
          <w:kern w:val="0"/>
          <w:sz w:val="21"/>
          <w:szCs w:val="21"/>
          <w:lang w:val="en-US" w:eastAsia="zh-CN" w:bidi="ar"/>
        </w:rPr>
        <w:t>mm)。</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由公式（</w:t>
      </w:r>
      <w:r>
        <w:rPr>
          <w:rFonts w:hint="eastAsia" w:cs="Times New Roman"/>
          <w:color w:val="auto"/>
          <w:lang w:val="en-US" w:eastAsia="zh-CN"/>
        </w:rPr>
        <w:t>A.</w:t>
      </w:r>
      <w:r>
        <w:rPr>
          <w:rFonts w:hint="default" w:ascii="Times New Roman" w:hAnsi="Times New Roman" w:eastAsia="宋体" w:cs="Times New Roman"/>
          <w:color w:val="auto"/>
          <w:kern w:val="0"/>
          <w:sz w:val="21"/>
          <w:szCs w:val="21"/>
          <w:lang w:val="en-US" w:eastAsia="zh-CN" w:bidi="ar"/>
        </w:rPr>
        <w:t>1）计算</w:t>
      </w: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1</w:t>
      </w:r>
      <w:r>
        <w:rPr>
          <w:rFonts w:hint="default" w:ascii="Times New Roman" w:hAnsi="Times New Roman" w:eastAsia="宋体" w:cs="Times New Roman"/>
          <w:color w:val="auto"/>
          <w:kern w:val="0"/>
          <w:sz w:val="21"/>
          <w:szCs w:val="21"/>
          <w:lang w:val="en-US" w:eastAsia="zh-CN" w:bidi="ar"/>
        </w:rPr>
        <w:t>：</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color w:val="auto"/>
        </w:rPr>
      </w:pPr>
      <m:oMathPara>
        <m:oMath>
          <m:sSub>
            <m:sSubPr>
              <m:ctrlPr>
                <w:rPr>
                  <w:rFonts w:hint="default" w:ascii="Cambria Math" w:hAnsi="Cambria Math" w:cs="Times New Roman"/>
                  <w:i/>
                  <w:color w:val="auto"/>
                  <w:lang w:val="en-US"/>
                </w:rPr>
              </m:ctrlPr>
            </m:sSubPr>
            <m:e>
              <m:r>
                <w:rPr>
                  <w:rFonts w:hint="default" w:ascii="Cambria Math" w:hAnsi="Cambria Math" w:cs="Times New Roman"/>
                  <w:color w:val="auto"/>
                  <w:lang w:val="en-US" w:eastAsia="zh-CN"/>
                </w:rPr>
                <m:t>L</m:t>
              </m:r>
              <m:ctrlPr>
                <w:rPr>
                  <w:rFonts w:hint="default" w:ascii="Cambria Math" w:hAnsi="Cambria Math" w:cs="Times New Roman"/>
                  <w:i/>
                  <w:color w:val="auto"/>
                  <w:lang w:val="en-US"/>
                </w:rPr>
              </m:ctrlPr>
            </m:e>
            <m:sub>
              <m:r>
                <w:rPr>
                  <w:rFonts w:hint="default" w:ascii="Cambria Math" w:hAnsi="Cambria Math" w:cs="Times New Roman"/>
                  <w:color w:val="auto"/>
                  <w:lang w:val="en-US" w:eastAsia="zh-CN"/>
                </w:rPr>
                <m:t>1</m:t>
              </m:r>
              <m:ctrlPr>
                <w:rPr>
                  <w:rFonts w:hint="default" w:ascii="Cambria Math" w:hAnsi="Cambria Math" w:cs="Times New Roman"/>
                  <w:i/>
                  <w:color w:val="auto"/>
                  <w:lang w:val="en-US"/>
                </w:rPr>
              </m:ctrlPr>
            </m:sub>
          </m:sSub>
          <m:r>
            <w:rPr>
              <w:rFonts w:hint="default" w:ascii="Cambria Math" w:hAnsi="Cambria Math" w:cs="Times New Roman"/>
              <w:color w:val="auto"/>
              <w:lang w:val="en-US" w:eastAsia="zh-CN"/>
            </w:rPr>
            <m:t>=</m:t>
          </m:r>
          <m:rad>
            <m:radPr>
              <m:degHide m:val="1"/>
              <m:ctrlPr>
                <w:rPr>
                  <w:rFonts w:hint="default" w:ascii="Cambria Math" w:hAnsi="Cambria Math" w:cs="Times New Roman"/>
                  <w:i/>
                  <w:color w:val="auto"/>
                  <w:lang w:val="en-US" w:eastAsia="zh-CN"/>
                </w:rPr>
              </m:ctrlPr>
            </m:radPr>
            <m:deg>
              <m:ctrlPr>
                <w:rPr>
                  <w:rFonts w:hint="default" w:ascii="Cambria Math" w:hAnsi="Cambria Math" w:cs="Times New Roman"/>
                  <w:i/>
                  <w:color w:val="auto"/>
                  <w:lang w:val="en-US" w:eastAsia="zh-CN"/>
                </w:rPr>
              </m:ctrlPr>
            </m:deg>
            <m:e>
              <m:f>
                <m:fPr>
                  <m:ctrlPr>
                    <w:rPr>
                      <w:rFonts w:hint="default" w:ascii="Cambria Math" w:hAnsi="Cambria Math" w:cs="Times New Roman"/>
                      <w:i/>
                      <w:color w:val="auto"/>
                      <w:lang w:val="en-US" w:eastAsia="zh-CN"/>
                    </w:rPr>
                  </m:ctrlPr>
                </m:fPr>
                <m:num>
                  <m:r>
                    <w:rPr>
                      <w:rFonts w:hint="default" w:ascii="Cambria Math" w:hAnsi="Cambria Math" w:cs="Times New Roman"/>
                      <w:color w:val="auto"/>
                      <w:lang w:val="en-US" w:eastAsia="zh-CN"/>
                    </w:rPr>
                    <m:t>A</m:t>
                  </m:r>
                  <m:r>
                    <w:rPr>
                      <w:rFonts w:hint="default" w:ascii="Cambria Math" w:hAnsi="Cambria Math" w:cs="Times New Roman"/>
                      <w:color w:val="auto"/>
                      <w:lang w:val="en-US"/>
                    </w:rPr>
                    <m:t>×Γ</m:t>
                  </m:r>
                  <m:ctrlPr>
                    <w:rPr>
                      <w:rFonts w:hint="default" w:ascii="Cambria Math" w:hAnsi="Cambria Math" w:cs="Times New Roman"/>
                      <w:i/>
                      <w:color w:val="auto"/>
                      <w:lang w:val="en-US" w:eastAsia="zh-CN"/>
                    </w:rPr>
                  </m:ctrlPr>
                </m:num>
                <m:den>
                  <m:r>
                    <w:rPr>
                      <w:rFonts w:hint="default" w:ascii="Cambria Math" w:hAnsi="Cambria Math" w:cs="Times New Roman"/>
                      <w:color w:val="auto"/>
                      <w:lang w:val="en-US" w:eastAsia="zh-CN"/>
                    </w:rPr>
                    <m:t>15</m:t>
                  </m:r>
                  <m:ctrlPr>
                    <w:rPr>
                      <w:rFonts w:hint="default" w:ascii="Cambria Math" w:hAnsi="Cambria Math" w:cs="Times New Roman"/>
                      <w:i/>
                      <w:color w:val="auto"/>
                      <w:lang w:val="en-US" w:eastAsia="zh-CN"/>
                    </w:rPr>
                  </m:ctrlPr>
                </m:den>
              </m:f>
              <m:ctrlPr>
                <w:rPr>
                  <w:rFonts w:hint="default" w:ascii="Cambria Math" w:hAnsi="Cambria Math" w:cs="Times New Roman"/>
                  <w:i/>
                  <w:color w:val="auto"/>
                  <w:lang w:val="en-US" w:eastAsia="zh-CN"/>
                </w:rPr>
              </m:ctrlPr>
            </m:e>
          </m:rad>
          <m:r>
            <w:rPr>
              <w:rFonts w:hint="default" w:ascii="Cambria Math" w:hAnsi="Cambria Math" w:cs="Times New Roman"/>
              <w:color w:val="auto"/>
              <w:lang w:val="en-US" w:eastAsia="zh-CN"/>
            </w:rPr>
            <m:t>=</m:t>
          </m:r>
          <m:rad>
            <m:radPr>
              <m:degHide m:val="1"/>
              <m:ctrlPr>
                <w:rPr>
                  <w:rFonts w:hint="default" w:ascii="Cambria Math" w:hAnsi="Cambria Math" w:cs="Times New Roman"/>
                  <w:i/>
                  <w:color w:val="auto"/>
                  <w:lang w:val="en-US" w:eastAsia="zh-CN"/>
                </w:rPr>
              </m:ctrlPr>
            </m:radPr>
            <m:deg>
              <m:ctrlPr>
                <w:rPr>
                  <w:rFonts w:hint="default" w:ascii="Cambria Math" w:hAnsi="Cambria Math" w:cs="Times New Roman"/>
                  <w:i/>
                  <w:color w:val="auto"/>
                  <w:lang w:val="en-US" w:eastAsia="zh-CN"/>
                </w:rPr>
              </m:ctrlPr>
            </m:deg>
            <m:e>
              <m:f>
                <m:fPr>
                  <m:ctrlPr>
                    <w:rPr>
                      <w:rFonts w:hint="default" w:ascii="Cambria Math" w:hAnsi="Cambria Math" w:cs="Times New Roman"/>
                      <w:i/>
                      <w:color w:val="auto"/>
                      <w:lang w:val="en-US" w:eastAsia="zh-CN"/>
                    </w:rPr>
                  </m:ctrlPr>
                </m:fPr>
                <m:num>
                  <m:r>
                    <w:rPr>
                      <w:rFonts w:hint="default" w:ascii="Cambria Math" w:hAnsi="Cambria Math" w:cs="Times New Roman"/>
                      <w:color w:val="auto"/>
                      <w:lang w:val="en-US" w:eastAsia="zh-CN"/>
                    </w:rPr>
                    <m:t>1.85</m:t>
                  </m:r>
                  <m:r>
                    <w:rPr>
                      <w:rFonts w:hint="default" w:ascii="Cambria Math" w:hAnsi="Cambria Math" w:cs="Times New Roman"/>
                      <w:color w:val="auto"/>
                      <w:lang w:val="en-US"/>
                    </w:rPr>
                    <m:t>×</m:t>
                  </m:r>
                  <m:sSup>
                    <m:sSupPr>
                      <m:ctrlPr>
                        <w:rPr>
                          <w:rFonts w:hint="default" w:ascii="Cambria Math" w:hAnsi="Cambria Math" w:cs="Times New Roman"/>
                          <w:i/>
                          <w:color w:val="auto"/>
                          <w:lang w:val="en-US"/>
                        </w:rPr>
                      </m:ctrlPr>
                    </m:sSupPr>
                    <m:e>
                      <m:r>
                        <w:rPr>
                          <w:rFonts w:hint="default" w:ascii="Cambria Math" w:hAnsi="Cambria Math" w:cs="Times New Roman"/>
                          <w:color w:val="auto"/>
                          <w:lang w:val="en-US" w:eastAsia="zh-CN"/>
                        </w:rPr>
                        <m:t>10</m:t>
                      </m:r>
                      <m:ctrlPr>
                        <w:rPr>
                          <w:rFonts w:hint="default" w:ascii="Cambria Math" w:hAnsi="Cambria Math" w:cs="Times New Roman"/>
                          <w:i/>
                          <w:color w:val="auto"/>
                          <w:lang w:val="en-US"/>
                        </w:rPr>
                      </m:ctrlPr>
                    </m:e>
                    <m:sup>
                      <m:r>
                        <w:rPr>
                          <w:rFonts w:hint="default" w:ascii="Cambria Math" w:hAnsi="Cambria Math" w:cs="Times New Roman"/>
                          <w:color w:val="auto"/>
                          <w:lang w:val="en-US" w:eastAsia="zh-CN"/>
                        </w:rPr>
                        <m:t>12</m:t>
                      </m:r>
                      <m:ctrlPr>
                        <w:rPr>
                          <w:rFonts w:hint="default" w:ascii="Cambria Math" w:hAnsi="Cambria Math" w:cs="Times New Roman"/>
                          <w:i/>
                          <w:color w:val="auto"/>
                          <w:lang w:val="en-US"/>
                        </w:rPr>
                      </m:ctrlPr>
                    </m:sup>
                  </m:sSup>
                  <m:r>
                    <w:rPr>
                      <w:rFonts w:hint="default" w:ascii="Cambria Math" w:hAnsi="Cambria Math" w:cs="Times New Roman"/>
                      <w:color w:val="auto"/>
                      <w:lang w:val="en-US" w:eastAsia="zh-CN"/>
                    </w:rPr>
                    <m:t>/</m:t>
                  </m:r>
                  <m:sSup>
                    <m:sSupPr>
                      <m:ctrlPr>
                        <w:rPr>
                          <w:rFonts w:hint="default" w:ascii="Cambria Math" w:hAnsi="Cambria Math" w:cs="Times New Roman"/>
                          <w:i/>
                          <w:color w:val="auto"/>
                          <w:lang w:val="en-US" w:eastAsia="zh-CN"/>
                        </w:rPr>
                      </m:ctrlPr>
                    </m:sSupPr>
                    <m:e>
                      <m:r>
                        <w:rPr>
                          <w:rFonts w:hint="default" w:ascii="Cambria Math" w:hAnsi="Cambria Math" w:cs="Times New Roman"/>
                          <w:color w:val="auto"/>
                          <w:lang w:val="en-US" w:eastAsia="zh-CN"/>
                        </w:rPr>
                        <m:t>10</m:t>
                      </m:r>
                      <m:ctrlPr>
                        <w:rPr>
                          <w:rFonts w:hint="default" w:ascii="Cambria Math" w:hAnsi="Cambria Math" w:cs="Times New Roman"/>
                          <w:i/>
                          <w:color w:val="auto"/>
                          <w:lang w:val="en-US" w:eastAsia="zh-CN"/>
                        </w:rPr>
                      </m:ctrlPr>
                    </m:e>
                    <m:sup>
                      <m:r>
                        <w:rPr>
                          <w:rFonts w:hint="default" w:ascii="Cambria Math" w:hAnsi="Cambria Math" w:cs="Times New Roman"/>
                          <w:color w:val="auto"/>
                          <w:lang w:val="en-US" w:eastAsia="zh-CN"/>
                        </w:rPr>
                        <m:t>6</m:t>
                      </m:r>
                      <m:ctrlPr>
                        <w:rPr>
                          <w:rFonts w:hint="default" w:ascii="Cambria Math" w:hAnsi="Cambria Math" w:cs="Times New Roman"/>
                          <w:i/>
                          <w:color w:val="auto"/>
                          <w:lang w:val="en-US" w:eastAsia="zh-CN"/>
                        </w:rPr>
                      </m:ctrlPr>
                    </m:sup>
                  </m:sSup>
                  <m:r>
                    <w:rPr>
                      <w:rFonts w:hint="default" w:ascii="Cambria Math" w:hAnsi="Cambria Math" w:cs="Times New Roman"/>
                      <w:color w:val="auto"/>
                      <w:lang w:val="en-US"/>
                    </w:rPr>
                    <m:t>×</m:t>
                  </m:r>
                  <m:r>
                    <w:rPr>
                      <w:rFonts w:hint="default" w:ascii="Cambria Math" w:hAnsi="Cambria Math" w:cs="Times New Roman"/>
                      <w:color w:val="auto"/>
                      <w:lang w:val="en-US" w:eastAsia="zh-CN"/>
                    </w:rPr>
                    <m:t>0.17</m:t>
                  </m:r>
                  <m:ctrlPr>
                    <w:rPr>
                      <w:rFonts w:hint="default" w:ascii="Cambria Math" w:hAnsi="Cambria Math" w:cs="Times New Roman"/>
                      <w:i/>
                      <w:color w:val="auto"/>
                      <w:lang w:val="en-US" w:eastAsia="zh-CN"/>
                    </w:rPr>
                  </m:ctrlPr>
                </m:num>
                <m:den>
                  <m:r>
                    <w:rPr>
                      <w:rFonts w:hint="default" w:ascii="Cambria Math" w:hAnsi="Cambria Math" w:cs="Times New Roman"/>
                      <w:color w:val="auto"/>
                      <w:lang w:val="en-US" w:eastAsia="zh-CN"/>
                    </w:rPr>
                    <m:t>15</m:t>
                  </m:r>
                  <m:ctrlPr>
                    <w:rPr>
                      <w:rFonts w:hint="default" w:ascii="Cambria Math" w:hAnsi="Cambria Math" w:cs="Times New Roman"/>
                      <w:i/>
                      <w:color w:val="auto"/>
                      <w:lang w:val="en-US" w:eastAsia="zh-CN"/>
                    </w:rPr>
                  </m:ctrlPr>
                </m:den>
              </m:f>
              <m:ctrlPr>
                <w:rPr>
                  <w:rFonts w:hint="default" w:ascii="Cambria Math" w:hAnsi="Cambria Math" w:cs="Times New Roman"/>
                  <w:i/>
                  <w:color w:val="auto"/>
                  <w:lang w:val="en-US" w:eastAsia="zh-CN"/>
                </w:rPr>
              </m:ctrlPr>
            </m:e>
          </m:rad>
          <m:r>
            <w:rPr>
              <w:rFonts w:hint="default" w:ascii="Cambria Math" w:hAnsi="Cambria Math" w:cs="Times New Roman"/>
              <w:color w:val="auto"/>
              <w:lang w:val="en-US" w:eastAsia="zh-CN"/>
            </w:rPr>
            <m:t>=145m</m:t>
          </m:r>
        </m:oMath>
      </m:oMathPara>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由公式（</w:t>
      </w:r>
      <w:r>
        <w:rPr>
          <w:rFonts w:hint="eastAsia" w:cs="Times New Roman"/>
          <w:color w:val="auto"/>
          <w:lang w:val="en-US" w:eastAsia="zh-CN"/>
        </w:rPr>
        <w:t>A.</w:t>
      </w:r>
      <w:r>
        <w:rPr>
          <w:rFonts w:hint="default" w:ascii="Times New Roman" w:hAnsi="Times New Roman" w:eastAsia="宋体" w:cs="Times New Roman"/>
          <w:color w:val="auto"/>
          <w:kern w:val="0"/>
          <w:sz w:val="21"/>
          <w:szCs w:val="21"/>
          <w:lang w:val="en-US" w:eastAsia="zh-CN" w:bidi="ar"/>
        </w:rPr>
        <w:t>2）计算</w:t>
      </w: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cs="Times New Roman"/>
          <w:i/>
          <w:iCs/>
          <w:color w:val="auto"/>
          <w:kern w:val="0"/>
          <w:sz w:val="21"/>
          <w:szCs w:val="21"/>
          <w:vertAlign w:val="subscript"/>
          <w:lang w:val="en-US" w:eastAsia="zh-CN" w:bidi="ar"/>
        </w:rPr>
        <w:t>2</w:t>
      </w:r>
      <w:r>
        <w:rPr>
          <w:rFonts w:hint="default" w:ascii="Times New Roman" w:hAnsi="Times New Roman" w:eastAsia="宋体" w:cs="Times New Roman"/>
          <w:color w:val="auto"/>
          <w:kern w:val="0"/>
          <w:sz w:val="21"/>
          <w:szCs w:val="21"/>
          <w:lang w:val="en-US" w:eastAsia="zh-CN" w:bidi="ar"/>
        </w:rPr>
        <w:t>：</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lang w:val="en-US" w:eastAsia="zh-CN"/>
        </w:rPr>
      </w:pPr>
      <m:oMathPara>
        <m:oMath>
          <m:sSub>
            <m:sSubPr>
              <m:ctrlPr>
                <w:rPr>
                  <w:rFonts w:hint="default" w:ascii="Cambria Math" w:hAnsi="Cambria Math" w:cs="Times New Roman"/>
                  <w:i/>
                  <w:color w:val="auto"/>
                  <w:kern w:val="0"/>
                  <w:sz w:val="21"/>
                  <w:szCs w:val="21"/>
                  <w:lang w:val="en-US"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bidi="ar"/>
                </w:rPr>
              </m:ctrlPr>
            </m:e>
            <m:sub>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bidi="ar"/>
                </w:rPr>
              </m:ctrlPr>
            </m:sub>
          </m:sSub>
          <m:r>
            <w:rPr>
              <w:rFonts w:hint="default" w:ascii="Cambria Math" w:hAnsi="Cambria Math" w:cs="Times New Roman"/>
              <w:color w:val="auto"/>
              <w:kern w:val="0"/>
              <w:sz w:val="21"/>
              <w:szCs w:val="21"/>
              <w:lang w:val="en-US" w:eastAsia="zh-CN" w:bidi="ar"/>
            </w:rPr>
            <m:t>=</m:t>
          </m:r>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1</m:t>
              </m:r>
              <m:ctrlPr>
                <w:rPr>
                  <w:rFonts w:hint="default" w:ascii="Cambria Math" w:hAnsi="Cambria Math" w:cs="Times New Roman"/>
                  <w:i/>
                  <w:color w:val="auto"/>
                  <w:kern w:val="0"/>
                  <w:sz w:val="21"/>
                  <w:szCs w:val="21"/>
                  <w:lang w:val="en-US" w:eastAsia="zh-CN" w:bidi="ar"/>
                </w:rPr>
              </m:ctrlPr>
            </m:sub>
          </m:sSub>
          <m:r>
            <w:rPr>
              <w:rFonts w:hint="default" w:ascii="Cambria Math" w:hAnsi="Cambria Math" w:cs="Times New Roman"/>
              <w:color w:val="auto"/>
              <w:kern w:val="0"/>
              <w:sz w:val="21"/>
              <w:szCs w:val="21"/>
              <w:lang w:val="en-US" w:eastAsia="zh-CN" w:bidi="ar"/>
            </w:rPr>
            <m:t>×</m:t>
          </m:r>
          <m:rad>
            <m:radPr>
              <m:degHide m:val="1"/>
              <m:ctrlPr>
                <w:rPr>
                  <w:rFonts w:hint="default" w:ascii="Cambria Math" w:hAnsi="Cambria Math" w:cs="Times New Roman"/>
                  <w:i/>
                  <w:color w:val="auto"/>
                  <w:kern w:val="0"/>
                  <w:sz w:val="21"/>
                  <w:szCs w:val="21"/>
                  <w:lang w:val="en-US" w:eastAsia="zh-CN" w:bidi="ar"/>
                </w:rPr>
              </m:ctrlPr>
            </m:radPr>
            <m:deg>
              <m:ctrlPr>
                <w:rPr>
                  <w:rFonts w:hint="default" w:ascii="Cambria Math" w:hAnsi="Cambria Math" w:cs="Times New Roman"/>
                  <w:i/>
                  <w:color w:val="auto"/>
                  <w:kern w:val="0"/>
                  <w:sz w:val="21"/>
                  <w:szCs w:val="21"/>
                  <w:lang w:val="en-US" w:eastAsia="zh-CN" w:bidi="ar"/>
                </w:rPr>
              </m:ctrlPr>
            </m:deg>
            <m:e>
              <m:sSup>
                <m:sSupPr>
                  <m:ctrlPr>
                    <w:rPr>
                      <w:rFonts w:hint="default" w:ascii="Cambria Math" w:hAnsi="Cambria Math" w:cs="Times New Roman"/>
                      <w:i/>
                      <w:color w:val="auto"/>
                      <w:kern w:val="0"/>
                      <w:sz w:val="21"/>
                      <w:szCs w:val="21"/>
                      <w:lang w:val="en-US" w:eastAsia="zh-CN" w:bidi="ar"/>
                    </w:rPr>
                  </m:ctrlPr>
                </m:sSupPr>
                <m:e>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e>
                <m:sup>
                  <m:r>
                    <w:rPr>
                      <w:rFonts w:hint="default" w:ascii="Cambria Math" w:hAnsi="Cambria Math" w:cs="Times New Roman"/>
                      <w:color w:val="auto"/>
                      <w:kern w:val="0"/>
                      <w:sz w:val="21"/>
                      <w:szCs w:val="21"/>
                      <w:lang w:val="en-US" w:eastAsia="zh-CN" w:bidi="ar"/>
                    </w:rPr>
                    <m:t>−</m:t>
                  </m:r>
                  <m:f>
                    <m:fPr>
                      <m:ctrlPr>
                        <w:rPr>
                          <w:rFonts w:hint="default" w:ascii="Cambria Math" w:hAnsi="Cambria Math" w:cs="Times New Roman"/>
                          <w:i/>
                          <w:color w:val="auto"/>
                          <w:kern w:val="0"/>
                          <w:sz w:val="21"/>
                          <w:szCs w:val="21"/>
                          <w:lang w:val="en-US" w:eastAsia="zh-CN" w:bidi="ar"/>
                        </w:rPr>
                      </m:ctrlPr>
                    </m:fPr>
                    <m:num>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t</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1</m:t>
                          </m:r>
                          <m:ctrlPr>
                            <w:rPr>
                              <w:rFonts w:hint="default" w:ascii="Cambria Math" w:hAnsi="Cambria Math" w:cs="Times New Roman"/>
                              <w:i/>
                              <w:color w:val="auto"/>
                              <w:kern w:val="0"/>
                              <w:sz w:val="21"/>
                              <w:szCs w:val="21"/>
                              <w:lang w:val="en-US" w:eastAsia="zh-CN" w:bidi="ar"/>
                            </w:rPr>
                          </m:ctrlPr>
                        </m:sub>
                      </m:sSub>
                      <m:ctrlPr>
                        <w:rPr>
                          <w:rFonts w:hint="default" w:ascii="Cambria Math" w:hAnsi="Cambria Math" w:cs="Times New Roman"/>
                          <w:i/>
                          <w:color w:val="auto"/>
                          <w:kern w:val="0"/>
                          <w:sz w:val="21"/>
                          <w:szCs w:val="21"/>
                          <w:lang w:val="en-US" w:eastAsia="zh-CN" w:bidi="ar"/>
                        </w:rPr>
                      </m:ctrlPr>
                    </m:num>
                    <m:den>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HVL</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1</m:t>
                          </m:r>
                          <m:ctrlPr>
                            <w:rPr>
                              <w:rFonts w:hint="default" w:ascii="Cambria Math" w:hAnsi="Cambria Math" w:cs="Times New Roman"/>
                              <w:i/>
                              <w:color w:val="auto"/>
                              <w:kern w:val="0"/>
                              <w:sz w:val="21"/>
                              <w:szCs w:val="21"/>
                              <w:lang w:val="en-US" w:eastAsia="zh-CN" w:bidi="ar"/>
                            </w:rPr>
                          </m:ctrlPr>
                        </m:sub>
                      </m:sSub>
                      <m:ctrlPr>
                        <w:rPr>
                          <w:rFonts w:hint="default" w:ascii="Cambria Math" w:hAnsi="Cambria Math" w:cs="Times New Roman"/>
                          <w:i/>
                          <w:color w:val="auto"/>
                          <w:kern w:val="0"/>
                          <w:sz w:val="21"/>
                          <w:szCs w:val="21"/>
                          <w:lang w:val="en-US" w:eastAsia="zh-CN" w:bidi="ar"/>
                        </w:rPr>
                      </m:ctrlPr>
                    </m:den>
                  </m:f>
                  <m:ctrlPr>
                    <w:rPr>
                      <w:rFonts w:hint="default" w:ascii="Cambria Math" w:hAnsi="Cambria Math" w:cs="Times New Roman"/>
                      <w:i/>
                      <w:color w:val="auto"/>
                      <w:kern w:val="0"/>
                      <w:sz w:val="21"/>
                      <w:szCs w:val="21"/>
                      <w:lang w:val="en-US" w:eastAsia="zh-CN" w:bidi="ar"/>
                    </w:rPr>
                  </m:ctrlPr>
                </m:sup>
              </m:sSup>
              <m:ctrlPr>
                <w:rPr>
                  <w:rFonts w:hint="default" w:ascii="Cambria Math" w:hAnsi="Cambria Math" w:cs="Times New Roman"/>
                  <w:i/>
                  <w:color w:val="auto"/>
                  <w:kern w:val="0"/>
                  <w:sz w:val="21"/>
                  <w:szCs w:val="21"/>
                  <w:lang w:val="en-US" w:eastAsia="zh-CN" w:bidi="ar"/>
                </w:rPr>
              </m:ctrlPr>
            </m:e>
          </m:rad>
          <m:r>
            <w:rPr>
              <w:rFonts w:hint="default" w:ascii="Cambria Math" w:hAnsi="Cambria Math" w:cs="Times New Roman"/>
              <w:color w:val="auto"/>
              <w:kern w:val="0"/>
              <w:sz w:val="21"/>
              <w:szCs w:val="21"/>
              <w:lang w:val="en-US" w:eastAsia="zh-CN" w:bidi="ar"/>
            </w:rPr>
            <m:t>=145×</m:t>
          </m:r>
          <m:rad>
            <m:radPr>
              <m:degHide m:val="1"/>
              <m:ctrlPr>
                <w:rPr>
                  <w:rFonts w:hint="default" w:ascii="Cambria Math" w:hAnsi="Cambria Math" w:cs="Times New Roman"/>
                  <w:i/>
                  <w:color w:val="auto"/>
                  <w:kern w:val="0"/>
                  <w:sz w:val="21"/>
                  <w:szCs w:val="21"/>
                  <w:lang w:val="en-US" w:eastAsia="zh-CN" w:bidi="ar"/>
                </w:rPr>
              </m:ctrlPr>
            </m:radPr>
            <m:deg>
              <m:ctrlPr>
                <w:rPr>
                  <w:rFonts w:hint="default" w:ascii="Cambria Math" w:hAnsi="Cambria Math" w:cs="Times New Roman"/>
                  <w:i/>
                  <w:color w:val="auto"/>
                  <w:kern w:val="0"/>
                  <w:sz w:val="21"/>
                  <w:szCs w:val="21"/>
                  <w:lang w:val="en-US" w:eastAsia="zh-CN" w:bidi="ar"/>
                </w:rPr>
              </m:ctrlPr>
            </m:deg>
            <m:e>
              <m:sSup>
                <m:sSupPr>
                  <m:ctrlPr>
                    <w:rPr>
                      <w:rFonts w:hint="default" w:ascii="Cambria Math" w:hAnsi="Cambria Math" w:cs="Times New Roman"/>
                      <w:i/>
                      <w:color w:val="auto"/>
                      <w:kern w:val="0"/>
                      <w:sz w:val="21"/>
                      <w:szCs w:val="21"/>
                      <w:lang w:val="en-US" w:eastAsia="zh-CN" w:bidi="ar"/>
                    </w:rPr>
                  </m:ctrlPr>
                </m:sSupPr>
                <m:e>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e>
                <m:sup>
                  <m:r>
                    <w:rPr>
                      <w:rFonts w:hint="default" w:ascii="Cambria Math" w:hAnsi="Cambria Math" w:cs="Times New Roman"/>
                      <w:color w:val="auto"/>
                      <w:kern w:val="0"/>
                      <w:sz w:val="21"/>
                      <w:szCs w:val="21"/>
                      <w:lang w:val="en-US" w:eastAsia="zh-CN" w:bidi="ar"/>
                    </w:rPr>
                    <m:t>−</m:t>
                  </m:r>
                  <m:f>
                    <m:fPr>
                      <m:ctrlPr>
                        <w:rPr>
                          <w:rFonts w:hint="default" w:ascii="Cambria Math" w:hAnsi="Cambria Math" w:cs="Times New Roman"/>
                          <w:i/>
                          <w:color w:val="auto"/>
                          <w:kern w:val="0"/>
                          <w:sz w:val="21"/>
                          <w:szCs w:val="21"/>
                          <w:lang w:val="en-US" w:eastAsia="zh-CN" w:bidi="ar"/>
                        </w:rPr>
                      </m:ctrlPr>
                    </m:fPr>
                    <m:num>
                      <m:r>
                        <w:rPr>
                          <w:rFonts w:hint="default" w:ascii="Cambria Math" w:hAnsi="Cambria Math" w:cs="Times New Roman"/>
                          <w:color w:val="auto"/>
                          <w:kern w:val="0"/>
                          <w:sz w:val="21"/>
                          <w:szCs w:val="21"/>
                          <w:lang w:val="en-US" w:eastAsia="zh-CN" w:bidi="ar"/>
                        </w:rPr>
                        <m:t>28</m:t>
                      </m:r>
                      <m:ctrlPr>
                        <w:rPr>
                          <w:rFonts w:hint="default" w:ascii="Cambria Math" w:hAnsi="Cambria Math" w:cs="Times New Roman"/>
                          <w:i/>
                          <w:color w:val="auto"/>
                          <w:kern w:val="0"/>
                          <w:sz w:val="21"/>
                          <w:szCs w:val="21"/>
                          <w:lang w:val="en-US" w:eastAsia="zh-CN" w:bidi="ar"/>
                        </w:rPr>
                      </m:ctrlPr>
                    </m:num>
                    <m:den>
                      <m:r>
                        <w:rPr>
                          <w:rFonts w:hint="default" w:ascii="Cambria Math" w:hAnsi="Cambria Math" w:cs="Times New Roman"/>
                          <w:color w:val="auto"/>
                          <w:kern w:val="0"/>
                          <w:sz w:val="21"/>
                          <w:szCs w:val="21"/>
                          <w:lang w:val="en-US" w:eastAsia="zh-CN" w:bidi="ar"/>
                        </w:rPr>
                        <m:t>14</m:t>
                      </m:r>
                      <m:ctrlPr>
                        <w:rPr>
                          <w:rFonts w:hint="default" w:ascii="Cambria Math" w:hAnsi="Cambria Math" w:cs="Times New Roman"/>
                          <w:i/>
                          <w:color w:val="auto"/>
                          <w:kern w:val="0"/>
                          <w:sz w:val="21"/>
                          <w:szCs w:val="21"/>
                          <w:lang w:val="en-US" w:eastAsia="zh-CN" w:bidi="ar"/>
                        </w:rPr>
                      </m:ctrlPr>
                    </m:den>
                  </m:f>
                  <m:ctrlPr>
                    <w:rPr>
                      <w:rFonts w:hint="default" w:ascii="Cambria Math" w:hAnsi="Cambria Math" w:cs="Times New Roman"/>
                      <w:i/>
                      <w:color w:val="auto"/>
                      <w:kern w:val="0"/>
                      <w:sz w:val="21"/>
                      <w:szCs w:val="21"/>
                      <w:lang w:val="en-US" w:eastAsia="zh-CN" w:bidi="ar"/>
                    </w:rPr>
                  </m:ctrlPr>
                </m:sup>
              </m:sSup>
              <m:ctrlPr>
                <w:rPr>
                  <w:rFonts w:hint="default" w:ascii="Cambria Math" w:hAnsi="Cambria Math" w:cs="Times New Roman"/>
                  <w:i/>
                  <w:color w:val="auto"/>
                  <w:kern w:val="0"/>
                  <w:sz w:val="21"/>
                  <w:szCs w:val="21"/>
                  <w:lang w:val="en-US" w:eastAsia="zh-CN" w:bidi="ar"/>
                </w:rPr>
              </m:ctrlPr>
            </m:e>
          </m:rad>
          <m:r>
            <w:rPr>
              <w:rFonts w:hint="default" w:ascii="Cambria Math" w:hAnsi="Cambria Math" w:cs="Times New Roman"/>
              <w:color w:val="auto"/>
              <w:kern w:val="0"/>
              <w:sz w:val="21"/>
              <w:szCs w:val="21"/>
              <w:lang w:val="en-US" w:eastAsia="zh-CN" w:bidi="ar"/>
            </w:rPr>
            <m:t>=72.5m</m:t>
          </m:r>
        </m:oMath>
      </m:oMathPara>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1"/>
          <w:szCs w:val="21"/>
          <w:lang w:val="en-US" w:eastAsia="zh-CN" w:bidi="ar"/>
        </w:rPr>
        <w:t>由公式（</w:t>
      </w:r>
      <w:r>
        <w:rPr>
          <w:rFonts w:hint="eastAsia" w:cs="Times New Roman"/>
          <w:color w:val="auto"/>
          <w:lang w:val="en-US" w:eastAsia="zh-CN"/>
        </w:rPr>
        <w:t>A.</w:t>
      </w:r>
      <w:r>
        <w:rPr>
          <w:rFonts w:hint="default" w:ascii="Times New Roman" w:hAnsi="Times New Roman" w:eastAsia="宋体" w:cs="Times New Roman"/>
          <w:color w:val="auto"/>
          <w:kern w:val="0"/>
          <w:sz w:val="21"/>
          <w:szCs w:val="21"/>
          <w:lang w:val="en-US" w:eastAsia="zh-CN" w:bidi="ar"/>
        </w:rPr>
        <w:t>3）计算</w:t>
      </w: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cs="Times New Roman"/>
          <w:i/>
          <w:iCs/>
          <w:color w:val="auto"/>
          <w:kern w:val="0"/>
          <w:sz w:val="21"/>
          <w:szCs w:val="21"/>
          <w:vertAlign w:val="subscript"/>
          <w:lang w:val="en-US" w:eastAsia="zh-CN" w:bidi="ar"/>
        </w:rPr>
        <w:t>3</w:t>
      </w:r>
      <w:r>
        <w:rPr>
          <w:rFonts w:hint="default" w:ascii="Times New Roman" w:hAnsi="Times New Roman" w:eastAsia="宋体" w:cs="Times New Roman"/>
          <w:color w:val="auto"/>
          <w:kern w:val="0"/>
          <w:sz w:val="21"/>
          <w:szCs w:val="21"/>
          <w:lang w:val="en-US" w:eastAsia="zh-CN" w:bidi="ar"/>
        </w:rPr>
        <w:t>：</w:t>
      </w:r>
    </w:p>
    <w:p>
      <w:pPr>
        <w:keepNext w:val="0"/>
        <w:keepLines w:val="0"/>
        <w:pageBreakBefore w:val="0"/>
        <w:widowControl/>
        <w:suppressLineNumbers w:val="0"/>
        <w:kinsoku/>
        <w:wordWrap/>
        <w:overflowPunct/>
        <w:topLinePunct w:val="0"/>
        <w:bidi w:val="0"/>
        <w:snapToGrid/>
        <w:spacing w:line="240" w:lineRule="auto"/>
        <w:jc w:val="center"/>
        <w:textAlignment w:val="auto"/>
        <w:outlineLvl w:val="9"/>
        <w:rPr>
          <w:rFonts w:hint="default" w:ascii="Times New Roman" w:hAnsi="Times New Roman" w:eastAsia="宋体" w:cs="Times New Roman"/>
          <w:color w:val="auto"/>
          <w:kern w:val="0"/>
          <w:sz w:val="21"/>
          <w:szCs w:val="21"/>
          <w:lang w:val="en-US" w:eastAsia="zh-CN" w:bidi="ar"/>
        </w:rPr>
      </w:pPr>
      <m:oMathPara>
        <m:oMath>
          <m:sSub>
            <m:sSubPr>
              <m:ctrlPr>
                <w:rPr>
                  <w:rFonts w:hint="default" w:ascii="Cambria Math" w:hAnsi="Cambria Math" w:cs="Times New Roman"/>
                  <w:i/>
                  <w:color w:val="auto"/>
                  <w:kern w:val="0"/>
                  <w:sz w:val="21"/>
                  <w:szCs w:val="21"/>
                  <w:lang w:val="en-US"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bidi="ar"/>
                </w:rPr>
              </m:ctrlPr>
            </m:e>
            <m:sub>
              <m:r>
                <w:rPr>
                  <w:rFonts w:hint="default" w:ascii="Cambria Math" w:hAnsi="Cambria Math" w:cs="Times New Roman"/>
                  <w:color w:val="auto"/>
                  <w:kern w:val="0"/>
                  <w:sz w:val="21"/>
                  <w:szCs w:val="21"/>
                  <w:lang w:val="en-US" w:eastAsia="zh-CN" w:bidi="ar"/>
                </w:rPr>
                <m:t>3</m:t>
              </m:r>
              <m:ctrlPr>
                <w:rPr>
                  <w:rFonts w:hint="default" w:ascii="Cambria Math" w:hAnsi="Cambria Math" w:cs="Times New Roman"/>
                  <w:i/>
                  <w:color w:val="auto"/>
                  <w:kern w:val="0"/>
                  <w:sz w:val="21"/>
                  <w:szCs w:val="21"/>
                  <w:lang w:val="en-US" w:bidi="ar"/>
                </w:rPr>
              </m:ctrlPr>
            </m:sub>
          </m:sSub>
          <m:r>
            <w:rPr>
              <w:rFonts w:hint="default" w:ascii="Cambria Math" w:hAnsi="Cambria Math" w:cs="Times New Roman"/>
              <w:color w:val="auto"/>
              <w:kern w:val="0"/>
              <w:sz w:val="21"/>
              <w:szCs w:val="21"/>
              <w:lang w:val="en-US" w:eastAsia="zh-CN" w:bidi="ar"/>
            </w:rPr>
            <m:t>=</m:t>
          </m:r>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L</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1</m:t>
              </m:r>
              <m:ctrlPr>
                <w:rPr>
                  <w:rFonts w:hint="default" w:ascii="Cambria Math" w:hAnsi="Cambria Math" w:cs="Times New Roman"/>
                  <w:i/>
                  <w:color w:val="auto"/>
                  <w:kern w:val="0"/>
                  <w:sz w:val="21"/>
                  <w:szCs w:val="21"/>
                  <w:lang w:val="en-US" w:eastAsia="zh-CN" w:bidi="ar"/>
                </w:rPr>
              </m:ctrlPr>
            </m:sub>
          </m:sSub>
          <m:r>
            <w:rPr>
              <w:rFonts w:hint="default" w:ascii="Cambria Math" w:hAnsi="Cambria Math" w:cs="Times New Roman"/>
              <w:color w:val="auto"/>
              <w:kern w:val="0"/>
              <w:sz w:val="21"/>
              <w:szCs w:val="21"/>
              <w:lang w:val="en-US" w:eastAsia="zh-CN" w:bidi="ar"/>
            </w:rPr>
            <m:t>×</m:t>
          </m:r>
          <m:rad>
            <m:radPr>
              <m:degHide m:val="1"/>
              <m:ctrlPr>
                <w:rPr>
                  <w:rFonts w:hint="default" w:ascii="Cambria Math" w:hAnsi="Cambria Math" w:cs="Times New Roman"/>
                  <w:i/>
                  <w:color w:val="auto"/>
                  <w:kern w:val="0"/>
                  <w:sz w:val="21"/>
                  <w:szCs w:val="21"/>
                  <w:lang w:val="en-US" w:eastAsia="zh-CN" w:bidi="ar"/>
                </w:rPr>
              </m:ctrlPr>
            </m:radPr>
            <m:deg>
              <m:ctrlPr>
                <w:rPr>
                  <w:rFonts w:hint="default" w:ascii="Cambria Math" w:hAnsi="Cambria Math" w:cs="Times New Roman"/>
                  <w:i/>
                  <w:color w:val="auto"/>
                  <w:kern w:val="0"/>
                  <w:sz w:val="21"/>
                  <w:szCs w:val="21"/>
                  <w:lang w:val="en-US" w:eastAsia="zh-CN" w:bidi="ar"/>
                </w:rPr>
              </m:ctrlPr>
            </m:deg>
            <m:e>
              <m:sSup>
                <m:sSupPr>
                  <m:ctrlPr>
                    <w:rPr>
                      <w:rFonts w:hint="default" w:ascii="Cambria Math" w:hAnsi="Cambria Math" w:cs="Times New Roman"/>
                      <w:i/>
                      <w:color w:val="auto"/>
                      <w:kern w:val="0"/>
                      <w:sz w:val="21"/>
                      <w:szCs w:val="21"/>
                      <w:lang w:val="en-US" w:eastAsia="zh-CN" w:bidi="ar"/>
                    </w:rPr>
                  </m:ctrlPr>
                </m:sSupPr>
                <m:e>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e>
                <m:sup>
                  <m:r>
                    <w:rPr>
                      <w:rFonts w:hint="default" w:ascii="Cambria Math" w:hAnsi="Cambria Math" w:cs="Times New Roman"/>
                      <w:color w:val="auto"/>
                      <w:kern w:val="0"/>
                      <w:sz w:val="21"/>
                      <w:szCs w:val="21"/>
                      <w:lang w:val="en-US" w:eastAsia="zh-CN" w:bidi="ar"/>
                    </w:rPr>
                    <m:t>−</m:t>
                  </m:r>
                  <m:f>
                    <m:fPr>
                      <m:ctrlPr>
                        <w:rPr>
                          <w:rFonts w:hint="default" w:ascii="Cambria Math" w:hAnsi="Cambria Math" w:cs="Times New Roman"/>
                          <w:i/>
                          <w:color w:val="auto"/>
                          <w:kern w:val="0"/>
                          <w:sz w:val="21"/>
                          <w:szCs w:val="21"/>
                          <w:lang w:val="en-US" w:eastAsia="zh-CN" w:bidi="ar"/>
                        </w:rPr>
                      </m:ctrlPr>
                    </m:fPr>
                    <m:num>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t</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sub>
                      </m:sSub>
                      <m:ctrlPr>
                        <w:rPr>
                          <w:rFonts w:hint="default" w:ascii="Cambria Math" w:hAnsi="Cambria Math" w:cs="Times New Roman"/>
                          <w:i/>
                          <w:color w:val="auto"/>
                          <w:kern w:val="0"/>
                          <w:sz w:val="21"/>
                          <w:szCs w:val="21"/>
                          <w:lang w:val="en-US" w:eastAsia="zh-CN" w:bidi="ar"/>
                        </w:rPr>
                      </m:ctrlPr>
                    </m:num>
                    <m:den>
                      <m:sSub>
                        <m:sSubPr>
                          <m:ctrlPr>
                            <w:rPr>
                              <w:rFonts w:hint="default" w:ascii="Cambria Math" w:hAnsi="Cambria Math" w:cs="Times New Roman"/>
                              <w:i/>
                              <w:color w:val="auto"/>
                              <w:kern w:val="0"/>
                              <w:sz w:val="21"/>
                              <w:szCs w:val="21"/>
                              <w:lang w:val="en-US" w:eastAsia="zh-CN" w:bidi="ar"/>
                            </w:rPr>
                          </m:ctrlPr>
                        </m:sSubPr>
                        <m:e>
                          <m:r>
                            <w:rPr>
                              <w:rFonts w:hint="default" w:ascii="Cambria Math" w:hAnsi="Cambria Math" w:cs="Times New Roman"/>
                              <w:color w:val="auto"/>
                              <w:kern w:val="0"/>
                              <w:sz w:val="21"/>
                              <w:szCs w:val="21"/>
                              <w:lang w:val="en-US" w:eastAsia="zh-CN" w:bidi="ar"/>
                            </w:rPr>
                            <m:t>HVL</m:t>
                          </m:r>
                          <m:ctrlPr>
                            <w:rPr>
                              <w:rFonts w:hint="default" w:ascii="Cambria Math" w:hAnsi="Cambria Math" w:cs="Times New Roman"/>
                              <w:i/>
                              <w:color w:val="auto"/>
                              <w:kern w:val="0"/>
                              <w:sz w:val="21"/>
                              <w:szCs w:val="21"/>
                              <w:lang w:val="en-US" w:eastAsia="zh-CN" w:bidi="ar"/>
                            </w:rPr>
                          </m:ctrlPr>
                        </m:e>
                        <m:sub>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sub>
                      </m:sSub>
                      <m:ctrlPr>
                        <w:rPr>
                          <w:rFonts w:hint="default" w:ascii="Cambria Math" w:hAnsi="Cambria Math" w:cs="Times New Roman"/>
                          <w:i/>
                          <w:color w:val="auto"/>
                          <w:kern w:val="0"/>
                          <w:sz w:val="21"/>
                          <w:szCs w:val="21"/>
                          <w:lang w:val="en-US" w:eastAsia="zh-CN" w:bidi="ar"/>
                        </w:rPr>
                      </m:ctrlPr>
                    </m:den>
                  </m:f>
                  <m:ctrlPr>
                    <w:rPr>
                      <w:rFonts w:hint="default" w:ascii="Cambria Math" w:hAnsi="Cambria Math" w:cs="Times New Roman"/>
                      <w:i/>
                      <w:color w:val="auto"/>
                      <w:kern w:val="0"/>
                      <w:sz w:val="21"/>
                      <w:szCs w:val="21"/>
                      <w:lang w:val="en-US" w:eastAsia="zh-CN" w:bidi="ar"/>
                    </w:rPr>
                  </m:ctrlPr>
                </m:sup>
              </m:sSup>
              <m:ctrlPr>
                <w:rPr>
                  <w:rFonts w:hint="default" w:ascii="Cambria Math" w:hAnsi="Cambria Math" w:cs="Times New Roman"/>
                  <w:i/>
                  <w:color w:val="auto"/>
                  <w:kern w:val="0"/>
                  <w:sz w:val="21"/>
                  <w:szCs w:val="21"/>
                  <w:lang w:val="en-US" w:eastAsia="zh-CN" w:bidi="ar"/>
                </w:rPr>
              </m:ctrlPr>
            </m:e>
          </m:rad>
          <m:r>
            <w:rPr>
              <w:rFonts w:hint="default" w:ascii="Cambria Math" w:hAnsi="Cambria Math" w:cs="Times New Roman"/>
              <w:color w:val="auto"/>
              <w:kern w:val="0"/>
              <w:sz w:val="21"/>
              <w:szCs w:val="21"/>
              <w:lang w:val="en-US" w:eastAsia="zh-CN" w:bidi="ar"/>
            </w:rPr>
            <m:t>=145×</m:t>
          </m:r>
          <m:rad>
            <m:radPr>
              <m:degHide m:val="1"/>
              <m:ctrlPr>
                <w:rPr>
                  <w:rFonts w:hint="default" w:ascii="Cambria Math" w:hAnsi="Cambria Math" w:cs="Times New Roman"/>
                  <w:i/>
                  <w:color w:val="auto"/>
                  <w:kern w:val="0"/>
                  <w:sz w:val="21"/>
                  <w:szCs w:val="21"/>
                  <w:lang w:val="en-US" w:eastAsia="zh-CN" w:bidi="ar"/>
                </w:rPr>
              </m:ctrlPr>
            </m:radPr>
            <m:deg>
              <m:ctrlPr>
                <w:rPr>
                  <w:rFonts w:hint="default" w:ascii="Cambria Math" w:hAnsi="Cambria Math" w:cs="Times New Roman"/>
                  <w:i/>
                  <w:color w:val="auto"/>
                  <w:kern w:val="0"/>
                  <w:sz w:val="21"/>
                  <w:szCs w:val="21"/>
                  <w:lang w:val="en-US" w:eastAsia="zh-CN" w:bidi="ar"/>
                </w:rPr>
              </m:ctrlPr>
            </m:deg>
            <m:e>
              <m:sSup>
                <m:sSupPr>
                  <m:ctrlPr>
                    <w:rPr>
                      <w:rFonts w:hint="default" w:ascii="Cambria Math" w:hAnsi="Cambria Math" w:cs="Times New Roman"/>
                      <w:i/>
                      <w:color w:val="auto"/>
                      <w:kern w:val="0"/>
                      <w:sz w:val="21"/>
                      <w:szCs w:val="21"/>
                      <w:lang w:val="en-US" w:eastAsia="zh-CN" w:bidi="ar"/>
                    </w:rPr>
                  </m:ctrlPr>
                </m:sSupPr>
                <m:e>
                  <m:r>
                    <w:rPr>
                      <w:rFonts w:hint="default" w:ascii="Cambria Math" w:hAnsi="Cambria Math" w:cs="Times New Roman"/>
                      <w:color w:val="auto"/>
                      <w:kern w:val="0"/>
                      <w:sz w:val="21"/>
                      <w:szCs w:val="21"/>
                      <w:lang w:val="en-US" w:eastAsia="zh-CN" w:bidi="ar"/>
                    </w:rPr>
                    <m:t>2</m:t>
                  </m:r>
                  <m:ctrlPr>
                    <w:rPr>
                      <w:rFonts w:hint="default" w:ascii="Cambria Math" w:hAnsi="Cambria Math" w:cs="Times New Roman"/>
                      <w:i/>
                      <w:color w:val="auto"/>
                      <w:kern w:val="0"/>
                      <w:sz w:val="21"/>
                      <w:szCs w:val="21"/>
                      <w:lang w:val="en-US" w:eastAsia="zh-CN" w:bidi="ar"/>
                    </w:rPr>
                  </m:ctrlPr>
                </m:e>
                <m:sup>
                  <m:r>
                    <w:rPr>
                      <w:rFonts w:hint="default" w:ascii="Cambria Math" w:hAnsi="Cambria Math" w:cs="Times New Roman"/>
                      <w:color w:val="auto"/>
                      <w:kern w:val="0"/>
                      <w:sz w:val="21"/>
                      <w:szCs w:val="21"/>
                      <w:lang w:val="en-US" w:eastAsia="zh-CN" w:bidi="ar"/>
                    </w:rPr>
                    <m:t>−</m:t>
                  </m:r>
                  <m:f>
                    <m:fPr>
                      <m:ctrlPr>
                        <w:rPr>
                          <w:rFonts w:hint="default" w:ascii="Cambria Math" w:hAnsi="Cambria Math" w:cs="Times New Roman"/>
                          <w:i/>
                          <w:color w:val="auto"/>
                          <w:kern w:val="0"/>
                          <w:sz w:val="21"/>
                          <w:szCs w:val="21"/>
                          <w:lang w:val="en-US" w:eastAsia="zh-CN" w:bidi="ar"/>
                        </w:rPr>
                      </m:ctrlPr>
                    </m:fPr>
                    <m:num>
                      <m:r>
                        <w:rPr>
                          <w:rFonts w:hint="default" w:ascii="Cambria Math" w:hAnsi="Cambria Math" w:cs="Times New Roman"/>
                          <w:color w:val="auto"/>
                          <w:kern w:val="0"/>
                          <w:sz w:val="21"/>
                          <w:szCs w:val="21"/>
                          <w:lang w:val="en-US" w:eastAsia="zh-CN" w:bidi="ar"/>
                        </w:rPr>
                        <m:t>25</m:t>
                      </m:r>
                      <m:ctrlPr>
                        <w:rPr>
                          <w:rFonts w:hint="default" w:ascii="Cambria Math" w:hAnsi="Cambria Math" w:cs="Times New Roman"/>
                          <w:i/>
                          <w:color w:val="auto"/>
                          <w:kern w:val="0"/>
                          <w:sz w:val="21"/>
                          <w:szCs w:val="21"/>
                          <w:lang w:val="en-US" w:eastAsia="zh-CN" w:bidi="ar"/>
                        </w:rPr>
                      </m:ctrlPr>
                    </m:num>
                    <m:den>
                      <m:r>
                        <w:rPr>
                          <w:rFonts w:hint="default" w:ascii="Cambria Math" w:hAnsi="Cambria Math" w:cs="Times New Roman"/>
                          <w:color w:val="auto"/>
                          <w:kern w:val="0"/>
                          <w:sz w:val="21"/>
                          <w:szCs w:val="21"/>
                          <w:lang w:val="en-US" w:eastAsia="zh-CN" w:bidi="ar"/>
                        </w:rPr>
                        <m:t>2.5</m:t>
                      </m:r>
                      <m:ctrlPr>
                        <w:rPr>
                          <w:rFonts w:hint="default" w:ascii="Cambria Math" w:hAnsi="Cambria Math" w:cs="Times New Roman"/>
                          <w:i/>
                          <w:color w:val="auto"/>
                          <w:kern w:val="0"/>
                          <w:sz w:val="21"/>
                          <w:szCs w:val="21"/>
                          <w:lang w:val="en-US" w:eastAsia="zh-CN" w:bidi="ar"/>
                        </w:rPr>
                      </m:ctrlPr>
                    </m:den>
                  </m:f>
                  <m:ctrlPr>
                    <w:rPr>
                      <w:rFonts w:hint="default" w:ascii="Cambria Math" w:hAnsi="Cambria Math" w:cs="Times New Roman"/>
                      <w:i/>
                      <w:color w:val="auto"/>
                      <w:kern w:val="0"/>
                      <w:sz w:val="21"/>
                      <w:szCs w:val="21"/>
                      <w:lang w:val="en-US" w:eastAsia="zh-CN" w:bidi="ar"/>
                    </w:rPr>
                  </m:ctrlPr>
                </m:sup>
              </m:sSup>
              <m:ctrlPr>
                <w:rPr>
                  <w:rFonts w:hint="default" w:ascii="Cambria Math" w:hAnsi="Cambria Math" w:cs="Times New Roman"/>
                  <w:i/>
                  <w:color w:val="auto"/>
                  <w:kern w:val="0"/>
                  <w:sz w:val="21"/>
                  <w:szCs w:val="21"/>
                  <w:lang w:val="en-US" w:eastAsia="zh-CN" w:bidi="ar"/>
                </w:rPr>
              </m:ctrlPr>
            </m:e>
          </m:rad>
          <m:r>
            <w:rPr>
              <w:rFonts w:hint="default" w:ascii="Cambria Math" w:hAnsi="Cambria Math" w:cs="Times New Roman"/>
              <w:color w:val="auto"/>
              <w:kern w:val="0"/>
              <w:sz w:val="21"/>
              <w:szCs w:val="21"/>
              <w:lang w:val="en-US" w:eastAsia="zh-CN" w:bidi="ar"/>
            </w:rPr>
            <m:t>=4.35m</m:t>
          </m:r>
        </m:oMath>
      </m:oMathPara>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cs="Times New Roman"/>
          <w:color w:val="auto"/>
        </w:rPr>
      </w:pPr>
    </w:p>
    <w:p>
      <w:pPr>
        <w:pStyle w:val="31"/>
        <w:keepNext w:val="0"/>
        <w:keepLines w:val="0"/>
        <w:pageBreakBefore w:val="0"/>
        <w:numPr>
          <w:ilvl w:val="0"/>
          <w:numId w:val="0"/>
        </w:numPr>
        <w:kinsoku/>
        <w:wordWrap/>
        <w:overflowPunct/>
        <w:topLinePunct w:val="0"/>
        <w:bidi w:val="0"/>
        <w:snapToGrid/>
        <w:spacing w:before="240" w:after="240" w:line="240" w:lineRule="auto"/>
        <w:ind w:leftChars="0"/>
        <w:textAlignment w:val="auto"/>
        <w:outlineLvl w:val="9"/>
        <w:rPr>
          <w:rFonts w:hint="default" w:ascii="Times New Roman" w:hAnsi="Times New Roman" w:eastAsia="黑体" w:cs="Times New Roman"/>
          <w:color w:val="auto"/>
          <w:szCs w:val="22"/>
          <w:lang w:val="en-US" w:eastAsia="zh-CN"/>
        </w:rPr>
      </w:pPr>
      <w:bookmarkStart w:id="93" w:name="_Toc1630"/>
      <w:r>
        <w:rPr>
          <w:rFonts w:hint="eastAsia" w:cs="Times New Roman"/>
          <w:color w:val="auto"/>
          <w:lang w:val="en-US" w:eastAsia="zh-CN"/>
        </w:rPr>
        <w:t>A.</w:t>
      </w:r>
      <w:r>
        <w:rPr>
          <w:rFonts w:hint="default" w:ascii="Times New Roman" w:hAnsi="Times New Roman" w:eastAsia="黑体" w:cs="Times New Roman"/>
          <w:color w:val="auto"/>
          <w:szCs w:val="22"/>
          <w:lang w:val="en-US" w:eastAsia="zh-CN"/>
        </w:rPr>
        <w:t>4.2 X射线移动式探伤控制区距离估算</w:t>
      </w:r>
      <w:bookmarkEnd w:id="93"/>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X射线探伤机管电压为</w:t>
      </w:r>
      <w:r>
        <w:rPr>
          <w:rFonts w:hint="eastAsia" w:ascii="Times New Roman" w:cs="Times New Roman"/>
          <w:color w:val="auto"/>
          <w:lang w:val="en-US" w:eastAsia="zh-CN"/>
        </w:rPr>
        <w:t>3</w:t>
      </w:r>
      <w:r>
        <w:rPr>
          <w:rFonts w:hint="default" w:ascii="Times New Roman" w:hAnsi="Times New Roman" w:eastAsia="宋体" w:cs="Times New Roman"/>
          <w:color w:val="auto"/>
          <w:lang w:val="en-US" w:eastAsia="zh-CN"/>
        </w:rPr>
        <w:t>00</w:t>
      </w:r>
      <w:r>
        <w:rPr>
          <w:rFonts w:hint="eastAsia" w:ascii="Times New Roman" w:cs="Times New Roman"/>
          <w:color w:val="auto"/>
          <w:lang w:val="en-US" w:eastAsia="zh-CN"/>
        </w:rPr>
        <w:t xml:space="preserve"> </w:t>
      </w:r>
      <w:r>
        <w:rPr>
          <w:rFonts w:hint="default" w:ascii="Times New Roman" w:hAnsi="Times New Roman" w:eastAsia="宋体" w:cs="Times New Roman"/>
          <w:color w:val="auto"/>
          <w:lang w:val="en-US" w:eastAsia="zh-CN"/>
        </w:rPr>
        <w:t>kV，管电流为5</w:t>
      </w:r>
      <w:r>
        <w:rPr>
          <w:rFonts w:hint="eastAsia" w:ascii="Times New Roman" w:cs="Times New Roman"/>
          <w:color w:val="auto"/>
          <w:lang w:val="en-US" w:eastAsia="zh-CN"/>
        </w:rPr>
        <w:t xml:space="preserve"> </w:t>
      </w:r>
      <w:r>
        <w:rPr>
          <w:rFonts w:hint="default" w:ascii="Times New Roman" w:hAnsi="Times New Roman" w:eastAsia="宋体" w:cs="Times New Roman"/>
          <w:color w:val="auto"/>
          <w:lang w:val="en-US" w:eastAsia="zh-CN"/>
        </w:rPr>
        <w:t>mA，输出量H</w:t>
      </w:r>
      <w:r>
        <w:rPr>
          <w:rFonts w:hint="default" w:ascii="Times New Roman" w:hAnsi="Times New Roman" w:eastAsia="宋体" w:cs="Times New Roman"/>
          <w:color w:val="auto"/>
          <w:vertAlign w:val="subscript"/>
          <w:lang w:val="en-US" w:eastAsia="zh-CN"/>
        </w:rPr>
        <w:t>0</w:t>
      </w:r>
      <w:r>
        <w:rPr>
          <w:rFonts w:hint="default" w:ascii="Times New Roman" w:hAnsi="Times New Roman" w:eastAsia="宋体" w:cs="Times New Roman"/>
          <w:color w:val="auto"/>
          <w:lang w:val="en-US" w:eastAsia="zh-CN"/>
        </w:rPr>
        <w:t>为</w:t>
      </w:r>
      <w:r>
        <w:rPr>
          <w:rFonts w:hint="eastAsia" w:ascii="Times New Roman" w:cs="Times New Roman"/>
          <w:color w:val="auto"/>
          <w:lang w:val="en-US" w:eastAsia="zh-CN"/>
        </w:rPr>
        <w:t xml:space="preserve">20.9 </w:t>
      </w:r>
      <w:r>
        <w:rPr>
          <w:rFonts w:hint="default" w:ascii="Times New Roman" w:hAnsi="Times New Roman" w:eastAsia="宋体" w:cs="Times New Roman"/>
          <w:color w:val="auto"/>
          <w:lang w:val="en-US" w:eastAsia="zh-CN"/>
        </w:rPr>
        <w:t>mGy·m</w:t>
      </w:r>
      <w:r>
        <w:rPr>
          <w:rFonts w:hint="default" w:ascii="Times New Roman" w:hAnsi="Times New Roman" w:eastAsia="宋体" w:cs="Times New Roman"/>
          <w:color w:val="auto"/>
          <w:vertAlign w:val="superscript"/>
          <w:lang w:val="en-US" w:eastAsia="zh-CN"/>
        </w:rPr>
        <w:t>2</w:t>
      </w:r>
      <w:r>
        <w:rPr>
          <w:rFonts w:hint="eastAsia" w:ascii="Times New Roman" w:cs="Times New Roman"/>
          <w:color w:val="auto"/>
          <w:lang w:val="en-US" w:eastAsia="zh-CN"/>
        </w:rPr>
        <w:t>/(</w:t>
      </w:r>
      <w:r>
        <w:rPr>
          <w:rFonts w:hint="default" w:ascii="Times New Roman" w:hAnsi="Times New Roman" w:eastAsia="宋体" w:cs="Times New Roman"/>
          <w:color w:val="auto"/>
          <w:lang w:val="en-US" w:eastAsia="zh-CN"/>
        </w:rPr>
        <w:t>mA·min</w:t>
      </w:r>
      <w:r>
        <w:rPr>
          <w:rFonts w:hint="eastAsia" w:ascii="Times New Roman" w:cs="Times New Roman"/>
          <w:color w:val="auto"/>
          <w:lang w:val="en-US" w:eastAsia="zh-CN"/>
        </w:rPr>
        <w:t>)</w:t>
      </w:r>
      <w:r>
        <w:rPr>
          <w:rFonts w:hint="default" w:ascii="Times New Roman" w:hAnsi="Times New Roman" w:eastAsia="宋体" w:cs="Times New Roman"/>
          <w:color w:val="auto"/>
          <w:lang w:val="en-US" w:eastAsia="zh-CN"/>
        </w:rPr>
        <w:t>，探伤工件为</w:t>
      </w:r>
      <w:r>
        <w:rPr>
          <w:rFonts w:hint="eastAsia" w:ascii="Times New Roman" w:cs="Times New Roman"/>
          <w:color w:val="auto"/>
          <w:lang w:val="en-US" w:eastAsia="zh-CN"/>
        </w:rPr>
        <w:t>5</w:t>
      </w:r>
      <w:r>
        <w:rPr>
          <w:rFonts w:hint="default" w:ascii="Times New Roman" w:hAnsi="Times New Roman" w:eastAsia="宋体" w:cs="Times New Roman"/>
          <w:color w:val="auto"/>
          <w:lang w:val="en-US" w:eastAsia="zh-CN"/>
        </w:rPr>
        <w:t>0</w:t>
      </w:r>
      <w:r>
        <w:rPr>
          <w:rFonts w:hint="eastAsia" w:ascii="Times New Roman" w:cs="Times New Roman"/>
          <w:color w:val="auto"/>
          <w:lang w:val="en-US" w:eastAsia="zh-CN"/>
        </w:rPr>
        <w:t xml:space="preserve"> </w:t>
      </w:r>
      <w:r>
        <w:rPr>
          <w:rFonts w:hint="default" w:ascii="Times New Roman" w:hAnsi="Times New Roman" w:eastAsia="宋体" w:cs="Times New Roman"/>
          <w:color w:val="auto"/>
          <w:lang w:val="en-US" w:eastAsia="zh-CN"/>
        </w:rPr>
        <w:t>mm钢板，无局部屏蔽。</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由公式（</w:t>
      </w:r>
      <w:r>
        <w:rPr>
          <w:rFonts w:hint="eastAsia" w:cs="Times New Roman"/>
          <w:color w:val="auto"/>
          <w:lang w:val="en-US" w:eastAsia="zh-CN"/>
        </w:rPr>
        <w:t>A.</w:t>
      </w:r>
      <w:r>
        <w:rPr>
          <w:rFonts w:hint="default" w:ascii="Times New Roman" w:hAnsi="Times New Roman" w:eastAsia="宋体" w:cs="Times New Roman"/>
          <w:color w:val="auto"/>
          <w:kern w:val="0"/>
          <w:sz w:val="21"/>
          <w:szCs w:val="21"/>
          <w:lang w:val="en-US" w:eastAsia="zh-CN" w:bidi="ar"/>
        </w:rPr>
        <w:t>1）计算</w:t>
      </w:r>
      <w:r>
        <w:rPr>
          <w:rFonts w:hint="default" w:ascii="Times New Roman" w:hAnsi="Times New Roman" w:eastAsia="宋体" w:cs="Times New Roman"/>
          <w:i/>
          <w:iCs/>
          <w:color w:val="auto"/>
          <w:kern w:val="0"/>
          <w:sz w:val="21"/>
          <w:szCs w:val="21"/>
          <w:lang w:val="en-US" w:eastAsia="zh-CN" w:bidi="ar"/>
        </w:rPr>
        <w:t>L</w:t>
      </w:r>
      <w:r>
        <w:rPr>
          <w:rFonts w:hint="default" w:ascii="Times New Roman" w:hAnsi="Times New Roman" w:eastAsia="宋体" w:cs="Times New Roman"/>
          <w:i/>
          <w:iCs/>
          <w:color w:val="auto"/>
          <w:kern w:val="0"/>
          <w:sz w:val="21"/>
          <w:szCs w:val="21"/>
          <w:vertAlign w:val="subscript"/>
          <w:lang w:val="en-US" w:eastAsia="zh-CN" w:bidi="ar"/>
        </w:rPr>
        <w:t>1</w:t>
      </w:r>
      <w:r>
        <w:rPr>
          <w:rFonts w:hint="default" w:ascii="Times New Roman" w:hAnsi="Times New Roman" w:eastAsia="宋体" w:cs="Times New Roman"/>
          <w:color w:val="auto"/>
          <w:kern w:val="0"/>
          <w:sz w:val="21"/>
          <w:szCs w:val="21"/>
          <w:lang w:val="en-US" w:eastAsia="zh-CN" w:bidi="ar"/>
        </w:rPr>
        <w:t>：</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lang w:val="en-US" w:eastAsia="zh-CN"/>
        </w:rPr>
      </w:pPr>
      <w:r>
        <w:rPr>
          <w:rFonts w:hint="default" w:ascii="Cambria Math" w:hAnsi="Cambria Math" w:cs="Times New Roman"/>
          <w:i/>
          <w:color w:val="auto"/>
          <w:position w:val="-26"/>
          <w:lang w:val="en-US"/>
        </w:rPr>
        <w:object>
          <v:shape id="_x0000_i1027" o:spt="75" type="#_x0000_t75" style="height:35pt;width:228pt;" o:ole="t" filled="f" o:preferrelative="t" stroked="f" coordsize="21600,21600">
            <v:path/>
            <v:fill on="f" focussize="0,0"/>
            <v:stroke on="f"/>
            <v:imagedata r:id="rId15" o:title=""/>
            <o:lock v:ext="edit" aspectratio="t"/>
            <w10:wrap type="none"/>
            <w10:anchorlock/>
          </v:shape>
          <o:OLEObject Type="Embed" ProgID="Equation.KSEE3" ShapeID="_x0000_i1027" DrawAspect="Content" ObjectID="_1468075727" r:id="rId14">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查表</w:t>
      </w:r>
      <w:r>
        <w:rPr>
          <w:rFonts w:hint="eastAsia" w:cs="Times New Roman"/>
          <w:color w:val="auto"/>
          <w:lang w:val="en-US" w:eastAsia="zh-CN"/>
        </w:rPr>
        <w:t>A.</w:t>
      </w:r>
      <w:r>
        <w:rPr>
          <w:rFonts w:hint="eastAsia" w:cs="Times New Roman"/>
          <w:color w:val="auto"/>
          <w:kern w:val="0"/>
          <w:sz w:val="21"/>
          <w:szCs w:val="21"/>
          <w:lang w:val="en-US" w:eastAsia="zh-CN" w:bidi="ar"/>
        </w:rPr>
        <w:t>4</w:t>
      </w:r>
      <w:r>
        <w:rPr>
          <w:rFonts w:hint="default" w:ascii="Times New Roman" w:hAnsi="Times New Roman" w:cs="Times New Roman"/>
          <w:color w:val="auto"/>
          <w:kern w:val="0"/>
          <w:sz w:val="21"/>
          <w:szCs w:val="21"/>
          <w:lang w:val="en-US" w:eastAsia="zh-CN" w:bidi="ar"/>
        </w:rPr>
        <w:t>，</w:t>
      </w:r>
      <w:r>
        <w:rPr>
          <w:rFonts w:hint="eastAsia" w:cs="Times New Roman"/>
          <w:color w:val="auto"/>
          <w:kern w:val="0"/>
          <w:sz w:val="21"/>
          <w:szCs w:val="21"/>
          <w:lang w:val="en-US" w:eastAsia="zh-CN" w:bidi="ar"/>
        </w:rPr>
        <w:t>3</w:t>
      </w:r>
      <w:r>
        <w:rPr>
          <w:rFonts w:hint="default" w:ascii="Times New Roman" w:hAnsi="Times New Roman" w:cs="Times New Roman"/>
          <w:color w:val="auto"/>
          <w:kern w:val="0"/>
          <w:sz w:val="21"/>
          <w:szCs w:val="21"/>
          <w:lang w:val="en-US" w:eastAsia="zh-CN" w:bidi="ar"/>
        </w:rPr>
        <w:t>00</w:t>
      </w:r>
      <w:r>
        <w:rPr>
          <w:rFonts w:hint="eastAsia" w:cs="Times New Roman"/>
          <w:color w:val="auto"/>
          <w:kern w:val="0"/>
          <w:sz w:val="21"/>
          <w:szCs w:val="21"/>
          <w:lang w:val="en-US" w:eastAsia="zh-CN" w:bidi="ar"/>
        </w:rPr>
        <w:t xml:space="preserve"> </w:t>
      </w:r>
      <w:r>
        <w:rPr>
          <w:rFonts w:hint="default" w:ascii="Times New Roman" w:hAnsi="Times New Roman" w:cs="Times New Roman"/>
          <w:color w:val="auto"/>
          <w:kern w:val="0"/>
          <w:sz w:val="21"/>
          <w:szCs w:val="21"/>
          <w:lang w:val="en-US" w:eastAsia="zh-CN" w:bidi="ar"/>
        </w:rPr>
        <w:t>kV下</w:t>
      </w:r>
      <w:r>
        <w:rPr>
          <w:rFonts w:hint="eastAsia" w:cs="Times New Roman"/>
          <w:color w:val="auto"/>
          <w:kern w:val="0"/>
          <w:sz w:val="21"/>
          <w:szCs w:val="21"/>
          <w:lang w:val="en-US" w:eastAsia="zh-CN" w:bidi="ar"/>
        </w:rPr>
        <w:t>5</w:t>
      </w:r>
      <w:r>
        <w:rPr>
          <w:rFonts w:hint="default" w:ascii="Times New Roman" w:hAnsi="Times New Roman" w:cs="Times New Roman"/>
          <w:color w:val="auto"/>
          <w:kern w:val="0"/>
          <w:sz w:val="21"/>
          <w:szCs w:val="21"/>
          <w:lang w:val="en-US" w:eastAsia="zh-CN" w:bidi="ar"/>
        </w:rPr>
        <w:t>0</w:t>
      </w:r>
      <w:r>
        <w:rPr>
          <w:rFonts w:hint="eastAsia" w:cs="Times New Roman"/>
          <w:color w:val="auto"/>
          <w:kern w:val="0"/>
          <w:sz w:val="21"/>
          <w:szCs w:val="21"/>
          <w:lang w:val="en-US" w:eastAsia="zh-CN" w:bidi="ar"/>
        </w:rPr>
        <w:t xml:space="preserve"> </w:t>
      </w:r>
      <w:r>
        <w:rPr>
          <w:rFonts w:hint="default" w:ascii="Times New Roman" w:hAnsi="Times New Roman" w:cs="Times New Roman"/>
          <w:color w:val="auto"/>
          <w:kern w:val="0"/>
          <w:sz w:val="21"/>
          <w:szCs w:val="21"/>
          <w:lang w:val="en-US" w:eastAsia="zh-CN" w:bidi="ar"/>
        </w:rPr>
        <w:t>mm后钢板的铅当量约为</w:t>
      </w:r>
      <w:r>
        <w:rPr>
          <w:rFonts w:hint="eastAsia" w:cs="Times New Roman"/>
          <w:color w:val="auto"/>
          <w:kern w:val="0"/>
          <w:sz w:val="21"/>
          <w:szCs w:val="21"/>
          <w:lang w:val="en-US" w:eastAsia="zh-CN" w:bidi="ar"/>
        </w:rPr>
        <w:t xml:space="preserve">7 </w:t>
      </w:r>
      <w:r>
        <w:rPr>
          <w:rFonts w:hint="default" w:ascii="Times New Roman" w:hAnsi="Times New Roman" w:cs="Times New Roman"/>
          <w:color w:val="auto"/>
          <w:kern w:val="0"/>
          <w:sz w:val="21"/>
          <w:szCs w:val="21"/>
          <w:lang w:val="en-US" w:eastAsia="zh-CN" w:bidi="ar"/>
        </w:rPr>
        <w:t>m</w:t>
      </w:r>
      <w:r>
        <w:rPr>
          <w:rFonts w:hint="eastAsia" w:cs="Times New Roman"/>
          <w:color w:val="auto"/>
          <w:kern w:val="0"/>
          <w:sz w:val="21"/>
          <w:szCs w:val="21"/>
          <w:lang w:val="en-US" w:eastAsia="zh-CN" w:bidi="ar"/>
        </w:rPr>
        <w:t>m，透射比为0.0035</w:t>
      </w:r>
      <w:r>
        <w:rPr>
          <w:rFonts w:hint="default" w:ascii="Times New Roman" w:hAnsi="Times New Roman" w:cs="Times New Roman"/>
          <w:color w:val="auto"/>
          <w:kern w:val="0"/>
          <w:sz w:val="21"/>
          <w:szCs w:val="21"/>
          <w:lang w:val="en-US" w:eastAsia="zh-CN" w:bidi="ar"/>
        </w:rPr>
        <w:t>；</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outlineLvl w:val="9"/>
        <w:rPr>
          <w:rFonts w:hint="default" w:ascii="Times New Roman" w:hAnsi="Times New Roman" w:cs="Times New Roman"/>
          <w:i w:val="0"/>
          <w:color w:val="auto"/>
          <w:lang w:val="en-US" w:eastAsia="zh-CN"/>
        </w:rPr>
      </w:pPr>
      <w:r>
        <w:rPr>
          <w:rFonts w:hint="default" w:ascii="Cambria Math" w:hAnsi="Cambria Math" w:cs="Times New Roman"/>
          <w:i/>
          <w:color w:val="auto"/>
          <w:kern w:val="0"/>
          <w:position w:val="-12"/>
          <w:sz w:val="21"/>
          <w:szCs w:val="21"/>
          <w:lang w:val="en-US" w:bidi="ar"/>
        </w:rPr>
        <w:object>
          <v:shape id="_x0000_i1028" o:spt="75" type="#_x0000_t75" style="height:20pt;width:195pt;" o:ole="t" filled="f" o:preferrelative="t" stroked="f" coordsize="21600,21600">
            <v:path/>
            <v:fill on="f" focussize="0,0"/>
            <v:stroke on="f"/>
            <v:imagedata r:id="rId17" o:title=""/>
            <o:lock v:ext="edit" aspectratio="t"/>
            <w10:wrap type="none"/>
            <w10:anchorlock/>
          </v:shape>
          <o:OLEObject Type="Embed" ProgID="Equation.KSEE3" ShapeID="_x0000_i1028" DrawAspect="Content" ObjectID="_1468075728" r:id="rId16">
            <o:LockedField>false</o:LockedField>
          </o:OLEObject>
        </w:objec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eastAsia="宋体" w:cs="Times New Roman"/>
          <w:color w:val="auto"/>
          <w:kern w:val="0"/>
          <w:sz w:val="21"/>
          <w:szCs w:val="21"/>
          <w:lang w:val="en-US" w:eastAsia="zh-CN" w:bidi="ar"/>
        </w:rPr>
      </w:pPr>
    </w:p>
    <w:p>
      <w:pPr>
        <w:keepNext w:val="0"/>
        <w:keepLines w:val="0"/>
        <w:pageBreakBefore w:val="0"/>
        <w:widowControl/>
        <w:suppressLineNumbers w:val="0"/>
        <w:kinsoku/>
        <w:wordWrap/>
        <w:overflowPunct/>
        <w:topLinePunct w:val="0"/>
        <w:bidi w:val="0"/>
        <w:snapToGrid/>
        <w:spacing w:line="240" w:lineRule="auto"/>
        <w:ind w:firstLine="420" w:firstLineChars="200"/>
        <w:jc w:val="left"/>
        <w:textAlignment w:val="auto"/>
        <w:outlineLvl w:val="9"/>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由公式（</w:t>
      </w:r>
      <w:r>
        <w:rPr>
          <w:rFonts w:hint="eastAsia" w:cs="Times New Roman"/>
          <w:color w:val="auto"/>
          <w:lang w:val="en-US" w:eastAsia="zh-CN"/>
        </w:rPr>
        <w:t>A.</w:t>
      </w:r>
      <w:r>
        <w:rPr>
          <w:rFonts w:hint="default" w:ascii="Times New Roman" w:hAnsi="Times New Roman" w:eastAsia="宋体" w:cs="Times New Roman"/>
          <w:color w:val="auto"/>
          <w:kern w:val="0"/>
          <w:sz w:val="21"/>
          <w:szCs w:val="21"/>
          <w:lang w:val="en-US" w:eastAsia="zh-CN" w:bidi="ar"/>
        </w:rPr>
        <w:t>3）计算L</w:t>
      </w:r>
      <w:r>
        <w:rPr>
          <w:rFonts w:hint="default" w:ascii="Times New Roman" w:hAnsi="Times New Roman" w:cs="Times New Roman"/>
          <w:color w:val="auto"/>
          <w:kern w:val="0"/>
          <w:sz w:val="21"/>
          <w:szCs w:val="21"/>
          <w:vertAlign w:val="subscript"/>
          <w:lang w:val="en-US" w:eastAsia="zh-CN" w:bidi="ar"/>
        </w:rPr>
        <w:t>3</w:t>
      </w:r>
      <w:r>
        <w:rPr>
          <w:rFonts w:hint="default" w:ascii="Times New Roman" w:hAnsi="Times New Roman" w:eastAsia="宋体" w:cs="Times New Roman"/>
          <w:color w:val="auto"/>
          <w:kern w:val="0"/>
          <w:sz w:val="21"/>
          <w:szCs w:val="21"/>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查表2，</w:t>
      </w:r>
      <w:r>
        <w:rPr>
          <w:rFonts w:hint="eastAsia" w:cs="Times New Roman"/>
          <w:color w:val="auto"/>
          <w:kern w:val="0"/>
          <w:sz w:val="21"/>
          <w:szCs w:val="21"/>
          <w:lang w:val="en-US" w:eastAsia="zh-CN" w:bidi="ar"/>
        </w:rPr>
        <w:t>3</w:t>
      </w:r>
      <w:r>
        <w:rPr>
          <w:rFonts w:hint="default" w:ascii="Times New Roman" w:hAnsi="Times New Roman" w:cs="Times New Roman"/>
          <w:color w:val="auto"/>
          <w:kern w:val="0"/>
          <w:sz w:val="21"/>
          <w:szCs w:val="21"/>
          <w:lang w:val="en-US" w:eastAsia="zh-CN" w:bidi="ar"/>
        </w:rPr>
        <w:t>00</w:t>
      </w:r>
      <w:r>
        <w:rPr>
          <w:rFonts w:hint="eastAsia" w:cs="Times New Roman"/>
          <w:color w:val="auto"/>
          <w:kern w:val="0"/>
          <w:sz w:val="21"/>
          <w:szCs w:val="21"/>
          <w:lang w:val="en-US" w:eastAsia="zh-CN" w:bidi="ar"/>
        </w:rPr>
        <w:t xml:space="preserve"> </w:t>
      </w:r>
      <w:r>
        <w:rPr>
          <w:rFonts w:hint="default" w:ascii="Times New Roman" w:hAnsi="Times New Roman" w:cs="Times New Roman"/>
          <w:color w:val="auto"/>
          <w:kern w:val="0"/>
          <w:sz w:val="21"/>
          <w:szCs w:val="21"/>
          <w:lang w:val="en-US" w:eastAsia="zh-CN" w:bidi="ar"/>
        </w:rPr>
        <w:t>kV下</w:t>
      </w:r>
      <w:r>
        <w:rPr>
          <w:rFonts w:hint="eastAsia" w:cs="Times New Roman"/>
          <w:color w:val="auto"/>
          <w:kern w:val="0"/>
          <w:sz w:val="21"/>
          <w:szCs w:val="21"/>
          <w:lang w:val="en-US" w:eastAsia="zh-CN" w:bidi="ar"/>
        </w:rPr>
        <w:t>X射线探伤机</w:t>
      </w:r>
      <w:r>
        <w:rPr>
          <w:rFonts w:hint="default" w:ascii="Times New Roman" w:hAnsi="Times New Roman" w:cs="Times New Roman"/>
          <w:color w:val="auto"/>
          <w:kern w:val="0"/>
          <w:sz w:val="21"/>
          <w:szCs w:val="21"/>
          <w:lang w:val="en-US" w:eastAsia="zh-CN" w:bidi="ar"/>
        </w:rPr>
        <w:t>泄露辐射剂量率的限值为</w:t>
      </w:r>
      <w:r>
        <w:rPr>
          <w:rFonts w:hint="eastAsia" w:cs="Times New Roman"/>
          <w:color w:val="auto"/>
          <w:kern w:val="0"/>
          <w:sz w:val="21"/>
          <w:szCs w:val="21"/>
          <w:lang w:val="en-US" w:eastAsia="zh-CN" w:bidi="ar"/>
        </w:rPr>
        <w:t xml:space="preserve">5 </w:t>
      </w:r>
      <w:r>
        <w:rPr>
          <w:rFonts w:hint="default" w:ascii="Times New Roman" w:hAnsi="Times New Roman" w:cs="Times New Roman"/>
          <w:color w:val="auto"/>
          <w:kern w:val="0"/>
          <w:sz w:val="21"/>
          <w:szCs w:val="21"/>
          <w:lang w:val="en-US" w:eastAsia="zh-CN" w:bidi="ar"/>
        </w:rPr>
        <w:t>mSv/h。</w:t>
      </w:r>
    </w:p>
    <w:p>
      <w:pPr>
        <w:keepNext w:val="0"/>
        <w:keepLines w:val="0"/>
        <w:pageBreakBefore w:val="0"/>
        <w:widowControl/>
        <w:suppressLineNumbers w:val="0"/>
        <w:kinsoku/>
        <w:wordWrap/>
        <w:overflowPunct/>
        <w:topLinePunct w:val="0"/>
        <w:bidi w:val="0"/>
        <w:snapToGrid/>
        <w:spacing w:line="240" w:lineRule="auto"/>
        <w:jc w:val="left"/>
        <w:textAlignment w:val="auto"/>
        <w:outlineLvl w:val="9"/>
        <w:rPr>
          <w:rFonts w:hint="default" w:ascii="Times New Roman" w:hAnsi="Times New Roman" w:eastAsia="宋体" w:cs="Times New Roman"/>
          <w:color w:val="auto"/>
          <w:kern w:val="0"/>
          <w:sz w:val="21"/>
          <w:szCs w:val="21"/>
          <w:lang w:val="en-US" w:eastAsia="zh-CN" w:bidi="ar"/>
        </w:rPr>
      </w:pPr>
    </w:p>
    <w:p>
      <w:pPr>
        <w:keepNext w:val="0"/>
        <w:keepLines w:val="0"/>
        <w:pageBreakBefore w:val="0"/>
        <w:widowControl/>
        <w:suppressLineNumbers w:val="0"/>
        <w:kinsoku/>
        <w:wordWrap/>
        <w:overflowPunct/>
        <w:topLinePunct w:val="0"/>
        <w:bidi w:val="0"/>
        <w:snapToGrid/>
        <w:spacing w:line="240" w:lineRule="auto"/>
        <w:jc w:val="center"/>
        <w:textAlignment w:val="auto"/>
        <w:outlineLvl w:val="9"/>
        <w:rPr>
          <w:rFonts w:hint="default" w:ascii="Times New Roman" w:hAnsi="Times New Roman" w:cs="Times New Roman"/>
          <w:b w:val="0"/>
          <w:i w:val="0"/>
          <w:color w:val="auto"/>
          <w:lang w:val="en-US" w:eastAsia="zh-CN"/>
        </w:rPr>
      </w:pPr>
      <w:r>
        <w:rPr>
          <w:rFonts w:hint="default" w:ascii="Cambria Math" w:hAnsi="Cambria Math" w:cs="Times New Roman"/>
          <w:i/>
          <w:color w:val="auto"/>
          <w:kern w:val="0"/>
          <w:position w:val="-26"/>
          <w:sz w:val="21"/>
          <w:szCs w:val="21"/>
          <w:lang w:val="en-US" w:bidi="ar"/>
        </w:rPr>
        <w:object>
          <v:shape id="_x0000_i1029" o:spt="75" type="#_x0000_t75" style="height:35pt;width:162pt;" o:ole="t" filled="f" o:preferrelative="t" stroked="f" coordsize="21600,21600">
            <v:path/>
            <v:fill on="f" focussize="0,0"/>
            <v:stroke on="f"/>
            <v:imagedata r:id="rId19" o:title=""/>
            <o:lock v:ext="edit" aspectratio="t"/>
            <w10:wrap type="none"/>
            <w10:anchorlock/>
          </v:shape>
          <o:OLEObject Type="Embed" ProgID="Equation.KSEE3" ShapeID="_x0000_i1029" DrawAspect="Content" ObjectID="_1468075729" r:id="rId18">
            <o:LockedField>false</o:LockedField>
          </o:OLEObject>
        </w:object>
      </w:r>
    </w:p>
    <w:p>
      <w:pPr>
        <w:pStyle w:val="35"/>
        <w:rPr>
          <w:rFonts w:hint="default"/>
          <w:lang w:val="en-US" w:eastAsia="zh-CN"/>
        </w:rPr>
      </w:pPr>
    </w:p>
    <w:p>
      <w:pPr>
        <w:pStyle w:val="34"/>
        <w:keepLines w:val="0"/>
        <w:pageBreakBefore w:val="0"/>
        <w:numPr>
          <w:ilvl w:val="0"/>
          <w:numId w:val="0"/>
        </w:numPr>
        <w:shd w:val="clear" w:color="FFFFFF" w:fill="FFFFFF"/>
        <w:tabs>
          <w:tab w:val="left" w:pos="360"/>
          <w:tab w:val="left" w:pos="6405"/>
        </w:tabs>
        <w:kinsoku/>
        <w:wordWrap/>
        <w:overflowPunct/>
        <w:topLinePunct w:val="0"/>
        <w:autoSpaceDE/>
        <w:autoSpaceDN/>
        <w:bidi w:val="0"/>
        <w:adjustRightInd/>
        <w:snapToGrid/>
        <w:spacing w:before="0" w:after="0" w:line="360" w:lineRule="auto"/>
        <w:ind w:leftChars="0"/>
        <w:jc w:val="center"/>
        <w:textAlignment w:val="auto"/>
        <w:outlineLvl w:val="0"/>
        <w:rPr>
          <w:rFonts w:hint="default" w:ascii="Times New Roman" w:hAnsi="Times New Roman" w:cs="Times New Roman"/>
          <w:color w:val="auto"/>
          <w:lang w:val="en-US" w:eastAsia="zh-CN"/>
        </w:rPr>
      </w:pPr>
      <w:bookmarkStart w:id="94" w:name="_Toc8360"/>
      <w:r>
        <w:rPr>
          <w:rFonts w:hint="default" w:ascii="Times New Roman" w:hAnsi="Times New Roman" w:cs="Times New Roman"/>
          <w:color w:val="auto"/>
          <w:lang w:val="en-US" w:eastAsia="zh-CN"/>
        </w:rPr>
        <w:t>附录</w:t>
      </w:r>
      <w:r>
        <w:rPr>
          <w:rFonts w:hint="eastAsia" w:ascii="Times New Roman" w:cs="Times New Roman"/>
          <w:color w:val="auto"/>
          <w:lang w:val="en-US" w:eastAsia="zh-CN"/>
        </w:rPr>
        <w:t>B</w:t>
      </w:r>
      <w:bookmarkEnd w:id="94"/>
    </w:p>
    <w:p>
      <w:pPr>
        <w:keepLines w:val="0"/>
        <w:pageBreakBefore w:val="0"/>
        <w:kinsoku/>
        <w:wordWrap/>
        <w:overflowPunct/>
        <w:topLinePunct w:val="0"/>
        <w:autoSpaceDE/>
        <w:autoSpaceDN/>
        <w:bidi w:val="0"/>
        <w:adjustRightInd/>
        <w:snapToGrid/>
        <w:spacing w:line="218" w:lineRule="auto"/>
        <w:ind w:left="0"/>
        <w:jc w:val="center"/>
        <w:textAlignment w:val="auto"/>
        <w:outlineLvl w:val="0"/>
        <w:rPr>
          <w:rFonts w:hint="default" w:ascii="Times New Roman" w:hAnsi="Times New Roman" w:eastAsia="黑体" w:cs="Times New Roman"/>
          <w:color w:val="auto"/>
          <w:sz w:val="21"/>
          <w:szCs w:val="21"/>
        </w:rPr>
      </w:pPr>
      <w:bookmarkStart w:id="95" w:name="_Toc21427"/>
      <w:r>
        <w:rPr>
          <w:rFonts w:hint="default" w:ascii="Times New Roman" w:hAnsi="Times New Roman" w:eastAsia="黑体" w:cs="Times New Roman"/>
          <w:color w:val="auto"/>
          <w:spacing w:val="-7"/>
          <w:sz w:val="21"/>
          <w:szCs w:val="21"/>
        </w:rPr>
        <w:t>（资料性）</w:t>
      </w:r>
      <w:bookmarkEnd w:id="95"/>
    </w:p>
    <w:p>
      <w:pPr>
        <w:keepLines w:val="0"/>
        <w:pageBreakBefore w:val="0"/>
        <w:kinsoku/>
        <w:wordWrap/>
        <w:overflowPunct/>
        <w:topLinePunct w:val="0"/>
        <w:autoSpaceDE/>
        <w:autoSpaceDN/>
        <w:bidi w:val="0"/>
        <w:adjustRightInd/>
        <w:snapToGrid/>
        <w:spacing w:line="218" w:lineRule="auto"/>
        <w:ind w:left="0"/>
        <w:jc w:val="center"/>
        <w:textAlignment w:val="auto"/>
        <w:outlineLvl w:val="0"/>
        <w:rPr>
          <w:rFonts w:hint="default" w:ascii="Times New Roman" w:hAnsi="Times New Roman" w:cs="Times New Roman"/>
          <w:b/>
          <w:color w:val="auto"/>
          <w:sz w:val="24"/>
          <w:szCs w:val="24"/>
        </w:rPr>
      </w:pPr>
      <w:bookmarkStart w:id="96" w:name="_Toc28988"/>
      <w:r>
        <w:rPr>
          <w:rFonts w:hint="default" w:ascii="Times New Roman" w:hAnsi="Times New Roman" w:eastAsia="黑体" w:cs="Times New Roman"/>
          <w:color w:val="auto"/>
          <w:spacing w:val="-7"/>
          <w:sz w:val="21"/>
          <w:szCs w:val="21"/>
          <w:lang w:val="en-US" w:eastAsia="zh-CN"/>
        </w:rPr>
        <w:t>测量仪器读数响应时间修正方法</w:t>
      </w:r>
      <w:bookmarkEnd w:id="96"/>
    </w:p>
    <w:p>
      <w:pPr>
        <w:pStyle w:val="35"/>
        <w:keepNext w:val="0"/>
        <w:keepLines w:val="0"/>
        <w:pageBreakBefore w:val="0"/>
        <w:widowControl/>
        <w:kinsoku/>
        <w:wordWrap/>
        <w:overflowPunct/>
        <w:topLinePunct w:val="0"/>
        <w:autoSpaceDE w:val="0"/>
        <w:autoSpaceDN w:val="0"/>
        <w:bidi w:val="0"/>
        <w:adjustRightInd/>
        <w:snapToGrid/>
        <w:ind w:firstLine="420" w:firstLineChars="200"/>
        <w:jc w:val="both"/>
        <w:textAlignment w:val="auto"/>
        <w:rPr>
          <w:rFonts w:hint="default" w:ascii="Times New Roman" w:hAnsi="Times New Roman" w:eastAsia="宋体" w:cs="Times New Roman"/>
          <w:color w:val="auto"/>
          <w:lang w:val="en-US" w:eastAsia="zh-CN"/>
        </w:rPr>
      </w:pPr>
    </w:p>
    <w:p>
      <w:pPr>
        <w:pStyle w:val="35"/>
        <w:keepNext w:val="0"/>
        <w:keepLines w:val="0"/>
        <w:pageBreakBefore w:val="0"/>
        <w:widowControl/>
        <w:kinsoku/>
        <w:wordWrap/>
        <w:overflowPunct/>
        <w:topLinePunct w:val="0"/>
        <w:autoSpaceDE w:val="0"/>
        <w:autoSpaceDN w:val="0"/>
        <w:bidi w:val="0"/>
        <w:adjustRightInd/>
        <w:snapToGrid/>
        <w:ind w:firstLine="420" w:firstLineChars="200"/>
        <w:jc w:val="both"/>
        <w:textAlignment w:val="auto"/>
        <w:rPr>
          <w:rFonts w:hint="default" w:ascii="Times New Roman" w:hAnsi="Times New Roman" w:eastAsia="宋体" w:cs="Times New Roman"/>
          <w:color w:val="auto"/>
          <w:lang w:val="en-US" w:eastAsia="zh-CN"/>
        </w:rPr>
      </w:pPr>
    </w:p>
    <w:p>
      <w:pPr>
        <w:pStyle w:val="35"/>
        <w:keepNext w:val="0"/>
        <w:keepLines w:val="0"/>
        <w:pageBreakBefore w:val="0"/>
        <w:widowControl/>
        <w:kinsoku/>
        <w:wordWrap/>
        <w:overflowPunct/>
        <w:topLinePunct w:val="0"/>
        <w:autoSpaceDE w:val="0"/>
        <w:autoSpaceDN w:val="0"/>
        <w:bidi w:val="0"/>
        <w:adjustRightInd/>
        <w:snapToGrid/>
        <w:ind w:firstLine="420" w:firstLineChars="20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读数响应时间修正系数</w:t>
      </w:r>
      <w:r>
        <w:rPr>
          <w:rFonts w:hint="default" w:ascii="Times New Roman" w:hAnsi="Times New Roman" w:eastAsia="宋体" w:cs="Times New Roman"/>
          <w:i/>
          <w:iCs/>
          <w:color w:val="auto"/>
          <w:lang w:val="en-US" w:eastAsia="zh-CN"/>
        </w:rPr>
        <w:t>k</w:t>
      </w:r>
      <w:r>
        <w:rPr>
          <w:rFonts w:hint="default" w:ascii="Times New Roman" w:hAnsi="Times New Roman" w:eastAsia="宋体" w:cs="Times New Roman"/>
          <w:color w:val="auto"/>
          <w:lang w:val="en-US" w:eastAsia="zh-CN"/>
        </w:rPr>
        <w:t>可由式</w:t>
      </w:r>
      <w:r>
        <w:rPr>
          <w:rFonts w:hint="eastAsia" w:ascii="Times New Roman" w:hAnsi="Times New Roman" w:eastAsia="宋体" w:cs="Times New Roman"/>
          <w:color w:val="auto"/>
          <w:szCs w:val="22"/>
          <w:lang w:val="en-US" w:eastAsia="zh-CN"/>
        </w:rPr>
        <w:t>（</w:t>
      </w:r>
      <w:r>
        <w:rPr>
          <w:rFonts w:hint="eastAsia" w:ascii="Times New Roman" w:cs="Times New Roman"/>
          <w:color w:val="auto"/>
          <w:szCs w:val="22"/>
          <w:lang w:val="en-US" w:eastAsia="zh-CN"/>
        </w:rPr>
        <w:t>B.</w:t>
      </w:r>
      <w:r>
        <w:rPr>
          <w:rFonts w:hint="default" w:ascii="Times New Roman" w:hAnsi="Times New Roman" w:eastAsia="宋体" w:cs="Times New Roman"/>
          <w:color w:val="auto"/>
          <w:szCs w:val="22"/>
          <w:lang w:val="en-US" w:eastAsia="zh-CN"/>
        </w:rPr>
        <w:t>1</w:t>
      </w:r>
      <w:r>
        <w:rPr>
          <w:rFonts w:hint="eastAsia" w:ascii="Times New Roman" w:cs="Times New Roman"/>
          <w:color w:val="auto"/>
          <w:lang w:val="en-US" w:eastAsia="zh-CN"/>
        </w:rPr>
        <w:t>）</w:t>
      </w:r>
      <w:r>
        <w:rPr>
          <w:rFonts w:hint="default" w:ascii="Times New Roman" w:hAnsi="Times New Roman" w:eastAsia="宋体" w:cs="Times New Roman"/>
          <w:color w:val="auto"/>
          <w:lang w:val="en-US" w:eastAsia="zh-CN"/>
        </w:rPr>
        <w:t>计算：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center"/>
        <w:textAlignment w:val="auto"/>
        <w:rPr>
          <w:rFonts w:hint="default" w:ascii="Times New Roman" w:hAnsi="Times New Roman" w:cs="Times New Roman"/>
          <w:b/>
          <w:color w:val="auto"/>
          <w:sz w:val="24"/>
          <w:szCs w:val="24"/>
        </w:rPr>
      </w:pPr>
      <m:oMath>
        <m:r>
          <w:rPr>
            <w:rFonts w:hint="default" w:ascii="Cambria Math" w:hAnsi="Cambria Math" w:cs="Times New Roman"/>
            <w:color w:val="auto"/>
            <w:sz w:val="24"/>
            <w:szCs w:val="24"/>
            <w:lang w:val="en-US" w:eastAsia="zh-CN"/>
          </w:rPr>
          <m:t>k</m:t>
        </m:r>
        <m:r>
          <w:rPr>
            <w:rFonts w:hint="default" w:ascii="Cambria Math" w:hAnsi="Cambria Math" w:cs="Times New Roman"/>
            <w:color w:val="auto"/>
            <w:sz w:val="24"/>
            <w:szCs w:val="24"/>
          </w:rPr>
          <m:t>=</m:t>
        </m:r>
        <m:f>
          <m:fPr>
            <m:ctrlPr>
              <w:rPr>
                <w:rFonts w:hint="default" w:ascii="Cambria Math" w:hAnsi="Cambria Math" w:cs="Times New Roman"/>
                <w:b w:val="0"/>
                <w:bCs/>
                <w:i/>
                <w:color w:val="auto"/>
                <w:sz w:val="24"/>
                <w:szCs w:val="24"/>
              </w:rPr>
            </m:ctrlPr>
          </m:fPr>
          <m:num>
            <m:r>
              <w:rPr>
                <w:rFonts w:hint="default" w:ascii="Cambria Math" w:hAnsi="Cambria Math" w:cs="Times New Roman"/>
                <w:color w:val="auto"/>
                <w:sz w:val="24"/>
                <w:szCs w:val="24"/>
                <w:lang w:val="en-US" w:eastAsia="zh-CN"/>
              </w:rPr>
              <m:t>1</m:t>
            </m:r>
            <m:ctrlPr>
              <w:rPr>
                <w:rFonts w:hint="default" w:ascii="Cambria Math" w:hAnsi="Cambria Math" w:cs="Times New Roman"/>
                <w:b w:val="0"/>
                <w:bCs/>
                <w:i/>
                <w:color w:val="auto"/>
                <w:sz w:val="24"/>
                <w:szCs w:val="24"/>
              </w:rPr>
            </m:ctrlPr>
          </m:num>
          <m:den>
            <m:r>
              <w:rPr>
                <w:rFonts w:hint="default" w:ascii="Cambria Math" w:hAnsi="Cambria Math" w:cs="Times New Roman"/>
                <w:color w:val="auto"/>
                <w:sz w:val="24"/>
                <w:szCs w:val="24"/>
                <w:lang w:val="en-US" w:eastAsia="zh-CN"/>
              </w:rPr>
              <m:t>1−</m:t>
            </m:r>
            <m:sSup>
              <m:sSupPr>
                <m:ctrlPr>
                  <w:rPr>
                    <w:rFonts w:hint="default" w:ascii="Cambria Math" w:hAnsi="Cambria Math" w:cs="Times New Roman"/>
                    <w:b w:val="0"/>
                    <w:bCs/>
                    <w:i/>
                    <w:color w:val="auto"/>
                    <w:sz w:val="24"/>
                    <w:szCs w:val="24"/>
                    <w:lang w:val="en-US" w:eastAsia="zh-CN"/>
                  </w:rPr>
                </m:ctrlPr>
              </m:sSupPr>
              <m:e>
                <m:r>
                  <w:rPr>
                    <w:rFonts w:hint="default" w:ascii="Cambria Math" w:hAnsi="Cambria Math" w:cs="Times New Roman"/>
                    <w:color w:val="auto"/>
                    <w:sz w:val="24"/>
                    <w:szCs w:val="24"/>
                    <w:lang w:val="en-US" w:eastAsia="zh-CN"/>
                  </w:rPr>
                  <m:t>9</m:t>
                </m:r>
                <m:ctrlPr>
                  <w:rPr>
                    <w:rFonts w:hint="default" w:ascii="Cambria Math" w:hAnsi="Cambria Math" w:cs="Times New Roman"/>
                    <w:b w:val="0"/>
                    <w:bCs/>
                    <w:i/>
                    <w:color w:val="auto"/>
                    <w:sz w:val="24"/>
                    <w:szCs w:val="24"/>
                    <w:lang w:val="en-US" w:eastAsia="zh-CN"/>
                  </w:rPr>
                </m:ctrlPr>
              </m:e>
              <m:sup>
                <m:d>
                  <m:dPr>
                    <m:ctrlPr>
                      <w:rPr>
                        <w:rFonts w:hint="default" w:ascii="Cambria Math" w:hAnsi="Cambria Math" w:cs="Times New Roman"/>
                        <w:b w:val="0"/>
                        <w:bCs/>
                        <w:i/>
                        <w:color w:val="auto"/>
                        <w:sz w:val="24"/>
                        <w:szCs w:val="24"/>
                        <w:lang w:val="en-US" w:eastAsia="zh-CN"/>
                      </w:rPr>
                    </m:ctrlPr>
                  </m:dPr>
                  <m:e>
                    <m:r>
                      <w:rPr>
                        <w:rFonts w:hint="default" w:ascii="Cambria Math" w:hAnsi="Cambria Math" w:cs="Times New Roman"/>
                        <w:color w:val="auto"/>
                        <w:sz w:val="24"/>
                        <w:szCs w:val="24"/>
                        <w:lang w:val="en-US" w:eastAsia="zh-CN"/>
                      </w:rPr>
                      <m:t>−t/</m:t>
                    </m:r>
                    <m:r>
                      <w:rPr>
                        <w:rFonts w:hint="default" w:ascii="Cambria Math" w:hAnsi="Cambria Math" w:cs="Times New Roman"/>
                        <w:color w:val="auto"/>
                        <w:sz w:val="24"/>
                        <w:szCs w:val="24"/>
                        <w:lang w:val="en-US"/>
                      </w:rPr>
                      <m:t>τ</m:t>
                    </m:r>
                    <m:ctrlPr>
                      <w:rPr>
                        <w:rFonts w:hint="default" w:ascii="Cambria Math" w:hAnsi="Cambria Math" w:cs="Times New Roman"/>
                        <w:b w:val="0"/>
                        <w:bCs/>
                        <w:i/>
                        <w:color w:val="auto"/>
                        <w:sz w:val="24"/>
                        <w:szCs w:val="24"/>
                        <w:lang w:val="en-US" w:eastAsia="zh-CN"/>
                      </w:rPr>
                    </m:ctrlPr>
                  </m:e>
                </m:d>
                <m:ctrlPr>
                  <w:rPr>
                    <w:rFonts w:hint="default" w:ascii="Cambria Math" w:hAnsi="Cambria Math" w:cs="Times New Roman"/>
                    <w:b w:val="0"/>
                    <w:bCs/>
                    <w:i/>
                    <w:color w:val="auto"/>
                    <w:sz w:val="24"/>
                    <w:szCs w:val="24"/>
                    <w:lang w:val="en-US" w:eastAsia="zh-CN"/>
                  </w:rPr>
                </m:ctrlPr>
              </m:sup>
            </m:sSup>
            <m:ctrlPr>
              <w:rPr>
                <w:rFonts w:hint="default" w:ascii="Cambria Math" w:hAnsi="Cambria Math" w:cs="Times New Roman"/>
                <w:b w:val="0"/>
                <w:bCs/>
                <w:i/>
                <w:color w:val="auto"/>
                <w:sz w:val="24"/>
                <w:szCs w:val="24"/>
              </w:rPr>
            </m:ctrlPr>
          </m:den>
        </m:f>
      </m:oMath>
      <w:r>
        <w:rPr>
          <w:rFonts w:hint="default" w:ascii="Times New Roman" w:hAnsi="Times New Roman" w:cs="Times New Roman"/>
          <w:i w:val="0"/>
          <w:color w:val="auto"/>
          <w:lang w:val="en-US" w:eastAsia="zh-CN"/>
        </w:rPr>
        <w:t xml:space="preserve">      </w:t>
      </w:r>
      <w:r>
        <w:rPr>
          <w:rFonts w:hint="default" w:ascii="Times New Roman" w:hAnsi="Times New Roman" w:cs="Times New Roman"/>
          <w:color w:val="auto"/>
          <w:lang w:val="en-US" w:eastAsia="zh-CN"/>
        </w:rPr>
        <w:t>式（</w:t>
      </w:r>
      <w:r>
        <w:rPr>
          <w:rFonts w:hint="eastAsia" w:cs="Times New Roman"/>
          <w:color w:val="auto"/>
          <w:lang w:val="en-US" w:eastAsia="zh-CN"/>
        </w:rPr>
        <w:t>B.</w:t>
      </w:r>
      <w:r>
        <w:rPr>
          <w:rFonts w:hint="default" w:ascii="Times New Roman" w:hAnsi="Times New Roman" w:cs="Times New Roman"/>
          <w:color w:val="auto"/>
          <w:lang w:val="en-US" w:eastAsia="zh-CN"/>
        </w:rPr>
        <w:t>1）</w:t>
      </w:r>
    </w:p>
    <w:p>
      <w:pPr>
        <w:pStyle w:val="31"/>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both"/>
        <w:textAlignment w:val="auto"/>
        <w:rPr>
          <w:rFonts w:hint="default" w:ascii="Times New Roman" w:hAnsi="Times New Roman" w:cs="Times New Roman"/>
          <w:b w:val="0"/>
          <w:bCs/>
          <w:color w:val="auto"/>
          <w:sz w:val="21"/>
          <w:szCs w:val="21"/>
          <w:lang w:val="en-US" w:eastAsia="zh-CN"/>
        </w:rPr>
      </w:pPr>
      <w:r>
        <w:rPr>
          <w:rFonts w:hint="default" w:ascii="Times New Roman" w:hAnsi="Times New Roman" w:eastAsia="宋体" w:cs="Times New Roman"/>
          <w:color w:val="auto"/>
          <w:kern w:val="0"/>
          <w:sz w:val="21"/>
          <w:szCs w:val="21"/>
          <w:lang w:val="en-US" w:eastAsia="zh-CN" w:bidi="ar"/>
        </w:rPr>
        <w:t>式</w:t>
      </w:r>
      <w:r>
        <w:rPr>
          <w:rFonts w:hint="default" w:ascii="Times New Roman" w:hAnsi="Times New Roman" w:cs="Times New Roman"/>
          <w:b w:val="0"/>
          <w:bCs/>
          <w:color w:val="auto"/>
          <w:sz w:val="21"/>
          <w:szCs w:val="21"/>
          <w:lang w:val="en-US" w:eastAsia="zh-CN"/>
        </w:rPr>
        <w:t>中：</w:t>
      </w:r>
    </w:p>
    <w:p>
      <w:pPr>
        <w:pStyle w:val="31"/>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840" w:firstLineChars="400"/>
        <w:jc w:val="both"/>
        <w:textAlignment w:val="auto"/>
        <w:outlineLvl w:val="9"/>
        <w:rPr>
          <w:rFonts w:hint="default" w:ascii="Times New Roman" w:hAnsi="Times New Roman" w:cs="Times New Roman"/>
          <w:b w:val="0"/>
          <w:bCs/>
          <w:color w:val="auto"/>
          <w:sz w:val="21"/>
          <w:szCs w:val="21"/>
          <w:lang w:val="en-US" w:eastAsia="zh-CN"/>
        </w:rPr>
      </w:pPr>
      <w:r>
        <w:rPr>
          <w:rFonts w:hint="default" w:ascii="Times New Roman" w:hAnsi="Times New Roman" w:cs="Times New Roman"/>
          <w:b w:val="0"/>
          <w:bCs/>
          <w:i/>
          <w:iCs/>
          <w:color w:val="auto"/>
          <w:sz w:val="21"/>
          <w:szCs w:val="21"/>
          <w:lang w:val="en-US" w:eastAsia="zh-CN"/>
        </w:rPr>
        <w:t>k</w:t>
      </w:r>
      <w:r>
        <w:rPr>
          <w:rFonts w:hint="default" w:ascii="Times New Roman" w:hAnsi="Times New Roman" w:cs="Times New Roman"/>
          <w:b w:val="0"/>
          <w:bCs/>
          <w:color w:val="auto"/>
          <w:sz w:val="21"/>
          <w:szCs w:val="21"/>
          <w:lang w:val="en-US" w:eastAsia="zh-CN"/>
        </w:rPr>
        <w:t>——响应时间修正系数；</w:t>
      </w:r>
    </w:p>
    <w:p>
      <w:pPr>
        <w:pStyle w:val="31"/>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840" w:firstLineChars="400"/>
        <w:jc w:val="both"/>
        <w:textAlignment w:val="auto"/>
        <w:outlineLvl w:val="9"/>
        <w:rPr>
          <w:rFonts w:hint="default" w:ascii="Times New Roman" w:hAnsi="Times New Roman" w:cs="Times New Roman"/>
          <w:b w:val="0"/>
          <w:bCs/>
          <w:color w:val="auto"/>
          <w:sz w:val="21"/>
          <w:szCs w:val="21"/>
          <w:lang w:val="en-US" w:eastAsia="zh-CN"/>
        </w:rPr>
      </w:pPr>
      <w:r>
        <w:rPr>
          <w:rFonts w:hint="default" w:ascii="Times New Roman" w:hAnsi="Times New Roman" w:cs="Times New Roman"/>
          <w:b w:val="0"/>
          <w:bCs/>
          <w:i/>
          <w:iCs/>
          <w:color w:val="auto"/>
          <w:sz w:val="21"/>
          <w:szCs w:val="21"/>
          <w:lang w:val="en-US" w:eastAsia="zh-CN"/>
        </w:rPr>
        <w:t>t</w:t>
      </w:r>
      <w:r>
        <w:rPr>
          <w:rFonts w:hint="default" w:ascii="Times New Roman" w:hAnsi="Times New Roman" w:cs="Times New Roman"/>
          <w:b w:val="0"/>
          <w:bCs/>
          <w:color w:val="auto"/>
          <w:sz w:val="21"/>
          <w:szCs w:val="21"/>
          <w:lang w:val="en-US" w:eastAsia="zh-CN"/>
        </w:rPr>
        <w:t>——剂量率测量时出束时间，单位s；</w:t>
      </w:r>
    </w:p>
    <w:p>
      <w:pPr>
        <w:pStyle w:val="31"/>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840" w:firstLineChars="400"/>
        <w:jc w:val="both"/>
        <w:textAlignment w:val="auto"/>
        <w:outlineLvl w:val="9"/>
        <w:rPr>
          <w:rFonts w:hint="default" w:ascii="Times New Roman" w:hAnsi="Times New Roman" w:cs="Times New Roman"/>
          <w:b w:val="0"/>
          <w:bCs/>
          <w:color w:val="auto"/>
          <w:sz w:val="21"/>
          <w:szCs w:val="21"/>
          <w:lang w:val="en-US" w:eastAsia="zh-CN"/>
        </w:rPr>
      </w:pPr>
      <w:r>
        <w:rPr>
          <w:rFonts w:hint="default" w:ascii="Times New Roman" w:hAnsi="Times New Roman" w:cs="Times New Roman"/>
          <w:b w:val="0"/>
          <w:bCs/>
          <w:i/>
          <w:iCs/>
          <w:color w:val="auto"/>
          <w:sz w:val="21"/>
          <w:szCs w:val="21"/>
          <w:lang w:val="en-US" w:eastAsia="zh-CN"/>
        </w:rPr>
        <w:t>τ</w:t>
      </w:r>
      <w:r>
        <w:rPr>
          <w:rFonts w:hint="default" w:ascii="Times New Roman" w:hAnsi="Times New Roman" w:cs="Times New Roman"/>
          <w:b w:val="0"/>
          <w:bCs/>
          <w:color w:val="auto"/>
          <w:sz w:val="21"/>
          <w:szCs w:val="21"/>
          <w:lang w:val="en-US" w:eastAsia="zh-CN"/>
        </w:rPr>
        <w:t>——剂量仪读数响应时间，单位s，由仪器厂家给出。</w:t>
      </w:r>
    </w:p>
    <w:p>
      <w:pPr>
        <w:pStyle w:val="35"/>
        <w:keepNext w:val="0"/>
        <w:keepLines w:val="0"/>
        <w:pageBreakBefore w:val="0"/>
        <w:widowControl/>
        <w:kinsoku/>
        <w:wordWrap/>
        <w:overflowPunct/>
        <w:topLinePunct w:val="0"/>
        <w:autoSpaceDE w:val="0"/>
        <w:autoSpaceDN w:val="0"/>
        <w:bidi w:val="0"/>
        <w:adjustRightInd/>
        <w:snapToGrid/>
        <w:ind w:firstLine="420" w:firstLineChars="20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仪器读数响应时间的修正按</w:t>
      </w:r>
      <w:r>
        <w:rPr>
          <w:rFonts w:hint="default" w:ascii="Times New Roman" w:hAnsi="Times New Roman" w:eastAsia="宋体" w:cs="Times New Roman"/>
          <w:color w:val="auto"/>
          <w:szCs w:val="22"/>
          <w:lang w:val="en-US" w:eastAsia="zh-CN"/>
        </w:rPr>
        <w:t>式（</w:t>
      </w:r>
      <w:r>
        <w:rPr>
          <w:rFonts w:hint="eastAsia" w:ascii="Times New Roman" w:cs="Times New Roman"/>
          <w:color w:val="auto"/>
          <w:szCs w:val="22"/>
          <w:lang w:val="en-US" w:eastAsia="zh-CN"/>
        </w:rPr>
        <w:t>B.</w:t>
      </w:r>
      <w:r>
        <w:rPr>
          <w:rFonts w:hint="default" w:ascii="Times New Roman" w:hAnsi="Times New Roman" w:eastAsia="宋体" w:cs="Times New Roman"/>
          <w:color w:val="auto"/>
          <w:szCs w:val="22"/>
          <w:lang w:val="en-US" w:eastAsia="zh-CN"/>
        </w:rPr>
        <w:t>2）计</w:t>
      </w:r>
      <w:r>
        <w:rPr>
          <w:rFonts w:hint="default" w:ascii="Times New Roman" w:hAnsi="Times New Roman" w:eastAsia="宋体" w:cs="Times New Roman"/>
          <w:color w:val="auto"/>
          <w:lang w:val="en-US" w:eastAsia="zh-CN"/>
        </w:rPr>
        <w:t>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auto"/>
          <w:lang w:val="en-US" w:eastAsia="zh-CN"/>
        </w:rPr>
      </w:pPr>
      <m:oMath>
        <m:r>
          <w:rPr>
            <w:rFonts w:hint="default" w:ascii="Cambria Math" w:hAnsi="Cambria Math" w:eastAsia="宋体" w:cs="Times New Roman"/>
            <w:color w:val="auto"/>
            <w:lang w:val="en-US" w:eastAsia="zh-CN"/>
          </w:rPr>
          <m:t>D=(</m:t>
        </m:r>
        <m:sSub>
          <m:sSubPr>
            <m:ctrlPr>
              <w:rPr>
                <w:rFonts w:hint="default" w:ascii="Cambria Math" w:hAnsi="Cambria Math" w:eastAsia="宋体" w:cs="Times New Roman"/>
                <w:i/>
                <w:color w:val="auto"/>
                <w:lang w:val="en-US" w:eastAsia="zh-CN"/>
              </w:rPr>
            </m:ctrlPr>
          </m:sSubPr>
          <m:e>
            <m:r>
              <w:rPr>
                <w:rFonts w:hint="default" w:ascii="Cambria Math" w:hAnsi="Cambria Math" w:eastAsia="宋体" w:cs="Times New Roman"/>
                <w:color w:val="auto"/>
                <w:lang w:val="en-US" w:eastAsia="zh-CN"/>
              </w:rPr>
              <m:t>D</m:t>
            </m:r>
            <m:ctrlPr>
              <w:rPr>
                <w:rFonts w:hint="default" w:ascii="Cambria Math" w:hAnsi="Cambria Math" w:eastAsia="宋体" w:cs="Times New Roman"/>
                <w:i/>
                <w:color w:val="auto"/>
                <w:lang w:val="en-US" w:eastAsia="zh-CN"/>
              </w:rPr>
            </m:ctrlPr>
          </m:e>
          <m:sub>
            <m:r>
              <w:rPr>
                <w:rFonts w:hint="default" w:ascii="Cambria Math" w:hAnsi="Cambria Math" w:eastAsia="宋体" w:cs="Times New Roman"/>
                <w:color w:val="auto"/>
                <w:lang w:val="en-US" w:eastAsia="zh-CN"/>
              </w:rPr>
              <m:t>1</m:t>
            </m:r>
            <m:ctrlPr>
              <w:rPr>
                <w:rFonts w:hint="default" w:ascii="Cambria Math" w:hAnsi="Cambria Math" w:eastAsia="宋体" w:cs="Times New Roman"/>
                <w:i/>
                <w:color w:val="auto"/>
                <w:lang w:val="en-US" w:eastAsia="zh-CN"/>
              </w:rPr>
            </m:ctrlPr>
          </m:sub>
        </m:sSub>
        <m:r>
          <w:rPr>
            <w:rFonts w:hint="default" w:ascii="Cambria Math" w:hAnsi="Cambria Math" w:eastAsia="宋体" w:cs="Times New Roman"/>
            <w:color w:val="auto"/>
            <w:lang w:val="en-US" w:eastAsia="zh-CN"/>
          </w:rPr>
          <m:t>−</m:t>
        </m:r>
        <m:sSub>
          <m:sSubPr>
            <m:ctrlPr>
              <w:rPr>
                <w:rFonts w:hint="default" w:ascii="Cambria Math" w:hAnsi="Cambria Math" w:eastAsia="宋体" w:cs="Times New Roman"/>
                <w:i/>
                <w:color w:val="auto"/>
                <w:lang w:val="en-US" w:eastAsia="zh-CN"/>
              </w:rPr>
            </m:ctrlPr>
          </m:sSubPr>
          <m:e>
            <m:r>
              <w:rPr>
                <w:rFonts w:hint="default" w:ascii="Cambria Math" w:hAnsi="Cambria Math" w:eastAsia="宋体" w:cs="Times New Roman"/>
                <w:color w:val="auto"/>
                <w:lang w:val="en-US" w:eastAsia="zh-CN"/>
              </w:rPr>
              <m:t>D</m:t>
            </m:r>
            <m:ctrlPr>
              <w:rPr>
                <w:rFonts w:hint="default" w:ascii="Cambria Math" w:hAnsi="Cambria Math" w:eastAsia="宋体" w:cs="Times New Roman"/>
                <w:i/>
                <w:color w:val="auto"/>
                <w:lang w:val="en-US" w:eastAsia="zh-CN"/>
              </w:rPr>
            </m:ctrlPr>
          </m:e>
          <m:sub>
            <m:r>
              <w:rPr>
                <w:rFonts w:hint="default" w:ascii="Cambria Math" w:hAnsi="Cambria Math" w:eastAsia="宋体" w:cs="Times New Roman"/>
                <w:color w:val="auto"/>
                <w:lang w:val="en-US" w:eastAsia="zh-CN"/>
              </w:rPr>
              <m:t>2</m:t>
            </m:r>
            <m:ctrlPr>
              <w:rPr>
                <w:rFonts w:hint="default" w:ascii="Cambria Math" w:hAnsi="Cambria Math" w:eastAsia="宋体" w:cs="Times New Roman"/>
                <w:i/>
                <w:color w:val="auto"/>
                <w:lang w:val="en-US" w:eastAsia="zh-CN"/>
              </w:rPr>
            </m:ctrlPr>
          </m:sub>
        </m:sSub>
        <m:r>
          <w:rPr>
            <w:rFonts w:hint="default" w:ascii="Cambria Math" w:hAnsi="Cambria Math" w:eastAsia="宋体" w:cs="Times New Roman"/>
            <w:color w:val="auto"/>
            <w:lang w:val="en-US" w:eastAsia="zh-CN"/>
          </w:rPr>
          <m:t>)×k×f</m:t>
        </m:r>
      </m:oMath>
      <w:r>
        <w:rPr>
          <w:rFonts w:hint="default" w:ascii="Times New Roman" w:hAnsi="Times New Roman" w:cs="Times New Roman"/>
          <w:i w:val="0"/>
          <w:color w:val="auto"/>
          <w:lang w:val="en-US" w:eastAsia="zh-CN"/>
        </w:rPr>
        <w:t xml:space="preserve">      </w:t>
      </w:r>
      <w:r>
        <w:rPr>
          <w:rFonts w:hint="default" w:ascii="Times New Roman" w:hAnsi="Times New Roman" w:cs="Times New Roman"/>
          <w:color w:val="auto"/>
          <w:lang w:val="en-US" w:eastAsia="zh-CN"/>
        </w:rPr>
        <w:t>式（</w:t>
      </w:r>
      <w:r>
        <w:rPr>
          <w:rFonts w:hint="eastAsia" w:cs="Times New Roman"/>
          <w:color w:val="auto"/>
          <w:lang w:val="en-US" w:eastAsia="zh-CN"/>
        </w:rPr>
        <w:t>B.</w:t>
      </w:r>
      <w:r>
        <w:rPr>
          <w:rFonts w:hint="default" w:ascii="Times New Roman" w:hAnsi="Times New Roman" w:cs="Times New Roman"/>
          <w:color w:val="auto"/>
          <w:lang w:val="en-US" w:eastAsia="zh-CN"/>
        </w:rPr>
        <w:t>2）</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 w:val="21"/>
          <w:szCs w:val="21"/>
        </w:rPr>
      </w:pPr>
      <w:r>
        <w:rPr>
          <w:rFonts w:hint="default" w:ascii="Times New Roman" w:hAnsi="Times New Roman" w:eastAsia="宋体" w:cs="Times New Roman"/>
          <w:color w:val="auto"/>
          <w:kern w:val="0"/>
          <w:sz w:val="21"/>
          <w:szCs w:val="21"/>
          <w:lang w:val="en-US" w:eastAsia="zh-CN" w:bidi="ar"/>
        </w:rPr>
        <w:t xml:space="preserve">式中： </w:t>
      </w:r>
    </w:p>
    <w:p>
      <w:pPr>
        <w:keepNext w:val="0"/>
        <w:keepLines w:val="0"/>
        <w:pageBreakBefore w:val="0"/>
        <w:widowControl/>
        <w:suppressLineNumbers w:val="0"/>
        <w:kinsoku/>
        <w:wordWrap/>
        <w:overflowPunct/>
        <w:topLinePunct w:val="0"/>
        <w:autoSpaceDE/>
        <w:autoSpaceDN/>
        <w:bidi w:val="0"/>
        <w:adjustRightInd/>
        <w:snapToGrid/>
        <w:ind w:firstLine="840" w:firstLineChars="400"/>
        <w:jc w:val="left"/>
        <w:textAlignment w:val="auto"/>
        <w:rPr>
          <w:rFonts w:hint="default" w:ascii="Times New Roman" w:hAnsi="Times New Roman" w:cs="Times New Roman"/>
          <w:i w:val="0"/>
          <w:iCs w:val="0"/>
          <w:color w:val="auto"/>
          <w:sz w:val="21"/>
          <w:szCs w:val="21"/>
        </w:rPr>
      </w:pPr>
      <w:r>
        <w:rPr>
          <w:rFonts w:hint="default" w:ascii="Times New Roman" w:hAnsi="Times New Roman" w:eastAsia="宋体" w:cs="Times New Roman"/>
          <w:i/>
          <w:iCs/>
          <w:color w:val="auto"/>
          <w:kern w:val="0"/>
          <w:sz w:val="21"/>
          <w:szCs w:val="21"/>
          <w:lang w:val="en-US" w:eastAsia="zh-CN" w:bidi="ar"/>
        </w:rPr>
        <w:t>D</w:t>
      </w:r>
      <w:r>
        <w:rPr>
          <w:rFonts w:hint="default" w:ascii="Times New Roman" w:hAnsi="Times New Roman" w:eastAsia="宋体" w:cs="Times New Roman"/>
          <w:i w:val="0"/>
          <w:iCs w:val="0"/>
          <w:color w:val="auto"/>
          <w:kern w:val="0"/>
          <w:sz w:val="21"/>
          <w:szCs w:val="21"/>
          <w:lang w:val="en-US" w:eastAsia="zh-CN" w:bidi="ar"/>
        </w:rPr>
        <w:t xml:space="preserve"> —— 机房外实际剂量率水平； </w:t>
      </w:r>
    </w:p>
    <w:p>
      <w:pPr>
        <w:keepNext w:val="0"/>
        <w:keepLines w:val="0"/>
        <w:pageBreakBefore w:val="0"/>
        <w:widowControl/>
        <w:suppressLineNumbers w:val="0"/>
        <w:kinsoku/>
        <w:wordWrap/>
        <w:overflowPunct/>
        <w:topLinePunct w:val="0"/>
        <w:autoSpaceDE/>
        <w:autoSpaceDN/>
        <w:bidi w:val="0"/>
        <w:adjustRightInd/>
        <w:snapToGrid/>
        <w:ind w:firstLine="840" w:firstLineChars="400"/>
        <w:jc w:val="left"/>
        <w:textAlignment w:val="auto"/>
        <w:rPr>
          <w:rFonts w:hint="default" w:ascii="Times New Roman" w:hAnsi="Times New Roman" w:cs="Times New Roman"/>
          <w:i w:val="0"/>
          <w:iCs w:val="0"/>
          <w:color w:val="auto"/>
          <w:sz w:val="21"/>
          <w:szCs w:val="21"/>
        </w:rPr>
      </w:pPr>
      <w:r>
        <w:rPr>
          <w:rFonts w:hint="default" w:ascii="Times New Roman" w:hAnsi="Times New Roman" w:eastAsia="宋体" w:cs="Times New Roman"/>
          <w:i/>
          <w:iCs/>
          <w:color w:val="auto"/>
          <w:kern w:val="0"/>
          <w:sz w:val="21"/>
          <w:szCs w:val="21"/>
          <w:lang w:val="en-US" w:eastAsia="zh-CN" w:bidi="ar"/>
        </w:rPr>
        <w:t>D</w:t>
      </w:r>
      <w:r>
        <w:rPr>
          <w:rFonts w:hint="default" w:ascii="Times New Roman" w:hAnsi="Times New Roman" w:eastAsia="宋体" w:cs="Times New Roman"/>
          <w:i/>
          <w:iCs/>
          <w:color w:val="auto"/>
          <w:kern w:val="0"/>
          <w:sz w:val="21"/>
          <w:szCs w:val="21"/>
          <w:vertAlign w:val="subscript"/>
          <w:lang w:val="en-US" w:eastAsia="zh-CN" w:bidi="ar"/>
        </w:rPr>
        <w:t>1</w:t>
      </w:r>
      <w:r>
        <w:rPr>
          <w:rFonts w:hint="default" w:ascii="Times New Roman" w:hAnsi="Times New Roman" w:eastAsia="宋体" w:cs="Times New Roman"/>
          <w:i w:val="0"/>
          <w:iCs w:val="0"/>
          <w:color w:val="auto"/>
          <w:kern w:val="0"/>
          <w:sz w:val="21"/>
          <w:szCs w:val="21"/>
          <w:lang w:val="en-US" w:eastAsia="zh-CN" w:bidi="ar"/>
        </w:rPr>
        <w:t xml:space="preserve">—— 仪器直接测读剂量率； </w:t>
      </w:r>
    </w:p>
    <w:p>
      <w:pPr>
        <w:keepNext w:val="0"/>
        <w:keepLines w:val="0"/>
        <w:pageBreakBefore w:val="0"/>
        <w:widowControl/>
        <w:suppressLineNumbers w:val="0"/>
        <w:kinsoku/>
        <w:wordWrap/>
        <w:overflowPunct/>
        <w:topLinePunct w:val="0"/>
        <w:autoSpaceDE/>
        <w:autoSpaceDN/>
        <w:bidi w:val="0"/>
        <w:adjustRightInd/>
        <w:snapToGrid/>
        <w:ind w:firstLine="840" w:firstLineChars="400"/>
        <w:jc w:val="left"/>
        <w:textAlignment w:val="auto"/>
        <w:rPr>
          <w:rFonts w:hint="default" w:ascii="Times New Roman" w:hAnsi="Times New Roman" w:cs="Times New Roman"/>
          <w:i w:val="0"/>
          <w:iCs w:val="0"/>
          <w:color w:val="auto"/>
          <w:sz w:val="21"/>
          <w:szCs w:val="21"/>
        </w:rPr>
      </w:pPr>
      <w:r>
        <w:rPr>
          <w:rFonts w:hint="default" w:ascii="Times New Roman" w:hAnsi="Times New Roman" w:eastAsia="宋体" w:cs="Times New Roman"/>
          <w:i/>
          <w:iCs/>
          <w:color w:val="auto"/>
          <w:kern w:val="0"/>
          <w:sz w:val="21"/>
          <w:szCs w:val="21"/>
          <w:lang w:val="en-US" w:eastAsia="zh-CN" w:bidi="ar"/>
        </w:rPr>
        <w:t>D</w:t>
      </w:r>
      <w:r>
        <w:rPr>
          <w:rFonts w:hint="default" w:ascii="Times New Roman" w:hAnsi="Times New Roman" w:eastAsia="宋体" w:cs="Times New Roman"/>
          <w:i/>
          <w:iCs/>
          <w:color w:val="auto"/>
          <w:kern w:val="0"/>
          <w:sz w:val="21"/>
          <w:szCs w:val="21"/>
          <w:vertAlign w:val="subscript"/>
          <w:lang w:val="en-US" w:eastAsia="zh-CN" w:bidi="ar"/>
        </w:rPr>
        <w:t>2</w:t>
      </w:r>
      <w:r>
        <w:rPr>
          <w:rFonts w:hint="default" w:ascii="Times New Roman" w:hAnsi="Times New Roman" w:eastAsia="宋体" w:cs="Times New Roman"/>
          <w:i w:val="0"/>
          <w:iCs w:val="0"/>
          <w:color w:val="auto"/>
          <w:kern w:val="0"/>
          <w:sz w:val="21"/>
          <w:szCs w:val="21"/>
          <w:lang w:val="en-US" w:eastAsia="zh-CN" w:bidi="ar"/>
        </w:rPr>
        <w:t xml:space="preserve">—— 仪器自身和天然本底剂量率； </w:t>
      </w:r>
    </w:p>
    <w:p>
      <w:pPr>
        <w:keepNext w:val="0"/>
        <w:keepLines w:val="0"/>
        <w:pageBreakBefore w:val="0"/>
        <w:widowControl/>
        <w:suppressLineNumbers w:val="0"/>
        <w:kinsoku/>
        <w:wordWrap/>
        <w:overflowPunct/>
        <w:topLinePunct w:val="0"/>
        <w:autoSpaceDE/>
        <w:autoSpaceDN/>
        <w:bidi w:val="0"/>
        <w:adjustRightInd/>
        <w:snapToGrid/>
        <w:ind w:firstLine="840" w:firstLineChars="400"/>
        <w:jc w:val="left"/>
        <w:textAlignment w:val="auto"/>
        <w:rPr>
          <w:rFonts w:hint="default" w:ascii="Times New Roman" w:hAnsi="Times New Roman" w:cs="Times New Roman"/>
          <w:i w:val="0"/>
          <w:iCs w:val="0"/>
          <w:color w:val="auto"/>
          <w:sz w:val="21"/>
          <w:szCs w:val="21"/>
        </w:rPr>
      </w:pPr>
      <w:r>
        <w:rPr>
          <w:rFonts w:hint="default" w:ascii="Times New Roman" w:hAnsi="Times New Roman" w:eastAsia="宋体" w:cs="Times New Roman"/>
          <w:i/>
          <w:iCs/>
          <w:color w:val="auto"/>
          <w:kern w:val="0"/>
          <w:sz w:val="21"/>
          <w:szCs w:val="21"/>
          <w:lang w:val="en-US" w:eastAsia="zh-CN" w:bidi="ar"/>
        </w:rPr>
        <w:t>k</w:t>
      </w:r>
      <w:r>
        <w:rPr>
          <w:rFonts w:hint="default" w:ascii="Times New Roman" w:hAnsi="Times New Roman" w:eastAsia="宋体" w:cs="Times New Roman"/>
          <w:i w:val="0"/>
          <w:iCs w:val="0"/>
          <w:color w:val="auto"/>
          <w:kern w:val="0"/>
          <w:sz w:val="21"/>
          <w:szCs w:val="21"/>
          <w:lang w:val="en-US" w:eastAsia="zh-CN" w:bidi="ar"/>
        </w:rPr>
        <w:t xml:space="preserve">—— 对不同出束时间建立的仪表的剂量率响应时间修正系数； </w:t>
      </w:r>
    </w:p>
    <w:p>
      <w:pPr>
        <w:keepNext w:val="0"/>
        <w:keepLines w:val="0"/>
        <w:pageBreakBefore w:val="0"/>
        <w:widowControl/>
        <w:suppressLineNumbers w:val="0"/>
        <w:kinsoku/>
        <w:wordWrap/>
        <w:overflowPunct/>
        <w:topLinePunct w:val="0"/>
        <w:autoSpaceDE/>
        <w:autoSpaceDN/>
        <w:bidi w:val="0"/>
        <w:adjustRightInd/>
        <w:snapToGrid/>
        <w:ind w:firstLine="840" w:firstLineChars="400"/>
        <w:jc w:val="left"/>
        <w:textAlignment w:val="auto"/>
        <w:rPr>
          <w:rFonts w:hint="default" w:ascii="Times New Roman" w:hAnsi="Times New Roman" w:eastAsia="宋体" w:cs="Times New Roman"/>
          <w:i w:val="0"/>
          <w:iCs w:val="0"/>
          <w:color w:val="auto"/>
          <w:kern w:val="0"/>
          <w:sz w:val="21"/>
          <w:szCs w:val="21"/>
          <w:lang w:val="en-US" w:eastAsia="zh-CN" w:bidi="ar"/>
        </w:rPr>
      </w:pPr>
      <w:r>
        <w:rPr>
          <w:rFonts w:hint="default" w:ascii="Times New Roman" w:hAnsi="Times New Roman" w:eastAsia="宋体" w:cs="Times New Roman"/>
          <w:i/>
          <w:iCs/>
          <w:color w:val="auto"/>
          <w:kern w:val="0"/>
          <w:sz w:val="21"/>
          <w:szCs w:val="21"/>
          <w:lang w:val="en-US" w:eastAsia="zh-CN" w:bidi="ar"/>
        </w:rPr>
        <w:t xml:space="preserve">f </w:t>
      </w:r>
      <w:r>
        <w:rPr>
          <w:rFonts w:hint="default" w:ascii="Times New Roman" w:hAnsi="Times New Roman" w:eastAsia="宋体" w:cs="Times New Roman"/>
          <w:i w:val="0"/>
          <w:iCs w:val="0"/>
          <w:color w:val="auto"/>
          <w:kern w:val="0"/>
          <w:sz w:val="21"/>
          <w:szCs w:val="21"/>
          <w:lang w:val="en-US" w:eastAsia="zh-CN" w:bidi="ar"/>
        </w:rPr>
        <w:t>—— 校准因子。</w:t>
      </w:r>
    </w:p>
    <w:p>
      <w:pPr>
        <w:rPr>
          <w:rFonts w:hint="default" w:ascii="Times New Roman" w:hAnsi="Times New Roman" w:eastAsia="宋体" w:cs="Times New Roman"/>
          <w:i w:val="0"/>
          <w:iCs w:val="0"/>
          <w:color w:val="auto"/>
          <w:kern w:val="0"/>
          <w:sz w:val="21"/>
          <w:szCs w:val="21"/>
          <w:lang w:val="en-US" w:eastAsia="zh-CN" w:bidi="ar"/>
        </w:rPr>
        <w:sectPr>
          <w:footerReference r:id="rId7" w:type="default"/>
          <w:type w:val="continuous"/>
          <w:pgSz w:w="11906" w:h="16838"/>
          <w:pgMar w:top="1587" w:right="1474" w:bottom="1474" w:left="1587" w:header="851" w:footer="992" w:gutter="0"/>
          <w:pgNumType w:fmt="decimal" w:start="1"/>
          <w:cols w:space="425" w:num="1"/>
          <w:docGrid w:type="lines" w:linePitch="312" w:charSpace="0"/>
        </w:sectPr>
      </w:pPr>
    </w:p>
    <w:p>
      <w:pPr>
        <w:pStyle w:val="34"/>
        <w:keepLines w:val="0"/>
        <w:pageBreakBefore w:val="0"/>
        <w:numPr>
          <w:ilvl w:val="0"/>
          <w:numId w:val="0"/>
        </w:numPr>
        <w:shd w:val="clear" w:color="FFFFFF" w:fill="FFFFFF"/>
        <w:tabs>
          <w:tab w:val="left" w:pos="360"/>
          <w:tab w:val="left" w:pos="6405"/>
        </w:tabs>
        <w:kinsoku/>
        <w:wordWrap/>
        <w:overflowPunct/>
        <w:topLinePunct w:val="0"/>
        <w:autoSpaceDE/>
        <w:autoSpaceDN/>
        <w:bidi w:val="0"/>
        <w:adjustRightInd/>
        <w:snapToGrid/>
        <w:spacing w:before="0" w:after="0" w:line="240" w:lineRule="auto"/>
        <w:ind w:leftChars="0"/>
        <w:jc w:val="center"/>
        <w:textAlignment w:val="auto"/>
        <w:outlineLvl w:val="0"/>
        <w:rPr>
          <w:rFonts w:hint="default" w:ascii="Times New Roman" w:hAnsi="Times New Roman" w:cs="Times New Roman"/>
          <w:color w:val="auto"/>
          <w:lang w:val="en-US" w:eastAsia="zh-CN"/>
        </w:rPr>
      </w:pPr>
      <w:bookmarkStart w:id="97" w:name="_Toc26010"/>
      <w:r>
        <w:rPr>
          <w:rFonts w:hint="default" w:ascii="Times New Roman" w:hAnsi="Times New Roman" w:cs="Times New Roman"/>
          <w:color w:val="auto"/>
          <w:lang w:val="en-US" w:eastAsia="zh-CN"/>
        </w:rPr>
        <w:t>附录</w:t>
      </w:r>
      <w:r>
        <w:rPr>
          <w:rFonts w:hint="eastAsia" w:ascii="Times New Roman" w:cs="Times New Roman"/>
          <w:color w:val="auto"/>
          <w:lang w:val="en-US" w:eastAsia="zh-CN"/>
        </w:rPr>
        <w:t>C</w:t>
      </w:r>
      <w:bookmarkEnd w:id="97"/>
    </w:p>
    <w:p>
      <w:pPr>
        <w:keepLines w:val="0"/>
        <w:pageBreakBefore w:val="0"/>
        <w:kinsoku/>
        <w:wordWrap/>
        <w:overflowPunct/>
        <w:topLinePunct w:val="0"/>
        <w:autoSpaceDE/>
        <w:autoSpaceDN/>
        <w:bidi w:val="0"/>
        <w:adjustRightInd/>
        <w:snapToGrid/>
        <w:spacing w:line="240" w:lineRule="auto"/>
        <w:ind w:left="0"/>
        <w:jc w:val="center"/>
        <w:textAlignment w:val="auto"/>
        <w:outlineLvl w:val="0"/>
        <w:rPr>
          <w:rFonts w:hint="default" w:ascii="Times New Roman" w:hAnsi="Times New Roman" w:eastAsia="黑体" w:cs="Times New Roman"/>
          <w:color w:val="auto"/>
          <w:sz w:val="21"/>
          <w:szCs w:val="21"/>
        </w:rPr>
      </w:pPr>
      <w:bookmarkStart w:id="98" w:name="_Toc3778"/>
      <w:r>
        <w:rPr>
          <w:rFonts w:hint="default" w:ascii="Times New Roman" w:hAnsi="Times New Roman" w:eastAsia="黑体" w:cs="Times New Roman"/>
          <w:color w:val="auto"/>
          <w:spacing w:val="-7"/>
          <w:sz w:val="21"/>
          <w:szCs w:val="21"/>
        </w:rPr>
        <w:t>（资料性）</w:t>
      </w:r>
      <w:bookmarkEnd w:id="98"/>
    </w:p>
    <w:p>
      <w:pPr>
        <w:keepLines w:val="0"/>
        <w:pageBreakBefore w:val="0"/>
        <w:kinsoku/>
        <w:wordWrap/>
        <w:overflowPunct/>
        <w:topLinePunct w:val="0"/>
        <w:autoSpaceDE/>
        <w:autoSpaceDN/>
        <w:bidi w:val="0"/>
        <w:adjustRightInd/>
        <w:snapToGrid/>
        <w:spacing w:line="240" w:lineRule="auto"/>
        <w:ind w:left="0"/>
        <w:jc w:val="center"/>
        <w:textAlignment w:val="auto"/>
        <w:outlineLvl w:val="0"/>
        <w:rPr>
          <w:rFonts w:hint="default" w:ascii="Times New Roman" w:hAnsi="Times New Roman" w:eastAsia="宋体" w:cs="Times New Roman"/>
          <w:color w:val="auto"/>
          <w:lang w:val="en-US" w:eastAsia="zh-CN"/>
        </w:rPr>
      </w:pPr>
      <w:bookmarkStart w:id="99" w:name="_Toc30961"/>
      <w:r>
        <w:rPr>
          <w:rFonts w:hint="default" w:ascii="Times New Roman" w:hAnsi="Times New Roman" w:eastAsia="黑体" w:cs="Times New Roman"/>
          <w:color w:val="auto"/>
          <w:spacing w:val="-7"/>
          <w:sz w:val="21"/>
          <w:szCs w:val="21"/>
          <w:lang w:val="en-US" w:eastAsia="zh-CN"/>
        </w:rPr>
        <w:t>辐射监测</w:t>
      </w:r>
      <w:r>
        <w:rPr>
          <w:rFonts w:hint="eastAsia" w:eastAsia="黑体" w:cs="Times New Roman"/>
          <w:color w:val="auto"/>
          <w:spacing w:val="-7"/>
          <w:sz w:val="21"/>
          <w:szCs w:val="21"/>
          <w:lang w:val="en-US" w:eastAsia="zh-CN"/>
        </w:rPr>
        <w:t>记录表</w:t>
      </w:r>
      <w:bookmarkEnd w:id="99"/>
    </w:p>
    <w:p>
      <w:pPr>
        <w:pStyle w:val="31"/>
        <w:numPr>
          <w:ilvl w:val="0"/>
          <w:numId w:val="0"/>
        </w:numPr>
        <w:spacing w:before="240" w:after="240" w:line="276" w:lineRule="auto"/>
        <w:ind w:leftChars="0"/>
        <w:outlineLvl w:val="9"/>
        <w:rPr>
          <w:rFonts w:hint="default" w:ascii="Times New Roman" w:hAnsi="Times New Roman" w:eastAsia="黑体" w:cs="Times New Roman"/>
          <w:color w:val="auto"/>
          <w:szCs w:val="22"/>
          <w:lang w:val="en-US" w:eastAsia="zh-CN"/>
        </w:rPr>
      </w:pPr>
      <w:r>
        <w:rPr>
          <w:rFonts w:hint="eastAsia" w:eastAsia="黑体" w:cs="Times New Roman"/>
          <w:color w:val="auto"/>
          <w:szCs w:val="22"/>
          <w:lang w:val="en-US" w:eastAsia="zh-CN"/>
        </w:rPr>
        <w:t>C.1</w:t>
      </w:r>
      <w:r>
        <w:rPr>
          <w:rFonts w:hint="default" w:ascii="Times New Roman" w:hAnsi="Times New Roman" w:eastAsia="黑体" w:cs="Times New Roman"/>
          <w:color w:val="auto"/>
          <w:szCs w:val="22"/>
          <w:lang w:val="en-US" w:eastAsia="zh-CN"/>
        </w:rPr>
        <w:t xml:space="preserve"> γ射线探伤机出入库辐射环境监测记录表示例</w:t>
      </w:r>
    </w:p>
    <w:tbl>
      <w:tblPr>
        <w:tblStyle w:val="26"/>
        <w:tblW w:w="14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1"/>
        <w:gridCol w:w="1624"/>
        <w:gridCol w:w="372"/>
        <w:gridCol w:w="947"/>
        <w:gridCol w:w="564"/>
        <w:gridCol w:w="383"/>
        <w:gridCol w:w="667"/>
        <w:gridCol w:w="349"/>
        <w:gridCol w:w="318"/>
        <w:gridCol w:w="667"/>
        <w:gridCol w:w="668"/>
        <w:gridCol w:w="688"/>
        <w:gridCol w:w="767"/>
        <w:gridCol w:w="828"/>
        <w:gridCol w:w="1832"/>
        <w:gridCol w:w="1012"/>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430"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探伤机型号</w:t>
            </w:r>
          </w:p>
        </w:tc>
        <w:tc>
          <w:tcPr>
            <w:tcW w:w="3507" w:type="dxa"/>
            <w:gridSpan w:val="4"/>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399" w:type="dxa"/>
            <w:gridSpan w:val="3"/>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探伤机编号</w:t>
            </w:r>
          </w:p>
        </w:tc>
        <w:tc>
          <w:tcPr>
            <w:tcW w:w="2341" w:type="dxa"/>
            <w:gridSpan w:val="4"/>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595"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探伤机生产商</w:t>
            </w:r>
          </w:p>
        </w:tc>
        <w:tc>
          <w:tcPr>
            <w:tcW w:w="3856" w:type="dxa"/>
            <w:gridSpan w:val="3"/>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430"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放射性核素</w:t>
            </w:r>
          </w:p>
        </w:tc>
        <w:tc>
          <w:tcPr>
            <w:tcW w:w="1624" w:type="dxa"/>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319"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放射源编码</w:t>
            </w:r>
          </w:p>
        </w:tc>
        <w:tc>
          <w:tcPr>
            <w:tcW w:w="2948" w:type="dxa"/>
            <w:gridSpan w:val="6"/>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356"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出厂活度</w:t>
            </w:r>
          </w:p>
        </w:tc>
        <w:tc>
          <w:tcPr>
            <w:tcW w:w="1595"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Bq</w:t>
            </w:r>
          </w:p>
        </w:tc>
        <w:tc>
          <w:tcPr>
            <w:tcW w:w="1832" w:type="dxa"/>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出厂日期</w:t>
            </w:r>
          </w:p>
        </w:tc>
        <w:tc>
          <w:tcPr>
            <w:tcW w:w="2024"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719"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序号</w:t>
            </w:r>
          </w:p>
        </w:tc>
        <w:tc>
          <w:tcPr>
            <w:tcW w:w="2707" w:type="dxa"/>
            <w:gridSpan w:val="3"/>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领用时间</w:t>
            </w:r>
          </w:p>
        </w:tc>
        <w:tc>
          <w:tcPr>
            <w:tcW w:w="947"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领用人</w:t>
            </w:r>
          </w:p>
        </w:tc>
        <w:tc>
          <w:tcPr>
            <w:tcW w:w="947" w:type="dxa"/>
            <w:gridSpan w:val="2"/>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出库人</w:t>
            </w:r>
          </w:p>
        </w:tc>
        <w:tc>
          <w:tcPr>
            <w:tcW w:w="2669" w:type="dxa"/>
            <w:gridSpan w:val="5"/>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源容器表面剂量率</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（μSv/h）</w:t>
            </w:r>
          </w:p>
        </w:tc>
        <w:tc>
          <w:tcPr>
            <w:tcW w:w="1455"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放射源</w:t>
            </w:r>
          </w:p>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是否正常</w:t>
            </w:r>
          </w:p>
        </w:tc>
        <w:tc>
          <w:tcPr>
            <w:tcW w:w="2660" w:type="dxa"/>
            <w:gridSpan w:val="2"/>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归还时间</w:t>
            </w:r>
          </w:p>
        </w:tc>
        <w:tc>
          <w:tcPr>
            <w:tcW w:w="1012"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归还人</w:t>
            </w:r>
          </w:p>
        </w:tc>
        <w:tc>
          <w:tcPr>
            <w:tcW w:w="1012"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入库人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719"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334"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领用</w:t>
            </w:r>
          </w:p>
        </w:tc>
        <w:tc>
          <w:tcPr>
            <w:tcW w:w="1335"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归还</w:t>
            </w:r>
          </w:p>
        </w:tc>
        <w:tc>
          <w:tcPr>
            <w:tcW w:w="688"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领用</w:t>
            </w:r>
          </w:p>
        </w:tc>
        <w:tc>
          <w:tcPr>
            <w:tcW w:w="767"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归还</w:t>
            </w:r>
          </w:p>
        </w:tc>
        <w:tc>
          <w:tcPr>
            <w:tcW w:w="2660" w:type="dxa"/>
            <w:gridSpan w:val="2"/>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719"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1</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m</w:t>
            </w: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5</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cm</w:t>
            </w: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1</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m</w:t>
            </w: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5</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cm</w:t>
            </w:r>
          </w:p>
        </w:tc>
        <w:tc>
          <w:tcPr>
            <w:tcW w:w="688"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年  月  日  时  分</w:t>
            </w: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年  月  日  时  分</w:t>
            </w: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4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6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8"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767"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bl>
    <w:p>
      <w:pP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br w:type="page"/>
      </w:r>
    </w:p>
    <w:p>
      <w:pPr>
        <w:pStyle w:val="31"/>
        <w:numPr>
          <w:ilvl w:val="0"/>
          <w:numId w:val="0"/>
        </w:numPr>
        <w:spacing w:before="240" w:after="240" w:line="276" w:lineRule="auto"/>
        <w:ind w:leftChars="0"/>
        <w:outlineLvl w:val="9"/>
        <w:rPr>
          <w:rFonts w:hint="default" w:ascii="Times New Roman" w:hAnsi="Times New Roman" w:eastAsia="黑体" w:cs="Times New Roman"/>
          <w:color w:val="auto"/>
          <w:szCs w:val="22"/>
          <w:lang w:val="en-US" w:eastAsia="zh-CN"/>
        </w:rPr>
      </w:pPr>
      <w:r>
        <w:rPr>
          <w:rFonts w:hint="eastAsia" w:eastAsia="黑体" w:cs="Times New Roman"/>
          <w:color w:val="auto"/>
          <w:szCs w:val="22"/>
          <w:lang w:val="en-US" w:eastAsia="zh-CN"/>
        </w:rPr>
        <w:t>C.2</w:t>
      </w:r>
      <w:r>
        <w:rPr>
          <w:rFonts w:hint="default" w:ascii="Times New Roman" w:hAnsi="Times New Roman" w:eastAsia="黑体" w:cs="Times New Roman"/>
          <w:color w:val="auto"/>
          <w:szCs w:val="22"/>
          <w:lang w:val="en-US" w:eastAsia="zh-CN"/>
        </w:rPr>
        <w:t xml:space="preserve"> γ射线探伤机使用辐射环境监测记录表示例</w:t>
      </w:r>
    </w:p>
    <w:tbl>
      <w:tblPr>
        <w:tblStyle w:val="26"/>
        <w:tblW w:w="14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1"/>
        <w:gridCol w:w="1624"/>
        <w:gridCol w:w="372"/>
        <w:gridCol w:w="947"/>
        <w:gridCol w:w="86"/>
        <w:gridCol w:w="478"/>
        <w:gridCol w:w="555"/>
        <w:gridCol w:w="1"/>
        <w:gridCol w:w="843"/>
        <w:gridCol w:w="189"/>
        <w:gridCol w:w="796"/>
        <w:gridCol w:w="240"/>
        <w:gridCol w:w="974"/>
        <w:gridCol w:w="909"/>
        <w:gridCol w:w="828"/>
        <w:gridCol w:w="1832"/>
        <w:gridCol w:w="1012"/>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430"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探伤机型号</w:t>
            </w:r>
          </w:p>
        </w:tc>
        <w:tc>
          <w:tcPr>
            <w:tcW w:w="3507" w:type="dxa"/>
            <w:gridSpan w:val="5"/>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399" w:type="dxa"/>
            <w:gridSpan w:val="3"/>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探伤机编号</w:t>
            </w:r>
          </w:p>
        </w:tc>
        <w:tc>
          <w:tcPr>
            <w:tcW w:w="2199" w:type="dxa"/>
            <w:gridSpan w:val="4"/>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737"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探伤机生产商</w:t>
            </w:r>
          </w:p>
        </w:tc>
        <w:tc>
          <w:tcPr>
            <w:tcW w:w="3856" w:type="dxa"/>
            <w:gridSpan w:val="3"/>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430"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放射性核素</w:t>
            </w:r>
          </w:p>
        </w:tc>
        <w:tc>
          <w:tcPr>
            <w:tcW w:w="1624" w:type="dxa"/>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319"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放射源编码</w:t>
            </w:r>
          </w:p>
        </w:tc>
        <w:tc>
          <w:tcPr>
            <w:tcW w:w="2948" w:type="dxa"/>
            <w:gridSpan w:val="7"/>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214"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出厂活度</w:t>
            </w:r>
          </w:p>
        </w:tc>
        <w:tc>
          <w:tcPr>
            <w:tcW w:w="1737"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Bq</w:t>
            </w:r>
          </w:p>
        </w:tc>
        <w:tc>
          <w:tcPr>
            <w:tcW w:w="1832" w:type="dxa"/>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出厂日期</w:t>
            </w:r>
          </w:p>
        </w:tc>
        <w:tc>
          <w:tcPr>
            <w:tcW w:w="2024"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719"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序号</w:t>
            </w:r>
          </w:p>
        </w:tc>
        <w:tc>
          <w:tcPr>
            <w:tcW w:w="2707" w:type="dxa"/>
            <w:gridSpan w:val="3"/>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kern w:val="2"/>
                <w:sz w:val="21"/>
                <w:szCs w:val="21"/>
                <w:vertAlign w:val="baseline"/>
                <w:lang w:val="en-US" w:eastAsia="zh-CN" w:bidi="ar-SA"/>
              </w:rPr>
              <w:t>开始使用时间</w:t>
            </w:r>
          </w:p>
        </w:tc>
        <w:tc>
          <w:tcPr>
            <w:tcW w:w="4135" w:type="dxa"/>
            <w:gridSpan w:val="9"/>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源容器表面剂量率（μSv/h）</w:t>
            </w:r>
          </w:p>
        </w:tc>
        <w:tc>
          <w:tcPr>
            <w:tcW w:w="188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放射源是否正常</w:t>
            </w:r>
          </w:p>
        </w:tc>
        <w:tc>
          <w:tcPr>
            <w:tcW w:w="2660" w:type="dxa"/>
            <w:gridSpan w:val="2"/>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结束使用时间</w:t>
            </w:r>
          </w:p>
        </w:tc>
        <w:tc>
          <w:tcPr>
            <w:tcW w:w="1012"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使用人</w:t>
            </w:r>
          </w:p>
        </w:tc>
        <w:tc>
          <w:tcPr>
            <w:tcW w:w="1012"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安全员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719"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2067" w:type="dxa"/>
            <w:gridSpan w:val="5"/>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出库时</w:t>
            </w:r>
          </w:p>
        </w:tc>
        <w:tc>
          <w:tcPr>
            <w:tcW w:w="2068" w:type="dxa"/>
            <w:gridSpan w:val="4"/>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eastAsia" w:ascii="Times New Roman" w:hAnsi="Times New Roman" w:eastAsia="黑体" w:cs="Times New Roman"/>
                <w:color w:val="auto"/>
                <w:sz w:val="21"/>
                <w:szCs w:val="21"/>
                <w:vertAlign w:val="baseline"/>
                <w:lang w:val="en-US" w:eastAsia="zh-CN"/>
              </w:rPr>
              <w:t>使用</w:t>
            </w:r>
            <w:r>
              <w:rPr>
                <w:rFonts w:hint="default" w:ascii="Times New Roman" w:hAnsi="Times New Roman" w:eastAsia="黑体" w:cs="Times New Roman"/>
                <w:color w:val="auto"/>
                <w:sz w:val="21"/>
                <w:szCs w:val="21"/>
                <w:vertAlign w:val="baseline"/>
                <w:lang w:val="en-US" w:eastAsia="zh-CN"/>
              </w:rPr>
              <w:t>后</w:t>
            </w:r>
          </w:p>
        </w:tc>
        <w:tc>
          <w:tcPr>
            <w:tcW w:w="974"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eastAsia" w:ascii="Times New Roman" w:hAnsi="Times New Roman" w:eastAsia="黑体" w:cs="Times New Roman"/>
                <w:color w:val="auto"/>
                <w:sz w:val="21"/>
                <w:szCs w:val="21"/>
                <w:vertAlign w:val="baseline"/>
                <w:lang w:val="en-US" w:eastAsia="zh-CN"/>
              </w:rPr>
              <w:t>使用</w:t>
            </w:r>
            <w:r>
              <w:rPr>
                <w:rFonts w:hint="default" w:ascii="Times New Roman" w:hAnsi="Times New Roman" w:eastAsia="黑体" w:cs="Times New Roman"/>
                <w:color w:val="auto"/>
                <w:sz w:val="21"/>
                <w:szCs w:val="21"/>
                <w:vertAlign w:val="baseline"/>
                <w:lang w:val="en-US" w:eastAsia="zh-CN"/>
              </w:rPr>
              <w:t>前</w:t>
            </w:r>
          </w:p>
        </w:tc>
        <w:tc>
          <w:tcPr>
            <w:tcW w:w="909"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eastAsia" w:ascii="Times New Roman" w:hAnsi="Times New Roman" w:eastAsia="黑体" w:cs="Times New Roman"/>
                <w:color w:val="auto"/>
                <w:sz w:val="21"/>
                <w:szCs w:val="21"/>
                <w:vertAlign w:val="baseline"/>
                <w:lang w:val="en-US" w:eastAsia="zh-CN"/>
              </w:rPr>
              <w:t>使用</w:t>
            </w:r>
            <w:r>
              <w:rPr>
                <w:rFonts w:hint="default" w:ascii="Times New Roman" w:hAnsi="Times New Roman" w:eastAsia="黑体" w:cs="Times New Roman"/>
                <w:color w:val="auto"/>
                <w:sz w:val="21"/>
                <w:szCs w:val="21"/>
                <w:vertAlign w:val="baseline"/>
                <w:lang w:val="en-US" w:eastAsia="zh-CN"/>
              </w:rPr>
              <w:t>后</w:t>
            </w:r>
          </w:p>
        </w:tc>
        <w:tc>
          <w:tcPr>
            <w:tcW w:w="2660" w:type="dxa"/>
            <w:gridSpan w:val="2"/>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719"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1</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m</w:t>
            </w: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5</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cm</w:t>
            </w: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1</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m</w:t>
            </w: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5</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cm</w:t>
            </w:r>
          </w:p>
        </w:tc>
        <w:tc>
          <w:tcPr>
            <w:tcW w:w="974"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年  月  日  时  分</w:t>
            </w: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年  月  日  时  分</w:t>
            </w: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33"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036"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bl>
    <w:p>
      <w:pPr>
        <w:rPr>
          <w:rFonts w:hint="default" w:ascii="Times New Roman" w:hAnsi="Times New Roman" w:cs="Times New Roman"/>
          <w:color w:val="auto"/>
          <w:sz w:val="21"/>
          <w:szCs w:val="21"/>
          <w:lang w:val="en-US" w:eastAsia="zh-CN"/>
        </w:rPr>
      </w:pPr>
    </w:p>
    <w:p>
      <w:pP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br w:type="page"/>
      </w:r>
    </w:p>
    <w:p>
      <w:pPr>
        <w:pStyle w:val="31"/>
        <w:numPr>
          <w:ilvl w:val="0"/>
          <w:numId w:val="0"/>
        </w:numPr>
        <w:spacing w:before="240" w:after="240" w:line="276" w:lineRule="auto"/>
        <w:ind w:leftChars="0"/>
        <w:outlineLvl w:val="9"/>
        <w:rPr>
          <w:rFonts w:hint="default" w:ascii="Times New Roman" w:hAnsi="Times New Roman" w:eastAsia="黑体" w:cs="Times New Roman"/>
          <w:color w:val="auto"/>
          <w:szCs w:val="22"/>
          <w:lang w:val="en-US" w:eastAsia="zh-CN"/>
        </w:rPr>
      </w:pPr>
      <w:r>
        <w:rPr>
          <w:rFonts w:hint="eastAsia" w:eastAsia="黑体" w:cs="Times New Roman"/>
          <w:color w:val="auto"/>
          <w:szCs w:val="22"/>
          <w:lang w:val="en-US" w:eastAsia="zh-CN"/>
        </w:rPr>
        <w:t>C.3</w:t>
      </w:r>
      <w:r>
        <w:rPr>
          <w:rFonts w:hint="default" w:ascii="Times New Roman" w:hAnsi="Times New Roman" w:eastAsia="黑体" w:cs="Times New Roman"/>
          <w:color w:val="auto"/>
          <w:szCs w:val="22"/>
          <w:lang w:val="en-US" w:eastAsia="zh-CN"/>
        </w:rPr>
        <w:t xml:space="preserve"> γ射线探伤机运输辐射环境监测记录表示例</w:t>
      </w:r>
    </w:p>
    <w:tbl>
      <w:tblPr>
        <w:tblStyle w:val="26"/>
        <w:tblW w:w="14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1"/>
        <w:gridCol w:w="1624"/>
        <w:gridCol w:w="372"/>
        <w:gridCol w:w="689"/>
        <w:gridCol w:w="258"/>
        <w:gridCol w:w="431"/>
        <w:gridCol w:w="133"/>
        <w:gridCol w:w="556"/>
        <w:gridCol w:w="689"/>
        <w:gridCol w:w="154"/>
        <w:gridCol w:w="535"/>
        <w:gridCol w:w="450"/>
        <w:gridCol w:w="240"/>
        <w:gridCol w:w="974"/>
        <w:gridCol w:w="909"/>
        <w:gridCol w:w="828"/>
        <w:gridCol w:w="1832"/>
        <w:gridCol w:w="1012"/>
        <w:gridCol w:w="1012"/>
      </w:tblGrid>
      <w:tr>
        <w:tblPrEx>
          <w:tblLayout w:type="fixed"/>
          <w:tblCellMar>
            <w:top w:w="0" w:type="dxa"/>
            <w:left w:w="108" w:type="dxa"/>
            <w:bottom w:w="0" w:type="dxa"/>
            <w:right w:w="108" w:type="dxa"/>
          </w:tblCellMar>
        </w:tblPrEx>
        <w:trPr>
          <w:trHeight w:val="0" w:hRule="atLeast"/>
          <w:jc w:val="center"/>
        </w:trPr>
        <w:tc>
          <w:tcPr>
            <w:tcW w:w="1430"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探伤机型号</w:t>
            </w:r>
          </w:p>
        </w:tc>
        <w:tc>
          <w:tcPr>
            <w:tcW w:w="3507" w:type="dxa"/>
            <w:gridSpan w:val="6"/>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399" w:type="dxa"/>
            <w:gridSpan w:val="3"/>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探伤机编号</w:t>
            </w:r>
          </w:p>
        </w:tc>
        <w:tc>
          <w:tcPr>
            <w:tcW w:w="2199" w:type="dxa"/>
            <w:gridSpan w:val="4"/>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737"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探伤机生产商</w:t>
            </w:r>
          </w:p>
        </w:tc>
        <w:tc>
          <w:tcPr>
            <w:tcW w:w="3856" w:type="dxa"/>
            <w:gridSpan w:val="3"/>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430"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放射性核素</w:t>
            </w:r>
          </w:p>
        </w:tc>
        <w:tc>
          <w:tcPr>
            <w:tcW w:w="1624" w:type="dxa"/>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319" w:type="dxa"/>
            <w:gridSpan w:val="3"/>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放射源编码</w:t>
            </w:r>
          </w:p>
        </w:tc>
        <w:tc>
          <w:tcPr>
            <w:tcW w:w="2948" w:type="dxa"/>
            <w:gridSpan w:val="7"/>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1214"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出厂活度</w:t>
            </w:r>
          </w:p>
        </w:tc>
        <w:tc>
          <w:tcPr>
            <w:tcW w:w="1737"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Bq</w:t>
            </w:r>
          </w:p>
        </w:tc>
        <w:tc>
          <w:tcPr>
            <w:tcW w:w="1832" w:type="dxa"/>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出厂日期</w:t>
            </w:r>
          </w:p>
        </w:tc>
        <w:tc>
          <w:tcPr>
            <w:tcW w:w="2024" w:type="dxa"/>
            <w:gridSpan w:val="2"/>
            <w:vAlign w:val="top"/>
          </w:tcPr>
          <w:p>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719"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序号</w:t>
            </w:r>
          </w:p>
        </w:tc>
        <w:tc>
          <w:tcPr>
            <w:tcW w:w="2707" w:type="dxa"/>
            <w:gridSpan w:val="3"/>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eastAsia" w:eastAsia="黑体" w:cs="Times New Roman"/>
                <w:color w:val="auto"/>
                <w:kern w:val="2"/>
                <w:sz w:val="21"/>
                <w:szCs w:val="21"/>
                <w:vertAlign w:val="baseline"/>
                <w:lang w:val="en-US" w:eastAsia="zh-CN" w:bidi="ar-SA"/>
              </w:rPr>
              <w:t>运输开始</w:t>
            </w:r>
            <w:r>
              <w:rPr>
                <w:rFonts w:hint="default" w:ascii="Times New Roman" w:hAnsi="Times New Roman" w:eastAsia="黑体" w:cs="Times New Roman"/>
                <w:color w:val="auto"/>
                <w:kern w:val="2"/>
                <w:sz w:val="21"/>
                <w:szCs w:val="21"/>
                <w:vertAlign w:val="baseline"/>
                <w:lang w:val="en-US" w:eastAsia="zh-CN" w:bidi="ar-SA"/>
              </w:rPr>
              <w:t>时间</w:t>
            </w:r>
          </w:p>
        </w:tc>
        <w:tc>
          <w:tcPr>
            <w:tcW w:w="4135" w:type="dxa"/>
            <w:gridSpan w:val="10"/>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源容器表面剂量率（μSv/h）</w:t>
            </w:r>
          </w:p>
        </w:tc>
        <w:tc>
          <w:tcPr>
            <w:tcW w:w="1883"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放射源是否正常</w:t>
            </w:r>
          </w:p>
        </w:tc>
        <w:tc>
          <w:tcPr>
            <w:tcW w:w="2660" w:type="dxa"/>
            <w:gridSpan w:val="2"/>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eastAsia" w:eastAsia="黑体" w:cs="Times New Roman"/>
                <w:color w:val="auto"/>
                <w:sz w:val="21"/>
                <w:szCs w:val="21"/>
                <w:vertAlign w:val="baseline"/>
                <w:lang w:val="en-US" w:eastAsia="zh-CN"/>
              </w:rPr>
              <w:t>运输结束</w:t>
            </w:r>
            <w:r>
              <w:rPr>
                <w:rFonts w:hint="default" w:ascii="Times New Roman" w:hAnsi="Times New Roman" w:eastAsia="黑体" w:cs="Times New Roman"/>
                <w:color w:val="auto"/>
                <w:sz w:val="21"/>
                <w:szCs w:val="21"/>
                <w:vertAlign w:val="baseline"/>
                <w:lang w:val="en-US" w:eastAsia="zh-CN"/>
              </w:rPr>
              <w:t>时间</w:t>
            </w:r>
          </w:p>
        </w:tc>
        <w:tc>
          <w:tcPr>
            <w:tcW w:w="1012"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目的地</w:t>
            </w:r>
          </w:p>
        </w:tc>
        <w:tc>
          <w:tcPr>
            <w:tcW w:w="1012"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kern w:val="2"/>
                <w:sz w:val="21"/>
                <w:szCs w:val="21"/>
                <w:vertAlign w:val="baseline"/>
                <w:lang w:val="en-US" w:eastAsia="zh-CN" w:bidi="ar-SA"/>
              </w:rPr>
              <w:t>押运人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719"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378"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出库时</w:t>
            </w:r>
          </w:p>
        </w:tc>
        <w:tc>
          <w:tcPr>
            <w:tcW w:w="1378"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运输前</w:t>
            </w:r>
          </w:p>
        </w:tc>
        <w:tc>
          <w:tcPr>
            <w:tcW w:w="1379" w:type="dxa"/>
            <w:gridSpan w:val="4"/>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运输后</w:t>
            </w:r>
          </w:p>
        </w:tc>
        <w:tc>
          <w:tcPr>
            <w:tcW w:w="974"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运输前</w:t>
            </w:r>
          </w:p>
        </w:tc>
        <w:tc>
          <w:tcPr>
            <w:tcW w:w="909" w:type="dxa"/>
            <w:vMerge w:val="restart"/>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运输后</w:t>
            </w:r>
          </w:p>
        </w:tc>
        <w:tc>
          <w:tcPr>
            <w:tcW w:w="2660" w:type="dxa"/>
            <w:gridSpan w:val="2"/>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719"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1</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m</w:t>
            </w: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5</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cm</w:t>
            </w: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1</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m</w:t>
            </w: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5</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cm</w:t>
            </w: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1</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m</w:t>
            </w: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5</w:t>
            </w:r>
            <w:r>
              <w:rPr>
                <w:rFonts w:hint="eastAsia" w:eastAsia="黑体" w:cs="Times New Roman"/>
                <w:color w:val="auto"/>
                <w:sz w:val="21"/>
                <w:szCs w:val="21"/>
                <w:vertAlign w:val="baseline"/>
                <w:lang w:val="en-US" w:eastAsia="zh-CN"/>
              </w:rPr>
              <w:t xml:space="preserve"> </w:t>
            </w:r>
            <w:r>
              <w:rPr>
                <w:rFonts w:hint="default" w:ascii="Times New Roman" w:hAnsi="Times New Roman" w:eastAsia="黑体" w:cs="Times New Roman"/>
                <w:color w:val="auto"/>
                <w:sz w:val="21"/>
                <w:szCs w:val="21"/>
                <w:vertAlign w:val="baseline"/>
                <w:lang w:val="en-US" w:eastAsia="zh-CN"/>
              </w:rPr>
              <w:t>cm</w:t>
            </w:r>
          </w:p>
        </w:tc>
        <w:tc>
          <w:tcPr>
            <w:tcW w:w="974"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Merge w:val="continue"/>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r>
              <w:rPr>
                <w:rFonts w:hint="default" w:ascii="Times New Roman" w:hAnsi="Times New Roman" w:eastAsia="黑体" w:cs="Times New Roman"/>
                <w:color w:val="auto"/>
                <w:sz w:val="21"/>
                <w:szCs w:val="21"/>
                <w:vertAlign w:val="baseline"/>
                <w:lang w:val="en-US" w:eastAsia="zh-CN"/>
              </w:rPr>
              <w:t>年  月  日  时  分</w:t>
            </w: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kern w:val="2"/>
                <w:sz w:val="21"/>
                <w:szCs w:val="21"/>
                <w:vertAlign w:val="baseline"/>
                <w:lang w:val="en-US" w:eastAsia="zh-CN" w:bidi="ar-SA"/>
              </w:rPr>
            </w:pPr>
            <w:r>
              <w:rPr>
                <w:rFonts w:hint="default" w:ascii="Times New Roman" w:hAnsi="Times New Roman" w:eastAsia="黑体" w:cs="Times New Roman"/>
                <w:color w:val="auto"/>
                <w:sz w:val="21"/>
                <w:szCs w:val="21"/>
                <w:vertAlign w:val="baseline"/>
                <w:lang w:val="en-US" w:eastAsia="zh-CN"/>
              </w:rPr>
              <w:t>年  月  日  时  分</w:t>
            </w: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2707" w:type="dxa"/>
            <w:gridSpan w:val="3"/>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89"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69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74"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909"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color w:val="auto"/>
                <w:sz w:val="21"/>
                <w:szCs w:val="21"/>
                <w:vertAlign w:val="baseline"/>
                <w:lang w:val="en-US" w:eastAsia="zh-CN"/>
              </w:rPr>
            </w:pPr>
          </w:p>
        </w:tc>
        <w:tc>
          <w:tcPr>
            <w:tcW w:w="2660" w:type="dxa"/>
            <w:gridSpan w:val="2"/>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right"/>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c>
          <w:tcPr>
            <w:tcW w:w="1012" w:type="dxa"/>
            <w:vAlign w:val="center"/>
          </w:tcPr>
          <w:p>
            <w:pPr>
              <w:pStyle w:val="31"/>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黑体" w:cs="Times New Roman"/>
                <w:color w:val="auto"/>
                <w:sz w:val="21"/>
                <w:szCs w:val="21"/>
                <w:vertAlign w:val="baseline"/>
                <w:lang w:val="en-US" w:eastAsia="zh-CN"/>
              </w:rPr>
            </w:pPr>
          </w:p>
        </w:tc>
      </w:tr>
    </w:tbl>
    <w:p>
      <w:pPr>
        <w:keepNext w:val="0"/>
        <w:keepLines w:val="0"/>
        <w:pageBreakBefore w:val="0"/>
        <w:widowControl/>
        <w:suppressLineNumbers w:val="0"/>
        <w:kinsoku/>
        <w:wordWrap/>
        <w:overflowPunct/>
        <w:topLinePunct w:val="0"/>
        <w:bidi w:val="0"/>
        <w:snapToGrid/>
        <w:spacing w:line="240" w:lineRule="auto"/>
        <w:jc w:val="center"/>
        <w:textAlignment w:val="auto"/>
        <w:outlineLvl w:val="9"/>
        <w:rPr>
          <w:rFonts w:hint="default" w:ascii="Times New Roman" w:hAnsi="Times New Roman" w:cs="Times New Roman"/>
          <w:color w:val="auto"/>
          <w:sz w:val="21"/>
          <w:szCs w:val="21"/>
          <w:lang w:val="en-US" w:eastAsia="zh-CN"/>
        </w:rPr>
        <w:sectPr>
          <w:type w:val="continuous"/>
          <w:pgSz w:w="16838" w:h="11906" w:orient="landscape"/>
          <w:pgMar w:top="1587" w:right="1587" w:bottom="1474" w:left="1474" w:header="851" w:footer="992" w:gutter="0"/>
          <w:pgNumType w:fmt="decimal"/>
          <w:cols w:space="425" w:num="1"/>
          <w:docGrid w:type="lines" w:linePitch="312" w:charSpace="0"/>
        </w:sectPr>
      </w:pPr>
    </w:p>
    <w:p>
      <w:pPr>
        <w:keepNext w:val="0"/>
        <w:keepLines w:val="0"/>
        <w:pageBreakBefore w:val="0"/>
        <w:widowControl/>
        <w:suppressLineNumbers w:val="0"/>
        <w:kinsoku/>
        <w:wordWrap/>
        <w:overflowPunct/>
        <w:topLinePunct w:val="0"/>
        <w:bidi w:val="0"/>
        <w:snapToGrid/>
        <w:spacing w:line="240" w:lineRule="auto"/>
        <w:jc w:val="center"/>
        <w:textAlignment w:val="auto"/>
        <w:outlineLvl w:val="9"/>
        <w:rPr>
          <w:rFonts w:hint="default" w:ascii="Times New Roman" w:hAnsi="Times New Roman" w:cs="Times New Roman"/>
          <w:b w:val="0"/>
          <w:i w:val="0"/>
          <w:color w:val="auto"/>
          <w:lang w:val="en-US" w:eastAsia="zh-CN"/>
        </w:rPr>
        <w:sectPr>
          <w:type w:val="continuous"/>
          <w:pgSz w:w="16838" w:h="11906" w:orient="landscape"/>
          <w:pgMar w:top="1587" w:right="1587" w:bottom="1474" w:left="1474" w:header="851" w:footer="992" w:gutter="0"/>
          <w:pgNumType w:fmt="decimal"/>
          <w:cols w:space="425" w:num="1"/>
          <w:docGrid w:type="lines" w:linePitch="312" w:charSpace="0"/>
        </w:sectPr>
      </w:pPr>
      <w:r>
        <w:rPr>
          <w:rFonts w:hint="default" w:ascii="Times New Roman" w:hAnsi="Times New Roman" w:cs="Times New Roman"/>
          <w:color w:val="auto"/>
          <w:sz w:val="21"/>
          <w:szCs w:val="21"/>
          <w:lang w:val="en-US" w:eastAsia="zh-CN"/>
        </w:rPr>
        <w:br w:type="page"/>
      </w:r>
    </w:p>
    <w:p>
      <w:pPr>
        <w:pStyle w:val="34"/>
        <w:keepLines w:val="0"/>
        <w:pageBreakBefore w:val="0"/>
        <w:numPr>
          <w:ilvl w:val="0"/>
          <w:numId w:val="0"/>
        </w:numPr>
        <w:shd w:val="clear" w:color="FFFFFF" w:fill="FFFFFF"/>
        <w:tabs>
          <w:tab w:val="left" w:pos="360"/>
          <w:tab w:val="left" w:pos="6405"/>
        </w:tabs>
        <w:kinsoku/>
        <w:wordWrap/>
        <w:overflowPunct/>
        <w:topLinePunct w:val="0"/>
        <w:autoSpaceDE/>
        <w:autoSpaceDN/>
        <w:bidi w:val="0"/>
        <w:adjustRightInd/>
        <w:snapToGrid/>
        <w:spacing w:before="0" w:after="0" w:line="360" w:lineRule="auto"/>
        <w:ind w:leftChars="0"/>
        <w:jc w:val="center"/>
        <w:textAlignment w:val="auto"/>
        <w:outlineLvl w:val="0"/>
        <w:rPr>
          <w:rFonts w:hint="default" w:ascii="Times New Roman" w:hAnsi="Times New Roman" w:cs="Times New Roman"/>
          <w:color w:val="auto"/>
          <w:lang w:val="en-US" w:eastAsia="zh-CN"/>
        </w:rPr>
      </w:pPr>
      <w:bookmarkStart w:id="100" w:name="_Toc24609"/>
      <w:r>
        <w:rPr>
          <w:rFonts w:hint="default" w:ascii="Times New Roman" w:hAnsi="Times New Roman" w:cs="Times New Roman"/>
          <w:color w:val="auto"/>
          <w:lang w:val="en-US" w:eastAsia="zh-CN"/>
        </w:rPr>
        <w:t>附录</w:t>
      </w:r>
      <w:r>
        <w:rPr>
          <w:rFonts w:hint="eastAsia" w:ascii="Times New Roman" w:cs="Times New Roman"/>
          <w:color w:val="auto"/>
          <w:lang w:val="en-US" w:eastAsia="zh-CN"/>
        </w:rPr>
        <w:t>D</w:t>
      </w:r>
      <w:bookmarkEnd w:id="100"/>
    </w:p>
    <w:p>
      <w:pPr>
        <w:keepLines w:val="0"/>
        <w:pageBreakBefore w:val="0"/>
        <w:kinsoku/>
        <w:wordWrap/>
        <w:overflowPunct/>
        <w:topLinePunct w:val="0"/>
        <w:autoSpaceDE/>
        <w:autoSpaceDN/>
        <w:bidi w:val="0"/>
        <w:adjustRightInd/>
        <w:snapToGrid/>
        <w:spacing w:line="218" w:lineRule="auto"/>
        <w:ind w:left="0"/>
        <w:jc w:val="center"/>
        <w:textAlignment w:val="auto"/>
        <w:outlineLvl w:val="0"/>
        <w:rPr>
          <w:rFonts w:hint="default" w:ascii="Times New Roman" w:hAnsi="Times New Roman" w:eastAsia="黑体" w:cs="Times New Roman"/>
          <w:color w:val="auto"/>
          <w:sz w:val="21"/>
          <w:szCs w:val="21"/>
        </w:rPr>
      </w:pPr>
      <w:bookmarkStart w:id="101" w:name="_Toc30023"/>
      <w:r>
        <w:rPr>
          <w:rFonts w:hint="default" w:ascii="Times New Roman" w:hAnsi="Times New Roman" w:eastAsia="黑体" w:cs="Times New Roman"/>
          <w:color w:val="auto"/>
          <w:spacing w:val="-7"/>
          <w:sz w:val="21"/>
          <w:szCs w:val="21"/>
        </w:rPr>
        <w:t>（资料性）</w:t>
      </w:r>
      <w:bookmarkEnd w:id="101"/>
    </w:p>
    <w:p>
      <w:pPr>
        <w:jc w:val="center"/>
        <w:outlineLvl w:val="0"/>
        <w:rPr>
          <w:rFonts w:hint="default" w:ascii="Times New Roman" w:hAnsi="Times New Roman" w:eastAsia="黑体" w:cs="Times New Roman"/>
          <w:color w:val="auto"/>
          <w:spacing w:val="-7"/>
          <w:sz w:val="21"/>
          <w:szCs w:val="21"/>
          <w:lang w:val="en-US" w:eastAsia="zh-CN"/>
        </w:rPr>
      </w:pPr>
      <w:bookmarkStart w:id="102" w:name="_Toc25061"/>
      <w:r>
        <w:rPr>
          <w:rFonts w:hint="default" w:ascii="Times New Roman" w:hAnsi="Times New Roman" w:eastAsia="黑体" w:cs="Times New Roman"/>
          <w:color w:val="auto"/>
          <w:spacing w:val="-7"/>
          <w:sz w:val="21"/>
          <w:szCs w:val="21"/>
          <w:lang w:val="en-US" w:eastAsia="zh-CN"/>
        </w:rPr>
        <w:t>辐射事故应急预案编制大纲</w:t>
      </w:r>
      <w:bookmarkEnd w:id="102"/>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1 总则</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1.1 编制目的</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简述应急预案编制的目的。</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1.2 编制依据</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包括相关法律法规、规范性文件、标准、各级政府部门批准发布的辐射事故应急预案。</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1.3 应急原则</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明确应急预案实施的原则。</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1.4 适用范围</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明确应急预案的适用范围。</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1.5 应急预案衔接</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明确应急预案与政府部门应急预案、行业主管部门应急预案、本单位及上级单位相关预案的关系，可用框图形式表述。</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2 核技术利用单位基本情况</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概述核技术利用单位基本情况，包括单位地址、辐射安全许可证号及核技术利用台账、核技术利用场景等，必要时附平面布局图进行说明。</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3 可能发生的辐射事故及分级</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按照《放射性同位素与射线装置安全和防护条例》中规定的辐射事故分级原则，结合本单位核技术利用实际情况，分析可能发生的辐射事故，描述可能发生的情景、部位、原因、影响、分级等。</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4 应急组织机构及职责</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明确本单位的应急组织机构及体系，应急组织机构通常由应急指挥部（日常为应急领导小组）和若干应急响应小组构成，以结构图形式表示。应急组织机构各成员应明确工作任务和职责，应急指挥部应明确总指挥及其代理人。应列明所有应急人员的应急联系方式。</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5 应急响应</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包括报告、应急启动、响应行动等内容。</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6 应急状态终止</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包括应急状态终止条件、应急状态终止后的行动、总结报告等。</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7 应急能力维持</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包括应急保障、应急培训、应急演练、应急预案的修订等。</w:t>
      </w:r>
    </w:p>
    <w:p>
      <w:pPr>
        <w:rPr>
          <w:rFonts w:hint="default" w:ascii="Times New Roman" w:hAnsi="Times New Roman" w:eastAsia="黑体" w:cs="Times New Roman"/>
          <w:color w:val="auto"/>
          <w:spacing w:val="-7"/>
          <w:sz w:val="21"/>
          <w:szCs w:val="21"/>
          <w:lang w:val="en-US" w:eastAsia="zh-CN"/>
        </w:rPr>
      </w:pPr>
      <w:r>
        <w:rPr>
          <w:rFonts w:hint="eastAsia" w:eastAsia="黑体" w:cs="Times New Roman"/>
          <w:color w:val="auto"/>
          <w:spacing w:val="-7"/>
          <w:sz w:val="21"/>
          <w:szCs w:val="21"/>
          <w:lang w:val="en-US" w:eastAsia="zh-CN"/>
        </w:rPr>
        <w:t>D.</w:t>
      </w:r>
      <w:r>
        <w:rPr>
          <w:rFonts w:hint="default" w:ascii="Times New Roman" w:hAnsi="Times New Roman" w:eastAsia="黑体" w:cs="Times New Roman"/>
          <w:color w:val="auto"/>
          <w:spacing w:val="-7"/>
          <w:sz w:val="21"/>
          <w:szCs w:val="21"/>
          <w:lang w:val="en-US" w:eastAsia="zh-CN"/>
        </w:rPr>
        <w:t>8 附件</w:t>
      </w:r>
    </w:p>
    <w:p>
      <w:pPr>
        <w:pStyle w:val="35"/>
        <w:keepNext w:val="0"/>
        <w:keepLines w:val="0"/>
        <w:pageBreakBefore w:val="0"/>
        <w:widowControl/>
        <w:kinsoku/>
        <w:wordWrap/>
        <w:overflowPunct/>
        <w:topLinePunct w:val="0"/>
        <w:autoSpaceDE w:val="0"/>
        <w:autoSpaceDN w:val="0"/>
        <w:bidi w:val="0"/>
        <w:adjustRightInd/>
        <w:snapToGrid/>
        <w:spacing w:line="240" w:lineRule="auto"/>
        <w:ind w:firstLine="420" w:firstLineChars="200"/>
        <w:jc w:val="both"/>
        <w:textAlignment w:val="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包括核技术利用台账、相关平面布局图、内部应急组织机构各成员及其应急联系方式、外部应急联系方式、辐射事故应急响应流程、辐射事故应急物资清单、规范化的格式文本等。</w:t>
      </w:r>
    </w:p>
    <w:p>
      <w:pPr>
        <w:rPr>
          <w:rFonts w:hint="default" w:ascii="Times New Roman" w:hAnsi="Times New Roman" w:eastAsia="黑体" w:cs="Times New Roman"/>
          <w:color w:val="auto"/>
          <w:spacing w:val="-7"/>
          <w:sz w:val="21"/>
          <w:szCs w:val="21"/>
          <w:lang w:val="en-US" w:eastAsia="zh-CN"/>
        </w:rPr>
      </w:pPr>
      <w:r>
        <w:rPr>
          <w:rFonts w:hint="default" w:ascii="Times New Roman" w:hAnsi="Times New Roman" w:eastAsia="黑体" w:cs="Times New Roman"/>
          <w:color w:val="auto"/>
          <w:spacing w:val="-7"/>
          <w:sz w:val="21"/>
          <w:szCs w:val="21"/>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eastAsia="仿宋_GB2312" w:cs="Times New Roman"/>
          <w:color w:val="auto"/>
          <w:kern w:val="0"/>
          <w:sz w:val="22"/>
          <w:szCs w:val="22"/>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ind w:left="0"/>
        <w:jc w:val="center"/>
        <w:textAlignment w:val="auto"/>
        <w:outlineLvl w:val="0"/>
        <w:rPr>
          <w:rFonts w:hint="default" w:ascii="Times New Roman" w:hAnsi="Times New Roman" w:eastAsia="黑体" w:cs="Times New Roman"/>
          <w:color w:val="auto"/>
          <w:spacing w:val="-7"/>
          <w:sz w:val="21"/>
          <w:szCs w:val="21"/>
          <w:lang w:val="en-US" w:eastAsia="zh-CN"/>
        </w:rPr>
      </w:pPr>
      <w:bookmarkStart w:id="103" w:name="_Toc13132"/>
      <w:r>
        <w:rPr>
          <w:rFonts w:hint="default" w:ascii="Times New Roman" w:hAnsi="Times New Roman" w:eastAsia="黑体" w:cs="Times New Roman"/>
          <w:color w:val="auto"/>
          <w:spacing w:val="-7"/>
          <w:sz w:val="21"/>
          <w:szCs w:val="21"/>
          <w:lang w:val="en-US" w:eastAsia="zh-CN"/>
        </w:rPr>
        <w:t>参考文献</w:t>
      </w:r>
      <w:bookmarkEnd w:id="103"/>
    </w:p>
    <w:p>
      <w:pPr>
        <w:keepLines w:val="0"/>
        <w:pageBreakBefore w:val="0"/>
        <w:kinsoku/>
        <w:wordWrap/>
        <w:overflowPunct/>
        <w:topLinePunct w:val="0"/>
        <w:autoSpaceDE/>
        <w:autoSpaceDN/>
        <w:bidi w:val="0"/>
        <w:adjustRightInd/>
        <w:snapToGrid/>
        <w:spacing w:line="360" w:lineRule="auto"/>
        <w:ind w:left="0"/>
        <w:jc w:val="both"/>
        <w:textAlignment w:val="auto"/>
        <w:rPr>
          <w:rFonts w:hint="default" w:ascii="Times New Roman" w:hAnsi="Times New Roman" w:eastAsia="宋体" w:cs="Times New Roman"/>
          <w:b w:val="0"/>
          <w:bCs w:val="0"/>
          <w:color w:val="auto"/>
          <w:spacing w:val="-7"/>
          <w:sz w:val="21"/>
          <w:szCs w:val="21"/>
          <w:lang w:val="en-US" w:eastAsia="zh-CN"/>
        </w:rPr>
      </w:pPr>
      <w:r>
        <w:rPr>
          <w:rFonts w:hint="default" w:ascii="Times New Roman" w:hAnsi="Times New Roman" w:eastAsia="宋体" w:cs="Times New Roman"/>
          <w:b w:val="0"/>
          <w:bCs w:val="0"/>
          <w:color w:val="auto"/>
          <w:spacing w:val="-7"/>
          <w:sz w:val="21"/>
          <w:szCs w:val="21"/>
          <w:lang w:val="en-US" w:eastAsia="zh-CN"/>
        </w:rPr>
        <w:t>[1]</w:t>
      </w:r>
      <w:r>
        <w:rPr>
          <w:rFonts w:hint="default" w:ascii="Times New Roman" w:hAnsi="Times New Roman" w:eastAsia="宋体" w:cs="Times New Roman"/>
          <w:b w:val="0"/>
          <w:bCs w:val="0"/>
          <w:color w:val="auto"/>
          <w:spacing w:val="0"/>
          <w:sz w:val="21"/>
          <w:szCs w:val="21"/>
          <w:lang w:val="en-US" w:eastAsia="zh-CN"/>
        </w:rPr>
        <w:t xml:space="preserve">  </w:t>
      </w:r>
      <w:r>
        <w:rPr>
          <w:rFonts w:hint="default" w:ascii="Times New Roman" w:hAnsi="Times New Roman" w:eastAsia="宋体" w:cs="Times New Roman"/>
          <w:b w:val="0"/>
          <w:bCs w:val="0"/>
          <w:color w:val="auto"/>
          <w:spacing w:val="-7"/>
          <w:sz w:val="21"/>
          <w:szCs w:val="21"/>
          <w:lang w:val="en-US" w:eastAsia="zh-CN"/>
        </w:rPr>
        <w:t>Radiation Safety in Industrial Radiography.IAEA Safety Standards Series No. SSG-11,Vienna, 2011.</w:t>
      </w:r>
    </w:p>
    <w:p>
      <w:pPr>
        <w:keepLines w:val="0"/>
        <w:pageBreakBefore w:val="0"/>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宋体" w:cs="Times New Roman"/>
          <w:b w:val="0"/>
          <w:bCs w:val="0"/>
          <w:color w:val="auto"/>
          <w:spacing w:val="-7"/>
          <w:sz w:val="21"/>
          <w:szCs w:val="21"/>
          <w:lang w:val="en-US" w:eastAsia="zh-CN"/>
        </w:rPr>
      </w:pPr>
      <w:r>
        <w:rPr>
          <w:rFonts w:hint="default" w:ascii="Times New Roman" w:hAnsi="Times New Roman" w:eastAsia="宋体" w:cs="Times New Roman"/>
          <w:b w:val="0"/>
          <w:bCs w:val="0"/>
          <w:color w:val="auto"/>
          <w:spacing w:val="-7"/>
          <w:sz w:val="21"/>
          <w:szCs w:val="21"/>
          <w:lang w:val="en-US" w:eastAsia="zh-CN"/>
        </w:rPr>
        <w:t>[2]</w:t>
      </w:r>
      <w:r>
        <w:rPr>
          <w:rFonts w:hint="default" w:ascii="Times New Roman" w:hAnsi="Times New Roman" w:eastAsia="宋体" w:cs="Times New Roman"/>
          <w:b w:val="0"/>
          <w:bCs w:val="0"/>
          <w:color w:val="auto"/>
          <w:spacing w:val="0"/>
          <w:sz w:val="21"/>
          <w:szCs w:val="21"/>
          <w:lang w:val="en-US" w:eastAsia="zh-CN"/>
        </w:rPr>
        <w:t xml:space="preserve">  </w:t>
      </w:r>
      <w:r>
        <w:rPr>
          <w:rFonts w:hint="default" w:ascii="Times New Roman" w:hAnsi="Times New Roman" w:eastAsia="宋体" w:cs="Times New Roman"/>
          <w:b w:val="0"/>
          <w:bCs w:val="0"/>
          <w:color w:val="auto"/>
          <w:spacing w:val="-7"/>
          <w:sz w:val="21"/>
          <w:szCs w:val="21"/>
          <w:lang w:val="en-US" w:eastAsia="zh-CN"/>
        </w:rPr>
        <w:t>International Commission on Radiological Protection.ICRP Publication 33: Protection Against Ionizing Radiation from External Sources Used in Medicine.Oxford:Pergamon Press,1982.</w:t>
      </w:r>
    </w:p>
    <w:p>
      <w:pPr>
        <w:keepLines w:val="0"/>
        <w:pageBreakBefore w:val="0"/>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宋体" w:cs="Times New Roman"/>
          <w:b w:val="0"/>
          <w:bCs w:val="0"/>
          <w:color w:val="auto"/>
          <w:spacing w:val="-7"/>
          <w:sz w:val="21"/>
          <w:szCs w:val="21"/>
          <w:lang w:val="en-US" w:eastAsia="zh-CN"/>
        </w:rPr>
      </w:pPr>
      <w:r>
        <w:rPr>
          <w:rFonts w:hint="default" w:ascii="Times New Roman" w:hAnsi="Times New Roman" w:eastAsia="宋体" w:cs="Times New Roman"/>
          <w:b w:val="0"/>
          <w:bCs w:val="0"/>
          <w:color w:val="auto"/>
          <w:spacing w:val="-7"/>
          <w:sz w:val="21"/>
          <w:szCs w:val="21"/>
          <w:lang w:val="en-US" w:eastAsia="zh-CN"/>
        </w:rPr>
        <w:t>[3]  李德平.辐射防护手册[M].原子能出版社,1987.</w:t>
      </w:r>
    </w:p>
    <w:p>
      <w:pPr>
        <w:keepLines w:val="0"/>
        <w:pageBreakBefore w:val="0"/>
        <w:kinsoku/>
        <w:wordWrap/>
        <w:overflowPunct/>
        <w:topLinePunct w:val="0"/>
        <w:autoSpaceDE/>
        <w:autoSpaceDN/>
        <w:bidi w:val="0"/>
        <w:adjustRightInd/>
        <w:snapToGrid/>
        <w:spacing w:line="360" w:lineRule="auto"/>
        <w:ind w:left="0"/>
        <w:jc w:val="both"/>
        <w:textAlignment w:val="auto"/>
        <w:rPr>
          <w:rFonts w:hint="default" w:ascii="Times New Roman" w:hAnsi="Times New Roman" w:eastAsia="宋体" w:cs="Times New Roman"/>
          <w:b w:val="0"/>
          <w:bCs w:val="0"/>
          <w:color w:val="auto"/>
          <w:spacing w:val="-7"/>
          <w:sz w:val="21"/>
          <w:szCs w:val="21"/>
          <w:lang w:val="en-US" w:eastAsia="zh-CN"/>
        </w:rPr>
      </w:pPr>
      <w:r>
        <w:rPr>
          <w:rFonts w:hint="default" w:ascii="Times New Roman" w:hAnsi="Times New Roman" w:eastAsia="宋体" w:cs="Times New Roman"/>
          <w:b w:val="0"/>
          <w:bCs w:val="0"/>
          <w:color w:val="auto"/>
          <w:spacing w:val="-7"/>
          <w:sz w:val="21"/>
          <w:szCs w:val="21"/>
          <w:lang w:val="en-US" w:eastAsia="zh-CN"/>
        </w:rPr>
        <w:t>[4]  方杰.辐射防护导论[M].原子能出版社,1991.</w:t>
      </w:r>
    </w:p>
    <w:p>
      <w:pPr>
        <w:pStyle w:val="42"/>
        <w:bidi w:val="0"/>
        <w:rPr>
          <w:rFonts w:hint="eastAsia"/>
        </w:rPr>
      </w:pPr>
      <w:r>
        <w:rPr>
          <w:rFonts w:hint="eastAsia"/>
        </w:rPr>
        <w:t>_________________________________</w:t>
      </w:r>
    </w:p>
    <w:p>
      <w:pPr>
        <w:keepLines w:val="0"/>
        <w:pageBreakBefore w:val="0"/>
        <w:kinsoku/>
        <w:wordWrap/>
        <w:overflowPunct/>
        <w:topLinePunct w:val="0"/>
        <w:autoSpaceDE/>
        <w:autoSpaceDN/>
        <w:bidi w:val="0"/>
        <w:adjustRightInd/>
        <w:snapToGrid/>
        <w:spacing w:line="360" w:lineRule="auto"/>
        <w:ind w:left="0"/>
        <w:jc w:val="both"/>
        <w:textAlignment w:val="auto"/>
        <w:rPr>
          <w:rFonts w:hint="default" w:ascii="Times New Roman" w:hAnsi="Times New Roman" w:eastAsia="宋体" w:cs="Times New Roman"/>
          <w:b w:val="0"/>
          <w:bCs w:val="0"/>
          <w:color w:val="auto"/>
          <w:spacing w:val="-7"/>
          <w:sz w:val="21"/>
          <w:szCs w:val="21"/>
          <w:lang w:val="en-US" w:eastAsia="zh-CN"/>
        </w:rPr>
      </w:pPr>
    </w:p>
    <w:sectPr>
      <w:pgSz w:w="11906" w:h="16838"/>
      <w:pgMar w:top="1587" w:right="1474" w:bottom="147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6781288"/>
      <w:docPartObj>
        <w:docPartGallery w:val="autotext"/>
      </w:docPartObj>
    </w:sdtPr>
    <w:sdtContent>
      <w:p>
        <w:pPr>
          <w:pStyle w:val="12"/>
          <w:jc w:val="right"/>
        </w:pP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83688321"/>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sdt>
                    <w:sdtPr>
                      <w:id w:val="-583688321"/>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71" w:lineRule="auto"/>
      <w:ind w:left="8959"/>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DBXX/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22E42B3"/>
    <w:multiLevelType w:val="multilevel"/>
    <w:tmpl w:val="322E42B3"/>
    <w:lvl w:ilvl="0" w:tentative="0">
      <w:start w:val="1"/>
      <w:numFmt w:val="decimal"/>
      <w:lvlText w:val="%1"/>
      <w:lvlJc w:val="left"/>
      <w:pPr>
        <w:ind w:left="425" w:hanging="425"/>
      </w:pPr>
      <w:rPr>
        <w:rFonts w:hint="eastAsia" w:ascii="黑体" w:hAnsi="黑体" w:eastAsia="黑体"/>
      </w:rPr>
    </w:lvl>
    <w:lvl w:ilvl="1" w:tentative="0">
      <w:start w:val="1"/>
      <w:numFmt w:val="decimal"/>
      <w:lvlText w:val="%1.%2"/>
      <w:lvlJc w:val="left"/>
      <w:pPr>
        <w:ind w:left="992" w:hanging="567"/>
      </w:pPr>
      <w:rPr>
        <w:rFonts w:ascii="黑体" w:hAnsi="黑体" w:eastAsia="黑体"/>
      </w:rPr>
    </w:lvl>
    <w:lvl w:ilvl="2" w:tentative="0">
      <w:start w:val="1"/>
      <w:numFmt w:val="decimal"/>
      <w:lvlText w:val="%1.%2.%3"/>
      <w:lvlJc w:val="left"/>
      <w:pPr>
        <w:ind w:left="1418" w:hanging="567"/>
      </w:pPr>
      <w:rPr>
        <w:rFonts w:hint="default" w:ascii="黑体" w:hAnsi="黑体" w:eastAsia="黑体"/>
        <w:b w:val="0"/>
        <w:bCs w:val="0"/>
      </w:rPr>
    </w:lvl>
    <w:lvl w:ilvl="3" w:tentative="0">
      <w:start w:val="1"/>
      <w:numFmt w:val="decimal"/>
      <w:lvlText w:val="%1.%2.%3.%4"/>
      <w:lvlJc w:val="left"/>
      <w:pPr>
        <w:ind w:left="1984" w:hanging="708"/>
      </w:pPr>
      <w:rPr>
        <w:rFonts w:hint="default" w:ascii="黑体" w:hAnsi="黑体" w:eastAsia="黑体"/>
        <w:b w:val="0"/>
        <w:bCs w:val="0"/>
        <w:highlight w:val="none"/>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657D3FBC"/>
    <w:multiLevelType w:val="multilevel"/>
    <w:tmpl w:val="657D3FBC"/>
    <w:lvl w:ilvl="0" w:tentative="0">
      <w:start w:val="1"/>
      <w:numFmt w:val="upperLetter"/>
      <w:pStyle w:val="3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青莲剑歌">
    <w15:presenceInfo w15:providerId="WPS Office" w15:userId="1821395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NkNGI1YmI4YTkyMmJkODA5YjhmYWQ3NDllYmFlZmYifQ=="/>
  </w:docVars>
  <w:rsids>
    <w:rsidRoot w:val="005219F4"/>
    <w:rsid w:val="0005442E"/>
    <w:rsid w:val="000C63DE"/>
    <w:rsid w:val="001174CB"/>
    <w:rsid w:val="001263F2"/>
    <w:rsid w:val="001321BC"/>
    <w:rsid w:val="00134D13"/>
    <w:rsid w:val="0015201D"/>
    <w:rsid w:val="0022609D"/>
    <w:rsid w:val="00282374"/>
    <w:rsid w:val="002E4847"/>
    <w:rsid w:val="002F4A1A"/>
    <w:rsid w:val="003434A7"/>
    <w:rsid w:val="00345C28"/>
    <w:rsid w:val="00492177"/>
    <w:rsid w:val="004A6D4E"/>
    <w:rsid w:val="005219F4"/>
    <w:rsid w:val="00596D3D"/>
    <w:rsid w:val="005F5DBC"/>
    <w:rsid w:val="006D7BE0"/>
    <w:rsid w:val="0070310A"/>
    <w:rsid w:val="007B60D5"/>
    <w:rsid w:val="007C75A5"/>
    <w:rsid w:val="007E4EDE"/>
    <w:rsid w:val="00872362"/>
    <w:rsid w:val="008875D9"/>
    <w:rsid w:val="0090392C"/>
    <w:rsid w:val="00916027"/>
    <w:rsid w:val="009C360D"/>
    <w:rsid w:val="009D61BB"/>
    <w:rsid w:val="00A227B9"/>
    <w:rsid w:val="00A51B6D"/>
    <w:rsid w:val="00A70ACE"/>
    <w:rsid w:val="00A71387"/>
    <w:rsid w:val="00AB137E"/>
    <w:rsid w:val="00AC4900"/>
    <w:rsid w:val="00BE319F"/>
    <w:rsid w:val="00C77CC1"/>
    <w:rsid w:val="00CB251B"/>
    <w:rsid w:val="00D0216E"/>
    <w:rsid w:val="00DC7A21"/>
    <w:rsid w:val="00E33514"/>
    <w:rsid w:val="00E40BC2"/>
    <w:rsid w:val="00E43EA8"/>
    <w:rsid w:val="00F16225"/>
    <w:rsid w:val="00F56582"/>
    <w:rsid w:val="00F979C6"/>
    <w:rsid w:val="00FC6472"/>
    <w:rsid w:val="00FE05E4"/>
    <w:rsid w:val="019820A5"/>
    <w:rsid w:val="019F6AB7"/>
    <w:rsid w:val="02110964"/>
    <w:rsid w:val="021E3ED0"/>
    <w:rsid w:val="02D575AD"/>
    <w:rsid w:val="02D82D57"/>
    <w:rsid w:val="030B131F"/>
    <w:rsid w:val="03201CCC"/>
    <w:rsid w:val="032A6FC0"/>
    <w:rsid w:val="03933468"/>
    <w:rsid w:val="03AC2266"/>
    <w:rsid w:val="03BF4937"/>
    <w:rsid w:val="03F820DA"/>
    <w:rsid w:val="04216A64"/>
    <w:rsid w:val="042630E8"/>
    <w:rsid w:val="043A08C3"/>
    <w:rsid w:val="045877AA"/>
    <w:rsid w:val="045B262C"/>
    <w:rsid w:val="04844F3D"/>
    <w:rsid w:val="049D7204"/>
    <w:rsid w:val="04BC7D28"/>
    <w:rsid w:val="051C5B07"/>
    <w:rsid w:val="051E01CE"/>
    <w:rsid w:val="052834F8"/>
    <w:rsid w:val="054519E5"/>
    <w:rsid w:val="05DA0F66"/>
    <w:rsid w:val="0608761E"/>
    <w:rsid w:val="0618111B"/>
    <w:rsid w:val="064E17C3"/>
    <w:rsid w:val="06736615"/>
    <w:rsid w:val="06A450F4"/>
    <w:rsid w:val="06CC5E0B"/>
    <w:rsid w:val="06EC749F"/>
    <w:rsid w:val="071653C1"/>
    <w:rsid w:val="07750595"/>
    <w:rsid w:val="07B70B3E"/>
    <w:rsid w:val="080A25EE"/>
    <w:rsid w:val="08487921"/>
    <w:rsid w:val="08CB6070"/>
    <w:rsid w:val="08F1305D"/>
    <w:rsid w:val="090B3EB1"/>
    <w:rsid w:val="097C6932"/>
    <w:rsid w:val="099874CB"/>
    <w:rsid w:val="09B648F2"/>
    <w:rsid w:val="0A167282"/>
    <w:rsid w:val="0A354F59"/>
    <w:rsid w:val="0A7F383F"/>
    <w:rsid w:val="0AE64123"/>
    <w:rsid w:val="0B053C33"/>
    <w:rsid w:val="0B0B1B65"/>
    <w:rsid w:val="0B212332"/>
    <w:rsid w:val="0B2211FE"/>
    <w:rsid w:val="0BB717B6"/>
    <w:rsid w:val="0C3A148D"/>
    <w:rsid w:val="0C3D10A6"/>
    <w:rsid w:val="0C730345"/>
    <w:rsid w:val="0C794FFD"/>
    <w:rsid w:val="0CA460E6"/>
    <w:rsid w:val="0CB644F0"/>
    <w:rsid w:val="0CC01718"/>
    <w:rsid w:val="0CC735F5"/>
    <w:rsid w:val="0CCB2BB7"/>
    <w:rsid w:val="0D5A1E14"/>
    <w:rsid w:val="0DBA6D5C"/>
    <w:rsid w:val="0DC61426"/>
    <w:rsid w:val="0DE666D6"/>
    <w:rsid w:val="0DEA3380"/>
    <w:rsid w:val="0E135C3F"/>
    <w:rsid w:val="0E5E3818"/>
    <w:rsid w:val="0E5F13EC"/>
    <w:rsid w:val="0E78662F"/>
    <w:rsid w:val="0EA7186A"/>
    <w:rsid w:val="0EAD27CE"/>
    <w:rsid w:val="0ED15C09"/>
    <w:rsid w:val="0ED56E4C"/>
    <w:rsid w:val="0F006A88"/>
    <w:rsid w:val="0F1B6759"/>
    <w:rsid w:val="0F357AA7"/>
    <w:rsid w:val="10E65AD0"/>
    <w:rsid w:val="11270471"/>
    <w:rsid w:val="119C2693"/>
    <w:rsid w:val="11A973C9"/>
    <w:rsid w:val="11EE692F"/>
    <w:rsid w:val="129D2871"/>
    <w:rsid w:val="12E050D7"/>
    <w:rsid w:val="13705B58"/>
    <w:rsid w:val="14035BEB"/>
    <w:rsid w:val="140C7E49"/>
    <w:rsid w:val="14415A92"/>
    <w:rsid w:val="14A30D66"/>
    <w:rsid w:val="14B01A4F"/>
    <w:rsid w:val="14F13DA1"/>
    <w:rsid w:val="14FB6892"/>
    <w:rsid w:val="14FD32F1"/>
    <w:rsid w:val="1537341D"/>
    <w:rsid w:val="154F4DB5"/>
    <w:rsid w:val="157D564A"/>
    <w:rsid w:val="15BF0508"/>
    <w:rsid w:val="15C3039A"/>
    <w:rsid w:val="15EF43B1"/>
    <w:rsid w:val="15F545D4"/>
    <w:rsid w:val="15FA4044"/>
    <w:rsid w:val="15FF7AA0"/>
    <w:rsid w:val="16037DD2"/>
    <w:rsid w:val="16162F56"/>
    <w:rsid w:val="167E5349"/>
    <w:rsid w:val="169779B4"/>
    <w:rsid w:val="1721058E"/>
    <w:rsid w:val="18237130"/>
    <w:rsid w:val="18E65068"/>
    <w:rsid w:val="194327B6"/>
    <w:rsid w:val="199A7E92"/>
    <w:rsid w:val="19F83334"/>
    <w:rsid w:val="1A3A5AA0"/>
    <w:rsid w:val="1A3C6065"/>
    <w:rsid w:val="1A7C34A1"/>
    <w:rsid w:val="1A80679A"/>
    <w:rsid w:val="1A8E52E7"/>
    <w:rsid w:val="1A915B74"/>
    <w:rsid w:val="1B4E7A8D"/>
    <w:rsid w:val="1B737239"/>
    <w:rsid w:val="1B8F273C"/>
    <w:rsid w:val="1BA11684"/>
    <w:rsid w:val="1BB84532"/>
    <w:rsid w:val="1BBE7D04"/>
    <w:rsid w:val="1BCE0C02"/>
    <w:rsid w:val="1C395F13"/>
    <w:rsid w:val="1C5739B0"/>
    <w:rsid w:val="1C7C6A0D"/>
    <w:rsid w:val="1C901721"/>
    <w:rsid w:val="1C96321F"/>
    <w:rsid w:val="1CEA3B9F"/>
    <w:rsid w:val="1D240899"/>
    <w:rsid w:val="1D2A0EE3"/>
    <w:rsid w:val="1DCE4F08"/>
    <w:rsid w:val="1DD22CAF"/>
    <w:rsid w:val="1DDB7BF4"/>
    <w:rsid w:val="1E374D92"/>
    <w:rsid w:val="1E7549FE"/>
    <w:rsid w:val="1E982016"/>
    <w:rsid w:val="1EEE69D7"/>
    <w:rsid w:val="1EF866D8"/>
    <w:rsid w:val="1F236FB8"/>
    <w:rsid w:val="1F88613B"/>
    <w:rsid w:val="1F9130B2"/>
    <w:rsid w:val="1FC26733"/>
    <w:rsid w:val="1FEB6215"/>
    <w:rsid w:val="202A6735"/>
    <w:rsid w:val="20414385"/>
    <w:rsid w:val="20471752"/>
    <w:rsid w:val="20B31FDA"/>
    <w:rsid w:val="20D554EE"/>
    <w:rsid w:val="20F36767"/>
    <w:rsid w:val="216860B7"/>
    <w:rsid w:val="21B65FBE"/>
    <w:rsid w:val="21E60B0B"/>
    <w:rsid w:val="229C036A"/>
    <w:rsid w:val="230763CA"/>
    <w:rsid w:val="23107133"/>
    <w:rsid w:val="23552D70"/>
    <w:rsid w:val="238260B0"/>
    <w:rsid w:val="23932AED"/>
    <w:rsid w:val="23D12036"/>
    <w:rsid w:val="24562E65"/>
    <w:rsid w:val="2459309F"/>
    <w:rsid w:val="24714A72"/>
    <w:rsid w:val="24717DC9"/>
    <w:rsid w:val="24A2073C"/>
    <w:rsid w:val="25846337"/>
    <w:rsid w:val="25893E1F"/>
    <w:rsid w:val="25E11273"/>
    <w:rsid w:val="2610729D"/>
    <w:rsid w:val="266F6898"/>
    <w:rsid w:val="269228E7"/>
    <w:rsid w:val="26F9198F"/>
    <w:rsid w:val="27141695"/>
    <w:rsid w:val="27940877"/>
    <w:rsid w:val="27B2261B"/>
    <w:rsid w:val="27BE0350"/>
    <w:rsid w:val="282D2AC7"/>
    <w:rsid w:val="285060FE"/>
    <w:rsid w:val="28E32972"/>
    <w:rsid w:val="28F476BD"/>
    <w:rsid w:val="28FC67BB"/>
    <w:rsid w:val="291F1BBA"/>
    <w:rsid w:val="296950C9"/>
    <w:rsid w:val="299D4DD1"/>
    <w:rsid w:val="29D03911"/>
    <w:rsid w:val="29DB5E06"/>
    <w:rsid w:val="29EE67DD"/>
    <w:rsid w:val="2A1A792B"/>
    <w:rsid w:val="2A3C5CEE"/>
    <w:rsid w:val="2A9A3C1B"/>
    <w:rsid w:val="2ACA5357"/>
    <w:rsid w:val="2B6B3FBC"/>
    <w:rsid w:val="2BFD686E"/>
    <w:rsid w:val="2C151717"/>
    <w:rsid w:val="2C1A7C91"/>
    <w:rsid w:val="2C3265D7"/>
    <w:rsid w:val="2C4E072E"/>
    <w:rsid w:val="2C516C57"/>
    <w:rsid w:val="2C6E0BC8"/>
    <w:rsid w:val="2C782782"/>
    <w:rsid w:val="2CBF10C7"/>
    <w:rsid w:val="2CC033B6"/>
    <w:rsid w:val="2CD06965"/>
    <w:rsid w:val="2CFC37B0"/>
    <w:rsid w:val="2D023EBB"/>
    <w:rsid w:val="2D0E4885"/>
    <w:rsid w:val="2D224D31"/>
    <w:rsid w:val="2D26130C"/>
    <w:rsid w:val="2D592C63"/>
    <w:rsid w:val="2D823409"/>
    <w:rsid w:val="2D8B694F"/>
    <w:rsid w:val="2E480B1A"/>
    <w:rsid w:val="2E7D457A"/>
    <w:rsid w:val="2EFC6B28"/>
    <w:rsid w:val="2EFD6BA8"/>
    <w:rsid w:val="2F35568B"/>
    <w:rsid w:val="2F4905D5"/>
    <w:rsid w:val="2F533EAB"/>
    <w:rsid w:val="2F5F2A97"/>
    <w:rsid w:val="2FA06B01"/>
    <w:rsid w:val="2FF75274"/>
    <w:rsid w:val="30174677"/>
    <w:rsid w:val="30265BBE"/>
    <w:rsid w:val="306A6F12"/>
    <w:rsid w:val="30963597"/>
    <w:rsid w:val="30C13374"/>
    <w:rsid w:val="30DC0898"/>
    <w:rsid w:val="30DE4CB6"/>
    <w:rsid w:val="31052D80"/>
    <w:rsid w:val="31513C15"/>
    <w:rsid w:val="31DB53B1"/>
    <w:rsid w:val="31F46017"/>
    <w:rsid w:val="32072B34"/>
    <w:rsid w:val="322315C1"/>
    <w:rsid w:val="324432AB"/>
    <w:rsid w:val="32A76793"/>
    <w:rsid w:val="32DA182B"/>
    <w:rsid w:val="33483566"/>
    <w:rsid w:val="336806A8"/>
    <w:rsid w:val="3395054B"/>
    <w:rsid w:val="33A40CBF"/>
    <w:rsid w:val="34006285"/>
    <w:rsid w:val="3413511E"/>
    <w:rsid w:val="342127BB"/>
    <w:rsid w:val="3429531B"/>
    <w:rsid w:val="344555B1"/>
    <w:rsid w:val="34983CFA"/>
    <w:rsid w:val="34C642E6"/>
    <w:rsid w:val="34DF45C0"/>
    <w:rsid w:val="34F72635"/>
    <w:rsid w:val="35383CB7"/>
    <w:rsid w:val="362C02B0"/>
    <w:rsid w:val="366E32A5"/>
    <w:rsid w:val="36971B36"/>
    <w:rsid w:val="36B626F9"/>
    <w:rsid w:val="36EF3494"/>
    <w:rsid w:val="370031C1"/>
    <w:rsid w:val="37AA63D6"/>
    <w:rsid w:val="37DC2EE1"/>
    <w:rsid w:val="37DC4103"/>
    <w:rsid w:val="381A3EB1"/>
    <w:rsid w:val="384046F7"/>
    <w:rsid w:val="38B20BA1"/>
    <w:rsid w:val="38CA47E2"/>
    <w:rsid w:val="38E05D35"/>
    <w:rsid w:val="38E633FF"/>
    <w:rsid w:val="39256A64"/>
    <w:rsid w:val="397E5F2A"/>
    <w:rsid w:val="39D24D29"/>
    <w:rsid w:val="3A042343"/>
    <w:rsid w:val="3A066C8D"/>
    <w:rsid w:val="3A5809A6"/>
    <w:rsid w:val="3A932169"/>
    <w:rsid w:val="3A937A2E"/>
    <w:rsid w:val="3ABE2775"/>
    <w:rsid w:val="3AF96355"/>
    <w:rsid w:val="3AFB22BF"/>
    <w:rsid w:val="3B260A05"/>
    <w:rsid w:val="3B456C38"/>
    <w:rsid w:val="3B462F76"/>
    <w:rsid w:val="3B5F1570"/>
    <w:rsid w:val="3B8E4769"/>
    <w:rsid w:val="3C6A1573"/>
    <w:rsid w:val="3CDE38CB"/>
    <w:rsid w:val="3CDE399D"/>
    <w:rsid w:val="3CEC3DF5"/>
    <w:rsid w:val="3D192C68"/>
    <w:rsid w:val="3D402496"/>
    <w:rsid w:val="3D815DC6"/>
    <w:rsid w:val="3DA423DE"/>
    <w:rsid w:val="3E1A5000"/>
    <w:rsid w:val="3E237B0B"/>
    <w:rsid w:val="3E710AFA"/>
    <w:rsid w:val="3F237901"/>
    <w:rsid w:val="3F4D38BF"/>
    <w:rsid w:val="3F652DB0"/>
    <w:rsid w:val="3F825356"/>
    <w:rsid w:val="3FC13084"/>
    <w:rsid w:val="40055772"/>
    <w:rsid w:val="40357684"/>
    <w:rsid w:val="40465875"/>
    <w:rsid w:val="4065704B"/>
    <w:rsid w:val="40846101"/>
    <w:rsid w:val="40897125"/>
    <w:rsid w:val="40AB151B"/>
    <w:rsid w:val="40D80518"/>
    <w:rsid w:val="410052A9"/>
    <w:rsid w:val="410A769C"/>
    <w:rsid w:val="416E08A0"/>
    <w:rsid w:val="417C514C"/>
    <w:rsid w:val="41A21A1E"/>
    <w:rsid w:val="42073817"/>
    <w:rsid w:val="42307310"/>
    <w:rsid w:val="42734B2C"/>
    <w:rsid w:val="427C7A3C"/>
    <w:rsid w:val="429B041D"/>
    <w:rsid w:val="43161982"/>
    <w:rsid w:val="432C422E"/>
    <w:rsid w:val="43532EAD"/>
    <w:rsid w:val="43544AD7"/>
    <w:rsid w:val="43741221"/>
    <w:rsid w:val="438074D3"/>
    <w:rsid w:val="438B5CD4"/>
    <w:rsid w:val="43FA1156"/>
    <w:rsid w:val="445C4D64"/>
    <w:rsid w:val="448F6996"/>
    <w:rsid w:val="45280AA6"/>
    <w:rsid w:val="456066FC"/>
    <w:rsid w:val="458432DE"/>
    <w:rsid w:val="45E54B44"/>
    <w:rsid w:val="45F1649F"/>
    <w:rsid w:val="4604631A"/>
    <w:rsid w:val="463E02DB"/>
    <w:rsid w:val="46850683"/>
    <w:rsid w:val="46AA416E"/>
    <w:rsid w:val="46E36EDB"/>
    <w:rsid w:val="47192FD9"/>
    <w:rsid w:val="4747218F"/>
    <w:rsid w:val="474C643F"/>
    <w:rsid w:val="47664E88"/>
    <w:rsid w:val="487B55BB"/>
    <w:rsid w:val="48B03A93"/>
    <w:rsid w:val="48B14254"/>
    <w:rsid w:val="48BD7241"/>
    <w:rsid w:val="48E9059B"/>
    <w:rsid w:val="493620C9"/>
    <w:rsid w:val="49375E33"/>
    <w:rsid w:val="494C7E6C"/>
    <w:rsid w:val="496B4EEA"/>
    <w:rsid w:val="49B645F2"/>
    <w:rsid w:val="49CB46C7"/>
    <w:rsid w:val="4A4C7E50"/>
    <w:rsid w:val="4AD05F6A"/>
    <w:rsid w:val="4AFB5D4A"/>
    <w:rsid w:val="4B371494"/>
    <w:rsid w:val="4B704C34"/>
    <w:rsid w:val="4BB9462E"/>
    <w:rsid w:val="4BEA62A3"/>
    <w:rsid w:val="4C2625FE"/>
    <w:rsid w:val="4C281B3F"/>
    <w:rsid w:val="4C9B5059"/>
    <w:rsid w:val="4CD4421B"/>
    <w:rsid w:val="4CD908E3"/>
    <w:rsid w:val="4DBA15BA"/>
    <w:rsid w:val="4DD150D4"/>
    <w:rsid w:val="4E455D52"/>
    <w:rsid w:val="4E845C10"/>
    <w:rsid w:val="4F0D7226"/>
    <w:rsid w:val="4F16176D"/>
    <w:rsid w:val="4F1A58B4"/>
    <w:rsid w:val="4F9C71E4"/>
    <w:rsid w:val="50310AAA"/>
    <w:rsid w:val="50430026"/>
    <w:rsid w:val="50457FE0"/>
    <w:rsid w:val="504E3D9F"/>
    <w:rsid w:val="50A432C2"/>
    <w:rsid w:val="50A55FB2"/>
    <w:rsid w:val="50D41C39"/>
    <w:rsid w:val="50EE0E04"/>
    <w:rsid w:val="50EE6E00"/>
    <w:rsid w:val="51382E4A"/>
    <w:rsid w:val="51752711"/>
    <w:rsid w:val="517E7C9C"/>
    <w:rsid w:val="51DA3A52"/>
    <w:rsid w:val="51FE7516"/>
    <w:rsid w:val="52D87C2C"/>
    <w:rsid w:val="52E13ED5"/>
    <w:rsid w:val="534E3132"/>
    <w:rsid w:val="53690789"/>
    <w:rsid w:val="53900B50"/>
    <w:rsid w:val="53AF787F"/>
    <w:rsid w:val="53D63D90"/>
    <w:rsid w:val="53DB7637"/>
    <w:rsid w:val="53E40BA8"/>
    <w:rsid w:val="53F67EF9"/>
    <w:rsid w:val="54AF35F7"/>
    <w:rsid w:val="54E422C5"/>
    <w:rsid w:val="55127535"/>
    <w:rsid w:val="55A51BE6"/>
    <w:rsid w:val="55EA3629"/>
    <w:rsid w:val="5616380D"/>
    <w:rsid w:val="565002B6"/>
    <w:rsid w:val="567A0B7E"/>
    <w:rsid w:val="569922CB"/>
    <w:rsid w:val="57372FF2"/>
    <w:rsid w:val="57DB349B"/>
    <w:rsid w:val="58436B48"/>
    <w:rsid w:val="592E480E"/>
    <w:rsid w:val="593878DF"/>
    <w:rsid w:val="59FB6D30"/>
    <w:rsid w:val="5A1C1801"/>
    <w:rsid w:val="5A884494"/>
    <w:rsid w:val="5AA85332"/>
    <w:rsid w:val="5AD43390"/>
    <w:rsid w:val="5AF85EAF"/>
    <w:rsid w:val="5B58431A"/>
    <w:rsid w:val="5C355C01"/>
    <w:rsid w:val="5C92671C"/>
    <w:rsid w:val="5CEB3965"/>
    <w:rsid w:val="5D483A49"/>
    <w:rsid w:val="5E0123A7"/>
    <w:rsid w:val="5E340660"/>
    <w:rsid w:val="5E56599F"/>
    <w:rsid w:val="5E6378B6"/>
    <w:rsid w:val="5E801138"/>
    <w:rsid w:val="5E8279F1"/>
    <w:rsid w:val="5E8C4409"/>
    <w:rsid w:val="5E9A3EAB"/>
    <w:rsid w:val="5EAC7A86"/>
    <w:rsid w:val="5ED957E7"/>
    <w:rsid w:val="5EF36A14"/>
    <w:rsid w:val="5F370BAD"/>
    <w:rsid w:val="5F687544"/>
    <w:rsid w:val="5FB611C0"/>
    <w:rsid w:val="5FBE3990"/>
    <w:rsid w:val="5FD72E6C"/>
    <w:rsid w:val="5FFF1C8D"/>
    <w:rsid w:val="606D1C83"/>
    <w:rsid w:val="60D674BD"/>
    <w:rsid w:val="6151208D"/>
    <w:rsid w:val="61926B92"/>
    <w:rsid w:val="61C518F2"/>
    <w:rsid w:val="62346D38"/>
    <w:rsid w:val="6271006A"/>
    <w:rsid w:val="62B36C83"/>
    <w:rsid w:val="62C94FDB"/>
    <w:rsid w:val="62E37728"/>
    <w:rsid w:val="630F5353"/>
    <w:rsid w:val="632450B9"/>
    <w:rsid w:val="63D027D9"/>
    <w:rsid w:val="641420CC"/>
    <w:rsid w:val="64213EF7"/>
    <w:rsid w:val="64594D54"/>
    <w:rsid w:val="648776FF"/>
    <w:rsid w:val="64D35E21"/>
    <w:rsid w:val="64E1002B"/>
    <w:rsid w:val="64FA28DE"/>
    <w:rsid w:val="65187714"/>
    <w:rsid w:val="652601F2"/>
    <w:rsid w:val="658E5111"/>
    <w:rsid w:val="65995CF5"/>
    <w:rsid w:val="659F392B"/>
    <w:rsid w:val="66793F99"/>
    <w:rsid w:val="669946EC"/>
    <w:rsid w:val="66A138D0"/>
    <w:rsid w:val="66AF327C"/>
    <w:rsid w:val="66BB7FB1"/>
    <w:rsid w:val="67276101"/>
    <w:rsid w:val="673C27B7"/>
    <w:rsid w:val="67584C22"/>
    <w:rsid w:val="67735D57"/>
    <w:rsid w:val="67744A5E"/>
    <w:rsid w:val="677E079A"/>
    <w:rsid w:val="67A94BFF"/>
    <w:rsid w:val="6824703B"/>
    <w:rsid w:val="6866331A"/>
    <w:rsid w:val="68BF334F"/>
    <w:rsid w:val="68D357C6"/>
    <w:rsid w:val="68EB10AA"/>
    <w:rsid w:val="69062B71"/>
    <w:rsid w:val="691142EF"/>
    <w:rsid w:val="693A5775"/>
    <w:rsid w:val="69540308"/>
    <w:rsid w:val="6A55006C"/>
    <w:rsid w:val="6B566DE5"/>
    <w:rsid w:val="6B6E60E8"/>
    <w:rsid w:val="6BBBBA66"/>
    <w:rsid w:val="6BC908F1"/>
    <w:rsid w:val="6BF81A7F"/>
    <w:rsid w:val="6C2E1946"/>
    <w:rsid w:val="6C567C79"/>
    <w:rsid w:val="6C615B71"/>
    <w:rsid w:val="6C6472C9"/>
    <w:rsid w:val="6C7466B2"/>
    <w:rsid w:val="6CC50642"/>
    <w:rsid w:val="6D087A21"/>
    <w:rsid w:val="6D8E711E"/>
    <w:rsid w:val="6DE64257"/>
    <w:rsid w:val="6E081DB0"/>
    <w:rsid w:val="6E1703AC"/>
    <w:rsid w:val="6E734371"/>
    <w:rsid w:val="6EE07160"/>
    <w:rsid w:val="6EFD41E6"/>
    <w:rsid w:val="6F4C7545"/>
    <w:rsid w:val="6F8F5922"/>
    <w:rsid w:val="6FEFD48C"/>
    <w:rsid w:val="700E68F9"/>
    <w:rsid w:val="70172AF3"/>
    <w:rsid w:val="7057261E"/>
    <w:rsid w:val="705F1845"/>
    <w:rsid w:val="709F569C"/>
    <w:rsid w:val="70AB6471"/>
    <w:rsid w:val="70AB7937"/>
    <w:rsid w:val="71821AFF"/>
    <w:rsid w:val="71901F68"/>
    <w:rsid w:val="71923DFD"/>
    <w:rsid w:val="7197480A"/>
    <w:rsid w:val="71AD62A3"/>
    <w:rsid w:val="71E9426B"/>
    <w:rsid w:val="71EA5097"/>
    <w:rsid w:val="72330AC1"/>
    <w:rsid w:val="7235408B"/>
    <w:rsid w:val="73327FA4"/>
    <w:rsid w:val="73B4151F"/>
    <w:rsid w:val="73E261B6"/>
    <w:rsid w:val="74364139"/>
    <w:rsid w:val="749857EF"/>
    <w:rsid w:val="749A2BB8"/>
    <w:rsid w:val="74B767DF"/>
    <w:rsid w:val="74BA0AF0"/>
    <w:rsid w:val="74FF4CE1"/>
    <w:rsid w:val="750A7C3C"/>
    <w:rsid w:val="751AE9E3"/>
    <w:rsid w:val="75BF15D4"/>
    <w:rsid w:val="75F0483B"/>
    <w:rsid w:val="75FC7976"/>
    <w:rsid w:val="76593C9D"/>
    <w:rsid w:val="765B0F65"/>
    <w:rsid w:val="765D5143"/>
    <w:rsid w:val="76BE73C3"/>
    <w:rsid w:val="76DA2EA1"/>
    <w:rsid w:val="76E02D76"/>
    <w:rsid w:val="76F341C3"/>
    <w:rsid w:val="76FB5ED3"/>
    <w:rsid w:val="7740018E"/>
    <w:rsid w:val="777E6EBA"/>
    <w:rsid w:val="778078D2"/>
    <w:rsid w:val="77897C99"/>
    <w:rsid w:val="77A91284"/>
    <w:rsid w:val="77B00E59"/>
    <w:rsid w:val="77B65D27"/>
    <w:rsid w:val="780A70A9"/>
    <w:rsid w:val="783F7086"/>
    <w:rsid w:val="784B36E5"/>
    <w:rsid w:val="78656DFF"/>
    <w:rsid w:val="794E2B92"/>
    <w:rsid w:val="79AF69CC"/>
    <w:rsid w:val="7A02165E"/>
    <w:rsid w:val="7A0E785C"/>
    <w:rsid w:val="7A470A4E"/>
    <w:rsid w:val="7A754FB2"/>
    <w:rsid w:val="7A7566C0"/>
    <w:rsid w:val="7A8B2A65"/>
    <w:rsid w:val="7A8C4815"/>
    <w:rsid w:val="7AE51156"/>
    <w:rsid w:val="7B4124A3"/>
    <w:rsid w:val="7B76123D"/>
    <w:rsid w:val="7B8175B2"/>
    <w:rsid w:val="7B845794"/>
    <w:rsid w:val="7BC4009E"/>
    <w:rsid w:val="7BD838D8"/>
    <w:rsid w:val="7C0873D6"/>
    <w:rsid w:val="7C1D5383"/>
    <w:rsid w:val="7C554A34"/>
    <w:rsid w:val="7C572E37"/>
    <w:rsid w:val="7C65E818"/>
    <w:rsid w:val="7C667731"/>
    <w:rsid w:val="7C7F474C"/>
    <w:rsid w:val="7CCE2C5B"/>
    <w:rsid w:val="7CDB73F8"/>
    <w:rsid w:val="7CF9109C"/>
    <w:rsid w:val="7D295F36"/>
    <w:rsid w:val="7D6D7921"/>
    <w:rsid w:val="7D8B01F9"/>
    <w:rsid w:val="7DA2416E"/>
    <w:rsid w:val="7DEC2F26"/>
    <w:rsid w:val="7E1C501B"/>
    <w:rsid w:val="7E3F63E3"/>
    <w:rsid w:val="7E61040F"/>
    <w:rsid w:val="7EA6237A"/>
    <w:rsid w:val="7ED40442"/>
    <w:rsid w:val="7FAD340D"/>
    <w:rsid w:val="7FEFDD57"/>
    <w:rsid w:val="976F5CC0"/>
    <w:rsid w:val="DFFFBCE8"/>
    <w:rsid w:val="FABFF4EF"/>
    <w:rsid w:val="FEFB6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0">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7">
    <w:name w:val="annotation text"/>
    <w:basedOn w:val="1"/>
    <w:semiHidden/>
    <w:unhideWhenUsed/>
    <w:qFormat/>
    <w:uiPriority w:val="99"/>
    <w:pPr>
      <w:jc w:val="left"/>
    </w:pPr>
  </w:style>
  <w:style w:type="paragraph" w:styleId="8">
    <w:name w:val="Body Text"/>
    <w:basedOn w:val="1"/>
    <w:semiHidden/>
    <w:qFormat/>
    <w:uiPriority w:val="0"/>
    <w:rPr>
      <w:rFonts w:ascii="宋体" w:hAnsi="宋体" w:eastAsia="宋体" w:cs="宋体"/>
      <w:sz w:val="21"/>
      <w:szCs w:val="21"/>
      <w:lang w:val="en-US" w:eastAsia="en-US" w:bidi="ar-SA"/>
    </w:rPr>
  </w:style>
  <w:style w:type="paragraph" w:styleId="9">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0">
    <w:name w:val="toc 3"/>
    <w:basedOn w:val="1"/>
    <w:next w:val="1"/>
    <w:unhideWhenUsed/>
    <w:qFormat/>
    <w:uiPriority w:val="39"/>
    <w:pPr>
      <w:ind w:left="840" w:leftChars="400"/>
    </w:pPr>
    <w:rPr>
      <w:rFonts w:asciiTheme="minorHAnsi" w:hAnsiTheme="minorHAnsi" w:eastAsiaTheme="minorEastAsia" w:cstheme="minorBidi"/>
      <w:szCs w:val="22"/>
    </w:rPr>
  </w:style>
  <w:style w:type="paragraph" w:styleId="11">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widowControl/>
      <w:tabs>
        <w:tab w:val="left" w:pos="420"/>
        <w:tab w:val="right" w:leader="dot" w:pos="8296"/>
      </w:tabs>
      <w:spacing w:after="100" w:line="259" w:lineRule="auto"/>
      <w:jc w:val="center"/>
    </w:pPr>
    <w:rPr>
      <w:rFonts w:ascii="黑体" w:hAnsi="黑体" w:eastAsia="黑体"/>
      <w:color w:val="000000" w:themeColor="text1"/>
      <w:kern w:val="0"/>
      <w:sz w:val="32"/>
      <w:szCs w:val="32"/>
      <w14:textFill>
        <w14:solidFill>
          <w14:schemeClr w14:val="tx1"/>
        </w14:solidFill>
      </w14:textFill>
    </w:rPr>
  </w:style>
  <w:style w:type="paragraph" w:styleId="15">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16">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17">
    <w:name w:val="toc 2"/>
    <w:basedOn w:val="1"/>
    <w:next w:val="1"/>
    <w:unhideWhenUsed/>
    <w:qFormat/>
    <w:uiPriority w:val="39"/>
    <w:pPr>
      <w:ind w:left="420" w:leftChars="200"/>
    </w:pPr>
    <w:rPr>
      <w:rFonts w:asciiTheme="minorHAnsi" w:hAnsiTheme="minorHAnsi" w:eastAsiaTheme="minorEastAsia" w:cstheme="minorBidi"/>
      <w:szCs w:val="22"/>
    </w:rPr>
  </w:style>
  <w:style w:type="paragraph" w:styleId="18">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1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Emphasis"/>
    <w:basedOn w:val="20"/>
    <w:qFormat/>
    <w:uiPriority w:val="20"/>
    <w:rPr>
      <w:i/>
    </w:rPr>
  </w:style>
  <w:style w:type="character" w:styleId="24">
    <w:name w:val="Hyperlink"/>
    <w:basedOn w:val="20"/>
    <w:unhideWhenUsed/>
    <w:qFormat/>
    <w:uiPriority w:val="99"/>
    <w:rPr>
      <w:color w:val="0563C1" w:themeColor="hyperlink"/>
      <w:u w:val="single"/>
      <w14:textFill>
        <w14:solidFill>
          <w14:schemeClr w14:val="hlink"/>
        </w14:solidFill>
      </w14:textFill>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
    <w:name w:val="标题 1 字符"/>
    <w:basedOn w:val="20"/>
    <w:link w:val="2"/>
    <w:qFormat/>
    <w:uiPriority w:val="9"/>
    <w:rPr>
      <w:rFonts w:ascii="Times New Roman" w:hAnsi="Times New Roman" w:eastAsia="宋体" w:cs="Times New Roman"/>
      <w:b/>
      <w:bCs/>
      <w:kern w:val="44"/>
      <w:sz w:val="44"/>
      <w:szCs w:val="44"/>
    </w:rPr>
  </w:style>
  <w:style w:type="character" w:customStyle="1" w:styleId="28">
    <w:name w:val="页眉 字符"/>
    <w:basedOn w:val="20"/>
    <w:link w:val="13"/>
    <w:qFormat/>
    <w:uiPriority w:val="99"/>
    <w:rPr>
      <w:sz w:val="18"/>
      <w:szCs w:val="18"/>
    </w:rPr>
  </w:style>
  <w:style w:type="character" w:customStyle="1" w:styleId="29">
    <w:name w:val="页脚 字符"/>
    <w:basedOn w:val="20"/>
    <w:link w:val="12"/>
    <w:qFormat/>
    <w:uiPriority w:val="99"/>
    <w:rPr>
      <w:sz w:val="18"/>
      <w:szCs w:val="18"/>
    </w:rPr>
  </w:style>
  <w:style w:type="paragraph" w:customStyle="1" w:styleId="30">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styleId="31">
    <w:name w:val="List Paragraph"/>
    <w:basedOn w:val="1"/>
    <w:qFormat/>
    <w:uiPriority w:val="34"/>
    <w:pPr>
      <w:ind w:firstLine="420" w:firstLineChars="200"/>
    </w:pPr>
  </w:style>
  <w:style w:type="paragraph" w:customStyle="1" w:styleId="32">
    <w:name w:val="Default"/>
    <w:qFormat/>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 w:type="character" w:customStyle="1" w:styleId="33">
    <w:name w:val="Unresolved Mention"/>
    <w:basedOn w:val="20"/>
    <w:semiHidden/>
    <w:unhideWhenUsed/>
    <w:qFormat/>
    <w:uiPriority w:val="99"/>
    <w:rPr>
      <w:color w:val="605E5C"/>
      <w:shd w:val="clear" w:color="auto" w:fill="E1DFDD"/>
    </w:rPr>
  </w:style>
  <w:style w:type="paragraph" w:customStyle="1" w:styleId="34">
    <w:name w:val="附录标识"/>
    <w:basedOn w:val="1"/>
    <w:next w:val="35"/>
    <w:qFormat/>
    <w:uiPriority w:val="0"/>
    <w:pPr>
      <w:keepNext/>
      <w:widowControl/>
      <w:numPr>
        <w:ilvl w:val="0"/>
        <w:numId w:val="1"/>
      </w:numPr>
      <w:shd w:val="clear" w:color="FFFFFF" w:fill="FFFFFF"/>
      <w:spacing w:before="640" w:after="280"/>
      <w:jc w:val="center"/>
      <w:outlineLvl w:val="0"/>
    </w:pPr>
    <w:rPr>
      <w:rFonts w:ascii="黑体" w:eastAsia="黑体"/>
      <w:kern w:val="0"/>
      <w:szCs w:val="20"/>
    </w:rPr>
  </w:style>
  <w:style w:type="paragraph" w:customStyle="1" w:styleId="35">
    <w:name w:val="段"/>
    <w:qFormat/>
    <w:uiPriority w:val="99"/>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6">
    <w:name w:val="Table Text"/>
    <w:basedOn w:val="1"/>
    <w:semiHidden/>
    <w:qFormat/>
    <w:uiPriority w:val="0"/>
    <w:rPr>
      <w:rFonts w:ascii="宋体" w:hAnsi="宋体" w:eastAsia="宋体" w:cs="宋体"/>
      <w:sz w:val="18"/>
      <w:szCs w:val="18"/>
      <w:lang w:val="en-US" w:eastAsia="en-US" w:bidi="ar-SA"/>
    </w:rPr>
  </w:style>
  <w:style w:type="table" w:customStyle="1" w:styleId="37">
    <w:name w:val="Table Normal"/>
    <w:semiHidden/>
    <w:unhideWhenUsed/>
    <w:qFormat/>
    <w:uiPriority w:val="0"/>
    <w:tblPr>
      <w:tblLayout w:type="fixed"/>
      <w:tblCellMar>
        <w:top w:w="0" w:type="dxa"/>
        <w:left w:w="0" w:type="dxa"/>
        <w:bottom w:w="0" w:type="dxa"/>
        <w:right w:w="0" w:type="dxa"/>
      </w:tblCellMar>
    </w:tblPr>
  </w:style>
  <w:style w:type="paragraph" w:customStyle="1" w:styleId="38">
    <w:name w:val="前言、引言标题"/>
    <w:next w:val="3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终结线"/>
    <w:basedOn w:val="1"/>
    <w:qFormat/>
    <w:uiPriority w:val="0"/>
    <w:pPr>
      <w:framePr w:hSpace="181" w:vSpace="181" w:wrap="around" w:vAnchor="text" w:hAnchor="margin" w:xAlign="center" w:y="285"/>
    </w:pPr>
  </w:style>
  <w:style w:type="paragraph" w:customStyle="1" w:styleId="43">
    <w:name w:val="一级条标题"/>
    <w:next w:val="35"/>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5.bin"/><Relationship Id="rId17" Type="http://schemas.openxmlformats.org/officeDocument/2006/relationships/image" Target="media/image5.wmf"/><Relationship Id="rId16" Type="http://schemas.openxmlformats.org/officeDocument/2006/relationships/oleObject" Target="embeddings/oleObject4.bin"/><Relationship Id="rId15" Type="http://schemas.openxmlformats.org/officeDocument/2006/relationships/image" Target="media/image4.wmf"/><Relationship Id="rId14" Type="http://schemas.openxmlformats.org/officeDocument/2006/relationships/oleObject" Target="embeddings/oleObject3.bin"/><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9220</Words>
  <Characters>11049</Characters>
  <Lines>61</Lines>
  <Paragraphs>17</Paragraphs>
  <TotalTime>380</TotalTime>
  <ScaleCrop>false</ScaleCrop>
  <LinksUpToDate>false</LinksUpToDate>
  <CharactersWithSpaces>11489</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2022-02-20T22:04:00Z</dcterms:created>
  <dc:creator>安 宁</dc:creator>
  <cp:lastModifiedBy>青莲剑歌</cp:lastModifiedBy>
  <cp:lastPrinted>2024-10-29T07:12:00Z</cp:lastPrinted>
  <dcterms:modified xsi:type="dcterms:W3CDTF">2024-12-25T08:17:00Z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ICV">
    <vt:lpwstr>A31CDFEBD81D4CBAA26C6D6FE74E46BE_13</vt:lpwstr>
  </property>
</Properties>
</file>