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2CF1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1A499E5">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12B0C700">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03.120.20</w:t>
            </w:r>
            <w:r>
              <w:rPr>
                <w:rFonts w:ascii="黑体" w:hAnsi="黑体" w:eastAsia="黑体"/>
                <w:sz w:val="21"/>
                <w:szCs w:val="21"/>
              </w:rPr>
              <w:fldChar w:fldCharType="end"/>
            </w:r>
            <w:bookmarkEnd w:id="0"/>
          </w:p>
        </w:tc>
      </w:tr>
      <w:tr w14:paraId="2D528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DEDB2F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22F85E9E">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A00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414814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29CCA94">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61</w:t>
            </w:r>
            <w:r>
              <w:fldChar w:fldCharType="end"/>
            </w:r>
            <w:bookmarkEnd w:id="3"/>
          </w:p>
        </w:tc>
      </w:tr>
    </w:tbl>
    <w:p w14:paraId="01B0881E">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C629C05">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61</w:t>
      </w:r>
      <w:r>
        <w:rPr>
          <w:lang w:val="fr-FR"/>
        </w:rPr>
        <w:t xml:space="preserve">/T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1327.</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E0863B5">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2E5D2EC">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05D97C1C">
      <w:pPr>
        <w:pStyle w:val="50"/>
        <w:framePr w:w="9639" w:h="6976" w:hRule="exact" w:hSpace="0" w:vSpace="0" w:wrap="around" w:hAnchor="page" w:y="6408"/>
        <w:jc w:val="center"/>
        <w:rPr>
          <w:rFonts w:ascii="黑体" w:hAnsi="黑体" w:eastAsia="黑体"/>
          <w:b w:val="0"/>
          <w:bCs w:val="0"/>
          <w:w w:val="100"/>
        </w:rPr>
      </w:pPr>
    </w:p>
    <w:p w14:paraId="2A021115">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检验检测</w:t>
      </w:r>
      <w:r>
        <w:rPr>
          <w:rFonts w:hint="eastAsia"/>
        </w:rPr>
        <w:t>机构</w:t>
      </w:r>
      <w:r>
        <w:t>资质认定</w:t>
      </w:r>
    </w:p>
    <w:p w14:paraId="1BDD9E47">
      <w:pPr>
        <w:pStyle w:val="197"/>
        <w:framePr w:h="6974" w:hRule="exact" w:wrap="around" w:x="1419" w:anchorLock="1"/>
      </w:pPr>
      <w:r>
        <w:t>化学试剂管理要求</w:t>
      </w:r>
      <w:r>
        <w:fldChar w:fldCharType="end"/>
      </w:r>
      <w:bookmarkEnd w:id="9"/>
    </w:p>
    <w:p w14:paraId="200DBCAC">
      <w:pPr>
        <w:framePr w:w="9639" w:h="6974" w:hRule="exact" w:wrap="around" w:vAnchor="page" w:hAnchor="page" w:x="1419" w:y="6408" w:anchorLock="1"/>
        <w:ind w:left="-1418"/>
      </w:pPr>
    </w:p>
    <w:p w14:paraId="3B97C01B">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Mandatory approval for inspection body and laboratory</w:t>
      </w:r>
    </w:p>
    <w:p w14:paraId="4A0BD2C6">
      <w:pPr>
        <w:pStyle w:val="125"/>
        <w:framePr w:w="9639" w:h="6974" w:hRule="exact" w:wrap="around" w:vAnchor="page" w:hAnchor="page" w:x="1419" w:y="6408" w:anchorLock="1"/>
        <w:textAlignment w:val="bottom"/>
        <w:rPr>
          <w:rFonts w:eastAsia="黑体"/>
          <w:szCs w:val="28"/>
        </w:rPr>
      </w:pPr>
      <w:r>
        <w:rPr>
          <w:rFonts w:eastAsia="黑体"/>
          <w:szCs w:val="28"/>
        </w:rPr>
        <w:t xml:space="preserve">Requirements for chemical </w:t>
      </w:r>
      <w:r>
        <w:rPr>
          <w:rFonts w:hint="eastAsia" w:eastAsia="黑体"/>
          <w:szCs w:val="28"/>
        </w:rPr>
        <w:t>a</w:t>
      </w:r>
      <w:r>
        <w:rPr>
          <w:rFonts w:eastAsia="黑体"/>
          <w:szCs w:val="28"/>
        </w:rPr>
        <w:t>gent manage</w:t>
      </w:r>
      <w:r>
        <w:rPr>
          <w:rFonts w:eastAsia="黑体"/>
          <w:szCs w:val="28"/>
        </w:rPr>
        <w:fldChar w:fldCharType="end"/>
      </w:r>
      <w:bookmarkEnd w:id="10"/>
    </w:p>
    <w:p w14:paraId="42A1C9ED">
      <w:pPr>
        <w:framePr w:w="9639" w:h="6974" w:hRule="exact" w:wrap="around" w:vAnchor="page" w:hAnchor="page" w:x="1419" w:y="6408" w:anchorLock="1"/>
        <w:spacing w:line="760" w:lineRule="exact"/>
        <w:ind w:left="-1418"/>
      </w:pPr>
    </w:p>
    <w:p w14:paraId="53CC5453">
      <w:pPr>
        <w:pStyle w:val="125"/>
        <w:framePr w:w="9639" w:h="6974" w:hRule="exact" w:wrap="around" w:vAnchor="page" w:hAnchor="page" w:x="1419" w:y="6408" w:anchorLock="1"/>
        <w:textAlignment w:val="bottom"/>
        <w:rPr>
          <w:rFonts w:eastAsia="黑体"/>
          <w:szCs w:val="28"/>
        </w:rPr>
      </w:pPr>
    </w:p>
    <w:p w14:paraId="60CBDC14">
      <w:pPr>
        <w:pStyle w:val="125"/>
        <w:framePr w:w="9639" w:h="6974" w:hRule="exact" w:wrap="around" w:vAnchor="page" w:hAnchor="page" w:x="1419" w:y="6408" w:anchorLock="1"/>
        <w:spacing w:before="440" w:after="160"/>
        <w:textAlignment w:val="bottom"/>
        <w:rPr>
          <w:rFonts w:hint="default" w:eastAsia="宋体"/>
          <w:sz w:val="24"/>
          <w:szCs w:val="28"/>
          <w:lang w:val="en-US" w:eastAsia="zh-CN"/>
        </w:rPr>
      </w:pPr>
      <w:r>
        <w:rPr>
          <w:rFonts w:hint="eastAsia"/>
          <w:sz w:val="24"/>
          <w:szCs w:val="28"/>
          <w:lang w:val="en-US" w:eastAsia="zh-CN"/>
        </w:rPr>
        <w:t>征求意见稿</w:t>
      </w:r>
      <w:bookmarkStart w:id="76" w:name="_GoBack"/>
      <w:bookmarkEnd w:id="76"/>
    </w:p>
    <w:p w14:paraId="07C6C2A3">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6F2592B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0F7B97AF">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1376D670">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510D5390">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w:t>
      </w:r>
      <w:r>
        <w:rPr>
          <w:rFonts w:hAnsi="黑体"/>
          <w:w w:val="100"/>
          <w:sz w:val="28"/>
        </w:rPr>
        <w:t>市场</w:t>
      </w:r>
      <w:r>
        <w:rPr>
          <w:rFonts w:hint="eastAsia" w:hAnsi="黑体"/>
          <w:w w:val="100"/>
          <w:sz w:val="28"/>
        </w:rPr>
        <w:t>监督</w:t>
      </w:r>
      <w:r>
        <w:rPr>
          <w:rFonts w:hAnsi="黑体"/>
          <w:w w:val="100"/>
          <w:sz w:val="28"/>
        </w:rPr>
        <w:t>管理</w:t>
      </w:r>
      <w:r>
        <w:rPr>
          <w:rFonts w:hint="eastAsia" w:hAnsi="黑体"/>
          <w:w w:val="100"/>
          <w:sz w:val="28"/>
        </w:rPr>
        <w:t>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74BA318">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61F434EE">
      <w:pPr>
        <w:pStyle w:val="91"/>
        <w:spacing w:after="468"/>
      </w:pPr>
      <w:bookmarkStart w:id="20" w:name="BookMark1"/>
      <w:bookmarkStart w:id="21" w:name="_Toc144307048"/>
      <w:bookmarkStart w:id="22" w:name="_Toc89267752"/>
      <w:r>
        <w:rPr>
          <w:rFonts w:hint="eastAsia"/>
          <w:spacing w:val="320"/>
        </w:rPr>
        <w:t>目</w:t>
      </w:r>
      <w:r>
        <w:rPr>
          <w:rFonts w:hint="eastAsia"/>
        </w:rPr>
        <w:t>次</w:t>
      </w:r>
    </w:p>
    <w:p w14:paraId="2971E832">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"_Toc184040983" </w:instrText>
      </w:r>
      <w:r>
        <w:fldChar w:fldCharType="separate"/>
      </w:r>
      <w:r>
        <w:rPr>
          <w:rStyle w:val="32"/>
        </w:rPr>
        <w:t>前言</w:t>
      </w:r>
      <w:r>
        <w:tab/>
      </w:r>
      <w:r>
        <w:fldChar w:fldCharType="begin"/>
      </w:r>
      <w:r>
        <w:instrText xml:space="preserve"> PAGEREF _Toc184040983 \h </w:instrText>
      </w:r>
      <w:r>
        <w:fldChar w:fldCharType="separate"/>
      </w:r>
      <w:r>
        <w:t>2</w:t>
      </w:r>
      <w:r>
        <w:fldChar w:fldCharType="end"/>
      </w:r>
      <w:r>
        <w:fldChar w:fldCharType="end"/>
      </w:r>
    </w:p>
    <w:p w14:paraId="11E58A47">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"_Toc184040984" </w:instrText>
      </w:r>
      <w:r>
        <w:fldChar w:fldCharType="separate"/>
      </w:r>
      <w:r>
        <w:rPr>
          <w:rStyle w:val="32"/>
        </w:rPr>
        <w:t>1  范围</w:t>
      </w:r>
      <w:r>
        <w:tab/>
      </w:r>
      <w:r>
        <w:fldChar w:fldCharType="begin"/>
      </w:r>
      <w:r>
        <w:instrText xml:space="preserve"> PAGEREF _Toc184040984 \h </w:instrText>
      </w:r>
      <w:r>
        <w:fldChar w:fldCharType="separate"/>
      </w:r>
      <w:r>
        <w:t>3</w:t>
      </w:r>
      <w:r>
        <w:fldChar w:fldCharType="end"/>
      </w:r>
      <w:r>
        <w:fldChar w:fldCharType="end"/>
      </w:r>
    </w:p>
    <w:p w14:paraId="2DF67D8B">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"_Toc184040985" </w:instrText>
      </w:r>
      <w:r>
        <w:fldChar w:fldCharType="separate"/>
      </w:r>
      <w:r>
        <w:rPr>
          <w:rStyle w:val="32"/>
        </w:rPr>
        <w:t>2  规范性引用文件</w:t>
      </w:r>
      <w:r>
        <w:tab/>
      </w:r>
      <w:r>
        <w:fldChar w:fldCharType="begin"/>
      </w:r>
      <w:r>
        <w:instrText xml:space="preserve"> PAGEREF _Toc184040985 \h </w:instrText>
      </w:r>
      <w:r>
        <w:fldChar w:fldCharType="separate"/>
      </w:r>
      <w:r>
        <w:t>3</w:t>
      </w:r>
      <w:r>
        <w:fldChar w:fldCharType="end"/>
      </w:r>
      <w:r>
        <w:fldChar w:fldCharType="end"/>
      </w:r>
    </w:p>
    <w:p w14:paraId="643AF65D">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"_Toc184040986" </w:instrText>
      </w:r>
      <w:r>
        <w:fldChar w:fldCharType="separate"/>
      </w:r>
      <w:r>
        <w:rPr>
          <w:rStyle w:val="32"/>
        </w:rPr>
        <w:t>3  术语和定义</w:t>
      </w:r>
      <w:r>
        <w:tab/>
      </w:r>
      <w:r>
        <w:fldChar w:fldCharType="begin"/>
      </w:r>
      <w:r>
        <w:instrText xml:space="preserve"> PAGEREF _Toc184040986 \h </w:instrText>
      </w:r>
      <w:r>
        <w:fldChar w:fldCharType="separate"/>
      </w:r>
      <w:r>
        <w:t>3</w:t>
      </w:r>
      <w:r>
        <w:fldChar w:fldCharType="end"/>
      </w:r>
      <w:r>
        <w:fldChar w:fldCharType="end"/>
      </w:r>
    </w:p>
    <w:p w14:paraId="450A48D1">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"_Toc184040987" </w:instrText>
      </w:r>
      <w:r>
        <w:fldChar w:fldCharType="separate"/>
      </w:r>
      <w:r>
        <w:rPr>
          <w:rStyle w:val="32"/>
        </w:rPr>
        <w:t>4  管理制度</w:t>
      </w:r>
      <w:r>
        <w:tab/>
      </w:r>
      <w:r>
        <w:fldChar w:fldCharType="begin"/>
      </w:r>
      <w:r>
        <w:instrText xml:space="preserve"> PAGEREF _Toc184040987 \h </w:instrText>
      </w:r>
      <w:r>
        <w:fldChar w:fldCharType="separate"/>
      </w:r>
      <w:r>
        <w:t>4</w:t>
      </w:r>
      <w:r>
        <w:fldChar w:fldCharType="end"/>
      </w:r>
      <w:r>
        <w:fldChar w:fldCharType="end"/>
      </w:r>
    </w:p>
    <w:p w14:paraId="36985D82">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"_Toc184040988" </w:instrText>
      </w:r>
      <w:r>
        <w:fldChar w:fldCharType="separate"/>
      </w:r>
      <w:r>
        <w:rPr>
          <w:rStyle w:val="32"/>
        </w:rPr>
        <w:t>5  人员要求</w:t>
      </w:r>
      <w:r>
        <w:tab/>
      </w:r>
      <w:r>
        <w:fldChar w:fldCharType="begin"/>
      </w:r>
      <w:r>
        <w:instrText xml:space="preserve"> PAGEREF _Toc184040988 \h </w:instrText>
      </w:r>
      <w:r>
        <w:fldChar w:fldCharType="separate"/>
      </w:r>
      <w:r>
        <w:t>4</w:t>
      </w:r>
      <w:r>
        <w:fldChar w:fldCharType="end"/>
      </w:r>
      <w:r>
        <w:fldChar w:fldCharType="end"/>
      </w:r>
    </w:p>
    <w:p w14:paraId="0E480711">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"_Toc184040989" </w:instrText>
      </w:r>
      <w:r>
        <w:fldChar w:fldCharType="separate"/>
      </w:r>
      <w:r>
        <w:rPr>
          <w:rStyle w:val="32"/>
        </w:rPr>
        <w:t>6  场所环境</w:t>
      </w:r>
      <w:r>
        <w:tab/>
      </w:r>
      <w:r>
        <w:fldChar w:fldCharType="begin"/>
      </w:r>
      <w:r>
        <w:instrText xml:space="preserve"> PAGEREF _Toc184040989 \h </w:instrText>
      </w:r>
      <w:r>
        <w:fldChar w:fldCharType="separate"/>
      </w:r>
      <w:r>
        <w:t>4</w:t>
      </w:r>
      <w:r>
        <w:fldChar w:fldCharType="end"/>
      </w:r>
      <w:r>
        <w:fldChar w:fldCharType="end"/>
      </w:r>
    </w:p>
    <w:p w14:paraId="7C43CB8C">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"_Toc184040990" </w:instrText>
      </w:r>
      <w:r>
        <w:fldChar w:fldCharType="separate"/>
      </w:r>
      <w:r>
        <w:rPr>
          <w:rStyle w:val="32"/>
        </w:rPr>
        <w:t>7  安全设施</w:t>
      </w:r>
      <w:r>
        <w:tab/>
      </w:r>
      <w:r>
        <w:fldChar w:fldCharType="begin"/>
      </w:r>
      <w:r>
        <w:instrText xml:space="preserve"> PAGEREF _Toc184040990 \h </w:instrText>
      </w:r>
      <w:r>
        <w:fldChar w:fldCharType="separate"/>
      </w:r>
      <w:r>
        <w:t>5</w:t>
      </w:r>
      <w:r>
        <w:fldChar w:fldCharType="end"/>
      </w:r>
      <w:r>
        <w:fldChar w:fldCharType="end"/>
      </w:r>
    </w:p>
    <w:p w14:paraId="4FE4B8CA">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"_Toc184040991" </w:instrText>
      </w:r>
      <w:r>
        <w:fldChar w:fldCharType="separate"/>
      </w:r>
      <w:r>
        <w:rPr>
          <w:rStyle w:val="32"/>
        </w:rPr>
        <w:t>8  入库管理</w:t>
      </w:r>
      <w:r>
        <w:tab/>
      </w:r>
      <w:r>
        <w:fldChar w:fldCharType="begin"/>
      </w:r>
      <w:r>
        <w:instrText xml:space="preserve"> PAGEREF _Toc184040991 \h </w:instrText>
      </w:r>
      <w:r>
        <w:fldChar w:fldCharType="separate"/>
      </w:r>
      <w:r>
        <w:t>5</w:t>
      </w:r>
      <w:r>
        <w:fldChar w:fldCharType="end"/>
      </w:r>
      <w:r>
        <w:fldChar w:fldCharType="end"/>
      </w:r>
    </w:p>
    <w:p w14:paraId="1491EBD6">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"_Toc184040992" </w:instrText>
      </w:r>
      <w:r>
        <w:fldChar w:fldCharType="separate"/>
      </w:r>
      <w:r>
        <w:rPr>
          <w:rStyle w:val="32"/>
        </w:rPr>
        <w:t>9  日常管理</w:t>
      </w:r>
      <w:r>
        <w:tab/>
      </w:r>
      <w:r>
        <w:fldChar w:fldCharType="begin"/>
      </w:r>
      <w:r>
        <w:instrText xml:space="preserve"> PAGEREF _Toc184040992 \h </w:instrText>
      </w:r>
      <w:r>
        <w:fldChar w:fldCharType="separate"/>
      </w:r>
      <w:r>
        <w:t>6</w:t>
      </w:r>
      <w:r>
        <w:fldChar w:fldCharType="end"/>
      </w:r>
      <w:r>
        <w:fldChar w:fldCharType="end"/>
      </w:r>
    </w:p>
    <w:p w14:paraId="3D112B09">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"_Toc184040993" </w:instrText>
      </w:r>
      <w:r>
        <w:fldChar w:fldCharType="separate"/>
      </w:r>
      <w:r>
        <w:rPr>
          <w:rStyle w:val="32"/>
        </w:rPr>
        <w:t>10  废弃处置</w:t>
      </w:r>
      <w:r>
        <w:tab/>
      </w:r>
      <w:r>
        <w:fldChar w:fldCharType="begin"/>
      </w:r>
      <w:r>
        <w:instrText xml:space="preserve"> PAGEREF _Toc184040993 \h </w:instrText>
      </w:r>
      <w:r>
        <w:fldChar w:fldCharType="separate"/>
      </w:r>
      <w:r>
        <w:t>6</w:t>
      </w:r>
      <w:r>
        <w:fldChar w:fldCharType="end"/>
      </w:r>
      <w:r>
        <w:fldChar w:fldCharType="end"/>
      </w:r>
    </w:p>
    <w:p w14:paraId="56ACDE3F">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"_Toc184040994" </w:instrText>
      </w:r>
      <w:r>
        <w:fldChar w:fldCharType="separate"/>
      </w:r>
      <w:r>
        <w:rPr>
          <w:rStyle w:val="32"/>
        </w:rPr>
        <w:t>11  监督检查</w:t>
      </w:r>
      <w:r>
        <w:tab/>
      </w:r>
      <w:r>
        <w:fldChar w:fldCharType="begin"/>
      </w:r>
      <w:r>
        <w:instrText xml:space="preserve"> PAGEREF _Toc184040994 \h </w:instrText>
      </w:r>
      <w:r>
        <w:fldChar w:fldCharType="separate"/>
      </w:r>
      <w:r>
        <w:t>6</w:t>
      </w:r>
      <w:r>
        <w:fldChar w:fldCharType="end"/>
      </w:r>
      <w:r>
        <w:fldChar w:fldCharType="end"/>
      </w:r>
    </w:p>
    <w:p w14:paraId="40D6F8E5">
      <w:pPr>
        <w:pStyle w:val="19"/>
        <w:tabs>
          <w:tab w:val="right" w:leader="dot" w:pos="9344"/>
        </w:tabs>
        <w:rPr>
          <w:rFonts w:asciiTheme="minorHAnsi" w:hAnsiTheme="minorHAnsi" w:eastAsiaTheme="minorEastAsia" w:cstheme="minorBidi"/>
          <w:szCs w:val="22"/>
        </w:rPr>
      </w:pPr>
      <w:r>
        <w:fldChar w:fldCharType="begin"/>
      </w:r>
      <w:r>
        <w:instrText xml:space="preserve"> HYPERLINK \l "_Toc184040995" </w:instrText>
      </w:r>
      <w:r>
        <w:fldChar w:fldCharType="separate"/>
      </w:r>
      <w:r>
        <w:rPr>
          <w:rStyle w:val="32"/>
        </w:rPr>
        <w:t>参考文献</w:t>
      </w:r>
      <w:r>
        <w:tab/>
      </w:r>
      <w:r>
        <w:fldChar w:fldCharType="begin"/>
      </w:r>
      <w:r>
        <w:instrText xml:space="preserve"> PAGEREF _Toc184040995 \h </w:instrText>
      </w:r>
      <w:r>
        <w:fldChar w:fldCharType="separate"/>
      </w:r>
      <w:r>
        <w:t>8</w:t>
      </w:r>
      <w:r>
        <w:fldChar w:fldCharType="end"/>
      </w:r>
      <w:r>
        <w:fldChar w:fldCharType="end"/>
      </w:r>
    </w:p>
    <w:p w14:paraId="20F334E0">
      <w:pPr>
        <w:pStyle w:val="91"/>
        <w:spacing w:after="468"/>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0"/>
    <w:p w14:paraId="7BBC72C8">
      <w:pPr>
        <w:pStyle w:val="89"/>
        <w:spacing w:after="468"/>
      </w:pPr>
      <w:bookmarkStart w:id="23" w:name="_Toc184040983"/>
      <w:bookmarkStart w:id="24" w:name="BookMark4"/>
      <w:r>
        <w:rPr>
          <w:spacing w:val="320"/>
        </w:rPr>
        <w:t>前</w:t>
      </w:r>
      <w:r>
        <w:t>言</w:t>
      </w:r>
      <w:bookmarkEnd w:id="21"/>
      <w:bookmarkEnd w:id="22"/>
      <w:bookmarkEnd w:id="23"/>
    </w:p>
    <w:p w14:paraId="078C6329">
      <w:pPr>
        <w:pStyle w:val="56"/>
        <w:ind w:firstLine="420"/>
      </w:pPr>
      <w:r>
        <w:rPr>
          <w:rFonts w:hint="eastAsia"/>
        </w:rPr>
        <w:t>本文件按照GB/T 1.1—2020《标准化工作导则  第1部分：标准化文件的结构和起草规则》、</w:t>
      </w:r>
      <w:bookmarkStart w:id="25" w:name="_Hlk185860749"/>
      <w:r>
        <w:rPr>
          <w:rFonts w:hint="eastAsia"/>
        </w:rPr>
        <w:t>G</w:t>
      </w:r>
      <w:r>
        <w:t>B/T20001.5-2017</w:t>
      </w:r>
      <w:r>
        <w:rPr>
          <w:rFonts w:hint="eastAsia"/>
        </w:rPr>
        <w:t>《标准编写规则 第5部分：规范标准》</w:t>
      </w:r>
      <w:bookmarkEnd w:id="25"/>
      <w:r>
        <w:rPr>
          <w:rFonts w:hint="eastAsia"/>
        </w:rPr>
        <w:t>的规定起草。</w:t>
      </w:r>
    </w:p>
    <w:p w14:paraId="355E9C6C">
      <w:pPr>
        <w:numPr>
          <w:ilvl w:val="0"/>
          <w:numId w:val="32"/>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请注意本文件的某些内容可能涉及专利。本文件的发布机构不承担识别专利的责任。</w:t>
      </w:r>
    </w:p>
    <w:p w14:paraId="2FC4E327">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本</w:t>
      </w:r>
      <w:r>
        <w:rPr>
          <w:rFonts w:hint="eastAsia" w:ascii="宋体" w:hAnsi="Times New Roman" w:cs="宋体"/>
          <w:spacing w:val="-8"/>
          <w:kern w:val="0"/>
        </w:rPr>
        <w:t>文件</w:t>
      </w:r>
      <w:r>
        <w:rPr>
          <w:rFonts w:ascii="宋体" w:hAnsi="Times New Roman" w:cs="宋体"/>
          <w:spacing w:val="-8"/>
          <w:kern w:val="0"/>
        </w:rPr>
        <w:t>为DB61/T 1327的第</w:t>
      </w:r>
      <w:r>
        <w:rPr>
          <w:rFonts w:hint="eastAsia" w:ascii="宋体" w:hAnsi="Times New Roman" w:cs="宋体"/>
          <w:spacing w:val="-8"/>
          <w:kern w:val="0"/>
        </w:rPr>
        <w:t xml:space="preserve"> </w:t>
      </w:r>
      <w:r>
        <w:rPr>
          <w:rFonts w:ascii="宋体" w:hAnsi="Times New Roman" w:cs="宋体"/>
          <w:spacing w:val="-8"/>
          <w:kern w:val="0"/>
        </w:rPr>
        <w:t xml:space="preserve"> 部分</w:t>
      </w:r>
      <w:r>
        <w:rPr>
          <w:rFonts w:hint="eastAsia" w:ascii="宋体" w:hAnsi="Times New Roman" w:cs="宋体"/>
          <w:spacing w:val="-8"/>
          <w:kern w:val="0"/>
        </w:rPr>
        <w:t>，</w:t>
      </w:r>
      <w:r>
        <w:rPr>
          <w:rFonts w:ascii="宋体" w:hAnsi="Times New Roman" w:cs="宋体"/>
          <w:spacing w:val="-8"/>
          <w:kern w:val="0"/>
        </w:rPr>
        <w:t>DB61/T 1327</w:t>
      </w:r>
      <w:r>
        <w:rPr>
          <w:rFonts w:hint="eastAsia" w:ascii="宋体" w:hAnsi="Times New Roman" w:cs="宋体"/>
          <w:spacing w:val="-8"/>
          <w:kern w:val="0"/>
        </w:rPr>
        <w:t>已发布了</w:t>
      </w:r>
      <w:r>
        <w:rPr>
          <w:rFonts w:ascii="宋体" w:hAnsi="Times New Roman" w:cs="宋体"/>
          <w:spacing w:val="-8"/>
          <w:kern w:val="0"/>
        </w:rPr>
        <w:t>以下部分：</w:t>
      </w:r>
    </w:p>
    <w:p w14:paraId="2F4B1F0B">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—第1部分：评审指南；</w:t>
      </w:r>
    </w:p>
    <w:p w14:paraId="6FF2B499">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—第2部分：现场试验考核技术要求；</w:t>
      </w:r>
    </w:p>
    <w:p w14:paraId="4D0735FC">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—第3部分：设备检定和校准结果确认要求；</w:t>
      </w:r>
    </w:p>
    <w:p w14:paraId="28AEEDAC">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—第4部分：设备期间核査要求；</w:t>
      </w:r>
    </w:p>
    <w:p w14:paraId="59E0B341">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—第5部分：检验检测报告编制规范；</w:t>
      </w:r>
    </w:p>
    <w:p w14:paraId="1C49A14D">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—第6部分：评审员管理要求</w:t>
      </w:r>
      <w:r>
        <w:rPr>
          <w:rFonts w:hint="eastAsia" w:ascii="宋体" w:hAnsi="Times New Roman" w:cs="宋体"/>
          <w:spacing w:val="-8"/>
          <w:kern w:val="0"/>
        </w:rPr>
        <w:t>；</w:t>
      </w:r>
    </w:p>
    <w:p w14:paraId="4FBDD4E6">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w:t>
      </w:r>
      <w:r>
        <w:rPr>
          <w:rFonts w:hint="eastAsia" w:ascii="宋体" w:hAnsi="Times New Roman" w:cs="宋体"/>
          <w:spacing w:val="-8"/>
          <w:kern w:val="0"/>
        </w:rPr>
        <w:t>第7部分：内部审核要求；</w:t>
      </w:r>
    </w:p>
    <w:p w14:paraId="409D51CC">
      <w:pPr>
        <w:numPr>
          <w:ilvl w:val="0"/>
          <w:numId w:val="32"/>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—第8部分：</w:t>
      </w:r>
      <w:r>
        <w:rPr>
          <w:rFonts w:hint="eastAsia" w:hAnsi="宋体" w:cs="宋体"/>
          <w:color w:val="000000"/>
        </w:rPr>
        <w:t>检验检测机构从业人员行为要求</w:t>
      </w:r>
      <w:r>
        <w:rPr>
          <w:rFonts w:hint="eastAsia" w:ascii="宋体" w:hAnsi="Times New Roman" w:cs="宋体"/>
          <w:spacing w:val="-8"/>
          <w:kern w:val="0"/>
        </w:rPr>
        <w:t>；</w:t>
      </w:r>
    </w:p>
    <w:p w14:paraId="6E57DB92">
      <w:pPr>
        <w:numPr>
          <w:ilvl w:val="0"/>
          <w:numId w:val="32"/>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—第9部分：</w:t>
      </w:r>
      <w:r>
        <w:rPr>
          <w:rFonts w:hint="eastAsia" w:hAnsi="宋体" w:cs="宋体"/>
          <w:color w:val="000000"/>
        </w:rPr>
        <w:t>设备验证要求</w:t>
      </w:r>
      <w:r>
        <w:rPr>
          <w:rFonts w:hint="eastAsia" w:ascii="宋体" w:hAnsi="Times New Roman" w:cs="宋体"/>
          <w:spacing w:val="-8"/>
          <w:kern w:val="0"/>
        </w:rPr>
        <w:t>。</w:t>
      </w:r>
    </w:p>
    <w:p w14:paraId="471D2750">
      <w:pPr>
        <w:numPr>
          <w:ilvl w:val="0"/>
          <w:numId w:val="32"/>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本</w:t>
      </w:r>
      <w:r>
        <w:rPr>
          <w:rFonts w:hint="eastAsia" w:ascii="宋体" w:hAnsi="Times New Roman" w:cs="宋体"/>
          <w:spacing w:val="-8"/>
          <w:kern w:val="0"/>
        </w:rPr>
        <w:t>文件</w:t>
      </w:r>
      <w:r>
        <w:rPr>
          <w:rFonts w:ascii="宋体" w:hAnsi="Times New Roman" w:cs="宋体"/>
          <w:spacing w:val="-8"/>
          <w:kern w:val="0"/>
        </w:rPr>
        <w:t>由</w:t>
      </w:r>
      <w:r>
        <w:rPr>
          <w:rFonts w:hint="eastAsia" w:ascii="宋体" w:hAnsi="Times New Roman" w:cs="宋体"/>
          <w:spacing w:val="-8"/>
          <w:kern w:val="0"/>
        </w:rPr>
        <w:t>陕西</w:t>
      </w:r>
      <w:r>
        <w:rPr>
          <w:rFonts w:ascii="宋体" w:hAnsi="Times New Roman" w:cs="宋体"/>
          <w:spacing w:val="-8"/>
          <w:kern w:val="0"/>
        </w:rPr>
        <w:t>省市场监督管理局提出并归口。</w:t>
      </w:r>
    </w:p>
    <w:p w14:paraId="447A0DE4">
      <w:pPr>
        <w:numPr>
          <w:ilvl w:val="0"/>
          <w:numId w:val="32"/>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本文件起草单位：陕西省质量认证认可协会、</w:t>
      </w:r>
      <w:bookmarkStart w:id="26" w:name="_Hlk144286851"/>
      <w:r>
        <w:rPr>
          <w:rFonts w:hint="eastAsia" w:ascii="宋体" w:hAnsi="Times New Roman" w:cs="宋体"/>
          <w:spacing w:val="-8"/>
          <w:kern w:val="0"/>
        </w:rPr>
        <w:t>西安市质量与标准化研究院、西安市产品质量监督检验院、</w:t>
      </w:r>
      <w:r>
        <w:rPr>
          <w:rFonts w:hint="eastAsia"/>
        </w:rPr>
        <w:t>西安计量技术研究院、咸阳市食品药品检验检测中心</w:t>
      </w:r>
      <w:bookmarkEnd w:id="26"/>
      <w:r>
        <w:rPr>
          <w:rFonts w:hint="eastAsia"/>
        </w:rPr>
        <w:t>。</w:t>
      </w:r>
    </w:p>
    <w:p w14:paraId="1973B7E6">
      <w:pPr>
        <w:numPr>
          <w:ilvl w:val="0"/>
          <w:numId w:val="32"/>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本文件主要起草人：杨悦、</w:t>
      </w:r>
      <w:r>
        <w:rPr>
          <w:rFonts w:ascii="宋体" w:hAnsi="Times New Roman" w:cs="宋体"/>
          <w:spacing w:val="-8"/>
          <w:kern w:val="0"/>
        </w:rPr>
        <w:t>杨洁</w:t>
      </w:r>
      <w:r>
        <w:rPr>
          <w:rFonts w:hint="eastAsia" w:ascii="宋体" w:hAnsi="Times New Roman" w:cs="宋体"/>
          <w:spacing w:val="-8"/>
          <w:kern w:val="0"/>
        </w:rPr>
        <w:t>、成霈、苏美</w:t>
      </w:r>
      <w:r>
        <w:rPr>
          <w:rFonts w:ascii="宋体" w:hAnsi="Times New Roman" w:cs="宋体"/>
          <w:spacing w:val="-8"/>
          <w:kern w:val="0"/>
        </w:rPr>
        <w:t>冬</w:t>
      </w:r>
      <w:r>
        <w:rPr>
          <w:rFonts w:hint="eastAsia" w:ascii="宋体" w:hAnsi="Times New Roman" w:cs="宋体"/>
          <w:spacing w:val="-8"/>
          <w:kern w:val="0"/>
        </w:rPr>
        <w:t>、</w:t>
      </w:r>
      <w:r>
        <w:rPr>
          <w:rFonts w:ascii="宋体" w:hAnsi="Times New Roman" w:cs="宋体"/>
          <w:spacing w:val="-8"/>
          <w:kern w:val="0"/>
        </w:rPr>
        <w:t>胡畅、</w:t>
      </w:r>
      <w:r>
        <w:rPr>
          <w:rFonts w:hint="eastAsia" w:ascii="宋体" w:hAnsi="Times New Roman" w:cs="宋体"/>
          <w:spacing w:val="-8"/>
          <w:kern w:val="0"/>
        </w:rPr>
        <w:t>袁亚娟、冯辰星、屈乐圣、梁丹、韩利萍、王思懿、谭芮茜、温美晨。</w:t>
      </w:r>
    </w:p>
    <w:p w14:paraId="0762C4C1">
      <w:pPr>
        <w:numPr>
          <w:ilvl w:val="0"/>
          <w:numId w:val="32"/>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本文件由陕西省质量认证认可协会负责解释。</w:t>
      </w:r>
    </w:p>
    <w:p w14:paraId="5E343779">
      <w:pPr>
        <w:numPr>
          <w:ilvl w:val="0"/>
          <w:numId w:val="32"/>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本文件首次发布。</w:t>
      </w:r>
    </w:p>
    <w:p w14:paraId="710922D1">
      <w:pPr>
        <w:numPr>
          <w:ilvl w:val="0"/>
          <w:numId w:val="32"/>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w:t>
      </w:r>
    </w:p>
    <w:p w14:paraId="56724638">
      <w:pPr>
        <w:numPr>
          <w:ilvl w:val="0"/>
          <w:numId w:val="32"/>
        </w:numPr>
        <w:adjustRightInd/>
        <w:spacing w:line="331" w:lineRule="exact"/>
        <w:ind w:left="0" w:firstLine="426"/>
        <w:jc w:val="left"/>
        <w:rPr>
          <w:rFonts w:ascii="宋体" w:hAnsi="Times New Roman" w:cs="宋体"/>
          <w:spacing w:val="-8"/>
          <w:kern w:val="0"/>
        </w:rPr>
      </w:pPr>
    </w:p>
    <w:p w14:paraId="144113CC">
      <w:pPr>
        <w:numPr>
          <w:ilvl w:val="0"/>
          <w:numId w:val="32"/>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联系信息如下：</w:t>
      </w:r>
    </w:p>
    <w:p w14:paraId="1FA12FBC">
      <w:pPr>
        <w:numPr>
          <w:ilvl w:val="0"/>
          <w:numId w:val="32"/>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单位：陕西省质量认证认可协会</w:t>
      </w:r>
    </w:p>
    <w:p w14:paraId="05B102BC">
      <w:pPr>
        <w:numPr>
          <w:ilvl w:val="0"/>
          <w:numId w:val="32"/>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电话：029</w:t>
      </w:r>
      <w:r>
        <w:rPr>
          <w:rFonts w:ascii="宋体" w:hAnsi="Times New Roman" w:cs="宋体"/>
          <w:spacing w:val="-8"/>
          <w:kern w:val="0"/>
        </w:rPr>
        <w:t>-87290790,</w:t>
      </w:r>
      <w:r>
        <w:rPr>
          <w:rFonts w:hint="eastAsia" w:ascii="宋体" w:hAnsi="Times New Roman" w:cs="宋体"/>
          <w:spacing w:val="-8"/>
          <w:kern w:val="0"/>
        </w:rPr>
        <w:t>　</w:t>
      </w:r>
      <w:r>
        <w:rPr>
          <w:rFonts w:ascii="宋体" w:hAnsi="Times New Roman" w:cs="宋体"/>
          <w:spacing w:val="-8"/>
          <w:kern w:val="0"/>
        </w:rPr>
        <w:t>029-87291424</w:t>
      </w:r>
    </w:p>
    <w:p w14:paraId="72C2AC0D">
      <w:pPr>
        <w:numPr>
          <w:ilvl w:val="0"/>
          <w:numId w:val="32"/>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地址：陕西省西安市未央区未央路荣民中央国际1</w:t>
      </w:r>
      <w:r>
        <w:rPr>
          <w:rFonts w:ascii="宋体" w:hAnsi="Times New Roman" w:cs="宋体"/>
          <w:spacing w:val="-8"/>
          <w:kern w:val="0"/>
        </w:rPr>
        <w:t>6</w:t>
      </w:r>
      <w:r>
        <w:rPr>
          <w:rFonts w:hint="eastAsia" w:ascii="宋体" w:hAnsi="Times New Roman" w:cs="宋体"/>
          <w:spacing w:val="-8"/>
          <w:kern w:val="0"/>
        </w:rPr>
        <w:t>层</w:t>
      </w:r>
    </w:p>
    <w:p w14:paraId="46E55564">
      <w:pPr>
        <w:numPr>
          <w:ilvl w:val="0"/>
          <w:numId w:val="32"/>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邮编：7</w:t>
      </w:r>
      <w:r>
        <w:rPr>
          <w:rFonts w:ascii="宋体" w:hAnsi="Times New Roman" w:cs="宋体"/>
          <w:spacing w:val="-8"/>
          <w:kern w:val="0"/>
        </w:rPr>
        <w:t>10016</w:t>
      </w:r>
    </w:p>
    <w:p w14:paraId="46070526">
      <w:pPr>
        <w:widowControl/>
        <w:adjustRightInd/>
        <w:spacing w:line="240" w:lineRule="auto"/>
        <w:jc w:val="left"/>
      </w:pPr>
      <w:r>
        <w:br w:type="page"/>
      </w:r>
    </w:p>
    <w:p w14:paraId="42AADECA">
      <w:pPr>
        <w:widowControl/>
        <w:adjustRightInd/>
        <w:spacing w:line="240" w:lineRule="auto"/>
        <w:jc w:val="left"/>
        <w:rPr>
          <w:rFonts w:ascii="宋体" w:hAnsi="Times New Roman"/>
          <w:kern w:val="0"/>
          <w:szCs w:val="20"/>
        </w:rPr>
      </w:pPr>
    </w:p>
    <w:p w14:paraId="165D6198">
      <w:pPr>
        <w:spacing w:line="20" w:lineRule="exact"/>
        <w:jc w:val="center"/>
        <w:rPr>
          <w:rFonts w:ascii="黑体" w:hAnsi="黑体" w:eastAsia="黑体"/>
          <w:sz w:val="32"/>
          <w:szCs w:val="32"/>
        </w:rPr>
      </w:pPr>
    </w:p>
    <w:p w14:paraId="1775AF15">
      <w:pPr>
        <w:spacing w:line="20" w:lineRule="exact"/>
        <w:jc w:val="center"/>
        <w:rPr>
          <w:rFonts w:ascii="黑体" w:hAnsi="黑体" w:eastAsia="黑体"/>
          <w:sz w:val="32"/>
          <w:szCs w:val="32"/>
        </w:rPr>
      </w:pPr>
    </w:p>
    <w:sdt>
      <w:sdtPr>
        <w:tag w:val="NEW_STAND_NAME"/>
        <w:id w:val="595910757"/>
        <w:lock w:val="sdtLocked"/>
        <w:placeholder>
          <w:docPart w:val="8CD00661B5CD4842B9AC2B3BCE48515D"/>
        </w:placeholder>
      </w:sdtPr>
      <w:sdtContent>
        <w:p w14:paraId="23B64864">
          <w:pPr>
            <w:pStyle w:val="177"/>
            <w:spacing w:before="3" w:beforeLines="1" w:after="3" w:afterLines="1"/>
          </w:pPr>
          <w:bookmarkStart w:id="27" w:name="NEW_STAND_NAME"/>
          <w:r>
            <w:rPr>
              <w:rFonts w:hint="eastAsia"/>
            </w:rPr>
            <w:t>检验检测机构资质认定</w:t>
          </w:r>
        </w:p>
        <w:p w14:paraId="280CA035">
          <w:pPr>
            <w:pStyle w:val="177"/>
            <w:spacing w:before="3" w:beforeLines="1" w:after="680"/>
          </w:pPr>
          <w:r>
            <w:t>化学试剂管理要求</w:t>
          </w:r>
        </w:p>
      </w:sdtContent>
    </w:sdt>
    <w:bookmarkEnd w:id="27"/>
    <w:p w14:paraId="076ADAC3">
      <w:pPr>
        <w:pStyle w:val="104"/>
        <w:spacing w:before="312" w:after="312"/>
      </w:pPr>
      <w:bookmarkStart w:id="28" w:name="_Toc26986530"/>
      <w:bookmarkStart w:id="29" w:name="_Toc24884218"/>
      <w:bookmarkStart w:id="30" w:name="_Toc26648465"/>
      <w:bookmarkStart w:id="31" w:name="_Toc17233325"/>
      <w:bookmarkStart w:id="32" w:name="_Toc26986771"/>
      <w:bookmarkStart w:id="33" w:name="_Toc184040984"/>
      <w:bookmarkStart w:id="34" w:name="_Toc144307049"/>
      <w:bookmarkStart w:id="35" w:name="_Toc17233333"/>
      <w:bookmarkStart w:id="36" w:name="_Toc26718930"/>
      <w:bookmarkStart w:id="37" w:name="_Toc24884211"/>
      <w:r>
        <w:rPr>
          <w:rFonts w:hint="eastAsia"/>
        </w:rPr>
        <w:t>范围</w:t>
      </w:r>
      <w:bookmarkEnd w:id="28"/>
      <w:bookmarkEnd w:id="29"/>
      <w:bookmarkEnd w:id="30"/>
      <w:bookmarkEnd w:id="31"/>
      <w:bookmarkEnd w:id="32"/>
      <w:bookmarkEnd w:id="33"/>
      <w:bookmarkEnd w:id="34"/>
      <w:bookmarkEnd w:id="35"/>
      <w:bookmarkEnd w:id="36"/>
      <w:bookmarkEnd w:id="37"/>
    </w:p>
    <w:p w14:paraId="29572596">
      <w:pPr>
        <w:pStyle w:val="56"/>
        <w:ind w:firstLine="420"/>
        <w:rPr>
          <w:rFonts w:hAnsi="宋体"/>
          <w:szCs w:val="21"/>
        </w:rPr>
      </w:pPr>
      <w:bookmarkStart w:id="38" w:name="_Toc17233334"/>
      <w:bookmarkStart w:id="39" w:name="_Toc26648466"/>
      <w:bookmarkStart w:id="40" w:name="_Toc17233326"/>
      <w:bookmarkStart w:id="41" w:name="_Toc24884219"/>
      <w:bookmarkStart w:id="42" w:name="_Toc24884212"/>
      <w:r>
        <w:rPr>
          <w:rFonts w:hint="eastAsia" w:hAnsi="宋体"/>
          <w:szCs w:val="21"/>
        </w:rPr>
        <w:t>本文件规定了检验检测机构化学试剂管理</w:t>
      </w:r>
      <w:r>
        <w:rPr>
          <w:rFonts w:hAnsi="宋体"/>
          <w:szCs w:val="21"/>
        </w:rPr>
        <w:t>的</w:t>
      </w:r>
      <w:r>
        <w:rPr>
          <w:rFonts w:hint="eastAsia" w:hAnsi="宋体"/>
          <w:szCs w:val="21"/>
        </w:rPr>
        <w:t>相关</w:t>
      </w:r>
      <w:bookmarkStart w:id="43" w:name="_Hlk144287397"/>
      <w:r>
        <w:rPr>
          <w:rFonts w:hint="eastAsia" w:hAnsi="宋体"/>
          <w:szCs w:val="21"/>
        </w:rPr>
        <w:t>管理制度、人员要求、场所环境、安全设施、入库管理、日常管理、废弃处置</w:t>
      </w:r>
      <w:bookmarkEnd w:id="43"/>
      <w:r>
        <w:rPr>
          <w:rFonts w:hint="eastAsia" w:hAnsi="宋体"/>
          <w:szCs w:val="21"/>
        </w:rPr>
        <w:t>和监督检查的要求。</w:t>
      </w:r>
    </w:p>
    <w:p w14:paraId="0F49AE8E">
      <w:pPr>
        <w:pStyle w:val="56"/>
        <w:ind w:firstLine="420"/>
        <w:rPr>
          <w:rFonts w:hAnsi="宋体"/>
          <w:szCs w:val="21"/>
        </w:rPr>
      </w:pPr>
      <w:r>
        <w:rPr>
          <w:rFonts w:hint="eastAsia" w:hAnsi="宋体"/>
          <w:szCs w:val="21"/>
        </w:rPr>
        <w:t>本文件适用于获得资质认定的检验检测机构，其他检验检测机构可参照使用。</w:t>
      </w:r>
    </w:p>
    <w:p w14:paraId="18BA46DE">
      <w:pPr>
        <w:pStyle w:val="104"/>
        <w:spacing w:before="312" w:after="312"/>
      </w:pPr>
      <w:bookmarkStart w:id="44" w:name="_Toc26986772"/>
      <w:bookmarkStart w:id="45" w:name="_Toc26986531"/>
      <w:bookmarkStart w:id="46" w:name="_Toc26718931"/>
      <w:bookmarkStart w:id="47" w:name="_Toc144307050"/>
      <w:bookmarkStart w:id="48" w:name="_Toc184040985"/>
      <w:r>
        <w:rPr>
          <w:rFonts w:hint="eastAsia"/>
        </w:rPr>
        <w:t>规范性引用文件</w:t>
      </w:r>
      <w:bookmarkEnd w:id="38"/>
      <w:bookmarkEnd w:id="39"/>
      <w:bookmarkEnd w:id="40"/>
      <w:bookmarkEnd w:id="41"/>
      <w:bookmarkEnd w:id="42"/>
      <w:bookmarkEnd w:id="44"/>
      <w:bookmarkEnd w:id="45"/>
      <w:bookmarkEnd w:id="46"/>
      <w:bookmarkEnd w:id="47"/>
      <w:bookmarkEnd w:id="48"/>
    </w:p>
    <w:sdt>
      <w:sdtPr>
        <w:rPr>
          <w:rFonts w:hint="eastAsia"/>
        </w:rPr>
        <w:id w:val="715848253"/>
        <w:placeholder>
          <w:docPart w:val="712C2F61DFD24E8098EBB0E5C9C7698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D3D7EDA">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15D7B14">
      <w:pPr>
        <w:pStyle w:val="56"/>
        <w:ind w:firstLine="420"/>
        <w:rPr>
          <w:rFonts w:hAnsi="宋体"/>
        </w:rPr>
      </w:pPr>
      <w:bookmarkStart w:id="49" w:name="_Hlk95382435"/>
      <w:r>
        <w:rPr>
          <w:rFonts w:hint="eastAsia" w:hAnsi="宋体"/>
        </w:rPr>
        <w:t>G</w:t>
      </w:r>
      <w:r>
        <w:rPr>
          <w:rFonts w:hAnsi="宋体"/>
        </w:rPr>
        <w:t xml:space="preserve">B 2894 </w:t>
      </w:r>
      <w:r>
        <w:rPr>
          <w:rFonts w:hint="eastAsia" w:hAnsi="宋体"/>
        </w:rPr>
        <w:t>安全标志及其使用导则</w:t>
      </w:r>
    </w:p>
    <w:p w14:paraId="13AF81F6">
      <w:pPr>
        <w:pStyle w:val="56"/>
        <w:ind w:firstLine="420"/>
        <w:rPr>
          <w:rFonts w:hAnsi="宋体"/>
        </w:rPr>
      </w:pPr>
      <w:r>
        <w:rPr>
          <w:rFonts w:hAnsi="宋体"/>
        </w:rPr>
        <w:t xml:space="preserve">GB 13690 </w:t>
      </w:r>
      <w:r>
        <w:rPr>
          <w:rFonts w:hint="eastAsia" w:hAnsi="宋体"/>
        </w:rPr>
        <w:t>化学品分类和危险性公示 通则</w:t>
      </w:r>
    </w:p>
    <w:p w14:paraId="32E40E77">
      <w:pPr>
        <w:pStyle w:val="56"/>
        <w:ind w:firstLine="420"/>
        <w:rPr>
          <w:rFonts w:hAnsi="宋体"/>
        </w:rPr>
      </w:pPr>
      <w:r>
        <w:rPr>
          <w:rFonts w:hAnsi="宋体"/>
        </w:rPr>
        <w:t xml:space="preserve">GB 15603 </w:t>
      </w:r>
      <w:r>
        <w:rPr>
          <w:rFonts w:hint="eastAsia" w:hAnsi="宋体"/>
        </w:rPr>
        <w:t>危险化学品仓库储存通则</w:t>
      </w:r>
    </w:p>
    <w:p w14:paraId="60C2133E">
      <w:pPr>
        <w:pStyle w:val="56"/>
        <w:ind w:firstLine="420"/>
        <w:rPr>
          <w:rFonts w:hAnsi="宋体"/>
        </w:rPr>
      </w:pPr>
      <w:r>
        <w:rPr>
          <w:rFonts w:hint="eastAsia" w:hAnsi="宋体"/>
        </w:rPr>
        <w:t>GB/T 16483 化学品安全技术说明书 内容和项目顺序</w:t>
      </w:r>
    </w:p>
    <w:p w14:paraId="6293A470">
      <w:pPr>
        <w:pStyle w:val="56"/>
        <w:ind w:firstLine="420"/>
        <w:rPr>
          <w:rFonts w:hAnsi="宋体"/>
        </w:rPr>
      </w:pPr>
      <w:r>
        <w:rPr>
          <w:rFonts w:hAnsi="宋体"/>
        </w:rPr>
        <w:t>GB/T 27476.5</w:t>
      </w:r>
      <w:r>
        <w:rPr>
          <w:rFonts w:hint="eastAsia" w:hAnsi="宋体"/>
        </w:rPr>
        <w:t xml:space="preserve"> 检测实验室安全 第5部分：化学因素</w:t>
      </w:r>
    </w:p>
    <w:p w14:paraId="7D653F01">
      <w:pPr>
        <w:pStyle w:val="56"/>
        <w:ind w:firstLine="420"/>
        <w:rPr>
          <w:rFonts w:hAnsi="宋体"/>
        </w:rPr>
      </w:pPr>
      <w:r>
        <w:rPr>
          <w:rFonts w:hint="eastAsia" w:hAnsi="宋体"/>
        </w:rPr>
        <w:t>D</w:t>
      </w:r>
      <w:r>
        <w:rPr>
          <w:rFonts w:hAnsi="宋体"/>
        </w:rPr>
        <w:t xml:space="preserve">B61/T 1327.**  </w:t>
      </w:r>
      <w:r>
        <w:rPr>
          <w:rFonts w:hint="eastAsia" w:hAnsi="宋体"/>
        </w:rPr>
        <w:t>检验检测机构资质认定 第 部分：设施与环境要求</w:t>
      </w:r>
    </w:p>
    <w:bookmarkEnd w:id="49"/>
    <w:p w14:paraId="720BA9CB">
      <w:pPr>
        <w:pStyle w:val="104"/>
        <w:spacing w:before="312" w:after="312"/>
      </w:pPr>
      <w:bookmarkStart w:id="50" w:name="_Toc184040986"/>
      <w:bookmarkStart w:id="51" w:name="_Toc144307051"/>
      <w:r>
        <w:rPr>
          <w:rFonts w:hint="eastAsia"/>
          <w:szCs w:val="21"/>
        </w:rPr>
        <w:t>术语和定义</w:t>
      </w:r>
      <w:bookmarkEnd w:id="50"/>
      <w:bookmarkEnd w:id="51"/>
    </w:p>
    <w:sdt>
      <w:sdtPr>
        <w:id w:val="-1909835108"/>
        <w:placeholder>
          <w:docPart w:val="D300CC599729437E8B96906F1BE4AF8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47DC449">
          <w:pPr>
            <w:pStyle w:val="56"/>
            <w:ind w:firstLine="420"/>
          </w:pPr>
          <w:bookmarkStart w:id="52" w:name="_Toc26986532"/>
          <w:bookmarkEnd w:id="52"/>
          <w:r>
            <w:t>GB15603</w:t>
          </w:r>
          <w:r>
            <w:rPr>
              <w:rFonts w:hint="eastAsia"/>
            </w:rPr>
            <w:t>、</w:t>
          </w:r>
          <w:r>
            <w:t>GB/T16483</w:t>
          </w:r>
          <w:r>
            <w:rPr>
              <w:rFonts w:hint="eastAsia"/>
            </w:rPr>
            <w:t>、G</w:t>
          </w:r>
          <w:r>
            <w:t>B/T 27476.5界定的以及下列术语和定义适用于本文件。</w:t>
          </w:r>
        </w:p>
      </w:sdtContent>
    </w:sdt>
    <w:p w14:paraId="27E001F5">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化学品</w:t>
      </w:r>
      <w:r>
        <w:rPr>
          <w:rFonts w:hint="eastAsia" w:ascii="黑体" w:eastAsia="黑体" w:cs="黑体"/>
        </w:rPr>
        <w:t>安全技术说明书（M</w:t>
      </w:r>
      <w:r>
        <w:rPr>
          <w:rFonts w:ascii="黑体" w:eastAsia="黑体" w:cs="黑体"/>
        </w:rPr>
        <w:t>SDS</w:t>
      </w:r>
      <w:r>
        <w:rPr>
          <w:rFonts w:hint="eastAsia" w:ascii="黑体" w:eastAsia="黑体" w:cs="黑体"/>
        </w:rPr>
        <w:t>）</w:t>
      </w:r>
    </w:p>
    <w:p w14:paraId="57B7DAE3">
      <w:pPr>
        <w:pStyle w:val="56"/>
        <w:ind w:firstLine="420"/>
      </w:pPr>
      <w:r>
        <w:rPr>
          <w:rFonts w:hint="eastAsia"/>
        </w:rPr>
        <w:t>化学品生产商和经销商按法律要求提供的化学品（物质或混合物）在安全、健康和环境保护等方面的信息以及推荐的防护措施和紧急情况下的应对措施。</w:t>
      </w:r>
    </w:p>
    <w:p w14:paraId="435509DC">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不相容 </w:t>
      </w:r>
      <w:r>
        <w:rPr>
          <w:rFonts w:ascii="黑体" w:hAnsi="黑体" w:eastAsia="黑体"/>
        </w:rPr>
        <w:t>incompatible</w:t>
      </w:r>
    </w:p>
    <w:p w14:paraId="30681D22">
      <w:pPr>
        <w:pStyle w:val="56"/>
        <w:ind w:firstLine="420"/>
      </w:pPr>
      <w:r>
        <w:rPr>
          <w:rFonts w:hint="eastAsia"/>
        </w:rPr>
        <w:t>化学试剂如果混合后易于引起危险热量、气体放出或生成腐蚀性物质的现象。</w:t>
      </w:r>
    </w:p>
    <w:p w14:paraId="5199F12F">
      <w:pPr>
        <w:pStyle w:val="56"/>
        <w:ind w:firstLine="420"/>
      </w:pPr>
      <w:r>
        <w:rPr>
          <w:rFonts w:hint="eastAsia"/>
        </w:rPr>
        <w:t>[来源：</w:t>
      </w:r>
      <w:r>
        <w:t>GB/T 27476.5-2014</w:t>
      </w:r>
      <w:r>
        <w:rPr>
          <w:rFonts w:hint="eastAsia"/>
        </w:rPr>
        <w:t>，</w:t>
      </w:r>
      <w:r>
        <w:t>3.3</w:t>
      </w:r>
      <w:r>
        <w:rPr>
          <w:rFonts w:hint="eastAsia"/>
        </w:rPr>
        <w:t>]</w:t>
      </w:r>
    </w:p>
    <w:p w14:paraId="25325D85">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危险化学品 </w:t>
      </w:r>
      <w:r>
        <w:rPr>
          <w:rFonts w:ascii="黑体" w:hAnsi="黑体" w:eastAsia="黑体"/>
        </w:rPr>
        <w:t>hazardous reagent</w:t>
      </w:r>
    </w:p>
    <w:p w14:paraId="183A8BB0">
      <w:pPr>
        <w:pStyle w:val="56"/>
        <w:ind w:firstLine="420"/>
      </w:pPr>
      <w:r>
        <w:rPr>
          <w:rFonts w:hint="eastAsia"/>
        </w:rPr>
        <w:t>具有毒害、腐蚀、爆炸、燃烧、助燃等性质，对人体、设施、环境具有危害的剧毒化学品和其他化学品。</w:t>
      </w:r>
    </w:p>
    <w:p w14:paraId="24D4DBF9">
      <w:pPr>
        <w:pStyle w:val="56"/>
        <w:ind w:firstLine="420"/>
      </w:pPr>
      <w:r>
        <w:rPr>
          <w:rFonts w:hint="eastAsia"/>
        </w:rPr>
        <w:t>[来源：</w:t>
      </w:r>
      <w:r>
        <w:t>GB/T 27476.5-2014</w:t>
      </w:r>
      <w:r>
        <w:rPr>
          <w:rFonts w:hint="eastAsia"/>
        </w:rPr>
        <w:t>，</w:t>
      </w:r>
      <w:r>
        <w:t>3.1</w:t>
      </w:r>
      <w:r>
        <w:rPr>
          <w:rFonts w:hint="eastAsia"/>
        </w:rPr>
        <w:t>]</w:t>
      </w:r>
    </w:p>
    <w:p w14:paraId="499AFD69">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易制毒化学品 </w:t>
      </w:r>
      <w:r>
        <w:rPr>
          <w:rFonts w:ascii="黑体" w:hAnsi="黑体" w:eastAsia="黑体"/>
        </w:rPr>
        <w:t>precursor chemicals</w:t>
      </w:r>
    </w:p>
    <w:p w14:paraId="7C9088B1">
      <w:pPr>
        <w:pStyle w:val="56"/>
        <w:ind w:firstLine="420"/>
      </w:pPr>
      <w:r>
        <w:rPr>
          <w:rFonts w:hint="eastAsia"/>
        </w:rPr>
        <w:t>易制毒化学品是指国家规定管制的可用于制造毒品的前体、原料和化学助剂等物质。</w:t>
      </w:r>
    </w:p>
    <w:p w14:paraId="13DC03EE">
      <w:pPr>
        <w:pStyle w:val="104"/>
        <w:spacing w:before="312" w:after="312"/>
      </w:pPr>
      <w:bookmarkStart w:id="53" w:name="_Toc184040987"/>
      <w:bookmarkStart w:id="54" w:name="_Toc144307052"/>
      <w:r>
        <w:rPr>
          <w:rFonts w:hint="eastAsia"/>
        </w:rPr>
        <w:t>管理制度</w:t>
      </w:r>
      <w:bookmarkEnd w:id="53"/>
      <w:bookmarkEnd w:id="54"/>
    </w:p>
    <w:p w14:paraId="7A8F6F77">
      <w:pPr>
        <w:pStyle w:val="162"/>
        <w:ind w:left="0"/>
      </w:pPr>
      <w:r>
        <w:rPr>
          <w:rFonts w:hint="eastAsia"/>
        </w:rPr>
        <w:t>检验检测机构应依据防患未然的原则，建立化学试剂安全管理程序，用于规范化学试剂的采购、使用、储存、处置等各环节工作，并适时进行符合性评价，程序文件应包括但不限于以下内容：：</w:t>
      </w:r>
    </w:p>
    <w:p w14:paraId="6BB4164C">
      <w:pPr>
        <w:pStyle w:val="162"/>
        <w:numPr>
          <w:ilvl w:val="0"/>
          <w:numId w:val="0"/>
        </w:numPr>
        <w:ind w:left="425"/>
      </w:pPr>
      <w:bookmarkStart w:id="55" w:name="_Hlk95381391"/>
      <w:r>
        <w:rPr>
          <w:rFonts w:hint="eastAsia"/>
        </w:rPr>
        <w:t>a)</w:t>
      </w:r>
      <w:r>
        <w:rPr>
          <w:rFonts w:hint="eastAsia"/>
        </w:rPr>
        <w:tab/>
      </w:r>
      <w:r>
        <w:rPr>
          <w:rFonts w:hint="eastAsia"/>
        </w:rPr>
        <w:t>岗位安全责任；</w:t>
      </w:r>
    </w:p>
    <w:p w14:paraId="76C85B5D">
      <w:pPr>
        <w:pStyle w:val="162"/>
        <w:numPr>
          <w:ilvl w:val="0"/>
          <w:numId w:val="0"/>
        </w:numPr>
        <w:ind w:left="425"/>
      </w:pPr>
      <w:r>
        <w:rPr>
          <w:rFonts w:hint="eastAsia"/>
        </w:rPr>
        <w:t>b)</w:t>
      </w:r>
      <w:r>
        <w:rPr>
          <w:rFonts w:hint="eastAsia"/>
        </w:rPr>
        <w:tab/>
      </w:r>
      <w:r>
        <w:rPr>
          <w:rFonts w:hint="eastAsia"/>
        </w:rPr>
        <w:t>化学试剂的采购、领取、使用、储存、废弃处置管理程序及注意事项；</w:t>
      </w:r>
    </w:p>
    <w:p w14:paraId="7F66056E">
      <w:pPr>
        <w:pStyle w:val="162"/>
        <w:numPr>
          <w:ilvl w:val="0"/>
          <w:numId w:val="0"/>
        </w:numPr>
        <w:ind w:left="425"/>
      </w:pPr>
      <w:r>
        <w:rPr>
          <w:rFonts w:hint="eastAsia"/>
        </w:rPr>
        <w:t>c)</w:t>
      </w:r>
      <w:r>
        <w:rPr>
          <w:rFonts w:hint="eastAsia"/>
        </w:rPr>
        <w:tab/>
      </w:r>
      <w:r>
        <w:rPr>
          <w:rFonts w:hint="eastAsia"/>
        </w:rPr>
        <w:t>剧毒、易制毒和易制爆等危险化学试剂的特殊管理要求；</w:t>
      </w:r>
    </w:p>
    <w:p w14:paraId="07EB368A">
      <w:pPr>
        <w:pStyle w:val="162"/>
        <w:numPr>
          <w:ilvl w:val="0"/>
          <w:numId w:val="0"/>
        </w:numPr>
        <w:ind w:left="425"/>
      </w:pPr>
      <w:r>
        <w:rPr>
          <w:rFonts w:hint="eastAsia"/>
        </w:rPr>
        <w:t>d)</w:t>
      </w:r>
      <w:r>
        <w:rPr>
          <w:rFonts w:hint="eastAsia"/>
        </w:rPr>
        <w:tab/>
      </w:r>
      <w:r>
        <w:rPr>
          <w:rFonts w:hint="eastAsia"/>
        </w:rPr>
        <w:t>危险化学品安全使用教育和培训要求；</w:t>
      </w:r>
    </w:p>
    <w:p w14:paraId="6597FD0F">
      <w:pPr>
        <w:pStyle w:val="162"/>
        <w:numPr>
          <w:ilvl w:val="0"/>
          <w:numId w:val="0"/>
        </w:numPr>
        <w:ind w:left="425"/>
      </w:pPr>
      <w:r>
        <w:rPr>
          <w:rFonts w:hint="eastAsia"/>
        </w:rPr>
        <w:t>e)</w:t>
      </w:r>
      <w:r>
        <w:rPr>
          <w:rFonts w:hint="eastAsia"/>
        </w:rPr>
        <w:tab/>
      </w:r>
      <w:r>
        <w:rPr>
          <w:rFonts w:hint="eastAsia"/>
        </w:rPr>
        <w:t>危险化学品事故隐患排查、治理和应急处置；</w:t>
      </w:r>
    </w:p>
    <w:p w14:paraId="12D419BE">
      <w:pPr>
        <w:pStyle w:val="162"/>
        <w:numPr>
          <w:ilvl w:val="0"/>
          <w:numId w:val="0"/>
        </w:numPr>
        <w:ind w:left="425"/>
      </w:pPr>
      <w:r>
        <w:t>f</w:t>
      </w:r>
      <w:r>
        <w:rPr>
          <w:rFonts w:hint="eastAsia"/>
        </w:rPr>
        <w:t>)</w:t>
      </w:r>
      <w:r>
        <w:rPr>
          <w:rFonts w:hint="eastAsia"/>
        </w:rPr>
        <w:tab/>
      </w:r>
      <w:r>
        <w:rPr>
          <w:rFonts w:hint="eastAsia"/>
        </w:rPr>
        <w:t>个体防护装备、消防器材的配备和使用；</w:t>
      </w:r>
    </w:p>
    <w:bookmarkEnd w:id="55"/>
    <w:p w14:paraId="6DEC5A13">
      <w:pPr>
        <w:pStyle w:val="162"/>
        <w:numPr>
          <w:ilvl w:val="0"/>
          <w:numId w:val="0"/>
        </w:numPr>
        <w:ind w:left="425"/>
      </w:pPr>
      <w:r>
        <w:t>g</w:t>
      </w:r>
      <w:r>
        <w:rPr>
          <w:rFonts w:hint="eastAsia"/>
        </w:rPr>
        <w:t>)</w:t>
      </w:r>
      <w:r>
        <w:rPr>
          <w:rFonts w:hint="eastAsia"/>
        </w:rPr>
        <w:tab/>
      </w:r>
      <w:r>
        <w:rPr>
          <w:rFonts w:hint="eastAsia"/>
        </w:rPr>
        <w:t>其他必要的安全管理制度。</w:t>
      </w:r>
    </w:p>
    <w:p w14:paraId="1F4872C1">
      <w:pPr>
        <w:pStyle w:val="162"/>
        <w:ind w:left="0"/>
      </w:pPr>
      <w:r>
        <w:rPr>
          <w:rFonts w:hint="eastAsia"/>
        </w:rPr>
        <w:t>应编制化学试剂应急处理预案，包括但不限于化学试剂的腐蚀、泄漏、火灾、爆炸等状况，定期进行应急预案的培训教育和演习，做好记录。</w:t>
      </w:r>
    </w:p>
    <w:p w14:paraId="396726A9">
      <w:pPr>
        <w:pStyle w:val="162"/>
        <w:ind w:left="0"/>
      </w:pPr>
      <w:r>
        <w:rPr>
          <w:rFonts w:hint="eastAsia"/>
        </w:rPr>
        <w:t>检验检测机构应主动收集或编制本机构所使用化学试剂的《化学品安全技术说明书》（MSDS</w:t>
      </w:r>
      <w:r>
        <w:t>）</w:t>
      </w:r>
      <w:r>
        <w:rPr>
          <w:rFonts w:hint="eastAsia"/>
        </w:rPr>
        <w:t>，并保证本机构相关人员能方便获得。</w:t>
      </w:r>
    </w:p>
    <w:p w14:paraId="45430559">
      <w:pPr>
        <w:pStyle w:val="162"/>
        <w:ind w:left="0"/>
      </w:pPr>
      <w:r>
        <w:rPr>
          <w:rFonts w:hint="eastAsia"/>
        </w:rPr>
        <w:t>检验检测机构应对本机构常用化学试剂分类梳理建立台账管理，建立和保持必要的记录，用于证实符合安全管理体系要求和安全标准要求，以及所实现的结果。记录应字迹清楚、标识明确，并可追溯。记录的保存期不少于6年。</w:t>
      </w:r>
      <w:r>
        <w:t xml:space="preserve"> </w:t>
      </w:r>
    </w:p>
    <w:p w14:paraId="190DA6A6">
      <w:pPr>
        <w:pStyle w:val="104"/>
        <w:spacing w:before="312" w:after="312"/>
      </w:pPr>
      <w:bookmarkStart w:id="56" w:name="_Toc144307053"/>
      <w:bookmarkStart w:id="57" w:name="_Toc184040988"/>
      <w:r>
        <w:rPr>
          <w:rFonts w:hint="eastAsia"/>
        </w:rPr>
        <w:t>人员要求</w:t>
      </w:r>
      <w:bookmarkEnd w:id="56"/>
      <w:bookmarkEnd w:id="57"/>
    </w:p>
    <w:p w14:paraId="3BBEDB43">
      <w:pPr>
        <w:pStyle w:val="162"/>
        <w:ind w:left="0"/>
      </w:pPr>
      <w:r>
        <w:rPr>
          <w:rFonts w:hint="eastAsia"/>
        </w:rPr>
        <w:t>检验检测机构应配备足够的化学试剂</w:t>
      </w:r>
      <w:r>
        <w:t>管理</w:t>
      </w:r>
      <w:r>
        <w:rPr>
          <w:rFonts w:hint="eastAsia"/>
        </w:rPr>
        <w:t>人员，确保化学试剂采购、使用、储存、废弃等环节安全工作的开展，并确保相关人员具备化学试剂安全使用知识和事故应急处置的能力。</w:t>
      </w:r>
    </w:p>
    <w:p w14:paraId="23EE7295">
      <w:pPr>
        <w:pStyle w:val="162"/>
        <w:ind w:left="0"/>
      </w:pPr>
      <w:r>
        <w:rPr>
          <w:rFonts w:hint="eastAsia"/>
        </w:rPr>
        <w:t>检验检测机构应在化学</w:t>
      </w:r>
      <w:r>
        <w:t>试剂的采购、使用、管理</w:t>
      </w:r>
      <w:r>
        <w:rPr>
          <w:rFonts w:hint="eastAsia"/>
        </w:rPr>
        <w:t>人员上岗前和</w:t>
      </w:r>
      <w:r>
        <w:t>工作中</w:t>
      </w:r>
      <w:r>
        <w:rPr>
          <w:rFonts w:hint="eastAsia"/>
        </w:rPr>
        <w:t>持续开展化学品安全知识培训，应包括但不限于：</w:t>
      </w:r>
    </w:p>
    <w:p w14:paraId="49FB38C9">
      <w:pPr>
        <w:pStyle w:val="162"/>
        <w:numPr>
          <w:ilvl w:val="0"/>
          <w:numId w:val="0"/>
        </w:numPr>
        <w:ind w:left="425"/>
      </w:pPr>
      <w:bookmarkStart w:id="58" w:name="_Hlk95380750"/>
      <w:r>
        <w:rPr>
          <w:rFonts w:hint="eastAsia"/>
        </w:rPr>
        <w:t>a)</w:t>
      </w:r>
      <w:r>
        <w:rPr>
          <w:rFonts w:hint="eastAsia"/>
        </w:rPr>
        <w:tab/>
      </w:r>
      <w:r>
        <w:rPr>
          <w:rFonts w:hint="eastAsia"/>
        </w:rPr>
        <w:t>化学试剂的基础知识及特性；</w:t>
      </w:r>
    </w:p>
    <w:p w14:paraId="590C4725">
      <w:pPr>
        <w:pStyle w:val="162"/>
        <w:numPr>
          <w:ilvl w:val="0"/>
          <w:numId w:val="0"/>
        </w:numPr>
        <w:ind w:left="425"/>
      </w:pPr>
      <w:r>
        <w:rPr>
          <w:rFonts w:hint="eastAsia"/>
        </w:rPr>
        <w:t>b） 常用</w:t>
      </w:r>
      <w:r>
        <w:t>化学试剂</w:t>
      </w:r>
      <w:r>
        <w:rPr>
          <w:rFonts w:hint="eastAsia"/>
        </w:rPr>
        <w:t>的化学品</w:t>
      </w:r>
      <w:r>
        <w:t>安全技术说明书（</w:t>
      </w:r>
      <w:r>
        <w:rPr>
          <w:rFonts w:hint="eastAsia"/>
        </w:rPr>
        <w:t>MSDS）；</w:t>
      </w:r>
    </w:p>
    <w:p w14:paraId="45BE4E3C">
      <w:pPr>
        <w:pStyle w:val="162"/>
        <w:numPr>
          <w:ilvl w:val="0"/>
          <w:numId w:val="0"/>
        </w:numPr>
        <w:ind w:left="425"/>
      </w:pPr>
      <w:r>
        <w:t>c</w:t>
      </w:r>
      <w:r>
        <w:rPr>
          <w:rFonts w:hint="eastAsia"/>
        </w:rPr>
        <w:t>)</w:t>
      </w:r>
      <w:r>
        <w:rPr>
          <w:rFonts w:hint="eastAsia"/>
        </w:rPr>
        <w:tab/>
      </w:r>
      <w:r>
        <w:rPr>
          <w:rFonts w:hint="eastAsia"/>
        </w:rPr>
        <w:t>化学试剂的包装样式，警示标识的含义；</w:t>
      </w:r>
    </w:p>
    <w:p w14:paraId="30CC3E1F">
      <w:pPr>
        <w:pStyle w:val="162"/>
        <w:numPr>
          <w:ilvl w:val="0"/>
          <w:numId w:val="0"/>
        </w:numPr>
        <w:ind w:left="425"/>
      </w:pPr>
      <w:r>
        <w:t>d</w:t>
      </w:r>
      <w:r>
        <w:rPr>
          <w:rFonts w:hint="eastAsia"/>
        </w:rPr>
        <w:t>)</w:t>
      </w:r>
      <w:r>
        <w:rPr>
          <w:rFonts w:hint="eastAsia"/>
        </w:rPr>
        <w:tab/>
      </w:r>
      <w:r>
        <w:rPr>
          <w:rFonts w:hint="eastAsia"/>
        </w:rPr>
        <w:t>化学试剂的使用、安全存储和紧急处理程序；</w:t>
      </w:r>
    </w:p>
    <w:p w14:paraId="22FC4958">
      <w:pPr>
        <w:pStyle w:val="162"/>
        <w:numPr>
          <w:ilvl w:val="0"/>
          <w:numId w:val="0"/>
        </w:numPr>
        <w:ind w:left="425"/>
      </w:pPr>
      <w:r>
        <w:rPr>
          <w:rFonts w:hint="eastAsia"/>
        </w:rPr>
        <w:t xml:space="preserve">e) </w:t>
      </w:r>
      <w:r>
        <w:t xml:space="preserve"> </w:t>
      </w:r>
      <w:r>
        <w:rPr>
          <w:rFonts w:hint="eastAsia"/>
          <w:szCs w:val="21"/>
        </w:rPr>
        <w:t>易</w:t>
      </w:r>
      <w:r>
        <w:rPr>
          <w:szCs w:val="21"/>
        </w:rPr>
        <w:t>制毒、易制爆及其他危险化学品的相关知识以及法律法规要求</w:t>
      </w:r>
      <w:r>
        <w:rPr>
          <w:rFonts w:hint="eastAsia"/>
          <w:szCs w:val="21"/>
        </w:rPr>
        <w:t>;</w:t>
      </w:r>
    </w:p>
    <w:p w14:paraId="2677FB70">
      <w:pPr>
        <w:pStyle w:val="162"/>
        <w:numPr>
          <w:ilvl w:val="0"/>
          <w:numId w:val="0"/>
        </w:numPr>
        <w:ind w:left="425"/>
      </w:pPr>
      <w:r>
        <w:t>f</w:t>
      </w:r>
      <w:r>
        <w:rPr>
          <w:rFonts w:hint="eastAsia"/>
        </w:rPr>
        <w:t>)</w:t>
      </w:r>
      <w:r>
        <w:rPr>
          <w:rFonts w:hint="eastAsia"/>
        </w:rPr>
        <w:tab/>
      </w:r>
      <w:r>
        <w:rPr>
          <w:rFonts w:hint="eastAsia"/>
        </w:rPr>
        <w:t>所从事的工作可能遇到的危险以及危险源的识别；</w:t>
      </w:r>
    </w:p>
    <w:p w14:paraId="265F6353">
      <w:pPr>
        <w:pStyle w:val="162"/>
        <w:numPr>
          <w:ilvl w:val="0"/>
          <w:numId w:val="0"/>
        </w:numPr>
        <w:ind w:left="425"/>
      </w:pPr>
      <w:r>
        <w:t>g</w:t>
      </w:r>
      <w:r>
        <w:rPr>
          <w:rFonts w:hint="eastAsia"/>
        </w:rPr>
        <w:t>)</w:t>
      </w:r>
      <w:r>
        <w:rPr>
          <w:rFonts w:hint="eastAsia"/>
        </w:rPr>
        <w:tab/>
      </w:r>
      <w:r>
        <w:rPr>
          <w:rFonts w:hint="eastAsia"/>
        </w:rPr>
        <w:t>个人防护用品的种类、作用和使用方法；</w:t>
      </w:r>
    </w:p>
    <w:p w14:paraId="33DA927C">
      <w:pPr>
        <w:pStyle w:val="162"/>
        <w:numPr>
          <w:ilvl w:val="0"/>
          <w:numId w:val="0"/>
        </w:numPr>
        <w:ind w:left="425"/>
      </w:pPr>
      <w:r>
        <w:t>h</w:t>
      </w:r>
      <w:r>
        <w:rPr>
          <w:rFonts w:hint="eastAsia"/>
        </w:rPr>
        <w:t>)</w:t>
      </w:r>
      <w:r>
        <w:rPr>
          <w:rFonts w:hint="eastAsia"/>
        </w:rPr>
        <w:tab/>
      </w:r>
      <w:r>
        <w:rPr>
          <w:rFonts w:hint="eastAsia"/>
        </w:rPr>
        <w:t>消防器材的位置和使用方法。</w:t>
      </w:r>
    </w:p>
    <w:bookmarkEnd w:id="58"/>
    <w:p w14:paraId="7357894B">
      <w:pPr>
        <w:pStyle w:val="162"/>
        <w:ind w:left="0"/>
        <w:rPr>
          <w:rFonts w:hAnsi="宋体"/>
        </w:rPr>
      </w:pPr>
      <w:r>
        <w:rPr>
          <w:rFonts w:hint="eastAsia" w:hAnsi="宋体"/>
        </w:rPr>
        <w:t>人员的健康状况应与岗位要求相适应，对于自身身体状况可能不适合从事特定岗位工作的员工，应及时调整。</w:t>
      </w:r>
    </w:p>
    <w:p w14:paraId="003AEE86">
      <w:pPr>
        <w:pStyle w:val="162"/>
        <w:ind w:left="0"/>
        <w:rPr>
          <w:rFonts w:hAnsi="宋体"/>
        </w:rPr>
      </w:pPr>
      <w:r>
        <w:rPr>
          <w:rFonts w:hint="eastAsia" w:hAnsi="宋体"/>
        </w:rPr>
        <w:t>对于工作涉及化学试剂的人员应定期监督，监督应涵盖化学试剂安全操作内容。</w:t>
      </w:r>
    </w:p>
    <w:p w14:paraId="2627AB6F">
      <w:pPr>
        <w:pStyle w:val="162"/>
        <w:ind w:left="0"/>
        <w:rPr>
          <w:rFonts w:hAnsi="宋体"/>
        </w:rPr>
      </w:pPr>
      <w:r>
        <w:rPr>
          <w:rFonts w:hint="eastAsia"/>
          <w:szCs w:val="21"/>
        </w:rPr>
        <w:t>剧毒</w:t>
      </w:r>
      <w:r>
        <w:rPr>
          <w:szCs w:val="21"/>
        </w:rPr>
        <w:t>和易制毒试剂</w:t>
      </w:r>
      <w:r>
        <w:rPr>
          <w:rFonts w:hint="eastAsia"/>
          <w:szCs w:val="21"/>
        </w:rPr>
        <w:t>的保存管理</w:t>
      </w:r>
      <w:r>
        <w:rPr>
          <w:szCs w:val="21"/>
        </w:rPr>
        <w:t>应按要求配备</w:t>
      </w:r>
      <w:r>
        <w:rPr>
          <w:rFonts w:hint="eastAsia"/>
          <w:szCs w:val="21"/>
        </w:rPr>
        <w:t>2名</w:t>
      </w:r>
      <w:r>
        <w:rPr>
          <w:szCs w:val="21"/>
        </w:rPr>
        <w:t>管理人员</w:t>
      </w:r>
      <w:r>
        <w:rPr>
          <w:rFonts w:hint="eastAsia"/>
          <w:szCs w:val="21"/>
        </w:rPr>
        <w:t>。</w:t>
      </w:r>
    </w:p>
    <w:p w14:paraId="5B024230">
      <w:pPr>
        <w:pStyle w:val="104"/>
        <w:spacing w:before="312" w:after="312"/>
        <w:ind w:left="283" w:hanging="283" w:hangingChars="135"/>
      </w:pPr>
      <w:bookmarkStart w:id="59" w:name="_Toc184040989"/>
      <w:bookmarkStart w:id="60" w:name="_Toc144307054"/>
      <w:r>
        <w:rPr>
          <w:rFonts w:hint="eastAsia"/>
        </w:rPr>
        <w:t>场所环境</w:t>
      </w:r>
      <w:bookmarkEnd w:id="59"/>
      <w:bookmarkEnd w:id="60"/>
    </w:p>
    <w:p w14:paraId="00B202CF">
      <w:pPr>
        <w:pStyle w:val="162"/>
        <w:ind w:left="0"/>
      </w:pPr>
      <w:r>
        <w:rPr>
          <w:rFonts w:hint="eastAsia"/>
        </w:rPr>
        <w:t>检验检测机构在规划建造或改造时应关注化学试剂安全，考虑消除或减少化学试剂使用、储存等环节的风险，对实验室通道、出入口、通风和消防应给予特别关注。</w:t>
      </w:r>
    </w:p>
    <w:p w14:paraId="48226ABB">
      <w:pPr>
        <w:pStyle w:val="162"/>
        <w:ind w:left="0"/>
      </w:pPr>
      <w:r>
        <w:rPr>
          <w:rFonts w:hint="eastAsia"/>
        </w:rPr>
        <w:t>实验工作区和办公休息区应分隔设置，门应向疏散方向开启，宜采用平开门。</w:t>
      </w:r>
    </w:p>
    <w:p w14:paraId="0C32B4FC">
      <w:pPr>
        <w:pStyle w:val="162"/>
        <w:ind w:left="0"/>
      </w:pPr>
      <w:r>
        <w:rPr>
          <w:rFonts w:hint="eastAsia"/>
        </w:rPr>
        <w:t>检验检测机构应设置独立的化学试剂库或储存区，条件满足</w:t>
      </w:r>
      <w:r>
        <w:rPr>
          <w:rFonts w:hint="eastAsia"/>
          <w:color w:val="FF0000"/>
        </w:rPr>
        <w:t>D</w:t>
      </w:r>
      <w:r>
        <w:rPr>
          <w:color w:val="FF0000"/>
        </w:rPr>
        <w:t>B61/T 1327.**</w:t>
      </w:r>
      <w:r>
        <w:rPr>
          <w:rFonts w:hint="eastAsia"/>
          <w:color w:val="FF0000"/>
        </w:rPr>
        <w:t>《检验检测机构资质认定 第 部分：设施与环境要求》中</w:t>
      </w:r>
      <w:r>
        <w:rPr>
          <w:color w:val="FF0000"/>
        </w:rPr>
        <w:t>5.1.5</w:t>
      </w:r>
      <w:r>
        <w:rPr>
          <w:rFonts w:hint="eastAsia"/>
          <w:color w:val="FF0000"/>
        </w:rPr>
        <w:t>和6</w:t>
      </w:r>
      <w:r>
        <w:rPr>
          <w:color w:val="FF0000"/>
        </w:rPr>
        <w:t>.2.4</w:t>
      </w:r>
      <w:r>
        <w:rPr>
          <w:rFonts w:hint="eastAsia"/>
          <w:color w:val="FF0000"/>
        </w:rPr>
        <w:t>要求</w:t>
      </w:r>
      <w:r>
        <w:rPr>
          <w:rFonts w:hint="eastAsia"/>
        </w:rPr>
        <w:t>，且应地面平整、防滑、耐腐蚀，远离火源、热源，防止静电危害。</w:t>
      </w:r>
    </w:p>
    <w:p w14:paraId="1649068D">
      <w:pPr>
        <w:pStyle w:val="104"/>
        <w:spacing w:before="312" w:after="312"/>
      </w:pPr>
      <w:bookmarkStart w:id="61" w:name="_Toc184040990"/>
      <w:bookmarkStart w:id="62" w:name="_Toc144307055"/>
      <w:r>
        <w:rPr>
          <w:rFonts w:hint="eastAsia"/>
        </w:rPr>
        <w:t>安全设施</w:t>
      </w:r>
      <w:bookmarkEnd w:id="61"/>
      <w:bookmarkEnd w:id="62"/>
    </w:p>
    <w:p w14:paraId="0A8D1BF4">
      <w:pPr>
        <w:pStyle w:val="162"/>
        <w:ind w:left="0"/>
      </w:pPr>
      <w:r>
        <w:rPr>
          <w:rFonts w:hint="eastAsia"/>
        </w:rPr>
        <w:t>实验室应有通风换气设施，并根据工作需要采取持续通风或定时通风的方式，通风管道应采用耐腐蚀、不易燃烧的材料。</w:t>
      </w:r>
    </w:p>
    <w:p w14:paraId="6276131D">
      <w:pPr>
        <w:pStyle w:val="162"/>
        <w:ind w:left="0"/>
      </w:pPr>
      <w:r>
        <w:rPr>
          <w:rFonts w:hint="eastAsia"/>
        </w:rPr>
        <w:t>应在适当处设置应急淋洗设施，在操作区域附近应设置紧急洗眼器、紧急医药箱等设施。</w:t>
      </w:r>
    </w:p>
    <w:p w14:paraId="66C83791">
      <w:pPr>
        <w:pStyle w:val="162"/>
        <w:ind w:left="0"/>
      </w:pPr>
      <w:r>
        <w:rPr>
          <w:rFonts w:hint="eastAsia"/>
        </w:rPr>
        <w:t>实验室应配备防爆灯、防爆开关等电气设备，安装火灾、毒气等紧急报警系统，自动监测火灾或有害气体，辅以声、视觉警报。</w:t>
      </w:r>
    </w:p>
    <w:p w14:paraId="38060266">
      <w:pPr>
        <w:pStyle w:val="162"/>
        <w:ind w:left="0"/>
      </w:pPr>
      <w:r>
        <w:rPr>
          <w:rFonts w:hint="eastAsia"/>
        </w:rPr>
        <w:t>应在化学试剂库适当位置设置清晰完整的标识，安全标识符合G</w:t>
      </w:r>
      <w:r>
        <w:t>B 2894</w:t>
      </w:r>
      <w:r>
        <w:rPr>
          <w:rFonts w:hint="eastAsia"/>
        </w:rPr>
        <w:t>要求，危险化学试剂警告标志符合G</w:t>
      </w:r>
      <w:r>
        <w:t>B 13690</w:t>
      </w:r>
      <w:r>
        <w:rPr>
          <w:rFonts w:hint="eastAsia"/>
        </w:rPr>
        <w:t>要求。</w:t>
      </w:r>
    </w:p>
    <w:p w14:paraId="59E5B1DE">
      <w:pPr>
        <w:pStyle w:val="162"/>
        <w:ind w:left="0"/>
      </w:pPr>
      <w:r>
        <w:rPr>
          <w:rFonts w:hint="eastAsia"/>
        </w:rPr>
        <w:t>检验检测机构应结合化学试剂的危险性质配备相应数量的消防器材，存放在明显和便于取用的位置，包括但不限于：</w:t>
      </w:r>
    </w:p>
    <w:p w14:paraId="38DF0D09">
      <w:pPr>
        <w:pStyle w:val="162"/>
        <w:numPr>
          <w:ilvl w:val="0"/>
          <w:numId w:val="0"/>
        </w:numPr>
        <w:ind w:left="425"/>
      </w:pPr>
      <w:bookmarkStart w:id="63" w:name="_Hlk95380996"/>
      <w:r>
        <w:rPr>
          <w:rFonts w:hint="eastAsia"/>
        </w:rPr>
        <w:t>a)</w:t>
      </w:r>
      <w:r>
        <w:rPr>
          <w:rFonts w:hint="eastAsia"/>
        </w:rPr>
        <w:tab/>
      </w:r>
      <w:r>
        <w:rPr>
          <w:rFonts w:hint="eastAsia"/>
        </w:rPr>
        <w:t>灭火器；</w:t>
      </w:r>
    </w:p>
    <w:p w14:paraId="6003F087">
      <w:pPr>
        <w:pStyle w:val="162"/>
        <w:numPr>
          <w:ilvl w:val="0"/>
          <w:numId w:val="0"/>
        </w:numPr>
        <w:ind w:left="425"/>
      </w:pPr>
      <w:r>
        <w:rPr>
          <w:rFonts w:hint="eastAsia"/>
        </w:rPr>
        <w:t>b)</w:t>
      </w:r>
      <w:r>
        <w:rPr>
          <w:rFonts w:hint="eastAsia"/>
        </w:rPr>
        <w:tab/>
      </w:r>
      <w:r>
        <w:rPr>
          <w:rFonts w:hint="eastAsia"/>
        </w:rPr>
        <w:t>灭火毯；</w:t>
      </w:r>
    </w:p>
    <w:p w14:paraId="122F5837">
      <w:pPr>
        <w:pStyle w:val="162"/>
        <w:numPr>
          <w:ilvl w:val="0"/>
          <w:numId w:val="0"/>
        </w:numPr>
        <w:ind w:left="425"/>
      </w:pPr>
      <w:r>
        <w:rPr>
          <w:rFonts w:hint="eastAsia"/>
        </w:rPr>
        <w:t>c)</w:t>
      </w:r>
      <w:r>
        <w:rPr>
          <w:rFonts w:hint="eastAsia"/>
        </w:rPr>
        <w:tab/>
      </w:r>
      <w:r>
        <w:rPr>
          <w:rFonts w:hint="eastAsia"/>
        </w:rPr>
        <w:t>砂箱；</w:t>
      </w:r>
    </w:p>
    <w:p w14:paraId="3D580268">
      <w:pPr>
        <w:pStyle w:val="162"/>
        <w:numPr>
          <w:ilvl w:val="0"/>
          <w:numId w:val="0"/>
        </w:numPr>
        <w:ind w:left="425"/>
      </w:pPr>
      <w:r>
        <w:rPr>
          <w:rFonts w:hint="eastAsia"/>
        </w:rPr>
        <w:t>d)</w:t>
      </w:r>
      <w:r>
        <w:rPr>
          <w:rFonts w:hint="eastAsia"/>
        </w:rPr>
        <w:tab/>
      </w:r>
      <w:r>
        <w:rPr>
          <w:rFonts w:hint="eastAsia"/>
        </w:rPr>
        <w:t>消防逃生面具；</w:t>
      </w:r>
    </w:p>
    <w:p w14:paraId="7FFE63A4">
      <w:pPr>
        <w:pStyle w:val="162"/>
        <w:numPr>
          <w:ilvl w:val="0"/>
          <w:numId w:val="0"/>
        </w:numPr>
        <w:ind w:left="425"/>
      </w:pPr>
      <w:r>
        <w:rPr>
          <w:rFonts w:hint="eastAsia"/>
        </w:rPr>
        <w:t>e)</w:t>
      </w:r>
      <w:r>
        <w:rPr>
          <w:rFonts w:hint="eastAsia"/>
        </w:rPr>
        <w:tab/>
      </w:r>
      <w:r>
        <w:rPr>
          <w:rFonts w:hint="eastAsia"/>
        </w:rPr>
        <w:t>其它必要消防、逃生器材。</w:t>
      </w:r>
    </w:p>
    <w:p w14:paraId="2B250B30">
      <w:pPr>
        <w:pStyle w:val="162"/>
        <w:ind w:left="0"/>
      </w:pPr>
      <w:r>
        <w:rPr>
          <w:rFonts w:hint="eastAsia"/>
        </w:rPr>
        <w:t>定期检查消防器材的有效性，确保消火栓、自动喷淋系统、排烟口无遮挡，消防通道通畅。</w:t>
      </w:r>
    </w:p>
    <w:p w14:paraId="146B9F4B">
      <w:pPr>
        <w:pStyle w:val="162"/>
        <w:ind w:left="0"/>
      </w:pPr>
      <w:r>
        <w:rPr>
          <w:rFonts w:hint="eastAsia"/>
          <w:szCs w:val="21"/>
        </w:rPr>
        <w:t>危化品、易制毒、毒物储存</w:t>
      </w:r>
      <w:r>
        <w:rPr>
          <w:szCs w:val="21"/>
        </w:rPr>
        <w:t>场所</w:t>
      </w:r>
      <w:r>
        <w:rPr>
          <w:rFonts w:hint="eastAsia"/>
          <w:szCs w:val="21"/>
        </w:rPr>
        <w:t>应有监控摄像</w:t>
      </w:r>
      <w:r>
        <w:rPr>
          <w:szCs w:val="21"/>
        </w:rPr>
        <w:t>设备</w:t>
      </w:r>
      <w:r>
        <w:rPr>
          <w:rFonts w:hint="eastAsia"/>
          <w:szCs w:val="21"/>
        </w:rPr>
        <w:t>，</w:t>
      </w:r>
      <w:r>
        <w:rPr>
          <w:szCs w:val="21"/>
        </w:rPr>
        <w:t>且监控范围</w:t>
      </w:r>
      <w:r>
        <w:rPr>
          <w:rFonts w:hint="eastAsia"/>
          <w:szCs w:val="21"/>
        </w:rPr>
        <w:t>无死角。</w:t>
      </w:r>
    </w:p>
    <w:p w14:paraId="19202564">
      <w:pPr>
        <w:pStyle w:val="162"/>
        <w:ind w:left="0"/>
      </w:pPr>
      <w:r>
        <w:rPr>
          <w:rFonts w:hint="eastAsia"/>
        </w:rPr>
        <w:t>化学试剂储存柜应根据所存放试剂的特性采用耐腐蚀、防静电的材料，柜底有盛漏槽，必要时还应连接通风管道。试剂摆放应考量柜体及层板的最大承重。</w:t>
      </w:r>
    </w:p>
    <w:p w14:paraId="3A6CD26D">
      <w:pPr>
        <w:pStyle w:val="162"/>
        <w:ind w:left="0"/>
      </w:pPr>
      <w:r>
        <w:rPr>
          <w:rFonts w:hint="eastAsia"/>
          <w:szCs w:val="21"/>
        </w:rPr>
        <w:t>剧毒品</w:t>
      </w:r>
      <w:r>
        <w:rPr>
          <w:szCs w:val="21"/>
        </w:rPr>
        <w:t>和易制毒试剂应按要求配备专门的储存试剂柜，并按要求配备双锁；易制爆试剂配备专用防爆柜</w:t>
      </w:r>
      <w:r>
        <w:rPr>
          <w:rFonts w:hint="eastAsia"/>
          <w:szCs w:val="21"/>
        </w:rPr>
        <w:t>。</w:t>
      </w:r>
    </w:p>
    <w:bookmarkEnd w:id="63"/>
    <w:p w14:paraId="382EE5D0">
      <w:pPr>
        <w:pStyle w:val="104"/>
        <w:spacing w:before="312" w:after="312"/>
      </w:pPr>
      <w:bookmarkStart w:id="64" w:name="_Toc184040991"/>
      <w:bookmarkStart w:id="65" w:name="_Toc144307056"/>
      <w:r>
        <w:rPr>
          <w:rFonts w:hint="eastAsia"/>
        </w:rPr>
        <w:t>入库管理</w:t>
      </w:r>
      <w:bookmarkEnd w:id="64"/>
      <w:bookmarkEnd w:id="65"/>
    </w:p>
    <w:p w14:paraId="7A331C19">
      <w:pPr>
        <w:pStyle w:val="162"/>
        <w:ind w:left="0"/>
      </w:pPr>
      <w:r>
        <w:rPr>
          <w:rFonts w:hint="eastAsia"/>
        </w:rPr>
        <w:t>检验检测机构化学试剂的供应商应是经评价符合要求的供应商，按照国家相关规定履行采购手续。</w:t>
      </w:r>
    </w:p>
    <w:p w14:paraId="2319A271">
      <w:pPr>
        <w:pStyle w:val="162"/>
        <w:ind w:left="0"/>
      </w:pPr>
      <w:r>
        <w:rPr>
          <w:rFonts w:hint="eastAsia"/>
        </w:rPr>
        <w:t>化学试剂在到货后应现场查验包装的完整性，核对名称、规格、数量、级别一致方可入库，</w:t>
      </w:r>
      <w:r>
        <w:rPr>
          <w:szCs w:val="21"/>
        </w:rPr>
        <w:t>如必要，应对关键试剂进行验收</w:t>
      </w:r>
      <w:r>
        <w:rPr>
          <w:rFonts w:hint="eastAsia"/>
        </w:rPr>
        <w:t>。</w:t>
      </w:r>
    </w:p>
    <w:p w14:paraId="7E821F32">
      <w:pPr>
        <w:pStyle w:val="162"/>
        <w:ind w:left="0"/>
      </w:pPr>
      <w:r>
        <w:rPr>
          <w:rFonts w:hint="eastAsia"/>
        </w:rPr>
        <w:t>检验检测机构应根据工作需要大量采购化学试剂，尽量避免长期储存。定期检查化学试剂的存放情况，如发现其品质变化、包装破损、渗漏等情况及时处理。</w:t>
      </w:r>
    </w:p>
    <w:p w14:paraId="67F2121A">
      <w:pPr>
        <w:pStyle w:val="162"/>
        <w:ind w:left="0"/>
      </w:pPr>
      <w:r>
        <w:rPr>
          <w:rFonts w:hint="eastAsia"/>
        </w:rPr>
        <w:t>化学试剂的储存应按</w:t>
      </w:r>
      <w:r>
        <w:rPr>
          <w:rFonts w:hint="eastAsia"/>
          <w:color w:val="FF0000"/>
        </w:rPr>
        <w:t>D</w:t>
      </w:r>
      <w:r>
        <w:rPr>
          <w:color w:val="FF0000"/>
        </w:rPr>
        <w:t>B61/T 1327.**</w:t>
      </w:r>
      <w:r>
        <w:rPr>
          <w:rFonts w:hint="eastAsia"/>
          <w:color w:val="FF0000"/>
        </w:rPr>
        <w:t>《检验检测机构资质认定 第 部分：设施与环境要求》中</w:t>
      </w:r>
      <w:r>
        <w:rPr>
          <w:color w:val="FF0000"/>
        </w:rPr>
        <w:t>6.2.4</w:t>
      </w:r>
      <w:r>
        <w:rPr>
          <w:rFonts w:hint="eastAsia"/>
        </w:rPr>
        <w:t>的要求存放。</w:t>
      </w:r>
    </w:p>
    <w:p w14:paraId="3A4CC50B">
      <w:pPr>
        <w:pStyle w:val="162"/>
        <w:ind w:left="0"/>
      </w:pPr>
      <w:r>
        <w:rPr>
          <w:rFonts w:hint="eastAsia"/>
        </w:rPr>
        <w:t>化学试剂根据分类、储存方式和消防要求等分区、分类储存，留有一定安全距离，不相容、化学性质或灭火方法相抵的化学品不应在同一库房内存放，在醒目处设立警示标识。</w:t>
      </w:r>
    </w:p>
    <w:p w14:paraId="2C06AA7C">
      <w:pPr>
        <w:pStyle w:val="162"/>
        <w:ind w:left="0"/>
      </w:pPr>
      <w:r>
        <w:rPr>
          <w:rFonts w:hint="eastAsia"/>
        </w:rPr>
        <w:t>化学试剂储存柜应避免阳光直射或靠近暖气等热源，保持通风良好，不宜贴邻实验台设置，易燃</w:t>
      </w:r>
      <w:r>
        <w:t>易爆等</w:t>
      </w:r>
      <w:r>
        <w:rPr>
          <w:rFonts w:hint="eastAsia"/>
        </w:rPr>
        <w:t>危险性</w:t>
      </w:r>
      <w:r>
        <w:t>化学</w:t>
      </w:r>
      <w:r>
        <w:rPr>
          <w:rFonts w:hint="eastAsia"/>
        </w:rPr>
        <w:t>试剂不应放置于地下室。</w:t>
      </w:r>
    </w:p>
    <w:p w14:paraId="53FD143A">
      <w:pPr>
        <w:pStyle w:val="162"/>
        <w:ind w:left="0"/>
      </w:pPr>
      <w:r>
        <w:rPr>
          <w:rFonts w:hint="eastAsia"/>
        </w:rPr>
        <w:t>遇火、遇潮容易燃烧、爆炸或产生有毒气体的化学危险物品，不得在露天、潮湿、漏雨和低洼容易积水的地点存放。</w:t>
      </w:r>
    </w:p>
    <w:p w14:paraId="1DB2C8EC">
      <w:pPr>
        <w:pStyle w:val="162"/>
        <w:ind w:left="0"/>
      </w:pPr>
      <w:r>
        <w:rPr>
          <w:rFonts w:hint="eastAsia"/>
        </w:rPr>
        <w:t>受阳光照射容易燃烧、爆炸或产生有毒气体的化学试剂和易燃液体应当在阴凉通风地点存放。</w:t>
      </w:r>
    </w:p>
    <w:p w14:paraId="60F3AC4F">
      <w:pPr>
        <w:pStyle w:val="104"/>
        <w:spacing w:before="312" w:after="312"/>
      </w:pPr>
      <w:bookmarkStart w:id="66" w:name="_Toc144307057"/>
      <w:bookmarkStart w:id="67" w:name="_Toc184040992"/>
      <w:r>
        <w:rPr>
          <w:rFonts w:hint="eastAsia"/>
        </w:rPr>
        <w:t>日常管理</w:t>
      </w:r>
      <w:bookmarkEnd w:id="66"/>
      <w:bookmarkEnd w:id="67"/>
    </w:p>
    <w:p w14:paraId="7F26494F">
      <w:pPr>
        <w:pStyle w:val="162"/>
        <w:ind w:left="0"/>
      </w:pPr>
      <w:r>
        <w:rPr>
          <w:rFonts w:hint="eastAsia"/>
        </w:rPr>
        <w:t>化学试剂的领用应遵循按需领取、同类试剂先入先出的原则，记录领用人、领用时间、名称数量、使用情况等信息备查，防止化学试剂外流。</w:t>
      </w:r>
    </w:p>
    <w:p w14:paraId="7AD74A24">
      <w:pPr>
        <w:pStyle w:val="162"/>
        <w:ind w:left="0"/>
      </w:pPr>
      <w:r>
        <w:rPr>
          <w:rFonts w:hint="eastAsia"/>
        </w:rPr>
        <w:t>化学试剂</w:t>
      </w:r>
      <w:r>
        <w:rPr>
          <w:szCs w:val="21"/>
        </w:rPr>
        <w:t>使用前应检查其性状，</w:t>
      </w:r>
      <w:r>
        <w:rPr>
          <w:rFonts w:hint="eastAsia"/>
        </w:rPr>
        <w:t>使用应严格按照检验标准、说明书、作业指导书等规范性文件操作，监督员有权责令终止违反操作规程、偏离标准或程序的一切检验活动，督促进行纠正。</w:t>
      </w:r>
    </w:p>
    <w:p w14:paraId="30443D64">
      <w:pPr>
        <w:pStyle w:val="162"/>
        <w:ind w:left="0"/>
      </w:pPr>
      <w:r>
        <w:rPr>
          <w:rFonts w:hint="eastAsia"/>
        </w:rPr>
        <w:t>接触化学试剂的人员在工作中应重视个人防护，识别各类化学试剂存在的风险，根据需要做好个人防护措施，包括：</w:t>
      </w:r>
    </w:p>
    <w:p w14:paraId="7BF00DB1">
      <w:pPr>
        <w:pStyle w:val="162"/>
        <w:numPr>
          <w:ilvl w:val="0"/>
          <w:numId w:val="0"/>
        </w:numPr>
        <w:ind w:left="425"/>
      </w:pPr>
      <w:r>
        <w:rPr>
          <w:rFonts w:hint="eastAsia"/>
        </w:rPr>
        <w:t>a)</w:t>
      </w:r>
      <w:r>
        <w:rPr>
          <w:rFonts w:hint="eastAsia"/>
        </w:rPr>
        <w:tab/>
      </w:r>
      <w:r>
        <w:rPr>
          <w:rFonts w:hint="eastAsia"/>
        </w:rPr>
        <w:t>防护服、实验服；</w:t>
      </w:r>
    </w:p>
    <w:p w14:paraId="434A3CBB">
      <w:pPr>
        <w:pStyle w:val="162"/>
        <w:numPr>
          <w:ilvl w:val="0"/>
          <w:numId w:val="0"/>
        </w:numPr>
        <w:ind w:left="425"/>
      </w:pPr>
      <w:r>
        <w:rPr>
          <w:rFonts w:hint="eastAsia"/>
        </w:rPr>
        <w:t>b)</w:t>
      </w:r>
      <w:r>
        <w:rPr>
          <w:rFonts w:hint="eastAsia"/>
        </w:rPr>
        <w:tab/>
      </w:r>
      <w:r>
        <w:rPr>
          <w:rFonts w:hint="eastAsia"/>
        </w:rPr>
        <w:t>护目镜、防护面罩；</w:t>
      </w:r>
    </w:p>
    <w:p w14:paraId="1208AE79">
      <w:pPr>
        <w:pStyle w:val="162"/>
        <w:numPr>
          <w:ilvl w:val="0"/>
          <w:numId w:val="0"/>
        </w:numPr>
        <w:ind w:left="425"/>
      </w:pPr>
      <w:r>
        <w:rPr>
          <w:rFonts w:hint="eastAsia"/>
        </w:rPr>
        <w:t>c)</w:t>
      </w:r>
      <w:r>
        <w:rPr>
          <w:rFonts w:hint="eastAsia"/>
        </w:rPr>
        <w:tab/>
      </w:r>
      <w:r>
        <w:rPr>
          <w:rFonts w:hint="eastAsia"/>
        </w:rPr>
        <w:t>手套；</w:t>
      </w:r>
    </w:p>
    <w:p w14:paraId="721A17F1">
      <w:pPr>
        <w:pStyle w:val="162"/>
        <w:numPr>
          <w:ilvl w:val="0"/>
          <w:numId w:val="0"/>
        </w:numPr>
        <w:ind w:left="425"/>
      </w:pPr>
      <w:r>
        <w:rPr>
          <w:rFonts w:hint="eastAsia"/>
        </w:rPr>
        <w:t>d)</w:t>
      </w:r>
      <w:r>
        <w:rPr>
          <w:rFonts w:hint="eastAsia"/>
        </w:rPr>
        <w:tab/>
      </w:r>
      <w:r>
        <w:rPr>
          <w:rFonts w:hint="eastAsia"/>
        </w:rPr>
        <w:t>口罩、防毒面具；</w:t>
      </w:r>
    </w:p>
    <w:p w14:paraId="6CF16811">
      <w:pPr>
        <w:pStyle w:val="162"/>
        <w:numPr>
          <w:ilvl w:val="0"/>
          <w:numId w:val="0"/>
        </w:numPr>
        <w:ind w:left="425"/>
      </w:pPr>
      <w:r>
        <w:rPr>
          <w:rFonts w:hint="eastAsia"/>
        </w:rPr>
        <w:t>e</w:t>
      </w:r>
      <w:r>
        <w:t>）</w:t>
      </w:r>
      <w:r>
        <w:rPr>
          <w:rFonts w:hint="eastAsia"/>
        </w:rPr>
        <w:t xml:space="preserve"> 防护鞋</w:t>
      </w:r>
      <w:r>
        <w:t>；</w:t>
      </w:r>
    </w:p>
    <w:p w14:paraId="09A0388B">
      <w:pPr>
        <w:pStyle w:val="162"/>
        <w:numPr>
          <w:ilvl w:val="0"/>
          <w:numId w:val="0"/>
        </w:numPr>
        <w:ind w:left="425"/>
      </w:pPr>
      <w:r>
        <w:t>f</w:t>
      </w:r>
      <w:r>
        <w:rPr>
          <w:rFonts w:hint="eastAsia"/>
        </w:rPr>
        <w:t>)</w:t>
      </w:r>
      <w:r>
        <w:rPr>
          <w:rFonts w:hint="eastAsia"/>
        </w:rPr>
        <w:tab/>
      </w:r>
      <w:r>
        <w:rPr>
          <w:rFonts w:hint="eastAsia"/>
        </w:rPr>
        <w:t>其他必要的防护装备。</w:t>
      </w:r>
    </w:p>
    <w:p w14:paraId="7A77EF21">
      <w:pPr>
        <w:pStyle w:val="162"/>
        <w:ind w:left="0"/>
      </w:pPr>
      <w:r>
        <w:rPr>
          <w:rFonts w:hint="eastAsia"/>
        </w:rPr>
        <w:t>剧毒、易制毒、易制爆等特殊化学试剂如有剩余应在试验结束后退回入库，并记录退回试剂的种类和数量。</w:t>
      </w:r>
    </w:p>
    <w:p w14:paraId="661DBBF9">
      <w:pPr>
        <w:pStyle w:val="104"/>
        <w:spacing w:before="312" w:after="312"/>
      </w:pPr>
      <w:bookmarkStart w:id="68" w:name="_Toc184040993"/>
      <w:bookmarkStart w:id="69" w:name="_Toc144307058"/>
      <w:r>
        <w:rPr>
          <w:rFonts w:hint="eastAsia"/>
        </w:rPr>
        <w:t>废弃处置</w:t>
      </w:r>
      <w:bookmarkEnd w:id="68"/>
      <w:bookmarkEnd w:id="69"/>
    </w:p>
    <w:bookmarkEnd w:id="24"/>
    <w:p w14:paraId="0F400CC6">
      <w:pPr>
        <w:pStyle w:val="162"/>
        <w:ind w:left="0"/>
      </w:pPr>
      <w:bookmarkStart w:id="70" w:name="BookMark6"/>
      <w:r>
        <w:rPr>
          <w:rFonts w:hint="eastAsia"/>
        </w:rPr>
        <w:t>检验检测机构应设置专门的化学试剂废液、包装废弃物存储区域，禁止堆积其他可燃物品，保障通风及消防安全，并设专人管理。</w:t>
      </w:r>
    </w:p>
    <w:p w14:paraId="236ECEBA">
      <w:pPr>
        <w:pStyle w:val="162"/>
        <w:ind w:left="0"/>
      </w:pPr>
      <w:r>
        <w:rPr>
          <w:rFonts w:hint="eastAsia"/>
        </w:rPr>
        <w:t>检验检测机构各环节发现化学试剂出现过期、破损、分解、变质等情况应及时做报废处理，发现化学试剂泄漏或渗漏，应立即转移到安全处更换包装容器或做报废处理，新的包装容器应重新加贴标签并标注转移时间。</w:t>
      </w:r>
    </w:p>
    <w:p w14:paraId="45F29BCD">
      <w:pPr>
        <w:pStyle w:val="162"/>
        <w:ind w:left="0"/>
      </w:pPr>
      <w:r>
        <w:rPr>
          <w:rFonts w:hint="eastAsia"/>
        </w:rPr>
        <w:t>使用后的化学试剂废液应按特性分类收集、储存，必要时可进行稀释、中和或无毒化处理，并记录收集种类、数量、时间等信息，不得任意倾倒，污染环境。</w:t>
      </w:r>
    </w:p>
    <w:p w14:paraId="644AC023">
      <w:pPr>
        <w:pStyle w:val="162"/>
        <w:ind w:left="0"/>
      </w:pPr>
      <w:r>
        <w:rPr>
          <w:rFonts w:hint="eastAsia"/>
        </w:rPr>
        <w:t>所收集报废试剂、废液储存时间不宜过长，应委托有处置资质的单位回收处理。</w:t>
      </w:r>
    </w:p>
    <w:p w14:paraId="58E61330">
      <w:pPr>
        <w:pStyle w:val="162"/>
        <w:ind w:left="0"/>
      </w:pPr>
      <w:r>
        <w:rPr>
          <w:rFonts w:hint="eastAsia"/>
        </w:rPr>
        <w:t>有毒</w:t>
      </w:r>
      <w:r>
        <w:t>有害化学试剂废液、包装废弃物</w:t>
      </w:r>
      <w:r>
        <w:rPr>
          <w:rFonts w:hint="eastAsia"/>
        </w:rPr>
        <w:t>的</w:t>
      </w:r>
      <w:r>
        <w:t>处置应符合相关环境保护要求。</w:t>
      </w:r>
    </w:p>
    <w:p w14:paraId="39C7BFBE">
      <w:pPr>
        <w:pStyle w:val="104"/>
        <w:spacing w:before="312" w:after="312"/>
      </w:pPr>
      <w:bookmarkStart w:id="71" w:name="_Toc184040994"/>
      <w:r>
        <w:rPr>
          <w:rFonts w:hint="eastAsia"/>
        </w:rPr>
        <w:t>监督检查</w:t>
      </w:r>
      <w:bookmarkEnd w:id="71"/>
    </w:p>
    <w:p w14:paraId="3F13A767">
      <w:pPr>
        <w:pStyle w:val="162"/>
        <w:ind w:left="0"/>
      </w:pPr>
      <w:r>
        <w:rPr>
          <w:rFonts w:hint="eastAsia"/>
        </w:rPr>
        <w:t>检验检测机构应对化学试剂管理进行定期或不定期检查，验证第</w:t>
      </w:r>
      <w:r>
        <w:t>4</w:t>
      </w:r>
      <w:r>
        <w:rPr>
          <w:rFonts w:hint="eastAsia"/>
        </w:rPr>
        <w:t>章～</w:t>
      </w:r>
      <w:r>
        <w:t>10</w:t>
      </w:r>
      <w:r>
        <w:rPr>
          <w:rFonts w:hint="eastAsia"/>
        </w:rPr>
        <w:t>章标准条款的符合性和有效性。</w:t>
      </w:r>
    </w:p>
    <w:p w14:paraId="7009E9EA">
      <w:pPr>
        <w:pStyle w:val="162"/>
        <w:ind w:left="0"/>
      </w:pPr>
      <w:r>
        <w:rPr>
          <w:rFonts w:hint="eastAsia"/>
        </w:rPr>
        <w:t>监督检查可采用现场检查、查阅资料和记录、问询等方式进行。</w:t>
      </w:r>
    </w:p>
    <w:p w14:paraId="475FAB7F">
      <w:pPr>
        <w:pStyle w:val="162"/>
        <w:ind w:left="0"/>
      </w:pPr>
      <w:r>
        <w:rPr>
          <w:rFonts w:hint="eastAsia"/>
        </w:rPr>
        <w:t>检查发现存在不符合要求的情形，</w:t>
      </w:r>
      <w:bookmarkStart w:id="72" w:name="_Hlk184040904"/>
      <w:r>
        <w:rPr>
          <w:rFonts w:hint="eastAsia"/>
        </w:rPr>
        <w:t>应立即纠正或要求在限定期限内予以纠正。</w:t>
      </w:r>
      <w:bookmarkEnd w:id="72"/>
      <w:r>
        <w:t xml:space="preserve"> </w:t>
      </w:r>
    </w:p>
    <w:p w14:paraId="3C42F9C8">
      <w:pPr>
        <w:pStyle w:val="162"/>
        <w:ind w:left="0"/>
      </w:pPr>
      <w:r>
        <w:rPr>
          <w:rFonts w:hint="eastAsia"/>
        </w:rPr>
        <w:t>应根据检查结果对发现的问题采取纠正和预防措施，持续改进。</w:t>
      </w:r>
    </w:p>
    <w:p w14:paraId="1E83F3B2">
      <w:pPr>
        <w:pStyle w:val="104"/>
        <w:numPr>
          <w:ilvl w:val="0"/>
          <w:numId w:val="0"/>
        </w:numPr>
        <w:spacing w:before="312" w:after="312"/>
      </w:pPr>
    </w:p>
    <w:p w14:paraId="37EEB273">
      <w:pPr>
        <w:pStyle w:val="56"/>
        <w:ind w:firstLine="420"/>
      </w:pPr>
    </w:p>
    <w:p w14:paraId="4EBDF83C">
      <w:pPr>
        <w:pStyle w:val="56"/>
        <w:ind w:firstLine="420"/>
      </w:pPr>
    </w:p>
    <w:p w14:paraId="5BE887C2">
      <w:pPr>
        <w:pStyle w:val="56"/>
        <w:ind w:firstLine="420"/>
      </w:pPr>
    </w:p>
    <w:p w14:paraId="288298FE">
      <w:pPr>
        <w:pStyle w:val="56"/>
        <w:ind w:firstLine="420"/>
      </w:pPr>
    </w:p>
    <w:p w14:paraId="16EA6203">
      <w:pPr>
        <w:pStyle w:val="56"/>
        <w:ind w:firstLine="420"/>
      </w:pPr>
    </w:p>
    <w:p w14:paraId="0B66E730">
      <w:pPr>
        <w:pStyle w:val="56"/>
        <w:ind w:firstLine="420"/>
      </w:pPr>
    </w:p>
    <w:p w14:paraId="00270081">
      <w:pPr>
        <w:pStyle w:val="56"/>
        <w:ind w:firstLine="420"/>
      </w:pPr>
    </w:p>
    <w:p w14:paraId="08353AFC">
      <w:pPr>
        <w:pStyle w:val="56"/>
        <w:ind w:firstLine="420"/>
      </w:pPr>
    </w:p>
    <w:p w14:paraId="4F487DF7">
      <w:pPr>
        <w:pStyle w:val="56"/>
        <w:ind w:firstLine="420"/>
      </w:pPr>
    </w:p>
    <w:p w14:paraId="62672D16">
      <w:pPr>
        <w:pStyle w:val="56"/>
        <w:ind w:firstLine="420"/>
      </w:pPr>
    </w:p>
    <w:p w14:paraId="1B973DBD">
      <w:pPr>
        <w:pStyle w:val="56"/>
        <w:ind w:firstLine="420"/>
      </w:pPr>
    </w:p>
    <w:p w14:paraId="7C2B3215">
      <w:pPr>
        <w:pStyle w:val="56"/>
        <w:ind w:firstLine="420"/>
      </w:pPr>
    </w:p>
    <w:p w14:paraId="2450210B">
      <w:pPr>
        <w:pStyle w:val="56"/>
        <w:ind w:firstLine="420"/>
      </w:pPr>
    </w:p>
    <w:p w14:paraId="1B059B53">
      <w:pPr>
        <w:pStyle w:val="56"/>
        <w:ind w:firstLine="420"/>
      </w:pPr>
    </w:p>
    <w:p w14:paraId="3975326A">
      <w:pPr>
        <w:pStyle w:val="56"/>
        <w:ind w:firstLine="420"/>
      </w:pPr>
    </w:p>
    <w:p w14:paraId="020330AB">
      <w:pPr>
        <w:pStyle w:val="56"/>
        <w:ind w:firstLine="420"/>
      </w:pPr>
    </w:p>
    <w:p w14:paraId="6F2A513D">
      <w:pPr>
        <w:pStyle w:val="56"/>
        <w:ind w:firstLine="420"/>
      </w:pPr>
    </w:p>
    <w:p w14:paraId="75374794">
      <w:pPr>
        <w:pStyle w:val="56"/>
        <w:ind w:firstLine="420"/>
      </w:pPr>
    </w:p>
    <w:p w14:paraId="3734F53B">
      <w:pPr>
        <w:pStyle w:val="56"/>
        <w:ind w:firstLine="420"/>
      </w:pPr>
    </w:p>
    <w:p w14:paraId="6C1F4FDB">
      <w:pPr>
        <w:pStyle w:val="56"/>
        <w:ind w:firstLine="420"/>
      </w:pPr>
    </w:p>
    <w:p w14:paraId="2A1126D7">
      <w:pPr>
        <w:pStyle w:val="56"/>
        <w:ind w:firstLine="420"/>
      </w:pPr>
    </w:p>
    <w:p w14:paraId="4226B74C">
      <w:pPr>
        <w:pStyle w:val="56"/>
        <w:ind w:firstLine="420"/>
      </w:pPr>
    </w:p>
    <w:p w14:paraId="3DE0BE1A">
      <w:pPr>
        <w:pStyle w:val="56"/>
        <w:ind w:firstLine="420"/>
      </w:pPr>
    </w:p>
    <w:p w14:paraId="5EA6FCF2">
      <w:pPr>
        <w:pStyle w:val="56"/>
        <w:ind w:firstLine="420"/>
      </w:pPr>
    </w:p>
    <w:p w14:paraId="4A36493F">
      <w:pPr>
        <w:pStyle w:val="56"/>
        <w:ind w:firstLine="420"/>
      </w:pPr>
    </w:p>
    <w:p w14:paraId="2E8A0782">
      <w:pPr>
        <w:pStyle w:val="56"/>
        <w:ind w:firstLine="420"/>
      </w:pPr>
    </w:p>
    <w:p w14:paraId="376574B7">
      <w:pPr>
        <w:pStyle w:val="56"/>
        <w:ind w:firstLine="420"/>
      </w:pPr>
    </w:p>
    <w:p w14:paraId="74876D4D">
      <w:pPr>
        <w:pStyle w:val="56"/>
        <w:ind w:firstLine="420"/>
      </w:pPr>
    </w:p>
    <w:p w14:paraId="4F4ECB65">
      <w:pPr>
        <w:pStyle w:val="56"/>
        <w:ind w:firstLine="420"/>
      </w:pPr>
    </w:p>
    <w:p w14:paraId="514BFBBF">
      <w:pPr>
        <w:pStyle w:val="56"/>
        <w:ind w:firstLine="420"/>
      </w:pPr>
    </w:p>
    <w:p w14:paraId="038A5E2A">
      <w:pPr>
        <w:pStyle w:val="56"/>
        <w:ind w:firstLine="420"/>
      </w:pPr>
    </w:p>
    <w:p w14:paraId="54E19657">
      <w:pPr>
        <w:pStyle w:val="56"/>
        <w:ind w:firstLine="420"/>
      </w:pPr>
    </w:p>
    <w:p w14:paraId="00BE58B4">
      <w:pPr>
        <w:pStyle w:val="56"/>
        <w:ind w:firstLine="420"/>
      </w:pPr>
    </w:p>
    <w:p w14:paraId="27E1C912">
      <w:pPr>
        <w:pStyle w:val="56"/>
        <w:ind w:firstLine="420"/>
      </w:pPr>
    </w:p>
    <w:p w14:paraId="724EE65A">
      <w:pPr>
        <w:pStyle w:val="56"/>
        <w:ind w:firstLine="420"/>
        <w:rPr>
          <w:rFonts w:hint="eastAsia"/>
        </w:rPr>
      </w:pPr>
    </w:p>
    <w:p w14:paraId="18D72EA3">
      <w:pPr>
        <w:pStyle w:val="56"/>
        <w:ind w:firstLine="420"/>
      </w:pPr>
    </w:p>
    <w:p w14:paraId="64343A32">
      <w:pPr>
        <w:pStyle w:val="56"/>
        <w:ind w:firstLine="420"/>
      </w:pPr>
    </w:p>
    <w:p w14:paraId="2BF6C326">
      <w:pPr>
        <w:pStyle w:val="63"/>
        <w:spacing w:before="124" w:after="156"/>
      </w:pPr>
      <w:bookmarkStart w:id="73" w:name="_Toc184040995"/>
      <w:bookmarkStart w:id="74" w:name="_Toc144307059"/>
      <w:r>
        <w:rPr>
          <w:rFonts w:hint="eastAsia"/>
          <w:spacing w:val="105"/>
        </w:rPr>
        <w:t>参考文</w:t>
      </w:r>
      <w:r>
        <w:rPr>
          <w:rFonts w:hint="eastAsia"/>
        </w:rPr>
        <w:t>献</w:t>
      </w:r>
      <w:bookmarkEnd w:id="73"/>
      <w:bookmarkEnd w:id="74"/>
    </w:p>
    <w:p w14:paraId="34A9517C">
      <w:pPr>
        <w:pStyle w:val="230"/>
        <w:numPr>
          <w:ilvl w:val="0"/>
          <w:numId w:val="33"/>
        </w:numPr>
        <w:tabs>
          <w:tab w:val="left" w:pos="852"/>
        </w:tabs>
        <w:kinsoku w:val="0"/>
        <w:overflowPunct w:val="0"/>
        <w:ind w:left="851"/>
        <w:rPr>
          <w:sz w:val="21"/>
          <w:szCs w:val="21"/>
        </w:rPr>
      </w:pPr>
      <w:r>
        <w:rPr>
          <w:rFonts w:ascii="Times New Roman" w:cs="Times New Roman" w:eastAsiaTheme="minorEastAsia"/>
          <w:sz w:val="21"/>
          <w:szCs w:val="21"/>
        </w:rPr>
        <w:t xml:space="preserve">GB/T 24777-2009 </w:t>
      </w:r>
      <w:r>
        <w:rPr>
          <w:rFonts w:hint="eastAsia"/>
          <w:sz w:val="21"/>
          <w:szCs w:val="21"/>
        </w:rPr>
        <w:t>化学品理化及其危险性检测实验室安全要求</w:t>
      </w:r>
    </w:p>
    <w:p w14:paraId="4AD219E5">
      <w:pPr>
        <w:pStyle w:val="230"/>
        <w:numPr>
          <w:ilvl w:val="0"/>
          <w:numId w:val="33"/>
        </w:numPr>
        <w:tabs>
          <w:tab w:val="left" w:pos="852"/>
        </w:tabs>
        <w:kinsoku w:val="0"/>
        <w:overflowPunct w:val="0"/>
        <w:ind w:left="851"/>
        <w:rPr>
          <w:rFonts w:ascii="Times New Roman" w:cs="Times New Roman" w:eastAsiaTheme="minorEastAsia"/>
          <w:sz w:val="21"/>
          <w:szCs w:val="21"/>
        </w:rPr>
      </w:pPr>
      <w:r>
        <w:rPr>
          <w:rFonts w:hint="eastAsia" w:ascii="Times New Roman" w:cs="Times New Roman" w:eastAsiaTheme="minorEastAsia"/>
          <w:sz w:val="21"/>
          <w:szCs w:val="21"/>
        </w:rPr>
        <w:t xml:space="preserve">GB 13690-2009 </w:t>
      </w:r>
      <w:r>
        <w:rPr>
          <w:rFonts w:hint="eastAsia"/>
          <w:spacing w:val="-6"/>
          <w:sz w:val="21"/>
          <w:szCs w:val="21"/>
        </w:rPr>
        <w:t>化学品分类和危险性公示 通则</w:t>
      </w:r>
    </w:p>
    <w:p w14:paraId="3FF55B25">
      <w:pPr>
        <w:pStyle w:val="230"/>
        <w:numPr>
          <w:ilvl w:val="0"/>
          <w:numId w:val="33"/>
        </w:numPr>
        <w:tabs>
          <w:tab w:val="left" w:pos="852"/>
        </w:tabs>
        <w:kinsoku w:val="0"/>
        <w:overflowPunct w:val="0"/>
        <w:ind w:left="851"/>
        <w:rPr>
          <w:sz w:val="21"/>
          <w:szCs w:val="21"/>
        </w:rPr>
      </w:pPr>
      <w:r>
        <w:rPr>
          <w:rFonts w:hint="eastAsia" w:ascii="Times New Roman" w:cs="Times New Roman" w:eastAsiaTheme="minorEastAsia"/>
          <w:sz w:val="21"/>
          <w:szCs w:val="21"/>
        </w:rPr>
        <w:t>T</w:t>
      </w:r>
      <w:r>
        <w:rPr>
          <w:rFonts w:ascii="Times New Roman" w:cs="Times New Roman" w:eastAsiaTheme="minorEastAsia"/>
          <w:sz w:val="21"/>
          <w:szCs w:val="21"/>
        </w:rPr>
        <w:t xml:space="preserve">/SXCAA015-2021 </w:t>
      </w:r>
      <w:r>
        <w:rPr>
          <w:rFonts w:hint="eastAsia"/>
          <w:sz w:val="21"/>
          <w:szCs w:val="21"/>
        </w:rPr>
        <w:t>检验检测机构常用化学试剂储存管理指南</w:t>
      </w:r>
    </w:p>
    <w:bookmarkEnd w:id="70"/>
    <w:p w14:paraId="49485264">
      <w:pPr>
        <w:pStyle w:val="56"/>
        <w:ind w:firstLine="0" w:firstLineChars="0"/>
        <w:jc w:val="center"/>
      </w:pPr>
      <w:bookmarkStart w:id="75"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5"/>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A8527">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02501">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CFEF0">
    <w:pPr>
      <w:pStyle w:val="52"/>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A044E">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D0CD1">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B7937">
    <w:pPr>
      <w:pStyle w:val="61"/>
    </w:pPr>
    <w:r>
      <w:fldChar w:fldCharType="begin"/>
    </w:r>
    <w:r>
      <w:instrText xml:space="preserve"> STYLEREF  标准文件_文件编号  \* MERGEFORMAT </w:instrText>
    </w:r>
    <w:r>
      <w:fldChar w:fldCharType="separate"/>
    </w:r>
    <w:r>
      <w:t>DB61/T 1327.—XXXX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661F3">
    <w:pPr>
      <w:pStyle w:val="18"/>
      <w:jc w:val="right"/>
      <w:rPr>
        <w:lang w:val="fr-FR"/>
      </w:rPr>
    </w:pPr>
    <w:r>
      <w:fldChar w:fldCharType="begin"/>
    </w:r>
    <w:r>
      <w:instrText xml:space="preserve"> STYLEREF  标准文件_文件编号  \* MERGEFORMAT </w:instrText>
    </w:r>
    <w:r>
      <w:fldChar w:fldCharType="separate"/>
    </w:r>
    <w:r>
      <w:t>DB61/T 1327.—XXXX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none"/>
      <w:suff w:val="nothing"/>
      <w:lvlText w:val=""/>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00000406"/>
    <w:multiLevelType w:val="multilevel"/>
    <w:tmpl w:val="00000406"/>
    <w:lvl w:ilvl="0" w:tentative="0">
      <w:start w:val="1"/>
      <w:numFmt w:val="decimal"/>
      <w:lvlText w:val="[%1]"/>
      <w:lvlJc w:val="left"/>
      <w:pPr>
        <w:ind w:left="852" w:hanging="454"/>
      </w:pPr>
      <w:rPr>
        <w:rFonts w:ascii="Times New Roman" w:hAnsi="Times New Roman" w:cs="Times New Roman"/>
        <w:b w:val="0"/>
        <w:bCs w:val="0"/>
        <w:w w:val="99"/>
        <w:sz w:val="21"/>
        <w:szCs w:val="21"/>
      </w:rPr>
    </w:lvl>
    <w:lvl w:ilvl="1" w:tentative="0">
      <w:start w:val="0"/>
      <w:numFmt w:val="bullet"/>
      <w:lvlText w:val="•"/>
      <w:lvlJc w:val="left"/>
      <w:pPr>
        <w:ind w:left="1776" w:hanging="454"/>
      </w:pPr>
    </w:lvl>
    <w:lvl w:ilvl="2" w:tentative="0">
      <w:start w:val="0"/>
      <w:numFmt w:val="bullet"/>
      <w:lvlText w:val="•"/>
      <w:lvlJc w:val="left"/>
      <w:pPr>
        <w:ind w:left="2693" w:hanging="454"/>
      </w:pPr>
    </w:lvl>
    <w:lvl w:ilvl="3" w:tentative="0">
      <w:start w:val="0"/>
      <w:numFmt w:val="bullet"/>
      <w:lvlText w:val="•"/>
      <w:lvlJc w:val="left"/>
      <w:pPr>
        <w:ind w:left="3609" w:hanging="454"/>
      </w:pPr>
    </w:lvl>
    <w:lvl w:ilvl="4" w:tentative="0">
      <w:start w:val="0"/>
      <w:numFmt w:val="bullet"/>
      <w:lvlText w:val="•"/>
      <w:lvlJc w:val="left"/>
      <w:pPr>
        <w:ind w:left="4526" w:hanging="454"/>
      </w:pPr>
    </w:lvl>
    <w:lvl w:ilvl="5" w:tentative="0">
      <w:start w:val="0"/>
      <w:numFmt w:val="bullet"/>
      <w:lvlText w:val="•"/>
      <w:lvlJc w:val="left"/>
      <w:pPr>
        <w:ind w:left="5443" w:hanging="454"/>
      </w:pPr>
    </w:lvl>
    <w:lvl w:ilvl="6" w:tentative="0">
      <w:start w:val="0"/>
      <w:numFmt w:val="bullet"/>
      <w:lvlText w:val="•"/>
      <w:lvlJc w:val="left"/>
      <w:pPr>
        <w:ind w:left="6359" w:hanging="454"/>
      </w:pPr>
    </w:lvl>
    <w:lvl w:ilvl="7" w:tentative="0">
      <w:start w:val="0"/>
      <w:numFmt w:val="bullet"/>
      <w:lvlText w:val="•"/>
      <w:lvlJc w:val="left"/>
      <w:pPr>
        <w:ind w:left="7276" w:hanging="454"/>
      </w:pPr>
    </w:lvl>
    <w:lvl w:ilvl="8" w:tentative="0">
      <w:start w:val="0"/>
      <w:numFmt w:val="bullet"/>
      <w:lvlText w:val="•"/>
      <w:lvlJc w:val="left"/>
      <w:pPr>
        <w:ind w:left="8192" w:hanging="454"/>
      </w:pPr>
    </w:lvl>
  </w:abstractNum>
  <w:abstractNum w:abstractNumId="2">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496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56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3"/>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48"/>
    <w:rsid w:val="0000040A"/>
    <w:rsid w:val="00000A94"/>
    <w:rsid w:val="00001972"/>
    <w:rsid w:val="00001D9A"/>
    <w:rsid w:val="0000472F"/>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85F"/>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2183"/>
    <w:rsid w:val="00073C8C"/>
    <w:rsid w:val="00074E37"/>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F02"/>
    <w:rsid w:val="000B6A0B"/>
    <w:rsid w:val="000C0F6C"/>
    <w:rsid w:val="000C11DB"/>
    <w:rsid w:val="000C1492"/>
    <w:rsid w:val="000C2FBD"/>
    <w:rsid w:val="000C3436"/>
    <w:rsid w:val="000C373B"/>
    <w:rsid w:val="000C4B41"/>
    <w:rsid w:val="000C57D6"/>
    <w:rsid w:val="000C6362"/>
    <w:rsid w:val="000C7666"/>
    <w:rsid w:val="000D0A9C"/>
    <w:rsid w:val="000D1795"/>
    <w:rsid w:val="000D329A"/>
    <w:rsid w:val="000D4B9C"/>
    <w:rsid w:val="000D4EB6"/>
    <w:rsid w:val="000D753B"/>
    <w:rsid w:val="000E4C9E"/>
    <w:rsid w:val="000E6FD7"/>
    <w:rsid w:val="000E7841"/>
    <w:rsid w:val="000F06E1"/>
    <w:rsid w:val="000F0E3C"/>
    <w:rsid w:val="000F19D5"/>
    <w:rsid w:val="000F4AEA"/>
    <w:rsid w:val="000F633F"/>
    <w:rsid w:val="000F67E9"/>
    <w:rsid w:val="000F757D"/>
    <w:rsid w:val="00104926"/>
    <w:rsid w:val="001123E9"/>
    <w:rsid w:val="00113B1E"/>
    <w:rsid w:val="0011711C"/>
    <w:rsid w:val="0012059C"/>
    <w:rsid w:val="00124E4F"/>
    <w:rsid w:val="001260B7"/>
    <w:rsid w:val="0012643F"/>
    <w:rsid w:val="001265CB"/>
    <w:rsid w:val="001321C6"/>
    <w:rsid w:val="001325C4"/>
    <w:rsid w:val="00133010"/>
    <w:rsid w:val="001331CB"/>
    <w:rsid w:val="001338EE"/>
    <w:rsid w:val="00133AAE"/>
    <w:rsid w:val="00135323"/>
    <w:rsid w:val="001356C4"/>
    <w:rsid w:val="00141114"/>
    <w:rsid w:val="00142969"/>
    <w:rsid w:val="0014395E"/>
    <w:rsid w:val="001446C2"/>
    <w:rsid w:val="001457E7"/>
    <w:rsid w:val="00145D9D"/>
    <w:rsid w:val="00146388"/>
    <w:rsid w:val="001529E5"/>
    <w:rsid w:val="00153C7E"/>
    <w:rsid w:val="00156B25"/>
    <w:rsid w:val="00156E1A"/>
    <w:rsid w:val="00157894"/>
    <w:rsid w:val="00157B55"/>
    <w:rsid w:val="001642FA"/>
    <w:rsid w:val="001649EB"/>
    <w:rsid w:val="00164BAF"/>
    <w:rsid w:val="00164C04"/>
    <w:rsid w:val="00164FA8"/>
    <w:rsid w:val="00165065"/>
    <w:rsid w:val="00165434"/>
    <w:rsid w:val="0016580B"/>
    <w:rsid w:val="00165F49"/>
    <w:rsid w:val="00166B88"/>
    <w:rsid w:val="0016770A"/>
    <w:rsid w:val="00167B11"/>
    <w:rsid w:val="00170804"/>
    <w:rsid w:val="001708E9"/>
    <w:rsid w:val="0017340B"/>
    <w:rsid w:val="00173FB1"/>
    <w:rsid w:val="00174D7D"/>
    <w:rsid w:val="00176DFD"/>
    <w:rsid w:val="001852C9"/>
    <w:rsid w:val="00190087"/>
    <w:rsid w:val="001913C4"/>
    <w:rsid w:val="0019348F"/>
    <w:rsid w:val="00193A07"/>
    <w:rsid w:val="00194C95"/>
    <w:rsid w:val="00195C34"/>
    <w:rsid w:val="00195CB6"/>
    <w:rsid w:val="00196EF5"/>
    <w:rsid w:val="001A1A53"/>
    <w:rsid w:val="001A234A"/>
    <w:rsid w:val="001A32EF"/>
    <w:rsid w:val="001A3DC1"/>
    <w:rsid w:val="001A4CF3"/>
    <w:rsid w:val="001B06E8"/>
    <w:rsid w:val="001B71D0"/>
    <w:rsid w:val="001B71EE"/>
    <w:rsid w:val="001C04A8"/>
    <w:rsid w:val="001C2C03"/>
    <w:rsid w:val="001C40BA"/>
    <w:rsid w:val="001C42F7"/>
    <w:rsid w:val="001C49E5"/>
    <w:rsid w:val="001C680C"/>
    <w:rsid w:val="001C7FEA"/>
    <w:rsid w:val="001D0499"/>
    <w:rsid w:val="001D0BBE"/>
    <w:rsid w:val="001D0ED4"/>
    <w:rsid w:val="001D212F"/>
    <w:rsid w:val="001D29D7"/>
    <w:rsid w:val="001D2DE7"/>
    <w:rsid w:val="001D411C"/>
    <w:rsid w:val="001D58F7"/>
    <w:rsid w:val="001E1B6A"/>
    <w:rsid w:val="001E2484"/>
    <w:rsid w:val="001E3CC4"/>
    <w:rsid w:val="001E4882"/>
    <w:rsid w:val="001E73AB"/>
    <w:rsid w:val="001F092D"/>
    <w:rsid w:val="001F143A"/>
    <w:rsid w:val="001F1605"/>
    <w:rsid w:val="001F2508"/>
    <w:rsid w:val="001F311F"/>
    <w:rsid w:val="001F4816"/>
    <w:rsid w:val="001F4EE9"/>
    <w:rsid w:val="001F69B4"/>
    <w:rsid w:val="001F6D26"/>
    <w:rsid w:val="001F77C7"/>
    <w:rsid w:val="00200183"/>
    <w:rsid w:val="00200333"/>
    <w:rsid w:val="0020107D"/>
    <w:rsid w:val="00202AA4"/>
    <w:rsid w:val="002031F7"/>
    <w:rsid w:val="002040E6"/>
    <w:rsid w:val="0020527B"/>
    <w:rsid w:val="00205F2C"/>
    <w:rsid w:val="00210B15"/>
    <w:rsid w:val="00213944"/>
    <w:rsid w:val="002142EA"/>
    <w:rsid w:val="002204BB"/>
    <w:rsid w:val="00221B79"/>
    <w:rsid w:val="00221C6B"/>
    <w:rsid w:val="002253A1"/>
    <w:rsid w:val="00225CF8"/>
    <w:rsid w:val="0022794E"/>
    <w:rsid w:val="00232801"/>
    <w:rsid w:val="00233D64"/>
    <w:rsid w:val="0023482A"/>
    <w:rsid w:val="002359CB"/>
    <w:rsid w:val="00243540"/>
    <w:rsid w:val="0024497B"/>
    <w:rsid w:val="0024515B"/>
    <w:rsid w:val="00246021"/>
    <w:rsid w:val="0024666E"/>
    <w:rsid w:val="00247F52"/>
    <w:rsid w:val="00250B25"/>
    <w:rsid w:val="00250BBE"/>
    <w:rsid w:val="00250D1C"/>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6D5"/>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102"/>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39F"/>
    <w:rsid w:val="00302F5F"/>
    <w:rsid w:val="0030441D"/>
    <w:rsid w:val="003044FE"/>
    <w:rsid w:val="00306063"/>
    <w:rsid w:val="00313B85"/>
    <w:rsid w:val="00317988"/>
    <w:rsid w:val="003221B4"/>
    <w:rsid w:val="0032258D"/>
    <w:rsid w:val="00322E62"/>
    <w:rsid w:val="00324D13"/>
    <w:rsid w:val="00324D2A"/>
    <w:rsid w:val="00324EDD"/>
    <w:rsid w:val="003331E4"/>
    <w:rsid w:val="00336C64"/>
    <w:rsid w:val="00337162"/>
    <w:rsid w:val="003371E5"/>
    <w:rsid w:val="0034194F"/>
    <w:rsid w:val="00344605"/>
    <w:rsid w:val="0034539B"/>
    <w:rsid w:val="003474AA"/>
    <w:rsid w:val="00350D1D"/>
    <w:rsid w:val="00352C83"/>
    <w:rsid w:val="003615D2"/>
    <w:rsid w:val="00361F49"/>
    <w:rsid w:val="0036429C"/>
    <w:rsid w:val="00364A53"/>
    <w:rsid w:val="003654CB"/>
    <w:rsid w:val="00365AA9"/>
    <w:rsid w:val="00365F86"/>
    <w:rsid w:val="00365F87"/>
    <w:rsid w:val="00366E89"/>
    <w:rsid w:val="003705F4"/>
    <w:rsid w:val="00370D58"/>
    <w:rsid w:val="00371316"/>
    <w:rsid w:val="00376713"/>
    <w:rsid w:val="00376718"/>
    <w:rsid w:val="00381815"/>
    <w:rsid w:val="003819AF"/>
    <w:rsid w:val="003820E9"/>
    <w:rsid w:val="00382DE7"/>
    <w:rsid w:val="00384FFC"/>
    <w:rsid w:val="003872FC"/>
    <w:rsid w:val="00387ADC"/>
    <w:rsid w:val="00390020"/>
    <w:rsid w:val="003903D6"/>
    <w:rsid w:val="00390EE6"/>
    <w:rsid w:val="0039118F"/>
    <w:rsid w:val="00392AD7"/>
    <w:rsid w:val="003930E2"/>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53F4"/>
    <w:rsid w:val="003E660F"/>
    <w:rsid w:val="003F0841"/>
    <w:rsid w:val="003F23D3"/>
    <w:rsid w:val="003F3F08"/>
    <w:rsid w:val="003F49F1"/>
    <w:rsid w:val="003F6272"/>
    <w:rsid w:val="00400E72"/>
    <w:rsid w:val="00401400"/>
    <w:rsid w:val="00402C3A"/>
    <w:rsid w:val="00404869"/>
    <w:rsid w:val="00405884"/>
    <w:rsid w:val="00407D39"/>
    <w:rsid w:val="0041477A"/>
    <w:rsid w:val="004167A3"/>
    <w:rsid w:val="00423381"/>
    <w:rsid w:val="00432DAA"/>
    <w:rsid w:val="00434305"/>
    <w:rsid w:val="00435DF7"/>
    <w:rsid w:val="0044083F"/>
    <w:rsid w:val="00441AE7"/>
    <w:rsid w:val="00445574"/>
    <w:rsid w:val="004467FB"/>
    <w:rsid w:val="00452D6B"/>
    <w:rsid w:val="00453C9F"/>
    <w:rsid w:val="00454484"/>
    <w:rsid w:val="0045517B"/>
    <w:rsid w:val="00463B77"/>
    <w:rsid w:val="00463C7B"/>
    <w:rsid w:val="004644A6"/>
    <w:rsid w:val="004659BD"/>
    <w:rsid w:val="00470775"/>
    <w:rsid w:val="004746B1"/>
    <w:rsid w:val="0047583F"/>
    <w:rsid w:val="00475DE8"/>
    <w:rsid w:val="00481C44"/>
    <w:rsid w:val="00481F4F"/>
    <w:rsid w:val="00484936"/>
    <w:rsid w:val="00485C89"/>
    <w:rsid w:val="00486BE3"/>
    <w:rsid w:val="004904A9"/>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747E"/>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9CE"/>
    <w:rsid w:val="00504A3D"/>
    <w:rsid w:val="00505767"/>
    <w:rsid w:val="005073F0"/>
    <w:rsid w:val="0051014E"/>
    <w:rsid w:val="00510A7B"/>
    <w:rsid w:val="00512F6E"/>
    <w:rsid w:val="00513038"/>
    <w:rsid w:val="00514174"/>
    <w:rsid w:val="00516088"/>
    <w:rsid w:val="00516B0B"/>
    <w:rsid w:val="00520073"/>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86B"/>
    <w:rsid w:val="005479DA"/>
    <w:rsid w:val="00547BCC"/>
    <w:rsid w:val="0055013B"/>
    <w:rsid w:val="00551F6F"/>
    <w:rsid w:val="00555044"/>
    <w:rsid w:val="00561475"/>
    <w:rsid w:val="0056487B"/>
    <w:rsid w:val="00564FB9"/>
    <w:rsid w:val="00572B48"/>
    <w:rsid w:val="00573D9E"/>
    <w:rsid w:val="005801E3"/>
    <w:rsid w:val="00581802"/>
    <w:rsid w:val="00581ECC"/>
    <w:rsid w:val="005836A8"/>
    <w:rsid w:val="00583A29"/>
    <w:rsid w:val="0058409C"/>
    <w:rsid w:val="00584262"/>
    <w:rsid w:val="00586598"/>
    <w:rsid w:val="00586630"/>
    <w:rsid w:val="00586961"/>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B7E"/>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2E8B"/>
    <w:rsid w:val="00604784"/>
    <w:rsid w:val="00606419"/>
    <w:rsid w:val="00607D29"/>
    <w:rsid w:val="00612952"/>
    <w:rsid w:val="00614CC1"/>
    <w:rsid w:val="0061509D"/>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137"/>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1F80"/>
    <w:rsid w:val="006A25E5"/>
    <w:rsid w:val="006A2B46"/>
    <w:rsid w:val="006A336D"/>
    <w:rsid w:val="006A37B9"/>
    <w:rsid w:val="006B0BC2"/>
    <w:rsid w:val="006B2672"/>
    <w:rsid w:val="006B54BF"/>
    <w:rsid w:val="006B5F44"/>
    <w:rsid w:val="006B5F90"/>
    <w:rsid w:val="006B62E4"/>
    <w:rsid w:val="006C1BBA"/>
    <w:rsid w:val="006C2079"/>
    <w:rsid w:val="006C5A62"/>
    <w:rsid w:val="006C5D68"/>
    <w:rsid w:val="006C6976"/>
    <w:rsid w:val="006C6DD0"/>
    <w:rsid w:val="006D04EA"/>
    <w:rsid w:val="006D106C"/>
    <w:rsid w:val="006D16C4"/>
    <w:rsid w:val="006D3E96"/>
    <w:rsid w:val="006D4515"/>
    <w:rsid w:val="006D4BB1"/>
    <w:rsid w:val="006D6008"/>
    <w:rsid w:val="006D6593"/>
    <w:rsid w:val="006E1425"/>
    <w:rsid w:val="006E23EA"/>
    <w:rsid w:val="006F03A8"/>
    <w:rsid w:val="006F2ACA"/>
    <w:rsid w:val="006F2ADC"/>
    <w:rsid w:val="006F2BFE"/>
    <w:rsid w:val="006F31E9"/>
    <w:rsid w:val="006F3C3A"/>
    <w:rsid w:val="006F6284"/>
    <w:rsid w:val="007002C5"/>
    <w:rsid w:val="00702728"/>
    <w:rsid w:val="007032ED"/>
    <w:rsid w:val="00704387"/>
    <w:rsid w:val="00707148"/>
    <w:rsid w:val="00707669"/>
    <w:rsid w:val="00711CBA"/>
    <w:rsid w:val="00711FB5"/>
    <w:rsid w:val="00712A01"/>
    <w:rsid w:val="00714F58"/>
    <w:rsid w:val="007220DD"/>
    <w:rsid w:val="007225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19B"/>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324"/>
    <w:rsid w:val="00783ECF"/>
    <w:rsid w:val="0078413A"/>
    <w:rsid w:val="00787AB3"/>
    <w:rsid w:val="007959E8"/>
    <w:rsid w:val="00795E9C"/>
    <w:rsid w:val="007A0521"/>
    <w:rsid w:val="007A2E12"/>
    <w:rsid w:val="007A3475"/>
    <w:rsid w:val="007A41C8"/>
    <w:rsid w:val="007A54CE"/>
    <w:rsid w:val="007A6C6F"/>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730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4D6"/>
    <w:rsid w:val="0083348C"/>
    <w:rsid w:val="00834539"/>
    <w:rsid w:val="008373D3"/>
    <w:rsid w:val="00840617"/>
    <w:rsid w:val="00840F84"/>
    <w:rsid w:val="00842A47"/>
    <w:rsid w:val="00843C13"/>
    <w:rsid w:val="008454F8"/>
    <w:rsid w:val="0085173A"/>
    <w:rsid w:val="00856316"/>
    <w:rsid w:val="008603CE"/>
    <w:rsid w:val="0086080E"/>
    <w:rsid w:val="008620FC"/>
    <w:rsid w:val="008627A5"/>
    <w:rsid w:val="00863E05"/>
    <w:rsid w:val="00865ACA"/>
    <w:rsid w:val="00865D28"/>
    <w:rsid w:val="00865F85"/>
    <w:rsid w:val="00866BE2"/>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7E9"/>
    <w:rsid w:val="008A57E6"/>
    <w:rsid w:val="008A6F81"/>
    <w:rsid w:val="008A769A"/>
    <w:rsid w:val="008B056F"/>
    <w:rsid w:val="008B0C9C"/>
    <w:rsid w:val="008B166D"/>
    <w:rsid w:val="008B17F4"/>
    <w:rsid w:val="008B3615"/>
    <w:rsid w:val="008B4AC4"/>
    <w:rsid w:val="008B50C8"/>
    <w:rsid w:val="008B5281"/>
    <w:rsid w:val="008B7E05"/>
    <w:rsid w:val="008C1797"/>
    <w:rsid w:val="008C219C"/>
    <w:rsid w:val="008C475E"/>
    <w:rsid w:val="008C619A"/>
    <w:rsid w:val="008C6A4B"/>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CBC"/>
    <w:rsid w:val="00902722"/>
    <w:rsid w:val="009027BC"/>
    <w:rsid w:val="009062E6"/>
    <w:rsid w:val="00911BE5"/>
    <w:rsid w:val="00913CA9"/>
    <w:rsid w:val="009145AE"/>
    <w:rsid w:val="009146CE"/>
    <w:rsid w:val="00914CA7"/>
    <w:rsid w:val="00915C3E"/>
    <w:rsid w:val="009161A8"/>
    <w:rsid w:val="00923839"/>
    <w:rsid w:val="00923ECD"/>
    <w:rsid w:val="009245F5"/>
    <w:rsid w:val="009249EC"/>
    <w:rsid w:val="0092505E"/>
    <w:rsid w:val="009273B3"/>
    <w:rsid w:val="009305B5"/>
    <w:rsid w:val="009429D5"/>
    <w:rsid w:val="00942BF1"/>
    <w:rsid w:val="0094390C"/>
    <w:rsid w:val="00945180"/>
    <w:rsid w:val="00945428"/>
    <w:rsid w:val="0094607B"/>
    <w:rsid w:val="00953604"/>
    <w:rsid w:val="0095496B"/>
    <w:rsid w:val="009610DC"/>
    <w:rsid w:val="00961490"/>
    <w:rsid w:val="0096381A"/>
    <w:rsid w:val="00965644"/>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3CF"/>
    <w:rsid w:val="009A278C"/>
    <w:rsid w:val="009A2BC2"/>
    <w:rsid w:val="009A42C1"/>
    <w:rsid w:val="009A5429"/>
    <w:rsid w:val="009A72AD"/>
    <w:rsid w:val="009B09E0"/>
    <w:rsid w:val="009B0BC5"/>
    <w:rsid w:val="009B1247"/>
    <w:rsid w:val="009B542E"/>
    <w:rsid w:val="009B6029"/>
    <w:rsid w:val="009B6971"/>
    <w:rsid w:val="009C27F1"/>
    <w:rsid w:val="009C3152"/>
    <w:rsid w:val="009C4CFA"/>
    <w:rsid w:val="009C5070"/>
    <w:rsid w:val="009D112C"/>
    <w:rsid w:val="009D18FA"/>
    <w:rsid w:val="009D47FA"/>
    <w:rsid w:val="009D4C5B"/>
    <w:rsid w:val="009D50D2"/>
    <w:rsid w:val="009D6BCA"/>
    <w:rsid w:val="009E0F62"/>
    <w:rsid w:val="009E4A58"/>
    <w:rsid w:val="009E5A2D"/>
    <w:rsid w:val="009E5AB2"/>
    <w:rsid w:val="009E6219"/>
    <w:rsid w:val="009F03B3"/>
    <w:rsid w:val="009F0E8F"/>
    <w:rsid w:val="00A0096C"/>
    <w:rsid w:val="00A01757"/>
    <w:rsid w:val="00A01A20"/>
    <w:rsid w:val="00A028C0"/>
    <w:rsid w:val="00A02AC0"/>
    <w:rsid w:val="00A02BAE"/>
    <w:rsid w:val="00A04EB8"/>
    <w:rsid w:val="00A06A6B"/>
    <w:rsid w:val="00A07E47"/>
    <w:rsid w:val="00A129D0"/>
    <w:rsid w:val="00A12C33"/>
    <w:rsid w:val="00A138BA"/>
    <w:rsid w:val="00A14C8E"/>
    <w:rsid w:val="00A153D9"/>
    <w:rsid w:val="00A15F09"/>
    <w:rsid w:val="00A169B6"/>
    <w:rsid w:val="00A200C6"/>
    <w:rsid w:val="00A2271D"/>
    <w:rsid w:val="00A237D5"/>
    <w:rsid w:val="00A30EFC"/>
    <w:rsid w:val="00A31984"/>
    <w:rsid w:val="00A32D73"/>
    <w:rsid w:val="00A3367B"/>
    <w:rsid w:val="00A3597D"/>
    <w:rsid w:val="00A36DD1"/>
    <w:rsid w:val="00A4006C"/>
    <w:rsid w:val="00A40091"/>
    <w:rsid w:val="00A4030F"/>
    <w:rsid w:val="00A40D25"/>
    <w:rsid w:val="00A41C79"/>
    <w:rsid w:val="00A41CB5"/>
    <w:rsid w:val="00A42CDF"/>
    <w:rsid w:val="00A4452E"/>
    <w:rsid w:val="00A4472C"/>
    <w:rsid w:val="00A44E69"/>
    <w:rsid w:val="00A4661E"/>
    <w:rsid w:val="00A46640"/>
    <w:rsid w:val="00A503F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7E3E"/>
    <w:rsid w:val="00AD0AEF"/>
    <w:rsid w:val="00AD11B7"/>
    <w:rsid w:val="00AD1A94"/>
    <w:rsid w:val="00AD1C05"/>
    <w:rsid w:val="00AD4126"/>
    <w:rsid w:val="00AD421C"/>
    <w:rsid w:val="00AD44FA"/>
    <w:rsid w:val="00AE070A"/>
    <w:rsid w:val="00AE101C"/>
    <w:rsid w:val="00AE37E5"/>
    <w:rsid w:val="00AE5EB4"/>
    <w:rsid w:val="00AF0C18"/>
    <w:rsid w:val="00AF47C5"/>
    <w:rsid w:val="00AF47F7"/>
    <w:rsid w:val="00AF5398"/>
    <w:rsid w:val="00B049AF"/>
    <w:rsid w:val="00B069C1"/>
    <w:rsid w:val="00B07242"/>
    <w:rsid w:val="00B10534"/>
    <w:rsid w:val="00B110E9"/>
    <w:rsid w:val="00B113DB"/>
    <w:rsid w:val="00B11D8A"/>
    <w:rsid w:val="00B11F1A"/>
    <w:rsid w:val="00B12981"/>
    <w:rsid w:val="00B147DD"/>
    <w:rsid w:val="00B156FD"/>
    <w:rsid w:val="00B20409"/>
    <w:rsid w:val="00B21F61"/>
    <w:rsid w:val="00B261F1"/>
    <w:rsid w:val="00B265BC"/>
    <w:rsid w:val="00B31FB1"/>
    <w:rsid w:val="00B33952"/>
    <w:rsid w:val="00B33C5E"/>
    <w:rsid w:val="00B342F4"/>
    <w:rsid w:val="00B34369"/>
    <w:rsid w:val="00B34DC2"/>
    <w:rsid w:val="00B3507A"/>
    <w:rsid w:val="00B378E5"/>
    <w:rsid w:val="00B41072"/>
    <w:rsid w:val="00B4346D"/>
    <w:rsid w:val="00B440F4"/>
    <w:rsid w:val="00B444B5"/>
    <w:rsid w:val="00B447A5"/>
    <w:rsid w:val="00B4654C"/>
    <w:rsid w:val="00B47293"/>
    <w:rsid w:val="00B47C93"/>
    <w:rsid w:val="00B50E50"/>
    <w:rsid w:val="00B52120"/>
    <w:rsid w:val="00B54ABC"/>
    <w:rsid w:val="00B54D9F"/>
    <w:rsid w:val="00B54DDE"/>
    <w:rsid w:val="00B56FBE"/>
    <w:rsid w:val="00B60ACF"/>
    <w:rsid w:val="00B62B58"/>
    <w:rsid w:val="00B6456B"/>
    <w:rsid w:val="00B65149"/>
    <w:rsid w:val="00B6648F"/>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B78"/>
    <w:rsid w:val="00BA42B2"/>
    <w:rsid w:val="00BA48DE"/>
    <w:rsid w:val="00BA58D4"/>
    <w:rsid w:val="00BA5B9E"/>
    <w:rsid w:val="00BA7C9A"/>
    <w:rsid w:val="00BB5F8F"/>
    <w:rsid w:val="00BB6541"/>
    <w:rsid w:val="00BB657A"/>
    <w:rsid w:val="00BC1A4E"/>
    <w:rsid w:val="00BC5DC7"/>
    <w:rsid w:val="00BC6B8B"/>
    <w:rsid w:val="00BC73D8"/>
    <w:rsid w:val="00BD52D7"/>
    <w:rsid w:val="00BD5AD2"/>
    <w:rsid w:val="00BE22F3"/>
    <w:rsid w:val="00BE3E18"/>
    <w:rsid w:val="00BE5B52"/>
    <w:rsid w:val="00BE7B8D"/>
    <w:rsid w:val="00BF0993"/>
    <w:rsid w:val="00BF10A9"/>
    <w:rsid w:val="00BF1703"/>
    <w:rsid w:val="00BF231C"/>
    <w:rsid w:val="00BF32E5"/>
    <w:rsid w:val="00BF40AC"/>
    <w:rsid w:val="00BF51E5"/>
    <w:rsid w:val="00BF74A6"/>
    <w:rsid w:val="00C013AD"/>
    <w:rsid w:val="00C04904"/>
    <w:rsid w:val="00C056B3"/>
    <w:rsid w:val="00C103E5"/>
    <w:rsid w:val="00C13319"/>
    <w:rsid w:val="00C13EE9"/>
    <w:rsid w:val="00C20315"/>
    <w:rsid w:val="00C21540"/>
    <w:rsid w:val="00C21906"/>
    <w:rsid w:val="00C21BFA"/>
    <w:rsid w:val="00C22148"/>
    <w:rsid w:val="00C24C8D"/>
    <w:rsid w:val="00C25FE2"/>
    <w:rsid w:val="00C26B53"/>
    <w:rsid w:val="00C279B2"/>
    <w:rsid w:val="00C3307C"/>
    <w:rsid w:val="00C33E50"/>
    <w:rsid w:val="00C34C20"/>
    <w:rsid w:val="00C35A3E"/>
    <w:rsid w:val="00C42130"/>
    <w:rsid w:val="00C423A4"/>
    <w:rsid w:val="00C44BF5"/>
    <w:rsid w:val="00C521D6"/>
    <w:rsid w:val="00C535F5"/>
    <w:rsid w:val="00C55232"/>
    <w:rsid w:val="00C553A4"/>
    <w:rsid w:val="00C55A06"/>
    <w:rsid w:val="00C55D03"/>
    <w:rsid w:val="00C601BC"/>
    <w:rsid w:val="00C6329F"/>
    <w:rsid w:val="00C63340"/>
    <w:rsid w:val="00C643F9"/>
    <w:rsid w:val="00C64A3A"/>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42BE"/>
    <w:rsid w:val="00CA662A"/>
    <w:rsid w:val="00CA7AFD"/>
    <w:rsid w:val="00CA7C3C"/>
    <w:rsid w:val="00CB0189"/>
    <w:rsid w:val="00CB0BA2"/>
    <w:rsid w:val="00CB1A42"/>
    <w:rsid w:val="00CB1B0C"/>
    <w:rsid w:val="00CB2C0B"/>
    <w:rsid w:val="00CB517D"/>
    <w:rsid w:val="00CC0155"/>
    <w:rsid w:val="00CC038D"/>
    <w:rsid w:val="00CC08DB"/>
    <w:rsid w:val="00CC39FF"/>
    <w:rsid w:val="00CC3C2F"/>
    <w:rsid w:val="00CC4AC8"/>
    <w:rsid w:val="00CC5233"/>
    <w:rsid w:val="00CC5DE6"/>
    <w:rsid w:val="00CC6E4E"/>
    <w:rsid w:val="00CC6FE8"/>
    <w:rsid w:val="00CC7202"/>
    <w:rsid w:val="00CD1849"/>
    <w:rsid w:val="00CD2808"/>
    <w:rsid w:val="00CD28BF"/>
    <w:rsid w:val="00CD4092"/>
    <w:rsid w:val="00CD4A20"/>
    <w:rsid w:val="00CD50A1"/>
    <w:rsid w:val="00CD519E"/>
    <w:rsid w:val="00CD76A6"/>
    <w:rsid w:val="00CE0C4F"/>
    <w:rsid w:val="00CE30EA"/>
    <w:rsid w:val="00CE36AD"/>
    <w:rsid w:val="00CF048A"/>
    <w:rsid w:val="00CF155A"/>
    <w:rsid w:val="00CF2947"/>
    <w:rsid w:val="00CF686F"/>
    <w:rsid w:val="00CF6E60"/>
    <w:rsid w:val="00CF7BCA"/>
    <w:rsid w:val="00D008FD"/>
    <w:rsid w:val="00D0321C"/>
    <w:rsid w:val="00D035EC"/>
    <w:rsid w:val="00D06AB1"/>
    <w:rsid w:val="00D072ED"/>
    <w:rsid w:val="00D07A16"/>
    <w:rsid w:val="00D1067E"/>
    <w:rsid w:val="00D10947"/>
    <w:rsid w:val="00D10F50"/>
    <w:rsid w:val="00D11272"/>
    <w:rsid w:val="00D126F5"/>
    <w:rsid w:val="00D1489E"/>
    <w:rsid w:val="00D20737"/>
    <w:rsid w:val="00D21E81"/>
    <w:rsid w:val="00D223DE"/>
    <w:rsid w:val="00D25E37"/>
    <w:rsid w:val="00D2661A"/>
    <w:rsid w:val="00D27582"/>
    <w:rsid w:val="00D27EC4"/>
    <w:rsid w:val="00D30236"/>
    <w:rsid w:val="00D32719"/>
    <w:rsid w:val="00D33333"/>
    <w:rsid w:val="00D33457"/>
    <w:rsid w:val="00D352A2"/>
    <w:rsid w:val="00D4162B"/>
    <w:rsid w:val="00D4514F"/>
    <w:rsid w:val="00D451E2"/>
    <w:rsid w:val="00D45E89"/>
    <w:rsid w:val="00D45E8D"/>
    <w:rsid w:val="00D466AE"/>
    <w:rsid w:val="00D4734F"/>
    <w:rsid w:val="00D51BF3"/>
    <w:rsid w:val="00D5613B"/>
    <w:rsid w:val="00D60518"/>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2A9F"/>
    <w:rsid w:val="00DC2DB4"/>
    <w:rsid w:val="00DC3067"/>
    <w:rsid w:val="00DC370B"/>
    <w:rsid w:val="00DC5B90"/>
    <w:rsid w:val="00DD00FF"/>
    <w:rsid w:val="00DD0619"/>
    <w:rsid w:val="00DD07FB"/>
    <w:rsid w:val="00DD25C6"/>
    <w:rsid w:val="00DD4FE5"/>
    <w:rsid w:val="00DD54B0"/>
    <w:rsid w:val="00DD57EE"/>
    <w:rsid w:val="00DD6BCC"/>
    <w:rsid w:val="00DD76BF"/>
    <w:rsid w:val="00DE0A4B"/>
    <w:rsid w:val="00DE2410"/>
    <w:rsid w:val="00DE2939"/>
    <w:rsid w:val="00DE6E81"/>
    <w:rsid w:val="00DE703F"/>
    <w:rsid w:val="00DE7595"/>
    <w:rsid w:val="00DF1961"/>
    <w:rsid w:val="00DF44DE"/>
    <w:rsid w:val="00DF5F11"/>
    <w:rsid w:val="00DF6D48"/>
    <w:rsid w:val="00E01138"/>
    <w:rsid w:val="00E02DFB"/>
    <w:rsid w:val="00E030F9"/>
    <w:rsid w:val="00E0311A"/>
    <w:rsid w:val="00E03138"/>
    <w:rsid w:val="00E06404"/>
    <w:rsid w:val="00E10404"/>
    <w:rsid w:val="00E11A85"/>
    <w:rsid w:val="00E12495"/>
    <w:rsid w:val="00E15CCD"/>
    <w:rsid w:val="00E202EF"/>
    <w:rsid w:val="00E20A14"/>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9A0"/>
    <w:rsid w:val="00E56800"/>
    <w:rsid w:val="00E56907"/>
    <w:rsid w:val="00E60C63"/>
    <w:rsid w:val="00E62FF9"/>
    <w:rsid w:val="00E635D6"/>
    <w:rsid w:val="00E639BC"/>
    <w:rsid w:val="00E664CC"/>
    <w:rsid w:val="00E70388"/>
    <w:rsid w:val="00E70F92"/>
    <w:rsid w:val="00E72C70"/>
    <w:rsid w:val="00E733C0"/>
    <w:rsid w:val="00E74C54"/>
    <w:rsid w:val="00E76DCF"/>
    <w:rsid w:val="00E77A03"/>
    <w:rsid w:val="00E81EC8"/>
    <w:rsid w:val="00E822E8"/>
    <w:rsid w:val="00E82554"/>
    <w:rsid w:val="00E82606"/>
    <w:rsid w:val="00E846C8"/>
    <w:rsid w:val="00E84766"/>
    <w:rsid w:val="00E84957"/>
    <w:rsid w:val="00E84A55"/>
    <w:rsid w:val="00E85BFF"/>
    <w:rsid w:val="00E87CAE"/>
    <w:rsid w:val="00E90391"/>
    <w:rsid w:val="00E906C2"/>
    <w:rsid w:val="00E9311F"/>
    <w:rsid w:val="00E934D1"/>
    <w:rsid w:val="00E94AF0"/>
    <w:rsid w:val="00E95D13"/>
    <w:rsid w:val="00E95DD3"/>
    <w:rsid w:val="00E969D5"/>
    <w:rsid w:val="00EA58D1"/>
    <w:rsid w:val="00EA61BC"/>
    <w:rsid w:val="00EA6229"/>
    <w:rsid w:val="00EA681A"/>
    <w:rsid w:val="00EA735B"/>
    <w:rsid w:val="00EB17DE"/>
    <w:rsid w:val="00EB1D67"/>
    <w:rsid w:val="00EB1E69"/>
    <w:rsid w:val="00EB2086"/>
    <w:rsid w:val="00EB5EDF"/>
    <w:rsid w:val="00EB60FE"/>
    <w:rsid w:val="00EB74DB"/>
    <w:rsid w:val="00EC0731"/>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16A"/>
    <w:rsid w:val="00F07B9D"/>
    <w:rsid w:val="00F11586"/>
    <w:rsid w:val="00F1183B"/>
    <w:rsid w:val="00F11C9F"/>
    <w:rsid w:val="00F12263"/>
    <w:rsid w:val="00F12AEC"/>
    <w:rsid w:val="00F1409D"/>
    <w:rsid w:val="00F14214"/>
    <w:rsid w:val="00F157A9"/>
    <w:rsid w:val="00F219D0"/>
    <w:rsid w:val="00F25BB6"/>
    <w:rsid w:val="00F26B7E"/>
    <w:rsid w:val="00F27A3B"/>
    <w:rsid w:val="00F33817"/>
    <w:rsid w:val="00F420D5"/>
    <w:rsid w:val="00F44012"/>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34C"/>
    <w:rsid w:val="00FA4DAC"/>
    <w:rsid w:val="00FA662D"/>
    <w:rsid w:val="00FA73B1"/>
    <w:rsid w:val="00FB0CB9"/>
    <w:rsid w:val="00FB231D"/>
    <w:rsid w:val="00FB45F1"/>
    <w:rsid w:val="00FB4A72"/>
    <w:rsid w:val="00FB54E8"/>
    <w:rsid w:val="00FB7054"/>
    <w:rsid w:val="00FC17B7"/>
    <w:rsid w:val="00FC2A3D"/>
    <w:rsid w:val="00FC2CB7"/>
    <w:rsid w:val="00FC4090"/>
    <w:rsid w:val="00FC55B4"/>
    <w:rsid w:val="00FD00E6"/>
    <w:rsid w:val="00FD09A1"/>
    <w:rsid w:val="00FD2A7C"/>
    <w:rsid w:val="00FD59EB"/>
    <w:rsid w:val="00FD7299"/>
    <w:rsid w:val="00FE057E"/>
    <w:rsid w:val="00FE1FBE"/>
    <w:rsid w:val="00FE3901"/>
    <w:rsid w:val="00FE39D3"/>
    <w:rsid w:val="00FE4BCE"/>
    <w:rsid w:val="00FE54AE"/>
    <w:rsid w:val="00FE576A"/>
    <w:rsid w:val="00FE7E79"/>
    <w:rsid w:val="00FF3E7D"/>
    <w:rsid w:val="00FF43C4"/>
    <w:rsid w:val="00FF4F08"/>
    <w:rsid w:val="00FF5B99"/>
    <w:rsid w:val="00FF5BA0"/>
    <w:rsid w:val="00FF730C"/>
    <w:rsid w:val="00FF73F4"/>
    <w:rsid w:val="00FF7CE4"/>
    <w:rsid w:val="00FF7E39"/>
    <w:rsid w:val="37D76D5E"/>
    <w:rsid w:val="4AF07F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1"/>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99"/>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1277"/>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ind w:left="4962"/>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styleId="230">
    <w:name w:val="List Paragraph"/>
    <w:basedOn w:val="1"/>
    <w:qFormat/>
    <w:uiPriority w:val="1"/>
    <w:pPr>
      <w:autoSpaceDE w:val="0"/>
      <w:autoSpaceDN w:val="0"/>
      <w:spacing w:line="240" w:lineRule="auto"/>
      <w:ind w:left="638"/>
      <w:jc w:val="left"/>
    </w:pPr>
    <w:rPr>
      <w:rFonts w:ascii="宋体" w:hAnsi="Times New Roman" w:cs="宋体"/>
      <w:kern w:val="0"/>
      <w:sz w:val="24"/>
      <w:szCs w:val="24"/>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232">
    <w:name w:val="段 Char"/>
    <w:link w:val="231"/>
    <w:qFormat/>
    <w:uiPriority w:val="0"/>
    <w:rPr>
      <w:rFonts w:ascii="宋体"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CD00661B5CD4842B9AC2B3BCE48515D"/>
        <w:style w:val=""/>
        <w:category>
          <w:name w:val="常规"/>
          <w:gallery w:val="placeholder"/>
        </w:category>
        <w:types>
          <w:type w:val="bbPlcHdr"/>
        </w:types>
        <w:behaviors>
          <w:behavior w:val="content"/>
        </w:behaviors>
        <w:description w:val=""/>
        <w:guid w:val="{8C16BFCC-8448-40B5-B3AC-A0E1291399D8}"/>
      </w:docPartPr>
      <w:docPartBody>
        <w:p w14:paraId="579FDC2D">
          <w:pPr>
            <w:pStyle w:val="5"/>
          </w:pPr>
          <w:r>
            <w:rPr>
              <w:rStyle w:val="4"/>
              <w:rFonts w:hint="eastAsia"/>
            </w:rPr>
            <w:t>单击或点击此处输入文字。</w:t>
          </w:r>
        </w:p>
      </w:docPartBody>
    </w:docPart>
    <w:docPart>
      <w:docPartPr>
        <w:name w:val="712C2F61DFD24E8098EBB0E5C9C7698F"/>
        <w:style w:val=""/>
        <w:category>
          <w:name w:val="常规"/>
          <w:gallery w:val="placeholder"/>
        </w:category>
        <w:types>
          <w:type w:val="bbPlcHdr"/>
        </w:types>
        <w:behaviors>
          <w:behavior w:val="content"/>
        </w:behaviors>
        <w:description w:val=""/>
        <w:guid w:val="{4A6D69C5-2AFD-4FD1-8444-36EF4AA3D364}"/>
      </w:docPartPr>
      <w:docPartBody>
        <w:p w14:paraId="29988519">
          <w:pPr>
            <w:pStyle w:val="6"/>
          </w:pPr>
          <w:r>
            <w:rPr>
              <w:rStyle w:val="4"/>
              <w:rFonts w:hint="eastAsia"/>
            </w:rPr>
            <w:t>选择一项。</w:t>
          </w:r>
        </w:p>
      </w:docPartBody>
    </w:docPart>
    <w:docPart>
      <w:docPartPr>
        <w:name w:val="D300CC599729437E8B96906F1BE4AF82"/>
        <w:style w:val=""/>
        <w:category>
          <w:name w:val="常规"/>
          <w:gallery w:val="placeholder"/>
        </w:category>
        <w:types>
          <w:type w:val="bbPlcHdr"/>
        </w:types>
        <w:behaviors>
          <w:behavior w:val="content"/>
        </w:behaviors>
        <w:description w:val=""/>
        <w:guid w:val="{60CF5000-A910-4185-B6FA-19132BDF608D}"/>
      </w:docPartPr>
      <w:docPartBody>
        <w:p w14:paraId="09ABEBDF">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7551AD"/>
    <w:rsid w:val="000121D5"/>
    <w:rsid w:val="001304F7"/>
    <w:rsid w:val="0025101A"/>
    <w:rsid w:val="002D1E4E"/>
    <w:rsid w:val="002E60AB"/>
    <w:rsid w:val="00720D43"/>
    <w:rsid w:val="007551AD"/>
    <w:rsid w:val="00761710"/>
    <w:rsid w:val="00785653"/>
    <w:rsid w:val="007E49A5"/>
    <w:rsid w:val="00801398"/>
    <w:rsid w:val="00896926"/>
    <w:rsid w:val="008A45C2"/>
    <w:rsid w:val="008D6C62"/>
    <w:rsid w:val="0094181E"/>
    <w:rsid w:val="00EA6F59"/>
    <w:rsid w:val="00EF27E2"/>
    <w:rsid w:val="00FD4B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CD00661B5CD4842B9AC2B3BCE48515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12C2F61DFD24E8098EBB0E5C9C7698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300CC599729437E8B96906F1BE4AF8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FE8DB0-F851-4FC3-8656-4FD923135532}">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3969</Words>
  <Characters>4414</Characters>
  <Lines>42</Lines>
  <Paragraphs>11</Paragraphs>
  <TotalTime>881</TotalTime>
  <ScaleCrop>false</ScaleCrop>
  <LinksUpToDate>false</LinksUpToDate>
  <CharactersWithSpaces>4544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2022-10-19T03:01:00Z</dcterms:created>
  <dc:creator>Administrator</dc:creator>
  <dc:description>&lt;config cover="true" show_menu="true" version="1.0.0" doctype="SDKXY"&gt;_x000d_
&lt;/config&gt;</dc:description>
  <cp:lastModifiedBy>冬冬</cp:lastModifiedBy>
  <cp:lastPrinted>2025-04-29T04:05:25Z</cp:lastPrinted>
  <dcterms:modified xsi:type="dcterms:W3CDTF">2025-04-29T04:05:55Z</dcterms:modified>
  <dc:title>地方标准</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eyJoZGlkIjoiNGVhMmE5ZGI3ZmVkYjMwN2IwYTA0N2I4MGRmYTJkMzgiLCJ1c2VySWQiOiIzMTg1ODMxODYifQ==</vt:lpwstr>
  </property>
  <property fmtid="{D5CDD505-2E9C-101B-9397-08002B2CF9AE}" pid="15" name="KSOProductBuildVer">
    <vt:lpwstr>2052-12.1.0.20305</vt:lpwstr>
  </property>
  <property fmtid="{D5CDD505-2E9C-101B-9397-08002B2CF9AE}" pid="16" name="ICV">
    <vt:lpwstr>84F68BA0F5D747548FBCBC64C77FC588_12</vt:lpwstr>
  </property>
</Properties>
</file>