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BF62C0F">
      <w:pPr>
        <w:spacing w:line="480" w:lineRule="auto"/>
        <w:ind w:firstLine="880"/>
        <w:jc w:val="center"/>
        <w:rPr>
          <w:rFonts w:hint="eastAsia" w:ascii="黑体" w:hAnsi="黑体" w:eastAsia="黑体" w:cs="宋体"/>
          <w:kern w:val="0"/>
          <w:sz w:val="44"/>
          <w:szCs w:val="44"/>
        </w:rPr>
      </w:pPr>
    </w:p>
    <w:p w14:paraId="3E050D59">
      <w:pPr>
        <w:spacing w:line="480" w:lineRule="auto"/>
        <w:ind w:firstLine="880"/>
        <w:jc w:val="center"/>
        <w:rPr>
          <w:rFonts w:hint="eastAsia" w:ascii="黑体" w:hAnsi="黑体" w:eastAsia="黑体" w:cs="宋体"/>
          <w:kern w:val="0"/>
          <w:sz w:val="44"/>
          <w:szCs w:val="44"/>
        </w:rPr>
      </w:pPr>
    </w:p>
    <w:p w14:paraId="62DDD743">
      <w:pPr>
        <w:spacing w:line="600" w:lineRule="auto"/>
        <w:ind w:firstLine="880"/>
        <w:jc w:val="center"/>
        <w:rPr>
          <w:rFonts w:hint="eastAsia" w:ascii="黑体" w:hAnsi="黑体" w:eastAsia="黑体" w:cs="宋体"/>
          <w:kern w:val="0"/>
          <w:sz w:val="44"/>
          <w:szCs w:val="44"/>
        </w:rPr>
      </w:pPr>
      <w:r>
        <w:rPr>
          <w:rFonts w:hint="eastAsia" w:ascii="黑体" w:hAnsi="黑体" w:eastAsia="黑体" w:cs="宋体"/>
          <w:kern w:val="0"/>
          <w:sz w:val="44"/>
          <w:szCs w:val="44"/>
        </w:rPr>
        <w:t>陕西省地方标准</w:t>
      </w:r>
    </w:p>
    <w:p w14:paraId="73980D90">
      <w:pPr>
        <w:spacing w:line="600" w:lineRule="auto"/>
        <w:ind w:firstLine="880"/>
        <w:jc w:val="center"/>
        <w:rPr>
          <w:rFonts w:hint="eastAsia" w:ascii="黑体" w:hAnsi="黑体" w:eastAsia="黑体" w:cs="宋体"/>
          <w:kern w:val="0"/>
          <w:sz w:val="44"/>
          <w:szCs w:val="44"/>
          <w:lang w:eastAsia="zh-CN"/>
        </w:rPr>
      </w:pPr>
      <w:r>
        <w:rPr>
          <w:rFonts w:hint="eastAsia" w:ascii="黑体" w:hAnsi="黑体" w:eastAsia="黑体" w:cs="宋体"/>
          <w:kern w:val="0"/>
          <w:sz w:val="44"/>
          <w:szCs w:val="44"/>
        </w:rPr>
        <w:t>珙桐栽培技术规</w:t>
      </w:r>
      <w:r>
        <w:rPr>
          <w:rFonts w:hint="eastAsia" w:ascii="黑体" w:hAnsi="黑体" w:eastAsia="黑体" w:cs="宋体"/>
          <w:kern w:val="0"/>
          <w:sz w:val="44"/>
          <w:szCs w:val="44"/>
          <w:lang w:val="en-US" w:eastAsia="zh-CN"/>
        </w:rPr>
        <w:t>范</w:t>
      </w:r>
    </w:p>
    <w:p w14:paraId="2B4D408E">
      <w:pPr>
        <w:spacing w:line="600" w:lineRule="auto"/>
        <w:ind w:firstLine="880"/>
        <w:jc w:val="center"/>
        <w:rPr>
          <w:rFonts w:hint="eastAsia" w:ascii="黑体" w:hAnsi="黑体" w:eastAsia="黑体" w:cs="宋体"/>
          <w:kern w:val="0"/>
          <w:sz w:val="44"/>
          <w:szCs w:val="44"/>
        </w:rPr>
      </w:pPr>
      <w:r>
        <w:rPr>
          <w:rFonts w:hint="eastAsia" w:ascii="黑体" w:hAnsi="黑体" w:eastAsia="黑体" w:cs="宋体"/>
          <w:kern w:val="0"/>
          <w:sz w:val="44"/>
          <w:szCs w:val="44"/>
        </w:rPr>
        <w:t>编制说明</w:t>
      </w:r>
    </w:p>
    <w:p w14:paraId="4DB24926">
      <w:pPr>
        <w:spacing w:line="720" w:lineRule="auto"/>
        <w:ind w:firstLine="640"/>
      </w:pPr>
    </w:p>
    <w:p w14:paraId="4BAD0E2C">
      <w:pPr>
        <w:pStyle w:val="2"/>
        <w:ind w:left="640" w:firstLine="640"/>
      </w:pPr>
    </w:p>
    <w:p w14:paraId="49057FE1">
      <w:pPr>
        <w:ind w:firstLine="640"/>
      </w:pPr>
    </w:p>
    <w:p w14:paraId="7307C908">
      <w:pPr>
        <w:ind w:firstLine="640"/>
      </w:pPr>
    </w:p>
    <w:p w14:paraId="0CB82023">
      <w:pPr>
        <w:pStyle w:val="2"/>
        <w:ind w:left="640" w:firstLine="640"/>
      </w:pPr>
    </w:p>
    <w:p w14:paraId="0EB5854E">
      <w:pPr>
        <w:pStyle w:val="17"/>
        <w:ind w:firstLine="1080"/>
        <w:rPr>
          <w:rFonts w:hint="eastAsia"/>
        </w:rPr>
      </w:pPr>
    </w:p>
    <w:p w14:paraId="64C7C9B7">
      <w:pPr>
        <w:ind w:firstLine="640"/>
      </w:pPr>
    </w:p>
    <w:p w14:paraId="5F925D27">
      <w:pPr>
        <w:ind w:firstLine="640"/>
      </w:pPr>
    </w:p>
    <w:p w14:paraId="0D0C7BAF">
      <w:pPr>
        <w:ind w:firstLine="640"/>
      </w:pPr>
    </w:p>
    <w:p w14:paraId="32F1AC3C">
      <w:pPr>
        <w:spacing w:line="640" w:lineRule="exact"/>
        <w:ind w:firstLine="1800" w:firstLineChars="500"/>
        <w:jc w:val="left"/>
        <w:rPr>
          <w:rFonts w:hint="eastAsia" w:ascii="黑体" w:hAnsi="黑体" w:eastAsia="黑体" w:cs="黑体"/>
          <w:sz w:val="36"/>
          <w:szCs w:val="36"/>
        </w:rPr>
      </w:pPr>
      <w:r>
        <w:rPr>
          <w:rFonts w:hint="eastAsia" w:ascii="黑体" w:hAnsi="黑体" w:eastAsia="黑体" w:cs="黑体"/>
          <w:sz w:val="36"/>
          <w:szCs w:val="36"/>
        </w:rPr>
        <w:t>项目编号：SDBXM 246-2024</w:t>
      </w:r>
    </w:p>
    <w:p w14:paraId="7C695475">
      <w:pPr>
        <w:spacing w:line="640" w:lineRule="exact"/>
        <w:ind w:firstLine="1800" w:firstLineChars="500"/>
        <w:jc w:val="left"/>
        <w:rPr>
          <w:rFonts w:hint="eastAsia" w:ascii="黑体" w:hAnsi="黑体" w:eastAsia="黑体" w:cs="黑体"/>
          <w:sz w:val="36"/>
          <w:szCs w:val="36"/>
          <w:lang w:eastAsia="zh-CN"/>
        </w:rPr>
      </w:pPr>
      <w:r>
        <w:rPr>
          <w:rFonts w:hint="eastAsia" w:ascii="黑体" w:hAnsi="黑体" w:eastAsia="黑体" w:cs="黑体"/>
          <w:sz w:val="36"/>
          <w:szCs w:val="36"/>
        </w:rPr>
        <w:t>项目名称：珙桐栽培技术</w:t>
      </w:r>
      <w:r>
        <w:rPr>
          <w:rFonts w:hint="eastAsia" w:ascii="黑体" w:hAnsi="黑体" w:eastAsia="黑体" w:cs="黑体"/>
          <w:sz w:val="36"/>
          <w:szCs w:val="36"/>
          <w:lang w:eastAsia="zh-CN"/>
        </w:rPr>
        <w:t>规范</w:t>
      </w:r>
    </w:p>
    <w:p w14:paraId="6FDA0476">
      <w:pPr>
        <w:spacing w:line="640" w:lineRule="exact"/>
        <w:ind w:firstLine="1800" w:firstLineChars="500"/>
        <w:jc w:val="left"/>
        <w:rPr>
          <w:rFonts w:hint="eastAsia" w:ascii="黑体" w:hAnsi="黑体" w:eastAsia="黑体" w:cs="黑体"/>
          <w:sz w:val="36"/>
          <w:szCs w:val="36"/>
        </w:rPr>
      </w:pPr>
    </w:p>
    <w:p w14:paraId="19EA1BBB">
      <w:pPr>
        <w:ind w:firstLine="640"/>
      </w:pPr>
    </w:p>
    <w:p w14:paraId="105FEB3F">
      <w:pPr>
        <w:ind w:firstLine="640"/>
      </w:pPr>
      <w:r>
        <w:br w:type="page"/>
      </w:r>
    </w:p>
    <w:p w14:paraId="589911B2">
      <w:pPr>
        <w:ind w:firstLine="640"/>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docGrid w:type="lines" w:linePitch="312" w:charSpace="0"/>
        </w:sectPr>
      </w:pPr>
    </w:p>
    <w:p w14:paraId="137802ED">
      <w:pPr>
        <w:ind w:firstLine="640"/>
        <w:sectPr>
          <w:footerReference r:id="rId11" w:type="default"/>
          <w:pgSz w:w="11906" w:h="16838"/>
          <w:pgMar w:top="1440" w:right="1800" w:bottom="1440" w:left="1800" w:header="851" w:footer="992" w:gutter="0"/>
          <w:cols w:space="425" w:num="1"/>
          <w:docGrid w:type="lines" w:linePitch="312" w:charSpace="0"/>
        </w:sectPr>
      </w:pPr>
    </w:p>
    <w:p w14:paraId="4AD0974B">
      <w:pPr>
        <w:spacing w:line="360" w:lineRule="auto"/>
        <w:ind w:firstLine="880"/>
        <w:jc w:val="center"/>
        <w:outlineLvl w:val="0"/>
        <w:rPr>
          <w:rFonts w:hint="eastAsia" w:ascii="方正小标宋简体" w:hAnsi="Calibri" w:eastAsia="方正小标宋简体" w:cs="宋体"/>
          <w:bCs/>
          <w:sz w:val="44"/>
          <w:szCs w:val="44"/>
          <w:lang w:eastAsia="zh-CN"/>
        </w:rPr>
      </w:pPr>
      <w:r>
        <w:rPr>
          <w:rFonts w:hint="eastAsia" w:ascii="方正小标宋简体" w:hAnsi="Calibri" w:eastAsia="方正小标宋简体" w:cs="宋体"/>
          <w:bCs/>
          <w:sz w:val="44"/>
          <w:szCs w:val="44"/>
        </w:rPr>
        <w:t>珙桐栽培技术</w:t>
      </w:r>
      <w:r>
        <w:rPr>
          <w:rFonts w:hint="eastAsia" w:ascii="方正小标宋简体" w:hAnsi="Calibri" w:eastAsia="方正小标宋简体" w:cs="宋体"/>
          <w:bCs/>
          <w:sz w:val="44"/>
          <w:szCs w:val="44"/>
          <w:lang w:eastAsia="zh-CN"/>
        </w:rPr>
        <w:t>规范</w:t>
      </w:r>
    </w:p>
    <w:p w14:paraId="3F48F60F">
      <w:pPr>
        <w:spacing w:line="360" w:lineRule="auto"/>
        <w:ind w:firstLine="880"/>
        <w:jc w:val="center"/>
        <w:outlineLvl w:val="0"/>
        <w:rPr>
          <w:rFonts w:ascii="方正小标宋简体" w:hAnsi="Calibri" w:eastAsia="方正小标宋简体" w:cs="宋体"/>
          <w:bCs/>
          <w:sz w:val="44"/>
          <w:szCs w:val="44"/>
        </w:rPr>
      </w:pPr>
      <w:r>
        <w:rPr>
          <w:rFonts w:hint="eastAsia" w:ascii="方正小标宋简体" w:hAnsi="Calibri" w:eastAsia="方正小标宋简体" w:cs="宋体"/>
          <w:bCs/>
          <w:sz w:val="44"/>
          <w:szCs w:val="44"/>
        </w:rPr>
        <w:t>编制说明</w:t>
      </w:r>
    </w:p>
    <w:p w14:paraId="6D1460CF">
      <w:pPr>
        <w:pStyle w:val="3"/>
        <w:ind w:firstLine="640"/>
      </w:pPr>
      <w:r>
        <w:rPr>
          <w:rFonts w:hint="eastAsia"/>
        </w:rPr>
        <w:t>一、工作概况</w:t>
      </w:r>
    </w:p>
    <w:p w14:paraId="41D2CA5A">
      <w:pPr>
        <w:pStyle w:val="4"/>
        <w:ind w:firstLine="643"/>
      </w:pPr>
      <w:r>
        <w:rPr>
          <w:rFonts w:hint="eastAsia"/>
        </w:rPr>
        <w:t>（一）任务来源</w:t>
      </w:r>
    </w:p>
    <w:p w14:paraId="4EA9C0ED">
      <w:pPr>
        <w:ind w:firstLine="640"/>
      </w:pPr>
      <w:r>
        <w:rPr>
          <w:rFonts w:hint="eastAsia"/>
        </w:rPr>
        <w:t>本标准由秦岭国家植物园提出，陕西省市场监管局《陕西省市场监督管理局关于下达2024年第二批地方标准制修订项目计划的通知》</w:t>
      </w:r>
      <w:r>
        <w:rPr>
          <w:rFonts w:hint="eastAsia" w:ascii="仿宋" w:hAnsi="仿宋" w:cs="仿宋"/>
          <w:sz w:val="30"/>
          <w:szCs w:val="30"/>
        </w:rPr>
        <w:t>（陕市监函〔2024〕590号）</w:t>
      </w:r>
      <w:r>
        <w:rPr>
          <w:rFonts w:hint="eastAsia"/>
        </w:rPr>
        <w:t>批准立项，</w:t>
      </w:r>
      <w:r>
        <w:rPr>
          <w:rFonts w:hint="eastAsia" w:ascii="仿宋" w:hAnsi="仿宋" w:cs="仿宋"/>
          <w:sz w:val="30"/>
          <w:szCs w:val="30"/>
        </w:rPr>
        <w:t>项目标号为SDBXM 246-2024，</w:t>
      </w:r>
      <w:r>
        <w:rPr>
          <w:rFonts w:hint="eastAsia"/>
        </w:rPr>
        <w:t>秦岭国家植物园起草制定。</w:t>
      </w:r>
    </w:p>
    <w:p w14:paraId="615B22F5">
      <w:pPr>
        <w:pStyle w:val="4"/>
        <w:ind w:firstLine="643"/>
      </w:pPr>
      <w:r>
        <w:rPr>
          <w:rFonts w:hint="eastAsia" w:ascii="楷体_GB2312" w:hAnsi="仿宋" w:eastAsia="楷体_GB2312" w:cs="Calibri"/>
          <w:szCs w:val="32"/>
        </w:rPr>
        <w:t>（二）制</w:t>
      </w:r>
      <w:r>
        <w:t>订的</w:t>
      </w:r>
      <w:r>
        <w:rPr>
          <w:rFonts w:hint="eastAsia"/>
        </w:rPr>
        <w:t>目的</w:t>
      </w:r>
      <w:r>
        <w:t>和意义</w:t>
      </w:r>
    </w:p>
    <w:p w14:paraId="6B46C7C6">
      <w:pPr>
        <w:ind w:firstLine="640"/>
      </w:pPr>
      <w:r>
        <w:rPr>
          <w:rFonts w:hint="eastAsia"/>
        </w:rPr>
        <w:t>培育优良的苗木是提高生态环境建设质量和园林建设的前提和保障措施，尤其是国家级保护植尤为重要。珙桐作为优良的园林植物和造林植物，虽然在生产中育苗技术已有应用，由于我省至今没有相应的技术标准，生产出的苗木质量参差不齐，制约了珙桐的大面积推广发展。因此，为更好的实现保护和推广珙桐，结合地方林业生产及园林建设需要，因地制宜的制定出珙桐栽培技术标准，规范指导珙桐苗木栽培技术生产，大力推广珙桐园林和造林价值，满足陕西发展国家重点野生植物珙桐保护及珙桐绿化苗木的需求，使保护及应用珙桐的发展走上科学化、规划化、标准化轨道，充分提高珙桐苗木生产的质量和效益，特提出制定《珙桐栽培技术</w:t>
      </w:r>
      <w:r>
        <w:rPr>
          <w:rFonts w:hint="eastAsia"/>
          <w:lang w:eastAsia="zh-CN"/>
        </w:rPr>
        <w:t>规范</w:t>
      </w:r>
      <w:r>
        <w:rPr>
          <w:rFonts w:hint="eastAsia"/>
        </w:rPr>
        <w:t>》。技术</w:t>
      </w:r>
      <w:r>
        <w:rPr>
          <w:rFonts w:hint="eastAsia"/>
          <w:lang w:eastAsia="zh-CN"/>
        </w:rPr>
        <w:t>规范</w:t>
      </w:r>
      <w:r>
        <w:rPr>
          <w:rFonts w:hint="eastAsia"/>
        </w:rPr>
        <w:t>的制定对于促进陕西及西北地区生态环境建设和社会经济建设的持续发展都具有十分重要的</w:t>
      </w:r>
      <w:r>
        <w:drawing>
          <wp:anchor distT="0" distB="0" distL="114300" distR="114300" simplePos="0" relativeHeight="251660288" behindDoc="0" locked="0" layoutInCell="1" allowOverlap="1">
            <wp:simplePos x="0" y="0"/>
            <wp:positionH relativeFrom="column">
              <wp:posOffset>17145</wp:posOffset>
            </wp:positionH>
            <wp:positionV relativeFrom="paragraph">
              <wp:posOffset>770255</wp:posOffset>
            </wp:positionV>
            <wp:extent cx="5274310" cy="3956050"/>
            <wp:effectExtent l="0" t="0" r="2540" b="6350"/>
            <wp:wrapTopAndBottom/>
            <wp:docPr id="15716240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624026" name="图片 1"/>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4310" cy="3956050"/>
                    </a:xfrm>
                    <a:prstGeom prst="rect">
                      <a:avLst/>
                    </a:prstGeom>
                  </pic:spPr>
                </pic:pic>
              </a:graphicData>
            </a:graphic>
          </wp:anchor>
        </w:drawing>
      </w:r>
      <w:r>
        <w:rPr>
          <w:rFonts w:hint="eastAsia"/>
        </w:rPr>
        <w:t>意义。</w:t>
      </w:r>
    </w:p>
    <w:p w14:paraId="602CB781">
      <w:pPr>
        <w:ind w:firstLine="560"/>
        <w:jc w:val="center"/>
        <w:rPr>
          <w:rFonts w:hint="eastAsia" w:ascii="黑体" w:hAnsi="黑体" w:eastAsia="黑体"/>
          <w:sz w:val="28"/>
          <w:szCs w:val="28"/>
        </w:rPr>
      </w:pPr>
      <w:r>
        <w:rPr>
          <w:rFonts w:hint="eastAsia" w:ascii="黑体" w:hAnsi="黑体" w:eastAsia="黑体"/>
          <w:sz w:val="28"/>
          <w:szCs w:val="28"/>
        </w:rPr>
        <w:t>图1 “鸽子树”珙桐</w:t>
      </w:r>
    </w:p>
    <w:p w14:paraId="4442516A">
      <w:pPr>
        <w:ind w:firstLine="640"/>
      </w:pPr>
      <w:r>
        <w:rPr>
          <w:rFonts w:hint="eastAsia"/>
        </w:rPr>
        <w:t>珙桐（</w:t>
      </w:r>
      <w:r>
        <w:rPr>
          <w:rFonts w:hint="eastAsia"/>
          <w:i/>
          <w:iCs/>
        </w:rPr>
        <w:t>Davidia involucrata</w:t>
      </w:r>
      <w:r>
        <w:rPr>
          <w:rFonts w:hint="eastAsia"/>
        </w:rPr>
        <w:t xml:space="preserve"> Baill ）</w:t>
      </w:r>
      <w:r>
        <w:rPr>
          <w:rFonts w:hint="eastAsia"/>
          <w:lang w:eastAsia="zh-CN"/>
        </w:rPr>
        <w:t>，</w:t>
      </w:r>
      <w:r>
        <w:rPr>
          <w:rFonts w:hint="eastAsia"/>
        </w:rPr>
        <w:t>蓝果树科（Nyssaceae）珙桐属（</w:t>
      </w:r>
      <w:r>
        <w:rPr>
          <w:rFonts w:hint="eastAsia"/>
          <w:i/>
          <w:iCs/>
        </w:rPr>
        <w:t>Davidia</w:t>
      </w:r>
      <w:r>
        <w:rPr>
          <w:rFonts w:hint="eastAsia"/>
        </w:rPr>
        <w:t>）植物，是我国特有珍稀濒危树种，现已被《中国植物红皮书》及《中国珍稀濒危保护植物名录》收录，被列为国家一级保护植物，系统发育古老，是第三纪古热带植物区系的孑遗种，被誉为“活化石”，距今已有1000多万年，是我国八种国宝级植物树种之一。珙桐俗称鸽子树，树形优美、花型奇特、花苞片洁白，是驰名世界的的珍贵观赏树种。陕西省仅分布于大巴山，目前在东南部镇坪县的10个乡镇（城关、牛头店、白家、曙坪、钟宝、洪石、上竹、小曙河、曾家和华坪）有分布，岚皋县（四季、横溪、官元和南宫山）、平利县的化龙山周围有分布。珙桐是我国具有较好发展前景的珍贵用材、景观及碳汇树种之一。珙桐是著名的观赏树，但是在陕西省园林绿化上极为少见，究其原因便是繁育和不能过夏等问题，导致珙桐不能在陕西境内作为园林树种进行推广。</w:t>
      </w:r>
    </w:p>
    <w:p w14:paraId="36214EE0">
      <w:pPr>
        <w:pStyle w:val="4"/>
        <w:numPr>
          <w:ilvl w:val="0"/>
          <w:numId w:val="1"/>
        </w:numPr>
        <w:ind w:firstLine="643"/>
        <w:rPr>
          <w:rFonts w:hint="eastAsia" w:ascii="楷体_GB2312" w:hAnsi="仿宋" w:eastAsia="楷体_GB2312" w:cs="Calibri"/>
          <w:szCs w:val="32"/>
        </w:rPr>
      </w:pPr>
      <w:r>
        <w:rPr>
          <w:rFonts w:hint="eastAsia" w:ascii="楷体_GB2312" w:hAnsi="仿宋" w:eastAsia="楷体_GB2312" w:cs="Calibri"/>
          <w:szCs w:val="32"/>
        </w:rPr>
        <w:t>承担单位</w:t>
      </w:r>
    </w:p>
    <w:p w14:paraId="36DBBBD2">
      <w:pPr>
        <w:spacing w:line="360" w:lineRule="auto"/>
        <w:ind w:firstLine="640"/>
        <w:rPr>
          <w:rFonts w:eastAsia="方正仿宋_GB2312"/>
          <w:color w:val="000000"/>
          <w:szCs w:val="32"/>
        </w:rPr>
      </w:pPr>
      <w:r>
        <w:rPr>
          <w:rFonts w:hint="eastAsia" w:eastAsia="方正仿宋_GB2312"/>
          <w:color w:val="000000"/>
          <w:szCs w:val="32"/>
        </w:rPr>
        <w:t>本规范由秦岭国家植物园承担实施。我园是专门从事林木良种繁育、林业生态治理、林业技术研究和推广应用单位。以林业基础研究与应用研究为主的多学科、综合性科研机构，具有林学、生态、治沙、水保、地理、土壤、园艺、森保等专业学科的各类技术人员，</w:t>
      </w:r>
      <w:r>
        <w:rPr>
          <w:rFonts w:eastAsia="方正仿宋_GB2312"/>
          <w:color w:val="000000"/>
          <w:szCs w:val="32"/>
        </w:rPr>
        <w:t>拥有一支高素质、专业化的团队。专业技术人员占比高，硕博士及高级职称人员众多，专职科研人员专注于植物科研保护等多领域。管理团队具备丰富经验，能精准把握发展方向。此外，还有国际影响力的研究团队和流动人才，他们积极承担各类项目，在珍稀植物保护、生态恢复等工作中积累了大量宝贵经验，推动了科研成果的产出。</w:t>
      </w:r>
    </w:p>
    <w:p w14:paraId="26C135F7">
      <w:pPr>
        <w:ind w:firstLine="640"/>
      </w:pPr>
      <w:r>
        <w:rPr>
          <w:rFonts w:hint="eastAsia"/>
        </w:rPr>
        <w:t>2017年开始</w:t>
      </w:r>
      <w:r>
        <w:rPr>
          <w:rFonts w:hint="eastAsia"/>
          <w:lang w:eastAsia="zh-CN"/>
        </w:rPr>
        <w:t>，</w:t>
      </w:r>
      <w:r>
        <w:rPr>
          <w:rFonts w:hint="eastAsia"/>
        </w:rPr>
        <w:t>秦岭国家植物园从岚皋县引种珙桐种子，进行繁育、驯化及扦插研究，已经攻破种子繁育问题，申报了珙桐繁育相关的专利2篇，发表珙桐相关文章4篇，目前已经繁育珙桐2万余株，在陕西省境内7个地方开展了区域</w:t>
      </w:r>
      <w:r>
        <w:drawing>
          <wp:anchor distT="0" distB="0" distL="114300" distR="114300" simplePos="0" relativeHeight="251661312" behindDoc="0" locked="0" layoutInCell="1" allowOverlap="1">
            <wp:simplePos x="0" y="0"/>
            <wp:positionH relativeFrom="margin">
              <wp:posOffset>9525</wp:posOffset>
            </wp:positionH>
            <wp:positionV relativeFrom="paragraph">
              <wp:posOffset>2026920</wp:posOffset>
            </wp:positionV>
            <wp:extent cx="5274310" cy="3957320"/>
            <wp:effectExtent l="0" t="0" r="2540" b="5080"/>
            <wp:wrapTopAndBottom/>
            <wp:docPr id="1986029132" name="图片 1" descr="蓝色的花&#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029132" name="图片 1" descr="蓝色的花&#10;&#10;AI 生成的内容可能不正确。"/>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74310" cy="3957320"/>
                    </a:xfrm>
                    <a:prstGeom prst="rect">
                      <a:avLst/>
                    </a:prstGeom>
                    <a:noFill/>
                    <a:ln>
                      <a:noFill/>
                    </a:ln>
                  </pic:spPr>
                </pic:pic>
              </a:graphicData>
            </a:graphic>
          </wp:anchor>
        </w:drawing>
      </w:r>
      <w:r>
        <w:rPr>
          <w:rFonts w:hint="eastAsia"/>
        </w:rPr>
        <w:t>试验，涉及陕南、陕北和关中地区，其适应性、稳定性均表现良好，驯化完成度高，可以在关中正常过夏。我园珙桐栽培技术可应用于生产实践，在全省内推广，其发展应用前景广阔，希望有朝一日让国宝珙桐进入大众视野，“鸽子树”开满陕西。</w:t>
      </w:r>
    </w:p>
    <w:p w14:paraId="70FAF4B7">
      <w:pPr>
        <w:ind w:firstLine="560"/>
        <w:jc w:val="center"/>
        <w:rPr>
          <w:rFonts w:hint="eastAsia" w:ascii="黑体" w:hAnsi="黑体" w:eastAsia="黑体"/>
          <w:sz w:val="28"/>
          <w:szCs w:val="28"/>
        </w:rPr>
      </w:pPr>
      <w:r>
        <w:rPr>
          <w:rFonts w:hint="eastAsia" w:ascii="黑体" w:hAnsi="黑体" w:eastAsia="黑体"/>
          <w:sz w:val="28"/>
          <w:szCs w:val="28"/>
        </w:rPr>
        <w:t>图2  珙桐</w:t>
      </w:r>
    </w:p>
    <w:p w14:paraId="5D4013EE">
      <w:pPr>
        <w:pStyle w:val="4"/>
        <w:ind w:firstLine="643"/>
      </w:pPr>
      <w:r>
        <w:rPr>
          <w:rFonts w:hint="eastAsia"/>
        </w:rPr>
        <w:t>（四）主要工作过程</w:t>
      </w:r>
    </w:p>
    <w:p w14:paraId="7E496B12">
      <w:pPr>
        <w:ind w:firstLine="640"/>
      </w:pPr>
      <w:r>
        <w:rPr>
          <w:rFonts w:hint="eastAsia"/>
        </w:rPr>
        <w:t>1.成立标准起草小组、确定分工（2024年9月-10月）</w:t>
      </w:r>
    </w:p>
    <w:p w14:paraId="619D9B08">
      <w:pPr>
        <w:ind w:firstLine="640"/>
      </w:pPr>
      <w:r>
        <w:rPr>
          <w:rFonts w:hint="eastAsia"/>
        </w:rPr>
        <w:t>根据任务要求，秦岭国家植物园于2024年10月成立了标准编制工作起草小组，开展标准编制组织工作。标准编制工作起草小组经过积极组织、筹备和筛选，最终确定了标准起草工作组的成员单位，成立了标准起草工作组。秦岭国家植物园作为项目负责单位，全面负责项目的组织、实施和总结，提出项目实施的具体方案和工作进程。陕西省林业科学院、西北农林科技大学、陕西苗木繁育中心</w:t>
      </w:r>
      <w:r>
        <w:rPr>
          <w:rFonts w:hint="eastAsia"/>
          <w:lang w:val="en-US" w:eastAsia="zh-CN"/>
        </w:rPr>
        <w:t>为</w:t>
      </w:r>
      <w:r>
        <w:rPr>
          <w:rFonts w:hint="eastAsia"/>
        </w:rPr>
        <w:t>项目协作单位，协助相关调查研究工作。</w:t>
      </w:r>
    </w:p>
    <w:p w14:paraId="765167BB">
      <w:pPr>
        <w:ind w:firstLine="640"/>
      </w:pPr>
      <w:r>
        <w:rPr>
          <w:rFonts w:hint="eastAsia"/>
        </w:rPr>
        <w:t>2.编制起草计划（2024年11月-12月）</w:t>
      </w:r>
    </w:p>
    <w:p w14:paraId="2C056B5E">
      <w:pPr>
        <w:ind w:firstLine="640"/>
      </w:pPr>
      <w:r>
        <w:rPr>
          <w:rFonts w:hint="eastAsia"/>
        </w:rPr>
        <w:t>标准起草工作组制定了标准编制工作计划、编写大纲，明确任务分工和各阶段进度时间。同时，标准起草工作组成员认真学习了《标准化工作导则  第1部分：标准化文件的结构和起草规则》（GB/T 1.1-2020）及《地方标准制定规范》（DB61/T1214-2018），并结合标准制定工作程序的各个环节，进行了探讨和研究。</w:t>
      </w:r>
    </w:p>
    <w:p w14:paraId="66F4C77E">
      <w:pPr>
        <w:ind w:firstLine="640"/>
      </w:pPr>
      <w:r>
        <w:rPr>
          <w:rFonts w:hint="eastAsia"/>
        </w:rPr>
        <w:t>3.试验与示范（2024年10月-2025年4</w:t>
      </w:r>
      <w:r>
        <w:rPr>
          <w:rFonts w:hint="eastAsia"/>
          <w:lang w:val="en-US" w:eastAsia="zh-CN"/>
        </w:rPr>
        <w:t>月</w:t>
      </w:r>
      <w:r>
        <w:rPr>
          <w:rFonts w:hint="eastAsia"/>
        </w:rPr>
        <w:t>）</w:t>
      </w:r>
    </w:p>
    <w:p w14:paraId="57961E83">
      <w:pPr>
        <w:ind w:firstLine="640"/>
      </w:pPr>
      <w:r>
        <w:rPr>
          <w:rFonts w:hint="eastAsia"/>
        </w:rPr>
        <w:t>标准起草工作组经过生产技术试验与示范、咨询、收集和消化有关材料，以实际情况为主要参考依据，于202</w:t>
      </w:r>
      <w:r>
        <w:rPr>
          <w:rFonts w:hint="eastAsia"/>
          <w:lang w:val="en-US" w:eastAsia="zh-CN"/>
        </w:rPr>
        <w:t>5</w:t>
      </w:r>
      <w:r>
        <w:rPr>
          <w:rFonts w:hint="eastAsia"/>
        </w:rPr>
        <w:t>年</w:t>
      </w:r>
      <w:r>
        <w:rPr>
          <w:rFonts w:hint="eastAsia"/>
          <w:lang w:val="en-US" w:eastAsia="zh-CN"/>
        </w:rPr>
        <w:t>4</w:t>
      </w:r>
      <w:r>
        <w:rPr>
          <w:rFonts w:hint="eastAsia"/>
        </w:rPr>
        <w:t>月编制完成了地方标准《珙桐栽培技术</w:t>
      </w:r>
      <w:r>
        <w:rPr>
          <w:rFonts w:hint="eastAsia"/>
          <w:lang w:eastAsia="zh-CN"/>
        </w:rPr>
        <w:t>规范</w:t>
      </w:r>
      <w:r>
        <w:rPr>
          <w:rFonts w:hint="eastAsia"/>
        </w:rPr>
        <w:t>》的征求意见稿初稿。</w:t>
      </w:r>
    </w:p>
    <w:p w14:paraId="351D7D74">
      <w:pPr>
        <w:ind w:firstLine="640"/>
      </w:pPr>
      <w:r>
        <w:rPr>
          <w:rFonts w:hint="eastAsia"/>
        </w:rPr>
        <w:t>4.讨论与修改（2025年5月）</w:t>
      </w:r>
    </w:p>
    <w:p w14:paraId="47629A44">
      <w:pPr>
        <w:ind w:firstLine="640"/>
      </w:pPr>
      <w:r>
        <w:rPr>
          <w:rFonts w:hint="eastAsia"/>
        </w:rPr>
        <w:t>标准起草小组经过多次交流、讨论与修改，征求相关单位意见，2025年5月完成本标准的征求意见稿。</w:t>
      </w:r>
    </w:p>
    <w:p w14:paraId="2CC4F55A">
      <w:pPr>
        <w:pStyle w:val="4"/>
        <w:ind w:firstLine="643"/>
      </w:pPr>
      <w:r>
        <w:rPr>
          <w:rFonts w:hint="eastAsia"/>
        </w:rPr>
        <w:t>（五）主要起草人及其分工</w:t>
      </w:r>
    </w:p>
    <w:p w14:paraId="1B053E96">
      <w:pPr>
        <w:ind w:firstLine="640"/>
        <w:jc w:val="left"/>
      </w:pPr>
      <w:r>
        <w:rPr>
          <w:rFonts w:hint="eastAsia"/>
        </w:rPr>
        <w:t>主要起草单位为秦岭国家植物园。</w:t>
      </w:r>
    </w:p>
    <w:p w14:paraId="333EBF82">
      <w:pPr>
        <w:ind w:firstLine="640"/>
        <w:jc w:val="left"/>
      </w:pPr>
      <w:r>
        <w:rPr>
          <w:rFonts w:hint="eastAsia"/>
        </w:rPr>
        <w:t>参与单位：陕西省林业科学院、西北农林科技大学、陕西苗木繁育中心</w:t>
      </w:r>
    </w:p>
    <w:p w14:paraId="0945AEDA">
      <w:pPr>
        <w:ind w:firstLine="0" w:firstLineChars="0"/>
        <w:jc w:val="center"/>
        <w:rPr>
          <w:rFonts w:hint="eastAsia" w:ascii="宋体" w:hAnsi="宋体" w:eastAsia="宋体" w:cs="宋体"/>
          <w:color w:val="000000"/>
          <w:kern w:val="0"/>
          <w:sz w:val="28"/>
          <w:szCs w:val="28"/>
          <w:lang w:bidi="ar"/>
        </w:rPr>
      </w:pPr>
      <w:r>
        <w:rPr>
          <w:rFonts w:hint="eastAsia"/>
        </w:rPr>
        <w:t>主要起草人及任务分工表</w:t>
      </w:r>
    </w:p>
    <w:tbl>
      <w:tblPr>
        <w:tblStyle w:val="19"/>
        <w:tblW w:w="81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9"/>
        <w:gridCol w:w="799"/>
        <w:gridCol w:w="1735"/>
        <w:gridCol w:w="2716"/>
        <w:gridCol w:w="1767"/>
      </w:tblGrid>
      <w:tr w14:paraId="430C7E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exact"/>
          <w:jc w:val="center"/>
        </w:trPr>
        <w:tc>
          <w:tcPr>
            <w:tcW w:w="1099" w:type="dxa"/>
            <w:vAlign w:val="center"/>
          </w:tcPr>
          <w:p w14:paraId="5151A5C1">
            <w:pPr>
              <w:ind w:firstLine="0" w:firstLineChars="0"/>
              <w:jc w:val="center"/>
              <w:rPr>
                <w:rFonts w:hint="eastAsia" w:ascii="仿宋" w:hAnsi="仿宋" w:cs="仿宋"/>
                <w:kern w:val="0"/>
                <w:sz w:val="28"/>
                <w:szCs w:val="28"/>
              </w:rPr>
            </w:pPr>
            <w:r>
              <w:rPr>
                <w:rFonts w:hint="eastAsia" w:ascii="仿宋" w:hAnsi="仿宋" w:cs="仿宋"/>
                <w:kern w:val="0"/>
                <w:sz w:val="28"/>
                <w:szCs w:val="28"/>
              </w:rPr>
              <w:t>姓名</w:t>
            </w:r>
          </w:p>
        </w:tc>
        <w:tc>
          <w:tcPr>
            <w:tcW w:w="799" w:type="dxa"/>
            <w:vAlign w:val="center"/>
          </w:tcPr>
          <w:p w14:paraId="4450BEAC">
            <w:pPr>
              <w:ind w:firstLine="0" w:firstLineChars="0"/>
              <w:jc w:val="center"/>
              <w:rPr>
                <w:rFonts w:hint="eastAsia" w:ascii="仿宋" w:hAnsi="仿宋" w:cs="仿宋"/>
                <w:kern w:val="0"/>
                <w:sz w:val="28"/>
                <w:szCs w:val="28"/>
              </w:rPr>
            </w:pPr>
            <w:r>
              <w:rPr>
                <w:rFonts w:hint="eastAsia" w:ascii="仿宋" w:hAnsi="仿宋" w:cs="仿宋"/>
                <w:kern w:val="0"/>
                <w:sz w:val="28"/>
                <w:szCs w:val="28"/>
              </w:rPr>
              <w:t>性别</w:t>
            </w:r>
          </w:p>
        </w:tc>
        <w:tc>
          <w:tcPr>
            <w:tcW w:w="1735" w:type="dxa"/>
            <w:vAlign w:val="center"/>
          </w:tcPr>
          <w:p w14:paraId="68AF92FD">
            <w:pPr>
              <w:ind w:firstLine="0" w:firstLineChars="0"/>
              <w:jc w:val="center"/>
              <w:rPr>
                <w:rFonts w:hint="eastAsia" w:ascii="仿宋" w:hAnsi="仿宋" w:cs="仿宋"/>
                <w:kern w:val="0"/>
                <w:sz w:val="28"/>
                <w:szCs w:val="28"/>
              </w:rPr>
            </w:pPr>
            <w:r>
              <w:rPr>
                <w:rFonts w:hint="eastAsia" w:ascii="仿宋" w:hAnsi="仿宋" w:cs="仿宋"/>
                <w:kern w:val="0"/>
                <w:sz w:val="28"/>
                <w:szCs w:val="28"/>
              </w:rPr>
              <w:t>职务/职称</w:t>
            </w:r>
          </w:p>
        </w:tc>
        <w:tc>
          <w:tcPr>
            <w:tcW w:w="2716" w:type="dxa"/>
            <w:vAlign w:val="center"/>
          </w:tcPr>
          <w:p w14:paraId="32A6F131">
            <w:pPr>
              <w:ind w:firstLine="0" w:firstLineChars="0"/>
              <w:jc w:val="center"/>
              <w:rPr>
                <w:rFonts w:hint="eastAsia" w:ascii="仿宋" w:hAnsi="仿宋" w:cs="仿宋"/>
                <w:kern w:val="0"/>
                <w:sz w:val="28"/>
                <w:szCs w:val="28"/>
              </w:rPr>
            </w:pPr>
            <w:r>
              <w:rPr>
                <w:rFonts w:hint="eastAsia" w:ascii="仿宋" w:hAnsi="仿宋" w:cs="仿宋"/>
                <w:kern w:val="0"/>
                <w:sz w:val="28"/>
                <w:szCs w:val="28"/>
              </w:rPr>
              <w:t>工作单位</w:t>
            </w:r>
          </w:p>
        </w:tc>
        <w:tc>
          <w:tcPr>
            <w:tcW w:w="1767" w:type="dxa"/>
            <w:vAlign w:val="center"/>
          </w:tcPr>
          <w:p w14:paraId="497FB340">
            <w:pPr>
              <w:ind w:firstLine="0" w:firstLineChars="0"/>
              <w:jc w:val="center"/>
              <w:rPr>
                <w:rFonts w:hint="eastAsia" w:ascii="仿宋" w:hAnsi="仿宋" w:cs="仿宋"/>
                <w:kern w:val="0"/>
                <w:sz w:val="28"/>
                <w:szCs w:val="28"/>
              </w:rPr>
            </w:pPr>
            <w:r>
              <w:rPr>
                <w:rFonts w:hint="eastAsia" w:ascii="仿宋" w:hAnsi="仿宋" w:cs="仿宋"/>
                <w:kern w:val="0"/>
                <w:sz w:val="28"/>
                <w:szCs w:val="28"/>
              </w:rPr>
              <w:t>任务分工</w:t>
            </w:r>
          </w:p>
        </w:tc>
      </w:tr>
      <w:tr w14:paraId="40372A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exact"/>
          <w:jc w:val="center"/>
        </w:trPr>
        <w:tc>
          <w:tcPr>
            <w:tcW w:w="1099" w:type="dxa"/>
            <w:vAlign w:val="center"/>
          </w:tcPr>
          <w:p w14:paraId="516D7042">
            <w:pPr>
              <w:ind w:firstLine="0" w:firstLineChars="0"/>
              <w:jc w:val="center"/>
              <w:rPr>
                <w:rFonts w:hint="eastAsia" w:ascii="仿宋" w:hAnsi="仿宋" w:cs="仿宋"/>
                <w:kern w:val="0"/>
                <w:sz w:val="28"/>
                <w:szCs w:val="28"/>
              </w:rPr>
            </w:pPr>
            <w:r>
              <w:rPr>
                <w:rFonts w:hint="eastAsia" w:ascii="仿宋" w:hAnsi="仿宋" w:cs="仿宋"/>
                <w:kern w:val="0"/>
                <w:sz w:val="28"/>
                <w:szCs w:val="28"/>
              </w:rPr>
              <w:t>李亚利</w:t>
            </w:r>
          </w:p>
        </w:tc>
        <w:tc>
          <w:tcPr>
            <w:tcW w:w="799" w:type="dxa"/>
            <w:vAlign w:val="center"/>
          </w:tcPr>
          <w:p w14:paraId="6E7875FB">
            <w:pPr>
              <w:ind w:firstLine="0" w:firstLineChars="0"/>
              <w:jc w:val="center"/>
              <w:rPr>
                <w:rFonts w:hint="eastAsia" w:ascii="仿宋" w:hAnsi="仿宋" w:cs="仿宋"/>
                <w:kern w:val="0"/>
                <w:sz w:val="28"/>
                <w:szCs w:val="28"/>
              </w:rPr>
            </w:pPr>
            <w:r>
              <w:rPr>
                <w:rFonts w:hint="eastAsia" w:ascii="仿宋" w:hAnsi="仿宋" w:cs="仿宋"/>
                <w:kern w:val="0"/>
                <w:sz w:val="28"/>
                <w:szCs w:val="28"/>
              </w:rPr>
              <w:t>女</w:t>
            </w:r>
          </w:p>
        </w:tc>
        <w:tc>
          <w:tcPr>
            <w:tcW w:w="1735" w:type="dxa"/>
            <w:vAlign w:val="center"/>
          </w:tcPr>
          <w:p w14:paraId="1E530E81">
            <w:pPr>
              <w:ind w:firstLine="0" w:firstLineChars="0"/>
              <w:jc w:val="center"/>
              <w:rPr>
                <w:rFonts w:hint="eastAsia" w:ascii="仿宋" w:hAnsi="仿宋" w:cs="仿宋"/>
                <w:kern w:val="0"/>
                <w:sz w:val="28"/>
                <w:szCs w:val="28"/>
              </w:rPr>
            </w:pPr>
            <w:r>
              <w:rPr>
                <w:rFonts w:hint="eastAsia" w:ascii="仿宋" w:hAnsi="仿宋" w:cs="仿宋"/>
                <w:kern w:val="0"/>
                <w:sz w:val="28"/>
                <w:szCs w:val="28"/>
              </w:rPr>
              <w:t>高级工程师</w:t>
            </w:r>
          </w:p>
        </w:tc>
        <w:tc>
          <w:tcPr>
            <w:tcW w:w="2716" w:type="dxa"/>
            <w:vAlign w:val="center"/>
          </w:tcPr>
          <w:p w14:paraId="73602920">
            <w:pPr>
              <w:ind w:firstLine="0" w:firstLineChars="0"/>
              <w:jc w:val="center"/>
              <w:rPr>
                <w:rFonts w:hint="eastAsia" w:ascii="仿宋" w:hAnsi="仿宋" w:cs="仿宋"/>
                <w:kern w:val="0"/>
                <w:sz w:val="28"/>
                <w:szCs w:val="28"/>
              </w:rPr>
            </w:pPr>
            <w:r>
              <w:rPr>
                <w:rFonts w:hint="eastAsia" w:ascii="仿宋" w:hAnsi="仿宋" w:cs="仿宋"/>
                <w:kern w:val="0"/>
                <w:sz w:val="28"/>
                <w:szCs w:val="28"/>
              </w:rPr>
              <w:t>秦岭国家植物园</w:t>
            </w:r>
          </w:p>
        </w:tc>
        <w:tc>
          <w:tcPr>
            <w:tcW w:w="1767" w:type="dxa"/>
            <w:vAlign w:val="center"/>
          </w:tcPr>
          <w:p w14:paraId="4B16AEA7">
            <w:pPr>
              <w:ind w:firstLine="0" w:firstLineChars="0"/>
              <w:jc w:val="center"/>
              <w:rPr>
                <w:rFonts w:hint="eastAsia" w:ascii="仿宋" w:hAnsi="仿宋" w:cs="仿宋"/>
                <w:kern w:val="0"/>
                <w:sz w:val="28"/>
                <w:szCs w:val="28"/>
              </w:rPr>
            </w:pPr>
            <w:r>
              <w:rPr>
                <w:rFonts w:hint="eastAsia" w:ascii="仿宋" w:hAnsi="仿宋" w:cs="仿宋"/>
                <w:kern w:val="0"/>
                <w:sz w:val="28"/>
                <w:szCs w:val="28"/>
              </w:rPr>
              <w:t>项目负责</w:t>
            </w:r>
          </w:p>
        </w:tc>
      </w:tr>
      <w:tr w14:paraId="56C104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exact"/>
          <w:jc w:val="center"/>
        </w:trPr>
        <w:tc>
          <w:tcPr>
            <w:tcW w:w="1099" w:type="dxa"/>
            <w:vAlign w:val="center"/>
          </w:tcPr>
          <w:p w14:paraId="1F69A83E">
            <w:pPr>
              <w:ind w:firstLine="0" w:firstLineChars="0"/>
              <w:jc w:val="center"/>
              <w:rPr>
                <w:rFonts w:hint="eastAsia" w:ascii="仿宋" w:hAnsi="仿宋" w:cs="仿宋"/>
                <w:kern w:val="0"/>
                <w:sz w:val="28"/>
                <w:szCs w:val="28"/>
              </w:rPr>
            </w:pPr>
            <w:r>
              <w:rPr>
                <w:rFonts w:hint="eastAsia" w:ascii="仿宋" w:hAnsi="仿宋" w:cs="仿宋"/>
                <w:kern w:val="0"/>
                <w:sz w:val="28"/>
                <w:szCs w:val="28"/>
              </w:rPr>
              <w:t>朱  琳</w:t>
            </w:r>
          </w:p>
        </w:tc>
        <w:tc>
          <w:tcPr>
            <w:tcW w:w="799" w:type="dxa"/>
            <w:vAlign w:val="center"/>
          </w:tcPr>
          <w:p w14:paraId="33680DA5">
            <w:pPr>
              <w:ind w:firstLine="0" w:firstLineChars="0"/>
              <w:jc w:val="center"/>
              <w:rPr>
                <w:rFonts w:hint="eastAsia" w:ascii="仿宋" w:hAnsi="仿宋" w:cs="仿宋"/>
                <w:kern w:val="0"/>
                <w:sz w:val="28"/>
                <w:szCs w:val="28"/>
              </w:rPr>
            </w:pPr>
            <w:r>
              <w:rPr>
                <w:rFonts w:hint="eastAsia" w:ascii="仿宋" w:hAnsi="仿宋" w:cs="仿宋"/>
                <w:kern w:val="0"/>
                <w:sz w:val="28"/>
                <w:szCs w:val="28"/>
              </w:rPr>
              <w:t>男</w:t>
            </w:r>
          </w:p>
        </w:tc>
        <w:tc>
          <w:tcPr>
            <w:tcW w:w="1735" w:type="dxa"/>
            <w:vAlign w:val="center"/>
          </w:tcPr>
          <w:p w14:paraId="39E0327B">
            <w:pPr>
              <w:ind w:firstLine="0" w:firstLineChars="0"/>
              <w:jc w:val="center"/>
              <w:rPr>
                <w:rFonts w:hint="eastAsia" w:ascii="仿宋" w:hAnsi="仿宋" w:cs="仿宋"/>
                <w:kern w:val="0"/>
                <w:sz w:val="28"/>
                <w:szCs w:val="28"/>
              </w:rPr>
            </w:pPr>
            <w:r>
              <w:rPr>
                <w:rFonts w:hint="eastAsia" w:ascii="仿宋" w:hAnsi="仿宋" w:cs="仿宋"/>
                <w:kern w:val="0"/>
                <w:sz w:val="28"/>
                <w:szCs w:val="28"/>
              </w:rPr>
              <w:t>高级工程师</w:t>
            </w:r>
          </w:p>
        </w:tc>
        <w:tc>
          <w:tcPr>
            <w:tcW w:w="2716" w:type="dxa"/>
            <w:vAlign w:val="center"/>
          </w:tcPr>
          <w:p w14:paraId="68FD73B8">
            <w:pPr>
              <w:ind w:firstLine="0" w:firstLineChars="0"/>
              <w:jc w:val="center"/>
              <w:rPr>
                <w:rFonts w:hint="eastAsia" w:ascii="仿宋" w:hAnsi="仿宋" w:cs="仿宋"/>
                <w:kern w:val="0"/>
                <w:sz w:val="28"/>
                <w:szCs w:val="28"/>
              </w:rPr>
            </w:pPr>
            <w:r>
              <w:rPr>
                <w:rFonts w:hint="eastAsia" w:ascii="仿宋" w:hAnsi="仿宋" w:cs="仿宋"/>
                <w:kern w:val="0"/>
                <w:sz w:val="28"/>
                <w:szCs w:val="28"/>
              </w:rPr>
              <w:t>秦岭国家植物园</w:t>
            </w:r>
          </w:p>
        </w:tc>
        <w:tc>
          <w:tcPr>
            <w:tcW w:w="1767" w:type="dxa"/>
            <w:vAlign w:val="center"/>
          </w:tcPr>
          <w:p w14:paraId="5E4D4E48">
            <w:pPr>
              <w:ind w:firstLine="0" w:firstLineChars="0"/>
              <w:jc w:val="center"/>
              <w:rPr>
                <w:rFonts w:hint="eastAsia" w:ascii="仿宋" w:hAnsi="仿宋" w:cs="仿宋"/>
                <w:kern w:val="0"/>
                <w:sz w:val="28"/>
                <w:szCs w:val="28"/>
              </w:rPr>
            </w:pPr>
            <w:r>
              <w:rPr>
                <w:rFonts w:hint="eastAsia" w:ascii="仿宋" w:hAnsi="仿宋" w:cs="仿宋"/>
                <w:kern w:val="0"/>
                <w:sz w:val="28"/>
                <w:szCs w:val="28"/>
              </w:rPr>
              <w:t>标准起草</w:t>
            </w:r>
          </w:p>
        </w:tc>
      </w:tr>
      <w:tr w14:paraId="5E7537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exact"/>
          <w:jc w:val="center"/>
        </w:trPr>
        <w:tc>
          <w:tcPr>
            <w:tcW w:w="1099" w:type="dxa"/>
            <w:vAlign w:val="center"/>
          </w:tcPr>
          <w:p w14:paraId="45D02B76">
            <w:pPr>
              <w:ind w:firstLine="0" w:firstLineChars="0"/>
              <w:jc w:val="center"/>
              <w:rPr>
                <w:rFonts w:hint="eastAsia" w:ascii="仿宋" w:hAnsi="仿宋" w:cs="仿宋"/>
                <w:kern w:val="0"/>
                <w:sz w:val="28"/>
                <w:szCs w:val="28"/>
              </w:rPr>
            </w:pPr>
            <w:r>
              <w:rPr>
                <w:rFonts w:hint="eastAsia" w:ascii="仿宋" w:hAnsi="仿宋" w:cs="仿宋"/>
                <w:kern w:val="0"/>
                <w:sz w:val="28"/>
                <w:szCs w:val="28"/>
              </w:rPr>
              <w:t>高  龙</w:t>
            </w:r>
          </w:p>
        </w:tc>
        <w:tc>
          <w:tcPr>
            <w:tcW w:w="799" w:type="dxa"/>
            <w:vAlign w:val="center"/>
          </w:tcPr>
          <w:p w14:paraId="5E202E00">
            <w:pPr>
              <w:ind w:firstLine="0" w:firstLineChars="0"/>
              <w:jc w:val="center"/>
              <w:rPr>
                <w:rFonts w:hint="eastAsia" w:ascii="仿宋" w:hAnsi="仿宋" w:cs="仿宋"/>
                <w:kern w:val="0"/>
                <w:sz w:val="28"/>
                <w:szCs w:val="28"/>
              </w:rPr>
            </w:pPr>
            <w:r>
              <w:rPr>
                <w:rFonts w:hint="eastAsia" w:ascii="仿宋" w:hAnsi="仿宋" w:cs="仿宋"/>
                <w:kern w:val="0"/>
                <w:sz w:val="28"/>
                <w:szCs w:val="28"/>
              </w:rPr>
              <w:t>男</w:t>
            </w:r>
          </w:p>
        </w:tc>
        <w:tc>
          <w:tcPr>
            <w:tcW w:w="1735" w:type="dxa"/>
            <w:vAlign w:val="center"/>
          </w:tcPr>
          <w:p w14:paraId="13919191">
            <w:pPr>
              <w:ind w:firstLine="0" w:firstLineChars="0"/>
              <w:jc w:val="center"/>
              <w:rPr>
                <w:rFonts w:hint="eastAsia" w:ascii="仿宋" w:hAnsi="仿宋" w:cs="仿宋"/>
                <w:kern w:val="0"/>
                <w:sz w:val="28"/>
                <w:szCs w:val="28"/>
              </w:rPr>
            </w:pPr>
            <w:r>
              <w:rPr>
                <w:rFonts w:hint="eastAsia" w:ascii="仿宋" w:hAnsi="仿宋" w:cs="仿宋"/>
                <w:kern w:val="0"/>
                <w:sz w:val="28"/>
                <w:szCs w:val="28"/>
              </w:rPr>
              <w:t>工程师</w:t>
            </w:r>
          </w:p>
        </w:tc>
        <w:tc>
          <w:tcPr>
            <w:tcW w:w="2716" w:type="dxa"/>
            <w:vAlign w:val="center"/>
          </w:tcPr>
          <w:p w14:paraId="528A19CD">
            <w:pPr>
              <w:ind w:firstLine="0" w:firstLineChars="0"/>
              <w:jc w:val="center"/>
              <w:rPr>
                <w:rFonts w:hint="eastAsia" w:ascii="仿宋" w:hAnsi="仿宋" w:cs="仿宋"/>
                <w:kern w:val="0"/>
                <w:sz w:val="28"/>
                <w:szCs w:val="28"/>
              </w:rPr>
            </w:pPr>
            <w:r>
              <w:rPr>
                <w:rFonts w:hint="eastAsia" w:ascii="仿宋" w:hAnsi="仿宋" w:cs="仿宋"/>
                <w:kern w:val="0"/>
                <w:sz w:val="28"/>
                <w:szCs w:val="28"/>
              </w:rPr>
              <w:t>秦岭国家植物园</w:t>
            </w:r>
          </w:p>
        </w:tc>
        <w:tc>
          <w:tcPr>
            <w:tcW w:w="1767" w:type="dxa"/>
            <w:vAlign w:val="center"/>
          </w:tcPr>
          <w:p w14:paraId="170CBB2C">
            <w:pPr>
              <w:ind w:firstLine="0" w:firstLineChars="0"/>
              <w:jc w:val="center"/>
              <w:rPr>
                <w:rFonts w:hint="eastAsia" w:ascii="仿宋" w:hAnsi="仿宋" w:cs="仿宋"/>
                <w:kern w:val="0"/>
                <w:sz w:val="28"/>
                <w:szCs w:val="28"/>
              </w:rPr>
            </w:pPr>
            <w:r>
              <w:rPr>
                <w:rFonts w:hint="eastAsia" w:ascii="仿宋" w:hAnsi="仿宋" w:cs="仿宋"/>
                <w:kern w:val="0"/>
                <w:sz w:val="28"/>
                <w:szCs w:val="28"/>
              </w:rPr>
              <w:t>标准起草</w:t>
            </w:r>
          </w:p>
        </w:tc>
      </w:tr>
      <w:tr w14:paraId="50D877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exact"/>
          <w:jc w:val="center"/>
        </w:trPr>
        <w:tc>
          <w:tcPr>
            <w:tcW w:w="1099" w:type="dxa"/>
            <w:vAlign w:val="center"/>
          </w:tcPr>
          <w:p w14:paraId="51DD97B6">
            <w:pPr>
              <w:ind w:firstLine="0" w:firstLineChars="0"/>
              <w:jc w:val="center"/>
              <w:rPr>
                <w:rFonts w:hint="eastAsia" w:ascii="仿宋" w:hAnsi="仿宋" w:cs="仿宋"/>
                <w:kern w:val="0"/>
                <w:sz w:val="28"/>
                <w:szCs w:val="28"/>
              </w:rPr>
            </w:pPr>
            <w:r>
              <w:rPr>
                <w:rFonts w:hint="eastAsia" w:ascii="仿宋" w:hAnsi="仿宋" w:cs="仿宋"/>
                <w:kern w:val="0"/>
                <w:sz w:val="28"/>
                <w:szCs w:val="28"/>
              </w:rPr>
              <w:t>曹晓娟</w:t>
            </w:r>
          </w:p>
        </w:tc>
        <w:tc>
          <w:tcPr>
            <w:tcW w:w="799" w:type="dxa"/>
            <w:vAlign w:val="center"/>
          </w:tcPr>
          <w:p w14:paraId="3D1205E5">
            <w:pPr>
              <w:ind w:firstLine="0" w:firstLineChars="0"/>
              <w:jc w:val="center"/>
              <w:rPr>
                <w:rFonts w:hint="eastAsia" w:ascii="仿宋" w:hAnsi="仿宋" w:cs="仿宋"/>
                <w:kern w:val="0"/>
                <w:sz w:val="28"/>
                <w:szCs w:val="28"/>
              </w:rPr>
            </w:pPr>
            <w:r>
              <w:rPr>
                <w:rFonts w:hint="eastAsia" w:ascii="仿宋" w:hAnsi="仿宋" w:cs="仿宋"/>
                <w:kern w:val="0"/>
                <w:sz w:val="28"/>
                <w:szCs w:val="28"/>
              </w:rPr>
              <w:t>女</w:t>
            </w:r>
          </w:p>
        </w:tc>
        <w:tc>
          <w:tcPr>
            <w:tcW w:w="1735" w:type="dxa"/>
            <w:vAlign w:val="center"/>
          </w:tcPr>
          <w:p w14:paraId="777907CB">
            <w:pPr>
              <w:ind w:firstLine="0" w:firstLineChars="0"/>
              <w:jc w:val="center"/>
              <w:rPr>
                <w:rFonts w:hint="eastAsia" w:ascii="仿宋" w:hAnsi="仿宋" w:cs="仿宋"/>
                <w:kern w:val="0"/>
                <w:sz w:val="28"/>
                <w:szCs w:val="28"/>
              </w:rPr>
            </w:pPr>
            <w:r>
              <w:rPr>
                <w:rFonts w:hint="eastAsia" w:ascii="仿宋" w:hAnsi="仿宋" w:cs="仿宋"/>
                <w:kern w:val="0"/>
                <w:sz w:val="28"/>
                <w:szCs w:val="28"/>
              </w:rPr>
              <w:t>高级工程师</w:t>
            </w:r>
          </w:p>
        </w:tc>
        <w:tc>
          <w:tcPr>
            <w:tcW w:w="2716" w:type="dxa"/>
            <w:vAlign w:val="center"/>
          </w:tcPr>
          <w:p w14:paraId="792CDC45">
            <w:pPr>
              <w:pStyle w:val="34"/>
              <w:spacing w:line="300" w:lineRule="exact"/>
              <w:ind w:left="0" w:firstLine="0" w:firstLineChars="0"/>
              <w:jc w:val="center"/>
              <w:rPr>
                <w:rFonts w:hint="eastAsia" w:ascii="仿宋" w:hAnsi="仿宋" w:cs="仿宋"/>
                <w:kern w:val="0"/>
                <w:sz w:val="28"/>
                <w:szCs w:val="28"/>
              </w:rPr>
            </w:pPr>
            <w:r>
              <w:rPr>
                <w:rFonts w:hint="eastAsia" w:ascii="仿宋" w:hAnsi="仿宋" w:cs="仿宋"/>
                <w:kern w:val="0"/>
                <w:sz w:val="28"/>
                <w:szCs w:val="28"/>
              </w:rPr>
              <w:t>陕西苗木繁育中心</w:t>
            </w:r>
          </w:p>
        </w:tc>
        <w:tc>
          <w:tcPr>
            <w:tcW w:w="1767" w:type="dxa"/>
            <w:vAlign w:val="center"/>
          </w:tcPr>
          <w:p w14:paraId="490B4810">
            <w:pPr>
              <w:ind w:firstLine="0" w:firstLineChars="0"/>
              <w:jc w:val="center"/>
              <w:rPr>
                <w:rFonts w:hint="eastAsia" w:ascii="仿宋" w:hAnsi="仿宋" w:cs="仿宋"/>
                <w:kern w:val="0"/>
                <w:sz w:val="28"/>
                <w:szCs w:val="28"/>
              </w:rPr>
            </w:pPr>
            <w:r>
              <w:rPr>
                <w:rFonts w:hint="eastAsia" w:ascii="仿宋" w:hAnsi="仿宋" w:cs="仿宋"/>
                <w:kern w:val="0"/>
                <w:sz w:val="28"/>
                <w:szCs w:val="28"/>
              </w:rPr>
              <w:t>方案论证</w:t>
            </w:r>
          </w:p>
        </w:tc>
      </w:tr>
      <w:tr w14:paraId="4021D8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exact"/>
          <w:jc w:val="center"/>
        </w:trPr>
        <w:tc>
          <w:tcPr>
            <w:tcW w:w="1099" w:type="dxa"/>
            <w:vAlign w:val="center"/>
          </w:tcPr>
          <w:p w14:paraId="1B6EA7ED">
            <w:pPr>
              <w:ind w:firstLine="0" w:firstLineChars="0"/>
              <w:jc w:val="center"/>
              <w:rPr>
                <w:rFonts w:hint="eastAsia" w:ascii="仿宋" w:hAnsi="仿宋" w:cs="仿宋"/>
                <w:kern w:val="0"/>
                <w:sz w:val="28"/>
                <w:szCs w:val="28"/>
              </w:rPr>
            </w:pPr>
            <w:r>
              <w:rPr>
                <w:rFonts w:hint="eastAsia" w:ascii="仿宋" w:hAnsi="仿宋" w:cs="仿宋"/>
                <w:kern w:val="0"/>
                <w:sz w:val="28"/>
                <w:szCs w:val="28"/>
              </w:rPr>
              <w:t>廖正平</w:t>
            </w:r>
          </w:p>
        </w:tc>
        <w:tc>
          <w:tcPr>
            <w:tcW w:w="799" w:type="dxa"/>
            <w:vAlign w:val="center"/>
          </w:tcPr>
          <w:p w14:paraId="7F2CEAD0">
            <w:pPr>
              <w:ind w:firstLine="0" w:firstLineChars="0"/>
              <w:jc w:val="center"/>
              <w:rPr>
                <w:rFonts w:hint="eastAsia" w:ascii="仿宋" w:hAnsi="仿宋" w:cs="仿宋"/>
                <w:kern w:val="0"/>
                <w:sz w:val="28"/>
                <w:szCs w:val="28"/>
              </w:rPr>
            </w:pPr>
            <w:r>
              <w:rPr>
                <w:rFonts w:hint="eastAsia" w:ascii="仿宋" w:hAnsi="仿宋" w:cs="仿宋"/>
                <w:kern w:val="0"/>
                <w:sz w:val="28"/>
                <w:szCs w:val="28"/>
              </w:rPr>
              <w:t>男</w:t>
            </w:r>
          </w:p>
        </w:tc>
        <w:tc>
          <w:tcPr>
            <w:tcW w:w="1735" w:type="dxa"/>
            <w:vAlign w:val="center"/>
          </w:tcPr>
          <w:p w14:paraId="793924D8">
            <w:pPr>
              <w:ind w:firstLine="0" w:firstLineChars="0"/>
              <w:jc w:val="center"/>
              <w:rPr>
                <w:rFonts w:hint="eastAsia" w:ascii="仿宋" w:hAnsi="仿宋" w:cs="仿宋"/>
                <w:kern w:val="0"/>
                <w:sz w:val="28"/>
                <w:szCs w:val="28"/>
              </w:rPr>
            </w:pPr>
            <w:r>
              <w:rPr>
                <w:rFonts w:hint="eastAsia" w:ascii="仿宋" w:hAnsi="仿宋" w:cs="仿宋"/>
                <w:kern w:val="0"/>
                <w:sz w:val="28"/>
                <w:szCs w:val="28"/>
              </w:rPr>
              <w:t>研究员</w:t>
            </w:r>
          </w:p>
        </w:tc>
        <w:tc>
          <w:tcPr>
            <w:tcW w:w="2716" w:type="dxa"/>
            <w:vAlign w:val="center"/>
          </w:tcPr>
          <w:p w14:paraId="20477944">
            <w:pPr>
              <w:ind w:firstLine="0" w:firstLineChars="0"/>
              <w:jc w:val="center"/>
              <w:rPr>
                <w:rFonts w:hint="eastAsia" w:ascii="仿宋" w:hAnsi="仿宋" w:cs="仿宋"/>
                <w:kern w:val="0"/>
                <w:sz w:val="28"/>
                <w:szCs w:val="28"/>
              </w:rPr>
            </w:pPr>
            <w:r>
              <w:rPr>
                <w:rFonts w:hint="eastAsia" w:ascii="仿宋" w:hAnsi="仿宋" w:cs="仿宋"/>
                <w:kern w:val="0"/>
                <w:sz w:val="28"/>
                <w:szCs w:val="28"/>
              </w:rPr>
              <w:t>陕西省林业科学院</w:t>
            </w:r>
          </w:p>
        </w:tc>
        <w:tc>
          <w:tcPr>
            <w:tcW w:w="1767" w:type="dxa"/>
            <w:vAlign w:val="center"/>
          </w:tcPr>
          <w:p w14:paraId="7103F6D9">
            <w:pPr>
              <w:ind w:firstLine="0" w:firstLineChars="0"/>
              <w:jc w:val="center"/>
              <w:rPr>
                <w:rFonts w:hint="eastAsia" w:ascii="仿宋" w:hAnsi="仿宋" w:cs="仿宋"/>
                <w:kern w:val="0"/>
                <w:sz w:val="28"/>
                <w:szCs w:val="28"/>
              </w:rPr>
            </w:pPr>
            <w:r>
              <w:rPr>
                <w:rFonts w:hint="eastAsia" w:ascii="仿宋" w:hAnsi="仿宋" w:cs="仿宋"/>
                <w:kern w:val="0"/>
                <w:sz w:val="28"/>
                <w:szCs w:val="28"/>
              </w:rPr>
              <w:t>方案论证</w:t>
            </w:r>
          </w:p>
        </w:tc>
      </w:tr>
      <w:tr w14:paraId="77EAD3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exact"/>
          <w:jc w:val="center"/>
        </w:trPr>
        <w:tc>
          <w:tcPr>
            <w:tcW w:w="1099" w:type="dxa"/>
            <w:vAlign w:val="center"/>
          </w:tcPr>
          <w:p w14:paraId="6D6ED4D7">
            <w:pPr>
              <w:ind w:firstLine="0" w:firstLineChars="0"/>
              <w:jc w:val="center"/>
              <w:rPr>
                <w:rFonts w:hint="eastAsia" w:ascii="仿宋" w:hAnsi="仿宋" w:cs="仿宋"/>
                <w:kern w:val="0"/>
                <w:sz w:val="28"/>
                <w:szCs w:val="28"/>
              </w:rPr>
            </w:pPr>
            <w:r>
              <w:rPr>
                <w:rFonts w:hint="eastAsia" w:ascii="仿宋" w:hAnsi="仿宋" w:cs="仿宋"/>
                <w:kern w:val="0"/>
                <w:sz w:val="28"/>
                <w:szCs w:val="28"/>
              </w:rPr>
              <w:t>樊卫东</w:t>
            </w:r>
          </w:p>
        </w:tc>
        <w:tc>
          <w:tcPr>
            <w:tcW w:w="799" w:type="dxa"/>
            <w:vAlign w:val="center"/>
          </w:tcPr>
          <w:p w14:paraId="4FE83989">
            <w:pPr>
              <w:ind w:firstLine="0" w:firstLineChars="0"/>
              <w:jc w:val="center"/>
              <w:rPr>
                <w:rFonts w:hint="eastAsia" w:ascii="仿宋" w:hAnsi="仿宋" w:cs="仿宋"/>
                <w:kern w:val="0"/>
                <w:sz w:val="28"/>
                <w:szCs w:val="28"/>
              </w:rPr>
            </w:pPr>
            <w:r>
              <w:rPr>
                <w:rFonts w:hint="eastAsia" w:ascii="仿宋" w:hAnsi="仿宋" w:cs="仿宋"/>
                <w:kern w:val="0"/>
                <w:sz w:val="28"/>
                <w:szCs w:val="28"/>
              </w:rPr>
              <w:t>男</w:t>
            </w:r>
          </w:p>
        </w:tc>
        <w:tc>
          <w:tcPr>
            <w:tcW w:w="1735" w:type="dxa"/>
            <w:vAlign w:val="center"/>
          </w:tcPr>
          <w:p w14:paraId="1AF4194F">
            <w:pPr>
              <w:ind w:firstLine="0" w:firstLineChars="0"/>
              <w:jc w:val="center"/>
              <w:rPr>
                <w:rFonts w:hint="eastAsia" w:ascii="仿宋" w:hAnsi="仿宋" w:cs="仿宋"/>
                <w:kern w:val="0"/>
                <w:sz w:val="28"/>
                <w:szCs w:val="28"/>
              </w:rPr>
            </w:pPr>
            <w:r>
              <w:rPr>
                <w:rFonts w:hint="eastAsia" w:ascii="仿宋" w:hAnsi="仿宋" w:cs="仿宋"/>
                <w:kern w:val="0"/>
                <w:sz w:val="28"/>
                <w:szCs w:val="28"/>
              </w:rPr>
              <w:t>高级工程师</w:t>
            </w:r>
          </w:p>
        </w:tc>
        <w:tc>
          <w:tcPr>
            <w:tcW w:w="2716" w:type="dxa"/>
            <w:vAlign w:val="center"/>
          </w:tcPr>
          <w:p w14:paraId="217BABB1">
            <w:pPr>
              <w:ind w:firstLine="0" w:firstLineChars="0"/>
              <w:jc w:val="center"/>
              <w:rPr>
                <w:rFonts w:hint="eastAsia" w:ascii="仿宋" w:hAnsi="仿宋" w:cs="仿宋"/>
                <w:kern w:val="0"/>
                <w:sz w:val="28"/>
                <w:szCs w:val="28"/>
              </w:rPr>
            </w:pPr>
            <w:r>
              <w:rPr>
                <w:rFonts w:hint="eastAsia" w:ascii="仿宋" w:hAnsi="仿宋" w:cs="仿宋"/>
                <w:kern w:val="0"/>
                <w:sz w:val="28"/>
                <w:szCs w:val="28"/>
              </w:rPr>
              <w:t>秦岭国家植物园</w:t>
            </w:r>
          </w:p>
        </w:tc>
        <w:tc>
          <w:tcPr>
            <w:tcW w:w="1767" w:type="dxa"/>
            <w:vAlign w:val="center"/>
          </w:tcPr>
          <w:p w14:paraId="20765D6D">
            <w:pPr>
              <w:ind w:firstLine="0" w:firstLineChars="0"/>
              <w:jc w:val="center"/>
              <w:rPr>
                <w:rFonts w:hint="eastAsia" w:ascii="仿宋" w:hAnsi="仿宋" w:cs="仿宋"/>
                <w:kern w:val="0"/>
                <w:sz w:val="28"/>
                <w:szCs w:val="28"/>
              </w:rPr>
            </w:pPr>
            <w:r>
              <w:rPr>
                <w:rFonts w:hint="eastAsia" w:ascii="仿宋" w:hAnsi="仿宋" w:cs="仿宋"/>
                <w:kern w:val="0"/>
                <w:sz w:val="28"/>
                <w:szCs w:val="28"/>
              </w:rPr>
              <w:t>标准起草</w:t>
            </w:r>
          </w:p>
        </w:tc>
      </w:tr>
      <w:tr w14:paraId="7FFA77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exact"/>
          <w:jc w:val="center"/>
        </w:trPr>
        <w:tc>
          <w:tcPr>
            <w:tcW w:w="1099" w:type="dxa"/>
            <w:vAlign w:val="center"/>
          </w:tcPr>
          <w:p w14:paraId="06D1D158">
            <w:pPr>
              <w:ind w:firstLine="0" w:firstLineChars="0"/>
              <w:jc w:val="center"/>
              <w:rPr>
                <w:rFonts w:hint="eastAsia" w:ascii="仿宋" w:hAnsi="仿宋" w:cs="仿宋"/>
                <w:kern w:val="0"/>
                <w:sz w:val="28"/>
                <w:szCs w:val="28"/>
              </w:rPr>
            </w:pPr>
            <w:r>
              <w:rPr>
                <w:rFonts w:hint="eastAsia" w:ascii="仿宋" w:hAnsi="仿宋" w:cs="仿宋"/>
                <w:kern w:val="0"/>
                <w:sz w:val="28"/>
                <w:szCs w:val="28"/>
              </w:rPr>
              <w:t>魏  宁</w:t>
            </w:r>
          </w:p>
        </w:tc>
        <w:tc>
          <w:tcPr>
            <w:tcW w:w="799" w:type="dxa"/>
            <w:vAlign w:val="center"/>
          </w:tcPr>
          <w:p w14:paraId="3A58DC22">
            <w:pPr>
              <w:ind w:firstLine="0" w:firstLineChars="0"/>
              <w:jc w:val="center"/>
              <w:rPr>
                <w:rFonts w:hint="eastAsia" w:ascii="仿宋" w:hAnsi="仿宋" w:cs="仿宋"/>
                <w:kern w:val="0"/>
                <w:sz w:val="28"/>
                <w:szCs w:val="28"/>
              </w:rPr>
            </w:pPr>
            <w:r>
              <w:rPr>
                <w:rFonts w:hint="eastAsia" w:ascii="仿宋" w:hAnsi="仿宋" w:cs="仿宋"/>
                <w:kern w:val="0"/>
                <w:sz w:val="28"/>
                <w:szCs w:val="28"/>
              </w:rPr>
              <w:t>女</w:t>
            </w:r>
          </w:p>
        </w:tc>
        <w:tc>
          <w:tcPr>
            <w:tcW w:w="1735" w:type="dxa"/>
            <w:vAlign w:val="center"/>
          </w:tcPr>
          <w:p w14:paraId="7E01E2E8">
            <w:pPr>
              <w:ind w:firstLine="0" w:firstLineChars="0"/>
              <w:jc w:val="center"/>
              <w:rPr>
                <w:rFonts w:hint="eastAsia" w:ascii="仿宋" w:hAnsi="仿宋" w:cs="仿宋"/>
                <w:kern w:val="0"/>
                <w:sz w:val="28"/>
                <w:szCs w:val="28"/>
              </w:rPr>
            </w:pPr>
            <w:r>
              <w:rPr>
                <w:rFonts w:hint="eastAsia" w:ascii="仿宋" w:hAnsi="仿宋" w:cs="仿宋"/>
                <w:kern w:val="0"/>
                <w:sz w:val="28"/>
                <w:szCs w:val="28"/>
              </w:rPr>
              <w:t>工程师</w:t>
            </w:r>
          </w:p>
        </w:tc>
        <w:tc>
          <w:tcPr>
            <w:tcW w:w="2716" w:type="dxa"/>
            <w:vAlign w:val="center"/>
          </w:tcPr>
          <w:p w14:paraId="296AE754">
            <w:pPr>
              <w:ind w:firstLine="0" w:firstLineChars="0"/>
              <w:jc w:val="center"/>
              <w:rPr>
                <w:rFonts w:hint="eastAsia" w:ascii="仿宋" w:hAnsi="仿宋" w:cs="仿宋"/>
                <w:kern w:val="0"/>
                <w:sz w:val="28"/>
                <w:szCs w:val="28"/>
              </w:rPr>
            </w:pPr>
            <w:r>
              <w:rPr>
                <w:rFonts w:hint="eastAsia" w:ascii="仿宋" w:hAnsi="仿宋" w:cs="仿宋"/>
                <w:kern w:val="0"/>
                <w:sz w:val="28"/>
                <w:szCs w:val="28"/>
              </w:rPr>
              <w:t>秦岭国家植物园</w:t>
            </w:r>
          </w:p>
        </w:tc>
        <w:tc>
          <w:tcPr>
            <w:tcW w:w="1767" w:type="dxa"/>
            <w:vAlign w:val="center"/>
          </w:tcPr>
          <w:p w14:paraId="05393D89">
            <w:pPr>
              <w:ind w:firstLine="0" w:firstLineChars="0"/>
              <w:jc w:val="center"/>
              <w:rPr>
                <w:rFonts w:hint="eastAsia" w:ascii="仿宋" w:hAnsi="仿宋" w:cs="仿宋"/>
                <w:kern w:val="0"/>
                <w:sz w:val="28"/>
                <w:szCs w:val="28"/>
              </w:rPr>
            </w:pPr>
            <w:r>
              <w:rPr>
                <w:rFonts w:hint="eastAsia" w:ascii="仿宋" w:hAnsi="仿宋" w:cs="仿宋"/>
                <w:kern w:val="0"/>
                <w:sz w:val="28"/>
                <w:szCs w:val="28"/>
              </w:rPr>
              <w:t>标准起草</w:t>
            </w:r>
          </w:p>
        </w:tc>
      </w:tr>
      <w:tr w14:paraId="0F97C0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2" w:hRule="exact"/>
          <w:jc w:val="center"/>
        </w:trPr>
        <w:tc>
          <w:tcPr>
            <w:tcW w:w="1099" w:type="dxa"/>
            <w:vAlign w:val="center"/>
          </w:tcPr>
          <w:p w14:paraId="46BBD5D7">
            <w:pPr>
              <w:ind w:firstLine="0" w:firstLineChars="0"/>
              <w:jc w:val="center"/>
              <w:rPr>
                <w:rFonts w:hint="eastAsia" w:ascii="仿宋" w:hAnsi="仿宋" w:cs="仿宋"/>
                <w:kern w:val="0"/>
                <w:sz w:val="28"/>
                <w:szCs w:val="28"/>
              </w:rPr>
            </w:pPr>
            <w:r>
              <w:rPr>
                <w:rFonts w:hint="eastAsia" w:ascii="仿宋" w:hAnsi="仿宋" w:cs="仿宋"/>
                <w:kern w:val="0"/>
                <w:sz w:val="28"/>
                <w:szCs w:val="28"/>
              </w:rPr>
              <w:t>康晓育</w:t>
            </w:r>
          </w:p>
        </w:tc>
        <w:tc>
          <w:tcPr>
            <w:tcW w:w="799" w:type="dxa"/>
            <w:vAlign w:val="center"/>
          </w:tcPr>
          <w:p w14:paraId="2F076BC1">
            <w:pPr>
              <w:ind w:firstLine="0" w:firstLineChars="0"/>
              <w:jc w:val="center"/>
              <w:rPr>
                <w:rFonts w:hint="eastAsia" w:ascii="仿宋" w:hAnsi="仿宋" w:cs="仿宋"/>
                <w:kern w:val="0"/>
                <w:sz w:val="28"/>
                <w:szCs w:val="28"/>
              </w:rPr>
            </w:pPr>
            <w:r>
              <w:rPr>
                <w:rFonts w:hint="eastAsia" w:ascii="仿宋" w:hAnsi="仿宋" w:cs="仿宋"/>
                <w:kern w:val="0"/>
                <w:sz w:val="28"/>
                <w:szCs w:val="28"/>
              </w:rPr>
              <w:t>女</w:t>
            </w:r>
          </w:p>
        </w:tc>
        <w:tc>
          <w:tcPr>
            <w:tcW w:w="1735" w:type="dxa"/>
            <w:vAlign w:val="center"/>
          </w:tcPr>
          <w:p w14:paraId="4ABD8C00">
            <w:pPr>
              <w:ind w:firstLine="0" w:firstLineChars="0"/>
              <w:jc w:val="center"/>
              <w:rPr>
                <w:rFonts w:hint="eastAsia" w:ascii="仿宋" w:hAnsi="仿宋" w:cs="仿宋"/>
                <w:kern w:val="0"/>
                <w:sz w:val="28"/>
                <w:szCs w:val="28"/>
              </w:rPr>
            </w:pPr>
            <w:r>
              <w:rPr>
                <w:rFonts w:hint="eastAsia" w:ascii="仿宋" w:hAnsi="仿宋" w:cs="仿宋"/>
                <w:kern w:val="0"/>
                <w:sz w:val="28"/>
                <w:szCs w:val="28"/>
              </w:rPr>
              <w:t>工程师ggongchdengshi</w:t>
            </w:r>
          </w:p>
        </w:tc>
        <w:tc>
          <w:tcPr>
            <w:tcW w:w="2716" w:type="dxa"/>
            <w:vAlign w:val="center"/>
          </w:tcPr>
          <w:p w14:paraId="64B0C160">
            <w:pPr>
              <w:ind w:firstLine="0" w:firstLineChars="0"/>
              <w:jc w:val="center"/>
              <w:rPr>
                <w:rFonts w:hint="eastAsia" w:ascii="仿宋" w:hAnsi="仿宋" w:cs="仿宋"/>
                <w:kern w:val="0"/>
                <w:sz w:val="28"/>
                <w:szCs w:val="28"/>
              </w:rPr>
            </w:pPr>
            <w:r>
              <w:rPr>
                <w:rFonts w:hint="eastAsia" w:ascii="仿宋" w:hAnsi="仿宋" w:cs="仿宋"/>
                <w:kern w:val="0"/>
                <w:sz w:val="28"/>
                <w:szCs w:val="28"/>
              </w:rPr>
              <w:t>秦岭国家植物园</w:t>
            </w:r>
          </w:p>
        </w:tc>
        <w:tc>
          <w:tcPr>
            <w:tcW w:w="1767" w:type="dxa"/>
            <w:vAlign w:val="center"/>
          </w:tcPr>
          <w:p w14:paraId="6BF776DC">
            <w:pPr>
              <w:ind w:firstLine="0" w:firstLineChars="0"/>
              <w:jc w:val="center"/>
              <w:rPr>
                <w:rFonts w:hint="eastAsia" w:ascii="仿宋" w:hAnsi="仿宋" w:cs="仿宋"/>
                <w:kern w:val="0"/>
                <w:sz w:val="28"/>
                <w:szCs w:val="28"/>
              </w:rPr>
            </w:pPr>
            <w:r>
              <w:rPr>
                <w:rFonts w:hint="eastAsia" w:ascii="仿宋" w:hAnsi="仿宋" w:cs="仿宋"/>
                <w:kern w:val="0"/>
                <w:sz w:val="28"/>
                <w:szCs w:val="28"/>
              </w:rPr>
              <w:t>标准起草</w:t>
            </w:r>
          </w:p>
        </w:tc>
      </w:tr>
      <w:tr w14:paraId="0BA208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exact"/>
          <w:jc w:val="center"/>
        </w:trPr>
        <w:tc>
          <w:tcPr>
            <w:tcW w:w="1099" w:type="dxa"/>
            <w:vAlign w:val="center"/>
          </w:tcPr>
          <w:p w14:paraId="4BCE001A">
            <w:pPr>
              <w:ind w:firstLine="0" w:firstLineChars="0"/>
              <w:jc w:val="center"/>
              <w:rPr>
                <w:rFonts w:hint="eastAsia" w:ascii="仿宋" w:hAnsi="仿宋" w:cs="仿宋"/>
                <w:kern w:val="0"/>
                <w:sz w:val="28"/>
                <w:szCs w:val="28"/>
              </w:rPr>
            </w:pPr>
            <w:r>
              <w:rPr>
                <w:rFonts w:hint="eastAsia" w:ascii="仿宋" w:hAnsi="仿宋" w:cs="仿宋"/>
                <w:kern w:val="0"/>
                <w:sz w:val="28"/>
                <w:szCs w:val="28"/>
              </w:rPr>
              <w:t>陈  迪</w:t>
            </w:r>
          </w:p>
        </w:tc>
        <w:tc>
          <w:tcPr>
            <w:tcW w:w="799" w:type="dxa"/>
            <w:vAlign w:val="center"/>
          </w:tcPr>
          <w:p w14:paraId="38E6B2EC">
            <w:pPr>
              <w:ind w:firstLine="0" w:firstLineChars="0"/>
              <w:jc w:val="center"/>
              <w:rPr>
                <w:rFonts w:hint="eastAsia" w:ascii="仿宋" w:hAnsi="仿宋" w:cs="仿宋"/>
                <w:kern w:val="0"/>
                <w:sz w:val="28"/>
                <w:szCs w:val="28"/>
              </w:rPr>
            </w:pPr>
            <w:r>
              <w:rPr>
                <w:rFonts w:hint="eastAsia" w:ascii="仿宋" w:hAnsi="仿宋" w:cs="仿宋"/>
                <w:kern w:val="0"/>
                <w:sz w:val="28"/>
                <w:szCs w:val="28"/>
              </w:rPr>
              <w:t>女</w:t>
            </w:r>
          </w:p>
        </w:tc>
        <w:tc>
          <w:tcPr>
            <w:tcW w:w="1735" w:type="dxa"/>
            <w:vAlign w:val="center"/>
          </w:tcPr>
          <w:p w14:paraId="056ADA89">
            <w:pPr>
              <w:ind w:firstLine="0" w:firstLineChars="0"/>
              <w:jc w:val="center"/>
              <w:rPr>
                <w:rFonts w:hint="eastAsia" w:ascii="仿宋" w:hAnsi="仿宋" w:cs="仿宋"/>
                <w:kern w:val="0"/>
                <w:sz w:val="28"/>
                <w:szCs w:val="28"/>
              </w:rPr>
            </w:pPr>
            <w:r>
              <w:rPr>
                <w:rFonts w:hint="eastAsia" w:ascii="仿宋" w:hAnsi="仿宋" w:cs="仿宋"/>
                <w:kern w:val="0"/>
                <w:sz w:val="28"/>
                <w:szCs w:val="28"/>
              </w:rPr>
              <w:t>工程师</w:t>
            </w:r>
          </w:p>
        </w:tc>
        <w:tc>
          <w:tcPr>
            <w:tcW w:w="2716" w:type="dxa"/>
            <w:vAlign w:val="center"/>
          </w:tcPr>
          <w:p w14:paraId="6F4E623A">
            <w:pPr>
              <w:ind w:firstLine="0" w:firstLineChars="0"/>
              <w:jc w:val="center"/>
              <w:rPr>
                <w:rFonts w:hint="eastAsia" w:ascii="仿宋" w:hAnsi="仿宋" w:cs="仿宋"/>
                <w:kern w:val="0"/>
                <w:sz w:val="28"/>
                <w:szCs w:val="28"/>
              </w:rPr>
            </w:pPr>
            <w:r>
              <w:rPr>
                <w:rFonts w:hint="eastAsia" w:ascii="仿宋" w:hAnsi="仿宋" w:cs="仿宋"/>
                <w:kern w:val="0"/>
                <w:sz w:val="28"/>
                <w:szCs w:val="28"/>
              </w:rPr>
              <w:t>秦岭国家植物园</w:t>
            </w:r>
          </w:p>
        </w:tc>
        <w:tc>
          <w:tcPr>
            <w:tcW w:w="1767" w:type="dxa"/>
            <w:vAlign w:val="center"/>
          </w:tcPr>
          <w:p w14:paraId="2D1B4E92">
            <w:pPr>
              <w:ind w:firstLine="0" w:firstLineChars="0"/>
              <w:jc w:val="center"/>
              <w:rPr>
                <w:rFonts w:hint="eastAsia" w:ascii="仿宋" w:hAnsi="仿宋" w:cs="仿宋"/>
                <w:kern w:val="0"/>
                <w:sz w:val="28"/>
                <w:szCs w:val="28"/>
              </w:rPr>
            </w:pPr>
            <w:r>
              <w:rPr>
                <w:rFonts w:hint="eastAsia" w:ascii="仿宋" w:hAnsi="仿宋" w:cs="仿宋"/>
                <w:kern w:val="0"/>
                <w:sz w:val="28"/>
                <w:szCs w:val="28"/>
              </w:rPr>
              <w:t>标准起草</w:t>
            </w:r>
          </w:p>
        </w:tc>
      </w:tr>
      <w:tr w14:paraId="342E6C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5" w:hRule="exact"/>
          <w:jc w:val="center"/>
        </w:trPr>
        <w:tc>
          <w:tcPr>
            <w:tcW w:w="1099" w:type="dxa"/>
            <w:vAlign w:val="center"/>
          </w:tcPr>
          <w:p w14:paraId="622C67E5">
            <w:pPr>
              <w:ind w:firstLine="0" w:firstLineChars="0"/>
              <w:jc w:val="center"/>
              <w:rPr>
                <w:rFonts w:hint="eastAsia" w:ascii="仿宋" w:hAnsi="仿宋" w:cs="仿宋"/>
                <w:kern w:val="0"/>
                <w:sz w:val="28"/>
                <w:szCs w:val="28"/>
              </w:rPr>
            </w:pPr>
            <w:r>
              <w:rPr>
                <w:rFonts w:hint="eastAsia" w:ascii="仿宋" w:hAnsi="仿宋" w:cs="仿宋"/>
                <w:kern w:val="0"/>
                <w:sz w:val="28"/>
                <w:szCs w:val="28"/>
              </w:rPr>
              <w:t>杨  柯</w:t>
            </w:r>
          </w:p>
        </w:tc>
        <w:tc>
          <w:tcPr>
            <w:tcW w:w="799" w:type="dxa"/>
            <w:vAlign w:val="center"/>
          </w:tcPr>
          <w:p w14:paraId="5C9A96C7">
            <w:pPr>
              <w:ind w:firstLine="0" w:firstLineChars="0"/>
              <w:jc w:val="center"/>
              <w:rPr>
                <w:rFonts w:hint="eastAsia" w:ascii="仿宋" w:hAnsi="仿宋" w:cs="仿宋"/>
                <w:kern w:val="0"/>
                <w:sz w:val="28"/>
                <w:szCs w:val="28"/>
              </w:rPr>
            </w:pPr>
            <w:r>
              <w:rPr>
                <w:rFonts w:hint="eastAsia" w:ascii="仿宋" w:hAnsi="仿宋" w:cs="仿宋"/>
                <w:kern w:val="0"/>
                <w:sz w:val="28"/>
                <w:szCs w:val="28"/>
              </w:rPr>
              <w:t>女</w:t>
            </w:r>
          </w:p>
        </w:tc>
        <w:tc>
          <w:tcPr>
            <w:tcW w:w="1735" w:type="dxa"/>
            <w:vAlign w:val="center"/>
          </w:tcPr>
          <w:p w14:paraId="31974149">
            <w:pPr>
              <w:ind w:firstLine="0" w:firstLineChars="0"/>
              <w:jc w:val="center"/>
              <w:rPr>
                <w:rFonts w:hint="eastAsia" w:ascii="仿宋" w:hAnsi="仿宋" w:cs="仿宋"/>
                <w:kern w:val="0"/>
                <w:sz w:val="28"/>
                <w:szCs w:val="28"/>
              </w:rPr>
            </w:pPr>
            <w:r>
              <w:rPr>
                <w:rFonts w:hint="eastAsia" w:ascii="仿宋" w:hAnsi="仿宋" w:cs="仿宋"/>
                <w:kern w:val="0"/>
                <w:sz w:val="28"/>
                <w:szCs w:val="28"/>
              </w:rPr>
              <w:t>工程师</w:t>
            </w:r>
          </w:p>
        </w:tc>
        <w:tc>
          <w:tcPr>
            <w:tcW w:w="2716" w:type="dxa"/>
            <w:vAlign w:val="center"/>
          </w:tcPr>
          <w:p w14:paraId="12B06411">
            <w:pPr>
              <w:ind w:firstLine="0" w:firstLineChars="0"/>
              <w:jc w:val="center"/>
              <w:rPr>
                <w:rFonts w:hint="eastAsia" w:ascii="仿宋" w:hAnsi="仿宋" w:cs="仿宋"/>
                <w:kern w:val="0"/>
                <w:sz w:val="28"/>
                <w:szCs w:val="28"/>
              </w:rPr>
            </w:pPr>
            <w:r>
              <w:rPr>
                <w:rFonts w:hint="eastAsia" w:ascii="仿宋" w:hAnsi="仿宋" w:cs="仿宋"/>
                <w:kern w:val="0"/>
                <w:sz w:val="28"/>
                <w:szCs w:val="28"/>
              </w:rPr>
              <w:t>秦岭国家植物园</w:t>
            </w:r>
          </w:p>
        </w:tc>
        <w:tc>
          <w:tcPr>
            <w:tcW w:w="1767" w:type="dxa"/>
            <w:vAlign w:val="center"/>
          </w:tcPr>
          <w:p w14:paraId="13FB8BC9">
            <w:pPr>
              <w:ind w:firstLine="0" w:firstLineChars="0"/>
              <w:jc w:val="center"/>
              <w:rPr>
                <w:rFonts w:hint="eastAsia" w:ascii="仿宋" w:hAnsi="仿宋" w:cs="仿宋"/>
                <w:kern w:val="0"/>
                <w:sz w:val="28"/>
                <w:szCs w:val="28"/>
              </w:rPr>
            </w:pPr>
            <w:r>
              <w:rPr>
                <w:rFonts w:hint="eastAsia" w:ascii="仿宋" w:hAnsi="仿宋" w:cs="仿宋"/>
                <w:kern w:val="0"/>
                <w:sz w:val="28"/>
                <w:szCs w:val="28"/>
              </w:rPr>
              <w:t>标准起草</w:t>
            </w:r>
          </w:p>
        </w:tc>
      </w:tr>
      <w:tr w14:paraId="5AC8A0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5" w:hRule="exact"/>
          <w:jc w:val="center"/>
        </w:trPr>
        <w:tc>
          <w:tcPr>
            <w:tcW w:w="1099" w:type="dxa"/>
            <w:vAlign w:val="center"/>
          </w:tcPr>
          <w:p w14:paraId="74155779">
            <w:pPr>
              <w:ind w:firstLine="0" w:firstLineChars="0"/>
              <w:jc w:val="center"/>
              <w:rPr>
                <w:rFonts w:hint="eastAsia" w:ascii="仿宋" w:hAnsi="仿宋" w:cs="仿宋"/>
                <w:kern w:val="0"/>
                <w:sz w:val="28"/>
                <w:szCs w:val="28"/>
              </w:rPr>
            </w:pPr>
            <w:r>
              <w:rPr>
                <w:rFonts w:hint="eastAsia" w:ascii="仿宋" w:hAnsi="仿宋" w:cs="仿宋"/>
                <w:kern w:val="0"/>
                <w:sz w:val="28"/>
                <w:szCs w:val="28"/>
              </w:rPr>
              <w:t>路东敏</w:t>
            </w:r>
          </w:p>
        </w:tc>
        <w:tc>
          <w:tcPr>
            <w:tcW w:w="799" w:type="dxa"/>
            <w:vAlign w:val="center"/>
          </w:tcPr>
          <w:p w14:paraId="71C9B092">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color w:val="000000"/>
                <w:kern w:val="0"/>
                <w:sz w:val="28"/>
                <w:szCs w:val="28"/>
                <w:lang w:bidi="ar"/>
              </w:rPr>
              <w:t>女</w:t>
            </w:r>
          </w:p>
        </w:tc>
        <w:tc>
          <w:tcPr>
            <w:tcW w:w="1735" w:type="dxa"/>
            <w:vAlign w:val="center"/>
          </w:tcPr>
          <w:p w14:paraId="6187B55E">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kern w:val="0"/>
                <w:sz w:val="28"/>
                <w:szCs w:val="28"/>
              </w:rPr>
              <w:t>工程师</w:t>
            </w:r>
          </w:p>
        </w:tc>
        <w:tc>
          <w:tcPr>
            <w:tcW w:w="2716" w:type="dxa"/>
            <w:vAlign w:val="center"/>
          </w:tcPr>
          <w:p w14:paraId="2E45B961">
            <w:pPr>
              <w:ind w:firstLine="0" w:firstLineChars="0"/>
              <w:jc w:val="center"/>
              <w:rPr>
                <w:rFonts w:hint="eastAsia" w:ascii="仿宋" w:hAnsi="仿宋" w:cs="仿宋"/>
                <w:kern w:val="0"/>
                <w:sz w:val="28"/>
                <w:szCs w:val="28"/>
              </w:rPr>
            </w:pPr>
            <w:r>
              <w:rPr>
                <w:rFonts w:hint="eastAsia" w:ascii="仿宋" w:hAnsi="仿宋" w:cs="仿宋"/>
                <w:kern w:val="0"/>
                <w:sz w:val="28"/>
                <w:szCs w:val="28"/>
              </w:rPr>
              <w:t>秦岭国家植物园</w:t>
            </w:r>
          </w:p>
        </w:tc>
        <w:tc>
          <w:tcPr>
            <w:tcW w:w="1767" w:type="dxa"/>
            <w:vAlign w:val="center"/>
          </w:tcPr>
          <w:p w14:paraId="43E59D19">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kern w:val="0"/>
                <w:sz w:val="28"/>
                <w:szCs w:val="28"/>
              </w:rPr>
              <w:t>标准起草</w:t>
            </w:r>
          </w:p>
        </w:tc>
      </w:tr>
      <w:tr w14:paraId="28CE14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5" w:hRule="exact"/>
          <w:jc w:val="center"/>
        </w:trPr>
        <w:tc>
          <w:tcPr>
            <w:tcW w:w="1099" w:type="dxa"/>
            <w:vAlign w:val="center"/>
          </w:tcPr>
          <w:p w14:paraId="5DB96F40">
            <w:pPr>
              <w:ind w:firstLine="0" w:firstLineChars="0"/>
              <w:jc w:val="center"/>
              <w:rPr>
                <w:rFonts w:hint="eastAsia" w:ascii="仿宋" w:hAnsi="仿宋" w:cs="仿宋"/>
                <w:kern w:val="0"/>
                <w:sz w:val="28"/>
                <w:szCs w:val="28"/>
              </w:rPr>
            </w:pPr>
            <w:r>
              <w:rPr>
                <w:rFonts w:hint="eastAsia" w:ascii="仿宋" w:hAnsi="仿宋" w:cs="仿宋"/>
                <w:kern w:val="0"/>
                <w:sz w:val="28"/>
                <w:szCs w:val="28"/>
              </w:rPr>
              <w:t>康永祥</w:t>
            </w:r>
          </w:p>
        </w:tc>
        <w:tc>
          <w:tcPr>
            <w:tcW w:w="799" w:type="dxa"/>
            <w:vAlign w:val="center"/>
          </w:tcPr>
          <w:p w14:paraId="2DEDD194">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color w:val="000000"/>
                <w:kern w:val="0"/>
                <w:sz w:val="28"/>
                <w:szCs w:val="28"/>
                <w:lang w:bidi="ar"/>
              </w:rPr>
              <w:t>男</w:t>
            </w:r>
          </w:p>
        </w:tc>
        <w:tc>
          <w:tcPr>
            <w:tcW w:w="1735" w:type="dxa"/>
            <w:vAlign w:val="center"/>
          </w:tcPr>
          <w:p w14:paraId="178DE0C0">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color w:val="000000"/>
                <w:kern w:val="0"/>
                <w:sz w:val="28"/>
                <w:szCs w:val="28"/>
                <w:lang w:bidi="ar"/>
              </w:rPr>
              <w:t>研究员</w:t>
            </w:r>
          </w:p>
        </w:tc>
        <w:tc>
          <w:tcPr>
            <w:tcW w:w="2716" w:type="dxa"/>
            <w:vAlign w:val="center"/>
          </w:tcPr>
          <w:p w14:paraId="38F3F241">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color w:val="000000"/>
                <w:kern w:val="0"/>
                <w:sz w:val="28"/>
                <w:szCs w:val="28"/>
                <w:lang w:bidi="ar"/>
              </w:rPr>
              <w:t>西北农林科技大学</w:t>
            </w:r>
          </w:p>
        </w:tc>
        <w:tc>
          <w:tcPr>
            <w:tcW w:w="1767" w:type="dxa"/>
            <w:vAlign w:val="center"/>
          </w:tcPr>
          <w:p w14:paraId="01A16C8D">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kern w:val="0"/>
                <w:sz w:val="28"/>
                <w:szCs w:val="28"/>
              </w:rPr>
              <w:t>方案论证</w:t>
            </w:r>
          </w:p>
        </w:tc>
      </w:tr>
      <w:tr w14:paraId="4C7E51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5" w:hRule="exact"/>
          <w:jc w:val="center"/>
        </w:trPr>
        <w:tc>
          <w:tcPr>
            <w:tcW w:w="1099" w:type="dxa"/>
            <w:vAlign w:val="center"/>
          </w:tcPr>
          <w:p w14:paraId="05046D76">
            <w:pPr>
              <w:ind w:firstLine="0" w:firstLineChars="0"/>
              <w:jc w:val="center"/>
              <w:rPr>
                <w:rFonts w:hint="eastAsia" w:ascii="仿宋" w:hAnsi="仿宋" w:cs="仿宋"/>
                <w:kern w:val="0"/>
                <w:sz w:val="28"/>
                <w:szCs w:val="28"/>
              </w:rPr>
            </w:pPr>
            <w:r>
              <w:rPr>
                <w:rFonts w:hint="eastAsia" w:ascii="仿宋" w:hAnsi="仿宋" w:cs="仿宋"/>
                <w:kern w:val="0"/>
                <w:sz w:val="28"/>
                <w:szCs w:val="28"/>
              </w:rPr>
              <w:t>封耀花</w:t>
            </w:r>
          </w:p>
        </w:tc>
        <w:tc>
          <w:tcPr>
            <w:tcW w:w="799" w:type="dxa"/>
            <w:vAlign w:val="center"/>
          </w:tcPr>
          <w:p w14:paraId="15E805CC">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color w:val="000000"/>
                <w:kern w:val="0"/>
                <w:sz w:val="28"/>
                <w:szCs w:val="28"/>
                <w:lang w:bidi="ar"/>
              </w:rPr>
              <w:t>女</w:t>
            </w:r>
          </w:p>
        </w:tc>
        <w:tc>
          <w:tcPr>
            <w:tcW w:w="1735" w:type="dxa"/>
            <w:vAlign w:val="center"/>
          </w:tcPr>
          <w:p w14:paraId="01332E9B">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kern w:val="0"/>
                <w:sz w:val="28"/>
                <w:szCs w:val="28"/>
              </w:rPr>
              <w:t>工程师</w:t>
            </w:r>
          </w:p>
        </w:tc>
        <w:tc>
          <w:tcPr>
            <w:tcW w:w="2716" w:type="dxa"/>
            <w:vAlign w:val="center"/>
          </w:tcPr>
          <w:p w14:paraId="238F90B8">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kern w:val="0"/>
                <w:sz w:val="28"/>
                <w:szCs w:val="28"/>
              </w:rPr>
              <w:t>秦岭国家植物园</w:t>
            </w:r>
          </w:p>
        </w:tc>
        <w:tc>
          <w:tcPr>
            <w:tcW w:w="1767" w:type="dxa"/>
            <w:vAlign w:val="center"/>
          </w:tcPr>
          <w:p w14:paraId="55AF989B">
            <w:pPr>
              <w:spacing w:line="360" w:lineRule="exact"/>
              <w:ind w:firstLine="0" w:firstLineChars="0"/>
              <w:jc w:val="center"/>
              <w:rPr>
                <w:rFonts w:hint="eastAsia" w:ascii="仿宋" w:hAnsi="仿宋" w:cs="仿宋"/>
                <w:color w:val="000000"/>
                <w:kern w:val="0"/>
                <w:sz w:val="28"/>
                <w:szCs w:val="28"/>
                <w:lang w:bidi="ar"/>
              </w:rPr>
            </w:pPr>
            <w:r>
              <w:rPr>
                <w:rFonts w:hint="eastAsia" w:ascii="仿宋" w:hAnsi="仿宋" w:cs="仿宋"/>
                <w:kern w:val="0"/>
                <w:sz w:val="28"/>
                <w:szCs w:val="28"/>
              </w:rPr>
              <w:t>方案论证</w:t>
            </w:r>
          </w:p>
        </w:tc>
      </w:tr>
    </w:tbl>
    <w:p w14:paraId="50AE83AA">
      <w:pPr>
        <w:pStyle w:val="3"/>
        <w:numPr>
          <w:ilvl w:val="0"/>
          <w:numId w:val="0"/>
        </w:numPr>
      </w:pPr>
    </w:p>
    <w:p w14:paraId="24F6F713">
      <w:pPr>
        <w:pStyle w:val="3"/>
        <w:numPr>
          <w:ilvl w:val="0"/>
          <w:numId w:val="2"/>
        </w:numPr>
        <w:ind w:firstLine="640"/>
      </w:pPr>
      <w:r>
        <w:rPr>
          <w:rFonts w:hint="eastAsia"/>
        </w:rPr>
        <w:t>标准编制原则和标准主要内容</w:t>
      </w:r>
    </w:p>
    <w:p w14:paraId="3171479B">
      <w:pPr>
        <w:pStyle w:val="4"/>
        <w:ind w:firstLine="643"/>
        <w:rPr>
          <w:rFonts w:hint="eastAsia" w:ascii="楷体_GB2312" w:hAnsi="仿宋" w:eastAsia="楷体_GB2312" w:cs="Calibri"/>
          <w:szCs w:val="32"/>
        </w:rPr>
      </w:pPr>
      <w:r>
        <w:rPr>
          <w:rFonts w:hint="eastAsia" w:ascii="楷体_GB2312" w:hAnsi="仿宋" w:eastAsia="楷体_GB2312" w:cs="Calibri"/>
          <w:szCs w:val="32"/>
        </w:rPr>
        <w:t>（一）编制原则</w:t>
      </w:r>
    </w:p>
    <w:p w14:paraId="61D4C585">
      <w:pPr>
        <w:ind w:firstLine="640"/>
      </w:pPr>
      <w:r>
        <w:rPr>
          <w:rFonts w:hint="eastAsia"/>
        </w:rPr>
        <w:t>1.规范性和标准性原则</w:t>
      </w:r>
    </w:p>
    <w:p w14:paraId="3AAA72B5">
      <w:pPr>
        <w:ind w:firstLine="640"/>
      </w:pPr>
      <w:r>
        <w:rPr>
          <w:rFonts w:hint="eastAsia"/>
        </w:rPr>
        <w:t>编写格式按照中华人民共和国 GB/T 1.1《标准化工作导则第1部分：标准的结构和编写》和 GB/T 1.2《标准化工作导则第2部分：标准中规范性技术要素内容的确定方法》与国家有关标准化法律、法规要求。</w:t>
      </w:r>
    </w:p>
    <w:p w14:paraId="37FF591B">
      <w:pPr>
        <w:ind w:firstLine="640"/>
      </w:pPr>
      <w:r>
        <w:rPr>
          <w:rFonts w:hint="eastAsia"/>
        </w:rPr>
        <w:t>2.科学性和可行性原则</w:t>
      </w:r>
    </w:p>
    <w:p w14:paraId="5A0A21FF">
      <w:pPr>
        <w:ind w:firstLine="640"/>
      </w:pPr>
      <w:r>
        <w:rPr>
          <w:rFonts w:hint="eastAsia"/>
        </w:rPr>
        <w:t>标准内容深入研究，科学地制定，主要的栽培管理技术规范具有可操作性，技术步骤明确、具体、易于实施。</w:t>
      </w:r>
    </w:p>
    <w:p w14:paraId="51C70E86">
      <w:pPr>
        <w:pStyle w:val="4"/>
        <w:ind w:firstLine="643"/>
        <w:rPr>
          <w:rFonts w:hint="eastAsia" w:ascii="楷体_GB2312" w:hAnsi="仿宋" w:eastAsia="楷体_GB2312" w:cs="Calibri"/>
          <w:szCs w:val="32"/>
        </w:rPr>
      </w:pPr>
      <w:r>
        <w:rPr>
          <w:rFonts w:hint="eastAsia" w:ascii="楷体_GB2312" w:hAnsi="仿宋" w:eastAsia="楷体_GB2312" w:cs="Calibri"/>
          <w:szCs w:val="32"/>
        </w:rPr>
        <w:t>（二）标准结构、要素和技术要求</w:t>
      </w:r>
    </w:p>
    <w:p w14:paraId="5C85112E">
      <w:pPr>
        <w:ind w:firstLine="640"/>
      </w:pPr>
      <w:r>
        <w:rPr>
          <w:rFonts w:hint="eastAsia"/>
        </w:rPr>
        <w:t>《珙桐栽培技术</w:t>
      </w:r>
      <w:r>
        <w:rPr>
          <w:rFonts w:hint="eastAsia"/>
          <w:lang w:eastAsia="zh-CN"/>
        </w:rPr>
        <w:t>规范</w:t>
      </w:r>
      <w:r>
        <w:rPr>
          <w:rFonts w:hint="eastAsia"/>
        </w:rPr>
        <w:t>》标准结构包括规范适用范围、规范性引用文件、术语和定义、育苗、</w:t>
      </w:r>
      <w:r>
        <w:rPr>
          <w:rFonts w:hint="eastAsia" w:ascii="宋体" w:hAnsi="宋体"/>
          <w:szCs w:val="21"/>
        </w:rPr>
        <w:t>移植苗培育</w:t>
      </w:r>
      <w:r>
        <w:rPr>
          <w:rFonts w:hint="eastAsia"/>
        </w:rPr>
        <w:t>、</w:t>
      </w:r>
      <w:r>
        <w:rPr>
          <w:rFonts w:hint="eastAsia" w:ascii="宋体" w:hAnsi="宋体"/>
          <w:szCs w:val="21"/>
        </w:rPr>
        <w:t>苗期管理、</w:t>
      </w:r>
      <w:r>
        <w:rPr>
          <w:rFonts w:hint="eastAsia"/>
        </w:rPr>
        <w:t>病虫害防治、</w:t>
      </w:r>
      <w:r>
        <w:rPr>
          <w:rFonts w:hint="eastAsia" w:ascii="宋体" w:hAnsi="宋体"/>
          <w:szCs w:val="21"/>
        </w:rPr>
        <w:t>苗木出圃和分级</w:t>
      </w:r>
      <w:r>
        <w:rPr>
          <w:rFonts w:hint="eastAsia"/>
        </w:rPr>
        <w:t>、大苗培育、造林、抚育管理、档案管理等部分。</w:t>
      </w:r>
    </w:p>
    <w:p w14:paraId="77F0FE21">
      <w:pPr>
        <w:ind w:firstLine="640"/>
      </w:pPr>
      <w:r>
        <w:rPr>
          <w:rFonts w:hint="eastAsia"/>
        </w:rPr>
        <w:t>详细要素和技术要求如下：</w:t>
      </w:r>
    </w:p>
    <w:p w14:paraId="735231D2">
      <w:pPr>
        <w:ind w:firstLine="640"/>
      </w:pPr>
      <w:r>
        <w:rPr>
          <w:rFonts w:hint="eastAsia"/>
        </w:rPr>
        <w:t>1.规范适用范围需要确定规范内容和本文件适用对象。</w:t>
      </w:r>
    </w:p>
    <w:p w14:paraId="334E2C9E">
      <w:pPr>
        <w:ind w:firstLine="640"/>
      </w:pPr>
      <w:r>
        <w:rPr>
          <w:rFonts w:hint="eastAsia"/>
        </w:rPr>
        <w:t>2.规范性引用文件部分需要对规范性引用文件进行详细说明。</w:t>
      </w:r>
    </w:p>
    <w:p w14:paraId="59126F75">
      <w:pPr>
        <w:ind w:firstLine="640"/>
      </w:pPr>
      <w:r>
        <w:rPr>
          <w:rFonts w:hint="eastAsia"/>
        </w:rPr>
        <w:t>3.术语和定义部分需要对珙桐进行确切定义。</w:t>
      </w:r>
    </w:p>
    <w:p w14:paraId="334AAEFA">
      <w:pPr>
        <w:ind w:firstLine="640"/>
      </w:pPr>
      <w:r>
        <w:rPr>
          <w:rFonts w:hint="eastAsia"/>
        </w:rPr>
        <w:t>4.</w:t>
      </w:r>
      <w:r>
        <w:rPr>
          <w:rFonts w:hint="eastAsia" w:ascii="宋体" w:hAnsi="宋体"/>
          <w:szCs w:val="21"/>
        </w:rPr>
        <w:t>育苗对种子采集的时间、方法、处理方式播种方式、苗期管理等</w:t>
      </w:r>
      <w:r>
        <w:rPr>
          <w:rFonts w:hint="eastAsia"/>
        </w:rPr>
        <w:t>进行详细说明。</w:t>
      </w:r>
    </w:p>
    <w:p w14:paraId="53276DA2">
      <w:pPr>
        <w:ind w:firstLine="640"/>
      </w:pPr>
      <w:r>
        <w:rPr>
          <w:rFonts w:hint="eastAsia"/>
        </w:rPr>
        <w:t>5.移植苗培育对移植地块的要求、移植的时间、密度等进行详细说明。</w:t>
      </w:r>
    </w:p>
    <w:p w14:paraId="2AA5BE43">
      <w:pPr>
        <w:ind w:firstLine="640"/>
      </w:pPr>
      <w:r>
        <w:rPr>
          <w:rFonts w:hint="eastAsia"/>
        </w:rPr>
        <w:t>6.苗期管理对苗期的遮阴、灌溉、栽培、施肥等进行了详细说明。</w:t>
      </w:r>
    </w:p>
    <w:p w14:paraId="3380E516">
      <w:pPr>
        <w:ind w:firstLine="640"/>
      </w:pPr>
      <w:r>
        <w:rPr>
          <w:rFonts w:hint="eastAsia"/>
        </w:rPr>
        <w:t>7.病虫害防治需要确定主要的病害、虫害、防治的措施等具体要求。</w:t>
      </w:r>
    </w:p>
    <w:p w14:paraId="72E1412D">
      <w:pPr>
        <w:ind w:firstLine="640"/>
      </w:pPr>
      <w:r>
        <w:rPr>
          <w:rFonts w:hint="eastAsia"/>
        </w:rPr>
        <w:t>8.档案管理需要确定古树名木保护档案管理方法。</w:t>
      </w:r>
    </w:p>
    <w:p w14:paraId="468E406D">
      <w:pPr>
        <w:pStyle w:val="2"/>
        <w:ind w:left="0" w:leftChars="0" w:firstLine="640"/>
      </w:pPr>
      <w:r>
        <w:rPr>
          <w:rFonts w:hint="eastAsia"/>
        </w:rPr>
        <w:t>9.大苗的培育需要确定移植的时间、规格、以及移植后的管理。</w:t>
      </w:r>
    </w:p>
    <w:p w14:paraId="5A4A70C9">
      <w:pPr>
        <w:ind w:firstLine="640"/>
      </w:pPr>
      <w:r>
        <w:rPr>
          <w:rFonts w:hint="eastAsia"/>
        </w:rPr>
        <w:t>10.造林及园林绿化的管理方法和措施</w:t>
      </w:r>
    </w:p>
    <w:p w14:paraId="74D5AB07">
      <w:pPr>
        <w:pStyle w:val="2"/>
        <w:ind w:left="0" w:leftChars="0" w:firstLine="640"/>
      </w:pPr>
      <w:r>
        <w:rPr>
          <w:rFonts w:hint="eastAsia"/>
        </w:rPr>
        <w:t>11.抚育管理、档案管理及标准化生产模式图</w:t>
      </w:r>
    </w:p>
    <w:p w14:paraId="440F2DD8">
      <w:pPr>
        <w:pStyle w:val="4"/>
        <w:ind w:firstLine="643"/>
        <w:rPr>
          <w:rFonts w:hint="eastAsia" w:ascii="楷体_GB2312" w:hAnsi="仿宋" w:eastAsia="楷体_GB2312" w:cs="Calibri"/>
          <w:szCs w:val="32"/>
        </w:rPr>
      </w:pPr>
      <w:r>
        <w:rPr>
          <w:rFonts w:hint="eastAsia" w:ascii="楷体_GB2312" w:hAnsi="仿宋" w:eastAsia="楷体_GB2312" w:cs="Calibri"/>
          <w:szCs w:val="32"/>
        </w:rPr>
        <w:t>（三）关键指标的确定依据</w:t>
      </w:r>
    </w:p>
    <w:p w14:paraId="155E8C84">
      <w:pPr>
        <w:ind w:left="0" w:leftChars="0" w:firstLine="640" w:firstLineChars="200"/>
        <w:jc w:val="left"/>
      </w:pPr>
      <w:r>
        <w:rPr>
          <w:rFonts w:hint="eastAsia"/>
        </w:rPr>
        <w:t>本标准关键指标是编制单位秦岭国家植物园、陕西省林业科学院、西北农林科技大学、陕西苗木繁育中心根据多年的实践经验和试验验证结果来确定的。</w:t>
      </w:r>
    </w:p>
    <w:p w14:paraId="67415DA5">
      <w:pPr>
        <w:pStyle w:val="4"/>
        <w:ind w:firstLine="643"/>
        <w:rPr>
          <w:rFonts w:hint="eastAsia" w:ascii="楷体_GB2312" w:hAnsi="仿宋" w:eastAsia="楷体_GB2312" w:cs="Calibri"/>
          <w:szCs w:val="32"/>
        </w:rPr>
      </w:pPr>
      <w:r>
        <w:rPr>
          <w:rFonts w:hint="eastAsia" w:ascii="楷体_GB2312" w:hAnsi="仿宋" w:eastAsia="楷体_GB2312" w:cs="Calibri"/>
          <w:szCs w:val="32"/>
        </w:rPr>
        <w:t>（四）主要内容</w:t>
      </w:r>
    </w:p>
    <w:p w14:paraId="51B27DE6">
      <w:pPr>
        <w:ind w:firstLine="640"/>
        <w:rPr>
          <w:b/>
        </w:rPr>
      </w:pPr>
      <w:r>
        <w:rPr>
          <w:rFonts w:hint="eastAsia"/>
        </w:rPr>
        <w:t>本标准结合现代化育苗技术及林业生产实际，详细规定了珙桐的适用范围、规范性引用文件、术语和定义、育苗、</w:t>
      </w:r>
      <w:r>
        <w:rPr>
          <w:rFonts w:hint="eastAsia" w:ascii="宋体" w:hAnsi="宋体"/>
          <w:szCs w:val="21"/>
        </w:rPr>
        <w:t>移植苗培育</w:t>
      </w:r>
      <w:r>
        <w:rPr>
          <w:rFonts w:hint="eastAsia"/>
        </w:rPr>
        <w:t>、</w:t>
      </w:r>
      <w:r>
        <w:rPr>
          <w:rFonts w:hint="eastAsia" w:ascii="宋体" w:hAnsi="宋体"/>
          <w:szCs w:val="21"/>
        </w:rPr>
        <w:t>苗期管理、</w:t>
      </w:r>
      <w:r>
        <w:rPr>
          <w:rFonts w:hint="eastAsia"/>
        </w:rPr>
        <w:t>病虫害防治、</w:t>
      </w:r>
      <w:r>
        <w:rPr>
          <w:rFonts w:hint="eastAsia" w:ascii="宋体" w:hAnsi="宋体"/>
          <w:szCs w:val="21"/>
        </w:rPr>
        <w:t>苗木出圃和分级</w:t>
      </w:r>
      <w:r>
        <w:rPr>
          <w:rFonts w:hint="eastAsia"/>
        </w:rPr>
        <w:t>、大苗培育、造林、抚育管理、档案管理等技术要求。</w:t>
      </w:r>
    </w:p>
    <w:p w14:paraId="4794BD2A">
      <w:pPr>
        <w:ind w:firstLine="640"/>
      </w:pPr>
      <w:bookmarkStart w:id="0" w:name="_Toc29116"/>
      <w:bookmarkStart w:id="1" w:name="_Toc161928577"/>
      <w:r>
        <w:rPr>
          <w:rFonts w:hint="eastAsia"/>
        </w:rPr>
        <w:t>1.</w:t>
      </w:r>
      <w:r>
        <w:t>范围</w:t>
      </w:r>
      <w:bookmarkEnd w:id="0"/>
      <w:bookmarkEnd w:id="1"/>
    </w:p>
    <w:p w14:paraId="3029E194">
      <w:pPr>
        <w:ind w:firstLine="640"/>
      </w:pPr>
      <w:r>
        <w:t>本文件规定了珙桐栽培的术语和定义、育苗、苗期管理、出圃、大苗培育、造林、抚育管理、病虫害防治、档案管理等技术要求。本文件适用于珙桐的栽培。</w:t>
      </w:r>
    </w:p>
    <w:p w14:paraId="51BFC521">
      <w:pPr>
        <w:ind w:firstLine="640"/>
      </w:pPr>
      <w:bookmarkStart w:id="2" w:name="_Toc16575"/>
      <w:bookmarkStart w:id="3" w:name="_Toc161928578"/>
      <w:r>
        <w:rPr>
          <w:rFonts w:hint="eastAsia"/>
        </w:rPr>
        <w:t>2.</w:t>
      </w:r>
      <w:r>
        <w:t>规范性引用文件</w:t>
      </w:r>
      <w:bookmarkEnd w:id="2"/>
      <w:bookmarkEnd w:id="3"/>
    </w:p>
    <w:p w14:paraId="44FA5F13">
      <w:pPr>
        <w:ind w:firstLine="640"/>
      </w:pPr>
      <w:r>
        <w:t>下列文件对于本文件的应用是必不可少的。凡是注日期的引用文件，仅所注日期的版本适用于本文件。凡是不注日期的引用文件，其最新版本（包括所有的修改单）适用于本文件。</w:t>
      </w:r>
    </w:p>
    <w:p w14:paraId="541E3ECF">
      <w:pPr>
        <w:ind w:firstLine="640"/>
      </w:pPr>
      <w:r>
        <w:rPr>
          <w:rFonts w:hint="eastAsia"/>
        </w:rPr>
        <w:t>GB 6001-85        育苗技术规程</w:t>
      </w:r>
    </w:p>
    <w:p w14:paraId="275C5C0C">
      <w:pPr>
        <w:ind w:firstLine="640"/>
      </w:pPr>
      <w:r>
        <w:rPr>
          <w:rFonts w:hint="eastAsia"/>
        </w:rPr>
        <w:t>GB 6000-1999      主要造林树种苗木质量分级</w:t>
      </w:r>
    </w:p>
    <w:p w14:paraId="1D4411D4">
      <w:pPr>
        <w:ind w:firstLine="640"/>
      </w:pPr>
      <w:r>
        <w:rPr>
          <w:rFonts w:hint="eastAsia"/>
        </w:rPr>
        <w:t>GB/T 10016        林木种子贮藏</w:t>
      </w:r>
    </w:p>
    <w:p w14:paraId="576CA0D8">
      <w:pPr>
        <w:ind w:firstLine="640"/>
      </w:pPr>
      <w:r>
        <w:t>GB/T 15776</w:t>
      </w:r>
      <w:r>
        <w:rPr>
          <w:rFonts w:hint="eastAsia"/>
        </w:rPr>
        <w:t xml:space="preserve">-2016   造林技术规程       </w:t>
      </w:r>
    </w:p>
    <w:p w14:paraId="7D636C76">
      <w:pPr>
        <w:ind w:firstLine="640"/>
      </w:pPr>
      <w:r>
        <w:rPr>
          <w:rFonts w:hint="eastAsia"/>
        </w:rPr>
        <w:t>DB61/T 142-2003   陕西省造林技术规程</w:t>
      </w:r>
    </w:p>
    <w:p w14:paraId="6A44DD95">
      <w:pPr>
        <w:ind w:firstLine="640"/>
      </w:pPr>
      <w:r>
        <w:rPr>
          <w:rFonts w:hint="eastAsia"/>
        </w:rPr>
        <w:t>GB 4285           农药安全使用标准 </w:t>
      </w:r>
    </w:p>
    <w:p w14:paraId="6EF57A90">
      <w:pPr>
        <w:ind w:firstLine="640"/>
      </w:pPr>
      <w:r>
        <w:rPr>
          <w:rFonts w:hint="eastAsia"/>
        </w:rPr>
        <w:t>GB/T 8321         农药合理使用准则(所有部分)</w:t>
      </w:r>
    </w:p>
    <w:p w14:paraId="5A6BD38F">
      <w:pPr>
        <w:ind w:firstLine="640"/>
        <w:rPr>
          <w:lang w:val="en"/>
        </w:rPr>
      </w:pPr>
      <w:bookmarkStart w:id="4" w:name="_Toc2528"/>
      <w:bookmarkStart w:id="5" w:name="_Toc161928579"/>
      <w:r>
        <w:rPr>
          <w:rFonts w:hint="eastAsia"/>
        </w:rPr>
        <w:t>3.</w:t>
      </w:r>
      <w:r>
        <w:rPr>
          <w:lang w:val="en"/>
        </w:rPr>
        <w:t>术语和定义</w:t>
      </w:r>
      <w:bookmarkEnd w:id="4"/>
      <w:bookmarkEnd w:id="5"/>
    </w:p>
    <w:p w14:paraId="759FE87E">
      <w:pPr>
        <w:ind w:firstLine="640"/>
        <w:rPr>
          <w:lang w:val="en"/>
        </w:rPr>
      </w:pPr>
      <w:r>
        <w:rPr>
          <w:lang w:val="en"/>
        </w:rPr>
        <w:t>下列术语和定义适用于本文件。</w:t>
      </w:r>
    </w:p>
    <w:p w14:paraId="12A717EC">
      <w:pPr>
        <w:ind w:firstLine="640"/>
      </w:pPr>
      <w:r>
        <w:t>珙桐</w:t>
      </w:r>
      <w:r>
        <w:rPr>
          <w:i/>
          <w:iCs/>
        </w:rPr>
        <w:t>Davidia involucrata </w:t>
      </w:r>
      <w:r>
        <w:t>Baill</w:t>
      </w:r>
    </w:p>
    <w:p w14:paraId="2F4D6CD0">
      <w:pPr>
        <w:ind w:firstLine="640"/>
      </w:pPr>
      <w:r>
        <w:fldChar w:fldCharType="begin"/>
      </w:r>
      <w:r>
        <w:instrText xml:space="preserve"> HYPERLINK "http://www.iplant.cn/info/Nyssaceae" </w:instrText>
      </w:r>
      <w:r>
        <w:fldChar w:fldCharType="separate"/>
      </w:r>
      <w:r>
        <w:t>蓝果树科（Nyssaceae</w:t>
      </w:r>
      <w:r>
        <w:fldChar w:fldCharType="end"/>
      </w:r>
      <w:r>
        <w:t>）</w:t>
      </w:r>
      <w:r>
        <w:fldChar w:fldCharType="begin"/>
      </w:r>
      <w:r>
        <w:instrText xml:space="preserve"> HYPERLINK "http://www.iplant.cn/info/Davidia" </w:instrText>
      </w:r>
      <w:r>
        <w:fldChar w:fldCharType="separate"/>
      </w:r>
      <w:r>
        <w:t>珙桐属 （</w:t>
      </w:r>
      <w:r>
        <w:rPr>
          <w:i/>
          <w:iCs/>
        </w:rPr>
        <w:t>Davidia</w:t>
      </w:r>
      <w:r>
        <w:fldChar w:fldCharType="end"/>
      </w:r>
      <w:r>
        <w:t>），又名鸽子树，落叶乔木，</w:t>
      </w:r>
      <w:r>
        <w:rPr>
          <w:rFonts w:hint="eastAsia"/>
        </w:rPr>
        <w:t>树形优美、花型奇特、花苞片洁白，国家一级保护树种，也是驰名世界的珍贵观赏和造林树种。</w:t>
      </w:r>
    </w:p>
    <w:p w14:paraId="48542441">
      <w:pPr>
        <w:ind w:firstLine="640"/>
      </w:pPr>
      <w:bookmarkStart w:id="6" w:name="_Toc161928580"/>
      <w:r>
        <w:rPr>
          <w:rFonts w:hint="eastAsia"/>
        </w:rPr>
        <w:t>4.育苗</w:t>
      </w:r>
      <w:bookmarkEnd w:id="6"/>
    </w:p>
    <w:p w14:paraId="5EFFB065">
      <w:pPr>
        <w:ind w:firstLine="640"/>
      </w:pPr>
      <w:bookmarkStart w:id="7" w:name="_Toc161928581"/>
      <w:r>
        <w:rPr>
          <w:rFonts w:hint="eastAsia"/>
        </w:rPr>
        <w:t xml:space="preserve"> 种子采集</w:t>
      </w:r>
      <w:bookmarkEnd w:id="7"/>
      <w:bookmarkStart w:id="8" w:name="_Toc161928582"/>
      <w:r>
        <w:rPr>
          <w:rFonts w:hint="eastAsia"/>
          <w:lang w:eastAsia="zh-CN"/>
        </w:rPr>
        <w:t>、</w:t>
      </w:r>
      <w:r>
        <w:rPr>
          <w:rFonts w:hint="eastAsia"/>
        </w:rPr>
        <w:t>种子储藏与处理</w:t>
      </w:r>
      <w:bookmarkEnd w:id="8"/>
      <w:bookmarkStart w:id="9" w:name="_Toc31345"/>
      <w:bookmarkStart w:id="10" w:name="_Toc161928583"/>
      <w:r>
        <w:rPr>
          <w:rFonts w:hint="eastAsia"/>
        </w:rPr>
        <w:t>、圃地建立</w:t>
      </w:r>
      <w:bookmarkEnd w:id="9"/>
      <w:bookmarkEnd w:id="10"/>
      <w:r>
        <w:rPr>
          <w:rFonts w:hint="eastAsia"/>
        </w:rPr>
        <w:t>、播种、苗期管理进行了规定。</w:t>
      </w:r>
    </w:p>
    <w:p w14:paraId="121F0A48">
      <w:pPr>
        <w:ind w:firstLine="640"/>
      </w:pPr>
      <w:bookmarkStart w:id="11" w:name="_Toc11186"/>
      <w:bookmarkStart w:id="12" w:name="_Toc161928593"/>
      <w:r>
        <w:rPr>
          <w:rFonts w:hint="eastAsia"/>
        </w:rPr>
        <w:t>5.移植苗培育</w:t>
      </w:r>
      <w:bookmarkEnd w:id="11"/>
      <w:bookmarkEnd w:id="12"/>
      <w:r>
        <w:rPr>
          <w:rFonts w:hint="eastAsia"/>
        </w:rPr>
        <w:t xml:space="preserve">  </w:t>
      </w:r>
    </w:p>
    <w:p w14:paraId="4BDA1BBC">
      <w:pPr>
        <w:ind w:firstLine="640"/>
      </w:pPr>
      <w:r>
        <w:rPr>
          <w:rFonts w:hint="eastAsia"/>
        </w:rPr>
        <w:t>秋冬季施基肥，</w:t>
      </w:r>
      <w:bookmarkStart w:id="13" w:name="_Toc161928595"/>
      <w:r>
        <w:rPr>
          <w:rFonts w:hint="eastAsia"/>
        </w:rPr>
        <w:t>移植时间</w:t>
      </w:r>
      <w:bookmarkEnd w:id="13"/>
      <w:r>
        <w:rPr>
          <w:rFonts w:hint="eastAsia"/>
        </w:rPr>
        <w:t>、</w:t>
      </w:r>
      <w:bookmarkStart w:id="14" w:name="_Toc161928596"/>
      <w:r>
        <w:rPr>
          <w:rFonts w:hint="eastAsia"/>
        </w:rPr>
        <w:t>移植密度</w:t>
      </w:r>
      <w:bookmarkEnd w:id="14"/>
      <w:r>
        <w:rPr>
          <w:rFonts w:hint="eastAsia"/>
        </w:rPr>
        <w:t>等的规定。</w:t>
      </w:r>
    </w:p>
    <w:p w14:paraId="0966E241">
      <w:pPr>
        <w:ind w:firstLine="640"/>
      </w:pPr>
      <w:bookmarkStart w:id="15" w:name="_Toc24825"/>
      <w:bookmarkStart w:id="16" w:name="_Toc161928597"/>
      <w:r>
        <w:rPr>
          <w:rFonts w:hint="eastAsia"/>
        </w:rPr>
        <w:t>6.苗期管理</w:t>
      </w:r>
      <w:bookmarkEnd w:id="15"/>
      <w:bookmarkEnd w:id="16"/>
    </w:p>
    <w:p w14:paraId="4B027AC1">
      <w:pPr>
        <w:ind w:firstLine="640"/>
      </w:pPr>
      <w:bookmarkStart w:id="17" w:name="_Toc161928598"/>
      <w:r>
        <w:rPr>
          <w:rFonts w:hint="eastAsia"/>
        </w:rPr>
        <w:t>苗期的遮荫</w:t>
      </w:r>
      <w:bookmarkEnd w:id="17"/>
      <w:bookmarkStart w:id="18" w:name="_Toc161928599"/>
      <w:r>
        <w:rPr>
          <w:rFonts w:hint="eastAsia"/>
        </w:rPr>
        <w:t>，灌溉和排水</w:t>
      </w:r>
      <w:bookmarkEnd w:id="18"/>
      <w:bookmarkStart w:id="19" w:name="_Toc161928600"/>
      <w:r>
        <w:rPr>
          <w:rFonts w:hint="eastAsia"/>
        </w:rPr>
        <w:t>，松土、除草和培土</w:t>
      </w:r>
      <w:bookmarkEnd w:id="19"/>
      <w:bookmarkStart w:id="20" w:name="_Toc161928601"/>
      <w:r>
        <w:rPr>
          <w:rFonts w:hint="eastAsia"/>
        </w:rPr>
        <w:t>，追肥</w:t>
      </w:r>
      <w:bookmarkEnd w:id="20"/>
      <w:r>
        <w:rPr>
          <w:rFonts w:hint="eastAsia"/>
        </w:rPr>
        <w:t xml:space="preserve">等进行了规定。 </w:t>
      </w:r>
    </w:p>
    <w:p w14:paraId="392C1F39">
      <w:pPr>
        <w:ind w:firstLine="640"/>
      </w:pPr>
      <w:bookmarkStart w:id="21" w:name="_Toc161928602"/>
      <w:bookmarkStart w:id="22" w:name="_Toc3981"/>
      <w:r>
        <w:rPr>
          <w:rFonts w:hint="eastAsia"/>
        </w:rPr>
        <w:t>7.病虫害防治</w:t>
      </w:r>
      <w:bookmarkEnd w:id="21"/>
      <w:bookmarkEnd w:id="22"/>
      <w:r>
        <w:rPr>
          <w:rFonts w:hint="eastAsia"/>
        </w:rPr>
        <w:t xml:space="preserve"> </w:t>
      </w:r>
    </w:p>
    <w:p w14:paraId="6CB690C4">
      <w:pPr>
        <w:ind w:firstLine="640"/>
      </w:pPr>
      <w:r>
        <w:rPr>
          <w:rFonts w:hint="eastAsia"/>
        </w:rPr>
        <w:t>珙桐主要病害为茎腐病，虫害有蜗牛、金龟子等。</w:t>
      </w:r>
      <w:bookmarkStart w:id="23" w:name="_Toc161928604"/>
      <w:r>
        <w:rPr>
          <w:rFonts w:hint="eastAsia"/>
        </w:rPr>
        <w:t>防治措施</w:t>
      </w:r>
      <w:bookmarkEnd w:id="23"/>
      <w:r>
        <w:rPr>
          <w:rFonts w:hint="eastAsia"/>
        </w:rPr>
        <w:t>等进行了规定和说明。</w:t>
      </w:r>
    </w:p>
    <w:p w14:paraId="32DC9ED9">
      <w:pPr>
        <w:ind w:firstLine="640"/>
      </w:pPr>
      <w:bookmarkStart w:id="24" w:name="_Toc1098"/>
      <w:bookmarkStart w:id="25" w:name="_Toc161928605"/>
      <w:r>
        <w:rPr>
          <w:rFonts w:hint="eastAsia"/>
        </w:rPr>
        <w:t>8.苗木出圃和分级</w:t>
      </w:r>
      <w:bookmarkEnd w:id="24"/>
      <w:bookmarkEnd w:id="25"/>
      <w:r>
        <w:rPr>
          <w:rFonts w:hint="eastAsia"/>
        </w:rPr>
        <w:t xml:space="preserve"> </w:t>
      </w:r>
    </w:p>
    <w:p w14:paraId="54C6B72F">
      <w:pPr>
        <w:ind w:firstLine="640"/>
      </w:pPr>
      <w:bookmarkStart w:id="26" w:name="_Toc161928606"/>
      <w:r>
        <w:rPr>
          <w:rFonts w:hint="eastAsia"/>
        </w:rPr>
        <w:t>起苗</w:t>
      </w:r>
      <w:bookmarkEnd w:id="26"/>
      <w:r>
        <w:rPr>
          <w:rFonts w:hint="eastAsia"/>
        </w:rPr>
        <w:t>、</w:t>
      </w:r>
      <w:bookmarkStart w:id="27" w:name="_Toc161928607"/>
      <w:r>
        <w:rPr>
          <w:rFonts w:hint="eastAsia"/>
        </w:rPr>
        <w:t>苗木分级</w:t>
      </w:r>
      <w:bookmarkEnd w:id="27"/>
      <w:r>
        <w:rPr>
          <w:rFonts w:hint="eastAsia"/>
        </w:rPr>
        <w:t>苗木质量等级等进行了说明和规定。</w:t>
      </w:r>
    </w:p>
    <w:p w14:paraId="666E636F">
      <w:pPr>
        <w:ind w:firstLine="640"/>
      </w:pPr>
      <w:bookmarkStart w:id="28" w:name="_Toc161928608"/>
      <w:bookmarkStart w:id="29" w:name="_Toc8596"/>
      <w:r>
        <w:rPr>
          <w:rFonts w:hint="eastAsia"/>
        </w:rPr>
        <w:t>9.大苗培育</w:t>
      </w:r>
      <w:bookmarkEnd w:id="28"/>
    </w:p>
    <w:p w14:paraId="33E97F9A">
      <w:pPr>
        <w:ind w:firstLine="640"/>
      </w:pPr>
      <w:bookmarkStart w:id="30" w:name="_Toc161928609"/>
      <w:r>
        <w:rPr>
          <w:rFonts w:hint="eastAsia"/>
        </w:rPr>
        <w:t>对大苗培育的移植</w:t>
      </w:r>
      <w:bookmarkEnd w:id="30"/>
      <w:bookmarkStart w:id="31" w:name="_Toc161928610"/>
      <w:r>
        <w:rPr>
          <w:rFonts w:hint="eastAsia"/>
        </w:rPr>
        <w:t>、管理</w:t>
      </w:r>
      <w:bookmarkEnd w:id="31"/>
      <w:r>
        <w:rPr>
          <w:rFonts w:hint="eastAsia"/>
        </w:rPr>
        <w:t>等进行说明和规定。</w:t>
      </w:r>
    </w:p>
    <w:p w14:paraId="1FD10E77">
      <w:pPr>
        <w:ind w:firstLine="640"/>
      </w:pPr>
      <w:bookmarkStart w:id="32" w:name="_Toc161928613"/>
      <w:r>
        <w:rPr>
          <w:rFonts w:hint="eastAsia"/>
        </w:rPr>
        <w:t>10.造林</w:t>
      </w:r>
      <w:bookmarkEnd w:id="32"/>
      <w:r>
        <w:rPr>
          <w:rFonts w:hint="eastAsia"/>
        </w:rPr>
        <w:t>及园林绿化</w:t>
      </w:r>
    </w:p>
    <w:p w14:paraId="3224A4B4">
      <w:pPr>
        <w:ind w:firstLine="640"/>
      </w:pPr>
      <w:bookmarkStart w:id="33" w:name="_Toc161928614"/>
      <w:r>
        <w:rPr>
          <w:rFonts w:hint="eastAsia"/>
        </w:rPr>
        <w:t>对</w:t>
      </w:r>
      <w:r>
        <w:t>造林地选择</w:t>
      </w:r>
      <w:bookmarkEnd w:id="33"/>
      <w:r>
        <w:rPr>
          <w:rFonts w:hint="eastAsia"/>
        </w:rPr>
        <w:t>、</w:t>
      </w:r>
      <w:bookmarkStart w:id="34" w:name="_Toc161928616"/>
      <w:r>
        <w:t>造林模式</w:t>
      </w:r>
      <w:bookmarkEnd w:id="34"/>
      <w:r>
        <w:rPr>
          <w:rFonts w:hint="eastAsia"/>
        </w:rPr>
        <w:t>、</w:t>
      </w:r>
      <w:bookmarkStart w:id="35" w:name="_Toc161928617"/>
      <w:r>
        <w:t>密度</w:t>
      </w:r>
      <w:bookmarkEnd w:id="35"/>
      <w:r>
        <w:rPr>
          <w:rFonts w:hint="eastAsia"/>
        </w:rPr>
        <w:t>、土壤的处理、苗木</w:t>
      </w:r>
      <w:bookmarkStart w:id="36" w:name="_Toc161928619"/>
      <w:r>
        <w:t>规格</w:t>
      </w:r>
      <w:bookmarkEnd w:id="36"/>
      <w:r>
        <w:rPr>
          <w:rFonts w:hint="eastAsia"/>
        </w:rPr>
        <w:t>，栽植的时间方法等进行了规定</w:t>
      </w:r>
    </w:p>
    <w:p w14:paraId="42CF4D14">
      <w:pPr>
        <w:ind w:firstLine="640"/>
      </w:pPr>
      <w:bookmarkStart w:id="37" w:name="_Toc161928628"/>
      <w:r>
        <w:rPr>
          <w:rFonts w:hint="eastAsia"/>
        </w:rPr>
        <w:t>11.</w:t>
      </w:r>
      <w:r>
        <w:t>抚育管理</w:t>
      </w:r>
      <w:bookmarkEnd w:id="37"/>
    </w:p>
    <w:p w14:paraId="25CCE13E">
      <w:pPr>
        <w:ind w:firstLine="640"/>
      </w:pPr>
      <w:r>
        <w:t>应符合GB/T 15776的规定。</w:t>
      </w:r>
    </w:p>
    <w:p w14:paraId="3FE9CD5B">
      <w:pPr>
        <w:ind w:firstLine="640"/>
      </w:pPr>
      <w:bookmarkStart w:id="38" w:name="_Toc161928629"/>
      <w:r>
        <w:rPr>
          <w:rFonts w:hint="eastAsia"/>
        </w:rPr>
        <w:t>12.档案管理</w:t>
      </w:r>
      <w:bookmarkEnd w:id="29"/>
      <w:bookmarkEnd w:id="38"/>
    </w:p>
    <w:p w14:paraId="077800FE">
      <w:pPr>
        <w:ind w:firstLine="640"/>
        <w:rPr>
          <w:rFonts w:hint="eastAsia"/>
        </w:rPr>
      </w:pPr>
      <w:r>
        <w:rPr>
          <w:rFonts w:hint="eastAsia"/>
        </w:rPr>
        <w:t>苗木生产单位建立基本情况档案、生产档案和科学试验档案。参考GB 6001-85执行。</w:t>
      </w:r>
    </w:p>
    <w:p w14:paraId="1EDC62F7">
      <w:pPr>
        <w:pStyle w:val="2"/>
      </w:pPr>
    </w:p>
    <w:p w14:paraId="21CAB717">
      <w:pPr>
        <w:pStyle w:val="3"/>
        <w:numPr>
          <w:ilvl w:val="0"/>
          <w:numId w:val="2"/>
        </w:numPr>
        <w:ind w:firstLine="640"/>
      </w:pPr>
      <w:r>
        <w:rPr>
          <w:rFonts w:hint="eastAsia"/>
        </w:rPr>
        <w:t>实证研究</w:t>
      </w:r>
    </w:p>
    <w:p w14:paraId="78DEA446">
      <w:pPr>
        <w:pStyle w:val="4"/>
        <w:ind w:firstLine="643"/>
        <w:rPr>
          <w:rFonts w:hint="eastAsia" w:ascii="楷体_GB2312" w:hAnsi="仿宋" w:eastAsia="楷体_GB2312" w:cs="Calibri"/>
          <w:szCs w:val="32"/>
        </w:rPr>
      </w:pPr>
      <w:r>
        <w:rPr>
          <w:rFonts w:hint="eastAsia" w:ascii="楷体_GB2312" w:hAnsi="仿宋" w:eastAsia="楷体_GB2312" w:cs="Calibri"/>
          <w:szCs w:val="32"/>
        </w:rPr>
        <w:t>（一）主要实证内容</w:t>
      </w:r>
    </w:p>
    <w:p w14:paraId="1051171B">
      <w:pPr>
        <w:ind w:firstLine="643"/>
        <w:rPr>
          <w:b/>
          <w:bCs/>
        </w:rPr>
      </w:pPr>
      <w:r>
        <w:rPr>
          <w:rFonts w:hint="eastAsia"/>
          <w:b/>
          <w:bCs/>
        </w:rPr>
        <w:t>1.种子储藏与处理</w:t>
      </w:r>
    </w:p>
    <w:p w14:paraId="11F01C16">
      <w:pPr>
        <w:keepNext/>
        <w:ind w:firstLine="640"/>
      </w:pPr>
      <w:r>
        <w:rPr>
          <w:rFonts w:hint="eastAsia"/>
        </w:rPr>
        <w:t>种子采集后，直接堆放于室内阴凉潮湿的地面，定期翻动，使果肉逐步腐烂，用清水反复揉搓获得净种。选择干燥通风、阳光直射不到的室内，挖坑，坑的大小和深度根据种子量来确定，铺上一层厚10</w:t>
      </w:r>
      <w:r>
        <w:rPr>
          <w:rFonts w:hint="eastAsia"/>
          <w:lang w:val="en-US" w:eastAsia="zh-CN"/>
        </w:rPr>
        <w:t xml:space="preserve"> </w:t>
      </w:r>
      <w:r>
        <w:rPr>
          <w:rFonts w:hint="eastAsia"/>
        </w:rPr>
        <w:t>cm左右的湿黄沙，然后将种子与湿黄沙分层交互堆积，或将种子与湿黄沙按比例1:2混合放置坑中。黄沙不可过湿，以手握成团、松开有大裂缝为宜。沙藏时间为1年左右。此步骤对珙桐种子发芽较为重要。</w:t>
      </w:r>
    </w:p>
    <w:p w14:paraId="43723116">
      <w:pPr>
        <w:ind w:firstLine="640"/>
      </w:pPr>
      <w:r>
        <w:rPr>
          <w:rFonts w:hint="eastAsia"/>
        </w:rPr>
        <w:t>说明：珙桐种子种皮较厚，是限制种子发芽的主要因素，需要通过特殊方法才能去除种子种皮机械力。</w:t>
      </w:r>
    </w:p>
    <w:p w14:paraId="0ED20292">
      <w:pPr>
        <w:keepNext/>
        <w:ind w:firstLine="643"/>
        <w:rPr>
          <w:b/>
          <w:bCs/>
        </w:rPr>
      </w:pPr>
      <w:r>
        <w:rPr>
          <w:rFonts w:hint="eastAsia"/>
          <w:b/>
          <w:bCs/>
        </w:rPr>
        <w:t>2. 圃地选址</w:t>
      </w:r>
    </w:p>
    <w:p w14:paraId="29B94BE5">
      <w:pPr>
        <w:ind w:firstLine="640"/>
      </w:pPr>
      <w:r>
        <w:rPr>
          <w:rFonts w:hint="eastAsia"/>
        </w:rPr>
        <w:t>宜选择交通方便、水源充足、地势平坦、土壤肥沃、排灌良好的地块作为育苗圃地。土质为沙壤土或壤土，地下水位不超过1.5</w:t>
      </w:r>
      <w:r>
        <w:rPr>
          <w:rFonts w:hint="eastAsia"/>
          <w:lang w:val="en-US" w:eastAsia="zh-CN"/>
        </w:rPr>
        <w:t xml:space="preserve"> </w:t>
      </w:r>
      <w:r>
        <w:rPr>
          <w:rFonts w:hint="eastAsia"/>
        </w:rPr>
        <w:t>m，土层厚度一般不低于30</w:t>
      </w:r>
      <w:r>
        <w:rPr>
          <w:rFonts w:hint="eastAsia"/>
          <w:lang w:val="en-US" w:eastAsia="zh-CN"/>
        </w:rPr>
        <w:t xml:space="preserve"> </w:t>
      </w:r>
      <w:r>
        <w:rPr>
          <w:rFonts w:hint="eastAsia"/>
        </w:rPr>
        <w:t>cm，pH值6.5</w:t>
      </w:r>
      <w:r>
        <w:rPr>
          <w:rFonts w:hint="eastAsia"/>
          <w:lang w:val="en-US" w:eastAsia="zh-CN"/>
        </w:rPr>
        <w:t xml:space="preserve"> </w:t>
      </w:r>
      <w:r>
        <w:rPr>
          <w:rFonts w:hint="eastAsia"/>
        </w:rPr>
        <w:t>~7.5。</w:t>
      </w:r>
    </w:p>
    <w:p w14:paraId="44A15427">
      <w:pPr>
        <w:ind w:firstLine="640"/>
      </w:pPr>
      <w:r>
        <w:rPr>
          <w:rFonts w:hint="eastAsia"/>
        </w:rPr>
        <w:t>说明：珙桐生长需要土壤肥沃、排水良好的沙壤土。</w:t>
      </w:r>
    </w:p>
    <w:p w14:paraId="7C262C57">
      <w:pPr>
        <w:keepNext/>
        <w:widowControl/>
        <w:ind w:firstLine="643"/>
        <w:rPr>
          <w:b/>
          <w:bCs/>
        </w:rPr>
      </w:pPr>
      <w:r>
        <w:rPr>
          <w:rFonts w:hint="eastAsia"/>
          <w:b/>
          <w:bCs/>
        </w:rPr>
        <w:t>3. 播种</w:t>
      </w:r>
    </w:p>
    <w:p w14:paraId="5F7FED14">
      <w:pPr>
        <w:keepNext/>
        <w:widowControl/>
        <w:ind w:firstLine="640"/>
      </w:pPr>
      <w:r>
        <w:rPr>
          <w:rFonts w:hint="eastAsia"/>
        </w:rPr>
        <w:t>秋播。将经过沙藏处理的种子在次年的11月中下旬左右播下。点播。苗床平整后点播，株行距10</w:t>
      </w:r>
      <w:r>
        <w:rPr>
          <w:rFonts w:hint="eastAsia"/>
          <w:lang w:val="en-US" w:eastAsia="zh-CN"/>
        </w:rPr>
        <w:t xml:space="preserve"> </w:t>
      </w:r>
      <w:r>
        <w:rPr>
          <w:rFonts w:hint="eastAsia"/>
        </w:rPr>
        <w:t>~</w:t>
      </w:r>
      <w:r>
        <w:rPr>
          <w:rFonts w:hint="eastAsia"/>
          <w:lang w:val="en-US" w:eastAsia="zh-CN"/>
        </w:rPr>
        <w:t xml:space="preserve"> </w:t>
      </w:r>
      <w:r>
        <w:rPr>
          <w:rFonts w:hint="eastAsia"/>
        </w:rPr>
        <w:t>20</w:t>
      </w:r>
      <w:r>
        <w:rPr>
          <w:rFonts w:hint="eastAsia"/>
          <w:lang w:val="en-US" w:eastAsia="zh-CN"/>
        </w:rPr>
        <w:t xml:space="preserve"> cm</w:t>
      </w:r>
      <w:r>
        <w:rPr>
          <w:rFonts w:hint="eastAsia"/>
          <w:lang w:eastAsia="zh-CN"/>
        </w:rPr>
        <w:t>，</w:t>
      </w:r>
      <w:r>
        <w:rPr>
          <w:rFonts w:hint="eastAsia"/>
        </w:rPr>
        <w:t>播种深5</w:t>
      </w:r>
      <w:r>
        <w:rPr>
          <w:rFonts w:hint="eastAsia"/>
          <w:lang w:val="en-US" w:eastAsia="zh-CN"/>
        </w:rPr>
        <w:t xml:space="preserve"> </w:t>
      </w:r>
      <w:r>
        <w:rPr>
          <w:rFonts w:hint="eastAsia"/>
        </w:rPr>
        <w:t>~</w:t>
      </w:r>
      <w:r>
        <w:rPr>
          <w:rFonts w:hint="eastAsia"/>
          <w:lang w:val="en-US" w:eastAsia="zh-CN"/>
        </w:rPr>
        <w:t xml:space="preserve"> </w:t>
      </w:r>
      <w:r>
        <w:rPr>
          <w:rFonts w:hint="eastAsia"/>
        </w:rPr>
        <w:t>10</w:t>
      </w:r>
      <w:r>
        <w:rPr>
          <w:rFonts w:hint="eastAsia"/>
          <w:lang w:val="en-US" w:eastAsia="zh-CN"/>
        </w:rPr>
        <w:t xml:space="preserve"> cm</w:t>
      </w:r>
      <w:r>
        <w:rPr>
          <w:rFonts w:hint="eastAsia"/>
        </w:rPr>
        <w:t>，播后盖5</w:t>
      </w:r>
      <w:r>
        <w:rPr>
          <w:rFonts w:hint="eastAsia"/>
          <w:lang w:val="en-US" w:eastAsia="zh-CN"/>
        </w:rPr>
        <w:t xml:space="preserve"> cm</w:t>
      </w:r>
      <w:r>
        <w:rPr>
          <w:rFonts w:hint="eastAsia"/>
        </w:rPr>
        <w:t>左右厚的蛭石和细土（比例1:1为宜）。洒水至土壤湿润，覆盖草帘进行保湿。</w:t>
      </w:r>
    </w:p>
    <w:p w14:paraId="49B712A0">
      <w:pPr>
        <w:keepNext/>
        <w:widowControl/>
        <w:ind w:firstLine="640"/>
      </w:pPr>
      <w:r>
        <w:rPr>
          <w:rFonts w:hint="eastAsia"/>
        </w:rPr>
        <w:t>说明：珙桐种子发芽时间需1年，待种子露白后便可播种，种子播种不宜过密，每颗种子长出3</w:t>
      </w:r>
      <w:r>
        <w:rPr>
          <w:rFonts w:hint="eastAsia"/>
          <w:lang w:val="en-US" w:eastAsia="zh-CN"/>
        </w:rPr>
        <w:t xml:space="preserve"> </w:t>
      </w:r>
      <w:r>
        <w:rPr>
          <w:rFonts w:hint="eastAsia"/>
        </w:rPr>
        <w:t>~</w:t>
      </w:r>
      <w:r>
        <w:rPr>
          <w:rFonts w:hint="eastAsia"/>
          <w:lang w:val="en-US" w:eastAsia="zh-CN"/>
        </w:rPr>
        <w:t xml:space="preserve"> </w:t>
      </w:r>
      <w:r>
        <w:rPr>
          <w:rFonts w:hint="eastAsia"/>
        </w:rPr>
        <w:t>4株苗。</w:t>
      </w:r>
    </w:p>
    <w:p w14:paraId="0F524F5B">
      <w:pPr>
        <w:keepNext/>
        <w:widowControl/>
        <w:ind w:firstLine="643"/>
        <w:rPr>
          <w:b/>
          <w:bCs/>
        </w:rPr>
      </w:pPr>
      <w:r>
        <w:rPr>
          <w:rFonts w:hint="eastAsia"/>
          <w:b/>
          <w:bCs/>
        </w:rPr>
        <w:t>4. 灌溉</w:t>
      </w:r>
    </w:p>
    <w:p w14:paraId="63BB179E">
      <w:pPr>
        <w:ind w:firstLine="640"/>
      </w:pPr>
      <w:r>
        <w:rPr>
          <w:rFonts w:hint="eastAsia"/>
        </w:rPr>
        <w:t>播后保持土壤层湿润。播种后的第二年4月，幼苗陆续出土，及时除草，发现种子暴露应及时覆土、喷淋。当幼苗出土50%左右时，应全部撤掉草帘，同时搭建遮</w:t>
      </w:r>
      <w:r>
        <w:rPr>
          <w:rFonts w:hint="eastAsia"/>
          <w:lang w:val="en-US" w:eastAsia="zh-CN"/>
        </w:rPr>
        <w:t>阳</w:t>
      </w:r>
      <w:r>
        <w:rPr>
          <w:rFonts w:hint="eastAsia"/>
        </w:rPr>
        <w:t>网。及时进行喷淋浇水，夏季高温、干热风季节适时喷淋浇水。</w:t>
      </w:r>
    </w:p>
    <w:p w14:paraId="1B860621">
      <w:pPr>
        <w:ind w:firstLine="640"/>
      </w:pPr>
      <w:r>
        <w:rPr>
          <w:rFonts w:hint="eastAsia"/>
        </w:rPr>
        <w:t>说明：幼苗期便需搭遮阴网，苗期需保持湿润。</w:t>
      </w:r>
    </w:p>
    <w:p w14:paraId="7FA5F1E2">
      <w:pPr>
        <w:keepNext/>
        <w:widowControl/>
        <w:ind w:firstLine="643"/>
        <w:rPr>
          <w:b/>
          <w:bCs/>
        </w:rPr>
      </w:pPr>
      <w:r>
        <w:rPr>
          <w:rFonts w:hint="eastAsia"/>
          <w:b/>
          <w:bCs/>
        </w:rPr>
        <w:t>5.</w:t>
      </w:r>
      <w:bookmarkStart w:id="39" w:name="OLE_LINK1"/>
      <w:r>
        <w:rPr>
          <w:rFonts w:hint="eastAsia"/>
          <w:b/>
          <w:bCs/>
        </w:rPr>
        <w:t xml:space="preserve"> 遮荫</w:t>
      </w:r>
      <w:bookmarkEnd w:id="39"/>
    </w:p>
    <w:p w14:paraId="1C3D5966">
      <w:pPr>
        <w:ind w:firstLine="640"/>
      </w:pPr>
      <w:r>
        <w:rPr>
          <w:rFonts w:hint="eastAsia"/>
        </w:rPr>
        <w:t>为保证珙桐小苗顺利过夏，需进行遮荫。在苗床搭设遮阳网，保证有40%的光透过即可。后续每一年逐渐提高遮阳网透光率，直至小苗完全适应夏天的光照及温度便可撤掉遮阳网。</w:t>
      </w:r>
    </w:p>
    <w:p w14:paraId="789B5FEA">
      <w:pPr>
        <w:ind w:firstLine="640"/>
      </w:pPr>
      <w:r>
        <w:rPr>
          <w:rFonts w:hint="eastAsia"/>
        </w:rPr>
        <w:t>说明：此过程是珙桐驯化的关键，珙桐在关中地区过夏困难，需要在苗期对其进行遮荫驯化，逐渐适应夏日的阳光。</w:t>
      </w:r>
    </w:p>
    <w:p w14:paraId="7BBB873F">
      <w:pPr>
        <w:keepNext/>
        <w:widowControl/>
        <w:ind w:firstLine="643"/>
        <w:rPr>
          <w:b/>
          <w:bCs/>
        </w:rPr>
      </w:pPr>
      <w:r>
        <w:rPr>
          <w:rFonts w:hint="eastAsia"/>
          <w:b/>
          <w:bCs/>
        </w:rPr>
        <w:t>6. 病虫害防治</w:t>
      </w:r>
    </w:p>
    <w:p w14:paraId="644063CF">
      <w:pPr>
        <w:ind w:firstLine="640"/>
      </w:pPr>
      <w:r>
        <w:rPr>
          <w:rFonts w:hint="eastAsia"/>
        </w:rPr>
        <w:t>珙桐主要病害为茎腐病，虫害有蜗牛、金龟子等。以“预防为主，科学防治”为原则。防霜冻和干热风，及时修剪并清理病枝、枯枝。在高温多雨的季节，用50%的多菌灵可湿性粉剂800倍液和70%甲基硫菌灵可湿性粉剂800</w:t>
      </w:r>
      <w:r>
        <w:rPr>
          <w:rFonts w:hint="eastAsia"/>
          <w:lang w:val="en-US" w:eastAsia="zh-CN"/>
        </w:rPr>
        <w:t xml:space="preserve"> </w:t>
      </w:r>
      <w:r>
        <w:rPr>
          <w:rFonts w:hint="eastAsia"/>
        </w:rPr>
        <w:t>~</w:t>
      </w:r>
      <w:r>
        <w:rPr>
          <w:rFonts w:hint="eastAsia"/>
          <w:lang w:val="en-US" w:eastAsia="zh-CN"/>
        </w:rPr>
        <w:t xml:space="preserve"> </w:t>
      </w:r>
      <w:r>
        <w:rPr>
          <w:rFonts w:hint="eastAsia"/>
        </w:rPr>
        <w:t>1000 倍液轮换喷施，每隔7</w:t>
      </w:r>
      <w:r>
        <w:rPr>
          <w:rFonts w:hint="eastAsia"/>
          <w:lang w:val="en-US" w:eastAsia="zh-CN"/>
        </w:rPr>
        <w:t xml:space="preserve"> </w:t>
      </w:r>
      <w:r>
        <w:rPr>
          <w:rFonts w:hint="eastAsia"/>
        </w:rPr>
        <w:t>~</w:t>
      </w:r>
      <w:r>
        <w:rPr>
          <w:rFonts w:hint="eastAsia"/>
          <w:lang w:val="en-US" w:eastAsia="zh-CN"/>
        </w:rPr>
        <w:t xml:space="preserve"> </w:t>
      </w:r>
      <w:r>
        <w:rPr>
          <w:rFonts w:hint="eastAsia"/>
        </w:rPr>
        <w:t>10d喷雾1次，连续2</w:t>
      </w:r>
      <w:r>
        <w:rPr>
          <w:rFonts w:hint="eastAsia"/>
          <w:lang w:val="en-US" w:eastAsia="zh-CN"/>
        </w:rPr>
        <w:t xml:space="preserve"> </w:t>
      </w:r>
      <w:r>
        <w:rPr>
          <w:rFonts w:hint="eastAsia"/>
        </w:rPr>
        <w:t>~</w:t>
      </w:r>
      <w:r>
        <w:rPr>
          <w:rFonts w:hint="eastAsia"/>
          <w:lang w:val="en-US" w:eastAsia="zh-CN"/>
        </w:rPr>
        <w:t xml:space="preserve"> </w:t>
      </w:r>
      <w:r>
        <w:rPr>
          <w:rFonts w:hint="eastAsia"/>
        </w:rPr>
        <w:t>3次。</w:t>
      </w:r>
    </w:p>
    <w:p w14:paraId="1541FA02">
      <w:pPr>
        <w:ind w:firstLine="640"/>
      </w:pPr>
      <w:r>
        <w:rPr>
          <w:rFonts w:hint="eastAsia"/>
        </w:rPr>
        <w:t>说明：珙桐整体抗性较强，病虫害较少，但由于高温高湿环境容易滋生病虫害，</w:t>
      </w:r>
      <w:r>
        <w:rPr>
          <w:rFonts w:hint="eastAsia"/>
          <w:lang w:val="en-US" w:eastAsia="zh-CN"/>
        </w:rPr>
        <w:t>要</w:t>
      </w:r>
      <w:r>
        <w:rPr>
          <w:rFonts w:hint="eastAsia"/>
        </w:rPr>
        <w:t>特别注重雨季的病虫害防治，期间应加强病虫害管理，确保苗木生长和苗木质量。</w:t>
      </w:r>
    </w:p>
    <w:p w14:paraId="1F20D13B">
      <w:pPr>
        <w:pStyle w:val="4"/>
        <w:keepLines w:val="0"/>
        <w:widowControl/>
        <w:ind w:firstLine="643"/>
        <w:rPr>
          <w:rFonts w:hint="eastAsia" w:ascii="楷体_GB2312" w:hAnsi="仿宋" w:eastAsia="楷体_GB2312" w:cs="Calibri"/>
          <w:szCs w:val="32"/>
        </w:rPr>
      </w:pPr>
      <w:r>
        <w:rPr>
          <w:rFonts w:hint="eastAsia" w:ascii="楷体_GB2312" w:hAnsi="仿宋" w:eastAsia="楷体_GB2312" w:cs="Calibri"/>
          <w:szCs w:val="32"/>
        </w:rPr>
        <w:t>（二）主要试验（或验证）的验证分析报告（测试报告）</w:t>
      </w:r>
    </w:p>
    <w:p w14:paraId="4907883E">
      <w:pPr>
        <w:ind w:firstLine="640"/>
      </w:pPr>
      <w:r>
        <w:rPr>
          <w:rFonts w:hint="eastAsia"/>
        </w:rPr>
        <w:t>1.珙桐种子沙藏试验</w:t>
      </w:r>
    </w:p>
    <w:p w14:paraId="41029B20">
      <w:pPr>
        <w:ind w:firstLine="640"/>
      </w:pPr>
      <w:r>
        <w:t xml:space="preserve">1. </w:t>
      </w:r>
      <w:r>
        <w:rPr>
          <w:rFonts w:hint="eastAsia"/>
        </w:rPr>
        <w:t>1试验材料</w:t>
      </w:r>
      <w:r>
        <w:rPr>
          <w:rFonts w:ascii="Courier New" w:hAnsi="Courier New" w:cs="Courier New"/>
        </w:rPr>
        <w:t>‌</w:t>
      </w:r>
    </w:p>
    <w:p w14:paraId="1C05E3FB">
      <w:pPr>
        <w:ind w:firstLine="640"/>
      </w:pPr>
      <w:r>
        <w:rPr>
          <w:rFonts w:hint="cs"/>
        </w:rPr>
        <w:t>‌</w:t>
      </w:r>
      <w:r>
        <w:rPr>
          <w:rFonts w:hint="eastAsia"/>
        </w:rPr>
        <w:t>种子</w:t>
      </w:r>
      <w:r>
        <w:rPr>
          <w:rFonts w:ascii="Courier New" w:hAnsi="Courier New" w:cs="Courier New"/>
        </w:rPr>
        <w:t>‌</w:t>
      </w:r>
      <w:r>
        <w:rPr>
          <w:rFonts w:hint="eastAsia" w:ascii="仿宋" w:hAnsi="仿宋" w:cs="仿宋"/>
        </w:rPr>
        <w:t>：当年采收的珙桐健康种子，千粒重约</w:t>
      </w:r>
      <w:r>
        <w:t>30</w:t>
      </w:r>
      <w:r>
        <w:rPr>
          <w:rFonts w:hint="eastAsia"/>
          <w:lang w:val="en-US" w:eastAsia="zh-CN"/>
        </w:rPr>
        <w:t xml:space="preserve"> k</w:t>
      </w:r>
      <w:r>
        <w:t>g</w:t>
      </w:r>
      <w:r>
        <w:rPr>
          <w:rFonts w:hint="eastAsia"/>
        </w:rPr>
        <w:t>，剔除虫蛀及破损粒。</w:t>
      </w:r>
    </w:p>
    <w:p w14:paraId="2907E75B">
      <w:pPr>
        <w:ind w:firstLine="640"/>
      </w:pPr>
      <w:r>
        <w:rPr>
          <w:rFonts w:hint="cs"/>
        </w:rPr>
        <w:t>‌</w:t>
      </w:r>
      <w:r>
        <w:rPr>
          <w:rFonts w:hint="eastAsia"/>
        </w:rPr>
        <w:t>沙子</w:t>
      </w:r>
      <w:r>
        <w:rPr>
          <w:rFonts w:ascii="Courier New" w:hAnsi="Courier New" w:cs="Courier New"/>
        </w:rPr>
        <w:t>‌</w:t>
      </w:r>
      <w:r>
        <w:rPr>
          <w:rFonts w:hint="eastAsia" w:ascii="仿宋" w:hAnsi="仿宋" w:cs="仿宋"/>
        </w:rPr>
        <w:t>：洁净河沙（粒径</w:t>
      </w:r>
      <w:r>
        <w:t>0.5</w:t>
      </w:r>
      <w:r>
        <w:rPr>
          <w:rFonts w:hint="eastAsia"/>
          <w:lang w:val="en-US" w:eastAsia="zh-CN"/>
        </w:rPr>
        <w:t xml:space="preserve"> </w:t>
      </w:r>
      <w:r>
        <w:rPr>
          <w:rFonts w:hint="eastAsia"/>
        </w:rPr>
        <w:t>~</w:t>
      </w:r>
      <w:r>
        <w:rPr>
          <w:rFonts w:hint="eastAsia"/>
          <w:lang w:val="en-US" w:eastAsia="zh-CN"/>
        </w:rPr>
        <w:t xml:space="preserve"> </w:t>
      </w:r>
      <w:r>
        <w:t>1 mm</w:t>
      </w:r>
      <w:r>
        <w:rPr>
          <w:rFonts w:hint="eastAsia"/>
        </w:rPr>
        <w:t>），经高温消毒（</w:t>
      </w:r>
      <w:r>
        <w:t>120</w:t>
      </w:r>
      <w:r>
        <w:rPr>
          <w:rFonts w:hint="eastAsia"/>
        </w:rPr>
        <w:t>℃灭菌</w:t>
      </w:r>
      <w:r>
        <w:t>30 min</w:t>
      </w:r>
      <w:r>
        <w:rPr>
          <w:rFonts w:hint="eastAsia"/>
        </w:rPr>
        <w:t>）后使用。</w:t>
      </w:r>
    </w:p>
    <w:p w14:paraId="2F43595D">
      <w:pPr>
        <w:ind w:firstLine="640"/>
      </w:pPr>
      <w:r>
        <w:rPr>
          <w:rFonts w:hint="cs"/>
        </w:rPr>
        <w:t>‌</w:t>
      </w:r>
      <w:r>
        <w:rPr>
          <w:rFonts w:hint="eastAsia"/>
        </w:rPr>
        <w:t>容器</w:t>
      </w:r>
      <w:r>
        <w:rPr>
          <w:rFonts w:ascii="Courier New" w:hAnsi="Courier New" w:cs="Courier New"/>
        </w:rPr>
        <w:t>‌</w:t>
      </w:r>
      <w:r>
        <w:rPr>
          <w:rFonts w:hint="eastAsia" w:ascii="仿宋" w:hAnsi="仿宋" w:cs="仿宋"/>
        </w:rPr>
        <w:t>：透气塑料箱（</w:t>
      </w:r>
      <w:r>
        <w:t>30 cm</w:t>
      </w:r>
      <w:r>
        <w:rPr>
          <w:rFonts w:hint="eastAsia"/>
          <w:lang w:val="en-US" w:eastAsia="zh-CN"/>
        </w:rPr>
        <w:t xml:space="preserve"> </w:t>
      </w:r>
      <w:r>
        <w:t>×</w:t>
      </w:r>
      <w:r>
        <w:rPr>
          <w:rFonts w:hint="eastAsia"/>
          <w:lang w:val="en-US" w:eastAsia="zh-CN"/>
        </w:rPr>
        <w:t xml:space="preserve"> </w:t>
      </w:r>
      <w:r>
        <w:t>20 cm</w:t>
      </w:r>
      <w:r>
        <w:rPr>
          <w:rFonts w:hint="eastAsia"/>
          <w:lang w:val="en-US" w:eastAsia="zh-CN"/>
        </w:rPr>
        <w:t xml:space="preserve"> </w:t>
      </w:r>
      <w:r>
        <w:t>×</w:t>
      </w:r>
      <w:r>
        <w:rPr>
          <w:rFonts w:hint="eastAsia"/>
          <w:lang w:val="en-US" w:eastAsia="zh-CN"/>
        </w:rPr>
        <w:t xml:space="preserve"> </w:t>
      </w:r>
      <w:r>
        <w:t>15 cm</w:t>
      </w:r>
      <w:r>
        <w:rPr>
          <w:rFonts w:hint="eastAsia"/>
        </w:rPr>
        <w:t>）。</w:t>
      </w:r>
    </w:p>
    <w:p w14:paraId="5B96C328">
      <w:pPr>
        <w:pStyle w:val="2"/>
        <w:ind w:left="0" w:leftChars="0" w:firstLine="0" w:firstLineChars="0"/>
      </w:pPr>
      <w:r>
        <w:drawing>
          <wp:inline distT="0" distB="0" distL="0" distR="0">
            <wp:extent cx="3608070" cy="5396230"/>
            <wp:effectExtent l="0" t="0" r="13970" b="11430"/>
            <wp:docPr id="12" name="图片 11" descr="许多坚果放在一起&#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descr="许多坚果放在一起&#10;&#10;描述已自动生成"/>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rot="16200000">
                      <a:off x="0" y="0"/>
                      <a:ext cx="3608070" cy="5396230"/>
                    </a:xfrm>
                    <a:prstGeom prst="rect">
                      <a:avLst/>
                    </a:prstGeom>
                  </pic:spPr>
                </pic:pic>
              </a:graphicData>
            </a:graphic>
          </wp:inline>
        </w:drawing>
      </w:r>
    </w:p>
    <w:p w14:paraId="60752525">
      <w:pPr>
        <w:ind w:firstLine="560"/>
        <w:jc w:val="center"/>
        <w:rPr>
          <w:rFonts w:ascii="黑体" w:hAnsi="黑体" w:eastAsia="黑体"/>
          <w:sz w:val="28"/>
          <w:szCs w:val="28"/>
        </w:rPr>
      </w:pPr>
      <w:r>
        <w:rPr>
          <w:rFonts w:hint="eastAsia" w:ascii="黑体" w:hAnsi="黑体" w:eastAsia="黑体"/>
          <w:sz w:val="28"/>
          <w:szCs w:val="28"/>
        </w:rPr>
        <w:t xml:space="preserve">图3 </w:t>
      </w:r>
      <w:r>
        <w:rPr>
          <w:rFonts w:ascii="黑体" w:hAnsi="黑体" w:eastAsia="黑体"/>
          <w:sz w:val="28"/>
          <w:szCs w:val="28"/>
        </w:rPr>
        <w:t>处理好的珙桐种子</w:t>
      </w:r>
    </w:p>
    <w:p w14:paraId="2ADF1919">
      <w:pPr>
        <w:pStyle w:val="2"/>
        <w:rPr>
          <w:rFonts w:hint="eastAsia"/>
        </w:rPr>
      </w:pPr>
    </w:p>
    <w:p w14:paraId="45C80D51">
      <w:pPr>
        <w:ind w:firstLine="640"/>
      </w:pPr>
      <w:r>
        <w:rPr>
          <w:rFonts w:hint="cs"/>
        </w:rPr>
        <w:t>‌</w:t>
      </w:r>
      <w:r>
        <w:rPr>
          <w:rFonts w:hint="eastAsia"/>
        </w:rPr>
        <w:t>1.</w:t>
      </w:r>
      <w:r>
        <w:t>2</w:t>
      </w:r>
      <w:r>
        <w:rPr>
          <w:rFonts w:hint="eastAsia"/>
        </w:rPr>
        <w:t>试验设计</w:t>
      </w:r>
      <w:r>
        <w:rPr>
          <w:rFonts w:ascii="Courier New" w:hAnsi="Courier New" w:cs="Courier New"/>
        </w:rPr>
        <w:t>‌</w:t>
      </w:r>
    </w:p>
    <w:p w14:paraId="26B3AFAC">
      <w:pPr>
        <w:ind w:firstLine="640"/>
      </w:pPr>
      <w:r>
        <w:rPr>
          <w:rFonts w:hint="eastAsia"/>
        </w:rPr>
        <w:t>设置5种沙种比例（沙：种子，体积比），每组3次重复，每重复50粒种子：</w:t>
      </w:r>
    </w:p>
    <w:p w14:paraId="56672BC1">
      <w:pPr>
        <w:ind w:firstLine="640"/>
      </w:pPr>
      <w:r>
        <w:rPr>
          <w:rFonts w:hint="cs"/>
        </w:rPr>
        <w:t>‌</w:t>
      </w:r>
      <w:r>
        <w:t>T1‌</w:t>
      </w:r>
      <w:r>
        <w:rPr>
          <w:rFonts w:hint="eastAsia"/>
        </w:rPr>
        <w:t>：</w:t>
      </w:r>
      <w:r>
        <w:t>1:1</w:t>
      </w:r>
      <w:r>
        <w:rPr>
          <w:rFonts w:hint="eastAsia"/>
        </w:rPr>
        <w:t>（沙</w:t>
      </w:r>
      <w:r>
        <w:t xml:space="preserve">50% + </w:t>
      </w:r>
      <w:r>
        <w:rPr>
          <w:rFonts w:hint="eastAsia"/>
        </w:rPr>
        <w:t>种子</w:t>
      </w:r>
      <w:r>
        <w:t>50%</w:t>
      </w:r>
      <w:r>
        <w:rPr>
          <w:rFonts w:hint="eastAsia"/>
        </w:rPr>
        <w:t>）</w:t>
      </w:r>
    </w:p>
    <w:p w14:paraId="4F0675E3">
      <w:pPr>
        <w:ind w:firstLine="640"/>
      </w:pPr>
      <w:r>
        <w:rPr>
          <w:rFonts w:hint="cs"/>
        </w:rPr>
        <w:t>‌</w:t>
      </w:r>
      <w:r>
        <w:t>T2‌</w:t>
      </w:r>
      <w:r>
        <w:rPr>
          <w:rFonts w:hint="eastAsia"/>
        </w:rPr>
        <w:t>：</w:t>
      </w:r>
      <w:r>
        <w:t>2:1</w:t>
      </w:r>
      <w:r>
        <w:rPr>
          <w:rFonts w:hint="eastAsia"/>
        </w:rPr>
        <w:t>（沙</w:t>
      </w:r>
      <w:r>
        <w:t xml:space="preserve">67% + </w:t>
      </w:r>
      <w:r>
        <w:rPr>
          <w:rFonts w:hint="eastAsia"/>
        </w:rPr>
        <w:t>种子</w:t>
      </w:r>
      <w:r>
        <w:t>33%</w:t>
      </w:r>
      <w:r>
        <w:rPr>
          <w:rFonts w:hint="eastAsia"/>
        </w:rPr>
        <w:t>）</w:t>
      </w:r>
    </w:p>
    <w:p w14:paraId="45E55916">
      <w:pPr>
        <w:ind w:firstLine="640"/>
      </w:pPr>
      <w:r>
        <w:rPr>
          <w:rFonts w:hint="cs"/>
        </w:rPr>
        <w:t>‌</w:t>
      </w:r>
      <w:r>
        <w:t>T3‌</w:t>
      </w:r>
      <w:r>
        <w:rPr>
          <w:rFonts w:hint="eastAsia"/>
        </w:rPr>
        <w:t>：</w:t>
      </w:r>
      <w:r>
        <w:t>3:1</w:t>
      </w:r>
      <w:r>
        <w:rPr>
          <w:rFonts w:hint="eastAsia"/>
        </w:rPr>
        <w:t>（沙</w:t>
      </w:r>
      <w:r>
        <w:t xml:space="preserve">75% + </w:t>
      </w:r>
      <w:r>
        <w:rPr>
          <w:rFonts w:hint="eastAsia"/>
        </w:rPr>
        <w:t>种子</w:t>
      </w:r>
      <w:r>
        <w:t>25%</w:t>
      </w:r>
      <w:r>
        <w:rPr>
          <w:rFonts w:hint="eastAsia"/>
        </w:rPr>
        <w:t>）</w:t>
      </w:r>
    </w:p>
    <w:p w14:paraId="0A976FBF">
      <w:pPr>
        <w:ind w:firstLine="640"/>
      </w:pPr>
      <w:r>
        <w:rPr>
          <w:rFonts w:hint="cs"/>
        </w:rPr>
        <w:t>‌</w:t>
      </w:r>
      <w:r>
        <w:t>T4‌</w:t>
      </w:r>
      <w:r>
        <w:rPr>
          <w:rFonts w:hint="eastAsia"/>
        </w:rPr>
        <w:t>：</w:t>
      </w:r>
      <w:r>
        <w:t>5:1</w:t>
      </w:r>
      <w:r>
        <w:rPr>
          <w:rFonts w:hint="eastAsia"/>
        </w:rPr>
        <w:t>（沙</w:t>
      </w:r>
      <w:r>
        <w:t xml:space="preserve">83% + </w:t>
      </w:r>
      <w:r>
        <w:rPr>
          <w:rFonts w:hint="eastAsia"/>
        </w:rPr>
        <w:t>种子</w:t>
      </w:r>
      <w:r>
        <w:t>17%</w:t>
      </w:r>
      <w:r>
        <w:rPr>
          <w:rFonts w:hint="eastAsia"/>
        </w:rPr>
        <w:t>）</w:t>
      </w:r>
    </w:p>
    <w:p w14:paraId="6EA6A230">
      <w:pPr>
        <w:ind w:firstLine="640"/>
      </w:pPr>
      <w:r>
        <w:rPr>
          <w:rFonts w:hint="cs"/>
        </w:rPr>
        <w:t>‌</w:t>
      </w:r>
      <w:r>
        <w:t>CK‌</w:t>
      </w:r>
      <w:r>
        <w:rPr>
          <w:rFonts w:hint="eastAsia"/>
        </w:rPr>
        <w:t>：无沙藏（纯种子贮藏作对照）</w:t>
      </w:r>
    </w:p>
    <w:p w14:paraId="09A9074C">
      <w:pPr>
        <w:ind w:firstLine="640"/>
      </w:pPr>
      <w:r>
        <w:rPr>
          <w:rFonts w:hint="cs"/>
        </w:rPr>
        <w:t>‌</w:t>
      </w:r>
      <w:r>
        <w:rPr>
          <w:rFonts w:hint="eastAsia"/>
        </w:rPr>
        <w:t>1.</w:t>
      </w:r>
      <w:r>
        <w:t>3</w:t>
      </w:r>
      <w:r>
        <w:rPr>
          <w:rFonts w:hint="eastAsia"/>
        </w:rPr>
        <w:t>操作流程</w:t>
      </w:r>
      <w:r>
        <w:rPr>
          <w:rFonts w:ascii="Courier New" w:hAnsi="Courier New" w:cs="Courier New"/>
        </w:rPr>
        <w:t>‌</w:t>
      </w:r>
    </w:p>
    <w:p w14:paraId="3489ABD4">
      <w:pPr>
        <w:ind w:firstLine="640"/>
      </w:pPr>
      <w:r>
        <w:rPr>
          <w:rFonts w:hint="cs"/>
        </w:rPr>
        <w:t>‌</w:t>
      </w:r>
      <w:r>
        <w:rPr>
          <w:rFonts w:hint="eastAsia"/>
        </w:rPr>
        <w:t>预处理</w:t>
      </w:r>
      <w:r>
        <w:rPr>
          <w:rFonts w:ascii="Courier New" w:hAnsi="Courier New" w:cs="Courier New"/>
        </w:rPr>
        <w:t>‌</w:t>
      </w:r>
      <w:r>
        <w:rPr>
          <w:rFonts w:hint="eastAsia" w:ascii="仿宋" w:hAnsi="仿宋" w:cs="仿宋"/>
        </w:rPr>
        <w:t>：种子浸泡于</w:t>
      </w:r>
      <w:r>
        <w:t>0.5%</w:t>
      </w:r>
      <w:r>
        <w:rPr>
          <w:rFonts w:hint="eastAsia"/>
        </w:rPr>
        <w:t>高锰酸钾溶液</w:t>
      </w:r>
      <w:r>
        <w:t>20 min</w:t>
      </w:r>
      <w:r>
        <w:rPr>
          <w:rFonts w:hint="eastAsia"/>
        </w:rPr>
        <w:t>消毒，清水冲洗。</w:t>
      </w:r>
    </w:p>
    <w:p w14:paraId="2091A6DB">
      <w:pPr>
        <w:ind w:firstLine="640"/>
      </w:pPr>
      <w:r>
        <w:rPr>
          <w:rFonts w:hint="cs"/>
        </w:rPr>
        <w:t>‌</w:t>
      </w:r>
      <w:r>
        <w:rPr>
          <w:rFonts w:hint="eastAsia"/>
        </w:rPr>
        <w:t>混合填充</w:t>
      </w:r>
      <w:r>
        <w:rPr>
          <w:rFonts w:ascii="Courier New" w:hAnsi="Courier New" w:cs="Courier New"/>
        </w:rPr>
        <w:t>‌</w:t>
      </w:r>
      <w:r>
        <w:rPr>
          <w:rFonts w:hint="eastAsia" w:ascii="仿宋" w:hAnsi="仿宋" w:cs="仿宋"/>
        </w:rPr>
        <w:t>：按比例将种子与湿沙（含水量</w:t>
      </w:r>
      <w:r>
        <w:t>60%</w:t>
      </w:r>
      <w:r>
        <w:rPr>
          <w:rFonts w:hint="eastAsia"/>
        </w:rPr>
        <w:t>）混合后装入容器，覆盖透气膜。</w:t>
      </w:r>
    </w:p>
    <w:p w14:paraId="0EBAD3F0">
      <w:pPr>
        <w:ind w:firstLine="640"/>
      </w:pPr>
      <w:r>
        <w:rPr>
          <w:rFonts w:hint="cs"/>
        </w:rPr>
        <w:t>‌</w:t>
      </w:r>
      <w:r>
        <w:rPr>
          <w:rFonts w:hint="eastAsia"/>
        </w:rPr>
        <w:t>环境控制</w:t>
      </w:r>
      <w:r>
        <w:rPr>
          <w:rFonts w:ascii="Courier New" w:hAnsi="Courier New" w:cs="Courier New"/>
        </w:rPr>
        <w:t>‌</w:t>
      </w:r>
      <w:r>
        <w:rPr>
          <w:rFonts w:hint="eastAsia" w:ascii="仿宋" w:hAnsi="仿宋" w:cs="仿宋"/>
        </w:rPr>
        <w:t>：置于恒温培养箱（</w:t>
      </w:r>
      <w:r>
        <w:t>4</w:t>
      </w:r>
      <w:r>
        <w:rPr>
          <w:rFonts w:hint="eastAsia"/>
        </w:rPr>
        <w:t>℃低温层积</w:t>
      </w:r>
      <w:r>
        <w:t>60</w:t>
      </w:r>
      <w:r>
        <w:rPr>
          <w:rFonts w:hint="eastAsia"/>
        </w:rPr>
        <w:t>天，后转</w:t>
      </w:r>
      <w:r>
        <w:t>15</w:t>
      </w:r>
      <w:r>
        <w:rPr>
          <w:rFonts w:hint="eastAsia"/>
        </w:rPr>
        <w:t>℃萌发环境）。</w:t>
      </w:r>
    </w:p>
    <w:p w14:paraId="7A88C683">
      <w:pPr>
        <w:ind w:firstLine="640"/>
      </w:pPr>
      <w:r>
        <w:rPr>
          <w:rFonts w:hint="cs"/>
        </w:rPr>
        <w:t>‌</w:t>
      </w:r>
      <w:r>
        <w:rPr>
          <w:rFonts w:hint="eastAsia"/>
        </w:rPr>
        <w:t>管理要点</w:t>
      </w:r>
      <w:r>
        <w:rPr>
          <w:rFonts w:ascii="Courier New" w:hAnsi="Courier New" w:cs="Courier New"/>
        </w:rPr>
        <w:t>‌</w:t>
      </w:r>
      <w:r>
        <w:rPr>
          <w:rFonts w:hint="eastAsia" w:ascii="仿宋" w:hAnsi="仿宋" w:cs="仿宋"/>
        </w:rPr>
        <w:t>：每</w:t>
      </w:r>
      <w:r>
        <w:t>10</w:t>
      </w:r>
      <w:r>
        <w:rPr>
          <w:rFonts w:hint="eastAsia"/>
        </w:rPr>
        <w:t>天检查湿度并补水，记录霉变种子</w:t>
      </w:r>
      <w:r>
        <w:rPr>
          <w:rFonts w:hint="eastAsia"/>
          <w:lang w:val="en-US" w:eastAsia="zh-CN"/>
        </w:rPr>
        <w:t>数量</w:t>
      </w:r>
      <w:r>
        <w:rPr>
          <w:rFonts w:hint="eastAsia"/>
        </w:rPr>
        <w:t>并剔除。</w:t>
      </w:r>
    </w:p>
    <w:p w14:paraId="2055DAA1">
      <w:pPr>
        <w:ind w:firstLine="640"/>
      </w:pPr>
      <w:r>
        <w:rPr>
          <w:rFonts w:hint="cs"/>
        </w:rPr>
        <w:t>‌</w:t>
      </w:r>
      <w:r>
        <w:rPr>
          <w:rFonts w:hint="eastAsia"/>
        </w:rPr>
        <w:t>1.</w:t>
      </w:r>
      <w:r>
        <w:t>4</w:t>
      </w:r>
      <w:r>
        <w:rPr>
          <w:rFonts w:hint="eastAsia"/>
        </w:rPr>
        <w:t>测定指标</w:t>
      </w:r>
      <w:r>
        <w:rPr>
          <w:rFonts w:ascii="Courier New" w:hAnsi="Courier New" w:cs="Courier New"/>
        </w:rPr>
        <w:t>‌</w:t>
      </w:r>
    </w:p>
    <w:p w14:paraId="18B12536">
      <w:pPr>
        <w:ind w:firstLine="640"/>
      </w:pPr>
      <w:r>
        <w:rPr>
          <w:rFonts w:hint="cs"/>
        </w:rPr>
        <w:t>‌</w:t>
      </w:r>
      <w:r>
        <w:rPr>
          <w:rFonts w:hint="eastAsia"/>
        </w:rPr>
        <w:t>发芽率（</w:t>
      </w:r>
      <w:r>
        <w:t>%</w:t>
      </w:r>
      <w:r>
        <w:rPr>
          <w:rFonts w:hint="eastAsia"/>
        </w:rPr>
        <w:t>）</w:t>
      </w:r>
      <w:r>
        <w:rPr>
          <w:rFonts w:ascii="Courier New" w:hAnsi="Courier New" w:cs="Courier New"/>
        </w:rPr>
        <w:t>‌</w:t>
      </w:r>
      <w:r>
        <w:rPr>
          <w:rFonts w:hint="eastAsia" w:ascii="仿宋" w:hAnsi="仿宋" w:cs="仿宋"/>
        </w:rPr>
        <w:t>：第</w:t>
      </w:r>
      <w:r>
        <w:t>90</w:t>
      </w:r>
      <w:r>
        <w:rPr>
          <w:rFonts w:hint="eastAsia"/>
        </w:rPr>
        <w:t>天累计发芽种子数</w:t>
      </w:r>
      <w:r>
        <w:t>/</w:t>
      </w:r>
      <w:r>
        <w:rPr>
          <w:rFonts w:hint="eastAsia"/>
        </w:rPr>
        <w:t>供试种子数×</w:t>
      </w:r>
      <w:r>
        <w:t>100%</w:t>
      </w:r>
    </w:p>
    <w:p w14:paraId="5EED5079">
      <w:pPr>
        <w:ind w:firstLine="640"/>
      </w:pPr>
      <w:r>
        <w:rPr>
          <w:rFonts w:hint="cs"/>
        </w:rPr>
        <w:t>‌</w:t>
      </w:r>
      <w:r>
        <w:rPr>
          <w:rFonts w:hint="eastAsia"/>
        </w:rPr>
        <w:t>发芽势（</w:t>
      </w:r>
      <w:r>
        <w:t>%</w:t>
      </w:r>
      <w:r>
        <w:rPr>
          <w:rFonts w:hint="eastAsia"/>
        </w:rPr>
        <w:t>）</w:t>
      </w:r>
      <w:r>
        <w:rPr>
          <w:rFonts w:ascii="Courier New" w:hAnsi="Courier New" w:cs="Courier New"/>
        </w:rPr>
        <w:t>‌</w:t>
      </w:r>
      <w:r>
        <w:rPr>
          <w:rFonts w:hint="eastAsia" w:ascii="仿宋" w:hAnsi="仿宋" w:cs="仿宋"/>
        </w:rPr>
        <w:t>：第</w:t>
      </w:r>
      <w:r>
        <w:t>30</w:t>
      </w:r>
      <w:r>
        <w:rPr>
          <w:rFonts w:hint="eastAsia"/>
        </w:rPr>
        <w:t>天内发芽种子数</w:t>
      </w:r>
      <w:r>
        <w:t>/</w:t>
      </w:r>
      <w:r>
        <w:rPr>
          <w:rFonts w:hint="eastAsia"/>
        </w:rPr>
        <w:t>供试种子数×</w:t>
      </w:r>
      <w:r>
        <w:t>100%</w:t>
      </w:r>
      <w:r>
        <w:rPr>
          <w:rFonts w:hint="eastAsia"/>
        </w:rPr>
        <w:t>（反映发芽整齐度）</w:t>
      </w:r>
    </w:p>
    <w:p w14:paraId="51351337">
      <w:pPr>
        <w:ind w:firstLine="640"/>
      </w:pPr>
      <w:r>
        <w:rPr>
          <w:rFonts w:hint="cs"/>
        </w:rPr>
        <w:t>‌</w:t>
      </w:r>
      <w:r>
        <w:rPr>
          <w:rFonts w:hint="eastAsia"/>
        </w:rPr>
        <w:t>发芽指数（</w:t>
      </w:r>
      <w:r>
        <w:t>GI</w:t>
      </w:r>
      <w:r>
        <w:rPr>
          <w:rFonts w:hint="eastAsia"/>
        </w:rPr>
        <w:t>）</w:t>
      </w:r>
      <w:r>
        <w:rPr>
          <w:rFonts w:ascii="Courier New" w:hAnsi="Courier New" w:cs="Courier New"/>
        </w:rPr>
        <w:t>‌</w:t>
      </w:r>
      <w:r>
        <w:rPr>
          <w:rFonts w:hint="eastAsia" w:ascii="仿宋" w:hAnsi="仿宋" w:cs="仿宋"/>
        </w:rPr>
        <w:t>：</w:t>
      </w:r>
      <w:r>
        <w:t>GI=</w:t>
      </w:r>
      <w:r>
        <w:rPr>
          <w:rFonts w:hint="eastAsia"/>
        </w:rPr>
        <w:t>∑</w:t>
      </w:r>
      <w:r>
        <w:t>(Gt/Dt)</w:t>
      </w:r>
      <w:r>
        <w:rPr>
          <w:rFonts w:hint="eastAsia"/>
        </w:rPr>
        <w:t>，</w:t>
      </w:r>
      <w:r>
        <w:t>Gt</w:t>
      </w:r>
      <w:r>
        <w:rPr>
          <w:rFonts w:hint="eastAsia"/>
        </w:rPr>
        <w:t>为第</w:t>
      </w:r>
      <w:r>
        <w:t>t</w:t>
      </w:r>
      <w:r>
        <w:rPr>
          <w:rFonts w:hint="eastAsia"/>
        </w:rPr>
        <w:t>日发芽数，</w:t>
      </w:r>
      <w:r>
        <w:t>Dt</w:t>
      </w:r>
      <w:r>
        <w:rPr>
          <w:rFonts w:hint="eastAsia"/>
        </w:rPr>
        <w:t>为相应天数</w:t>
      </w:r>
    </w:p>
    <w:p w14:paraId="7C2EF5F9">
      <w:pPr>
        <w:ind w:firstLine="640"/>
      </w:pPr>
      <w:r>
        <w:rPr>
          <w:rFonts w:hint="cs"/>
        </w:rPr>
        <w:t>‌</w:t>
      </w:r>
      <w:r>
        <w:rPr>
          <w:rFonts w:hint="eastAsia"/>
        </w:rPr>
        <w:t>霉变率（</w:t>
      </w:r>
      <w:r>
        <w:t>%</w:t>
      </w:r>
      <w:r>
        <w:rPr>
          <w:rFonts w:hint="eastAsia"/>
        </w:rPr>
        <w:t>）</w:t>
      </w:r>
      <w:r>
        <w:rPr>
          <w:rFonts w:ascii="Courier New" w:hAnsi="Courier New" w:cs="Courier New"/>
        </w:rPr>
        <w:t>‌</w:t>
      </w:r>
      <w:r>
        <w:rPr>
          <w:rFonts w:hint="eastAsia" w:ascii="仿宋" w:hAnsi="仿宋" w:cs="仿宋"/>
        </w:rPr>
        <w:t>：霉变种子数</w:t>
      </w:r>
      <w:r>
        <w:t>/</w:t>
      </w:r>
      <w:r>
        <w:rPr>
          <w:rFonts w:hint="eastAsia"/>
        </w:rPr>
        <w:t>总种子数×</w:t>
      </w:r>
      <w:r>
        <w:t>100%</w:t>
      </w:r>
    </w:p>
    <w:p w14:paraId="309F5F39">
      <w:pPr>
        <w:ind w:firstLine="640"/>
      </w:pPr>
      <w:r>
        <w:rPr>
          <w:rFonts w:hint="cs"/>
        </w:rPr>
        <w:t>‌</w:t>
      </w:r>
      <w:r>
        <w:rPr>
          <w:rFonts w:hint="eastAsia"/>
        </w:rPr>
        <w:t>胚根长及胚芽长</w:t>
      </w:r>
      <w:r>
        <w:rPr>
          <w:rFonts w:ascii="Courier New" w:hAnsi="Courier New" w:cs="Courier New"/>
        </w:rPr>
        <w:t>‌</w:t>
      </w:r>
      <w:r>
        <w:rPr>
          <w:rFonts w:hint="eastAsia" w:ascii="仿宋" w:hAnsi="仿宋" w:cs="仿宋"/>
        </w:rPr>
        <w:t>（随机选取</w:t>
      </w:r>
      <w:r>
        <w:t>20</w:t>
      </w:r>
      <w:r>
        <w:rPr>
          <w:rFonts w:hint="eastAsia"/>
        </w:rPr>
        <w:t>株测量均值）</w:t>
      </w:r>
    </w:p>
    <w:p w14:paraId="6D14DAA8">
      <w:pPr>
        <w:ind w:firstLine="640"/>
        <w:rPr>
          <w:rFonts w:hint="eastAsia" w:ascii="黑体" w:hAnsi="黑体" w:eastAsia="黑体"/>
        </w:rPr>
      </w:pPr>
      <w:r>
        <w:rPr>
          <w:rFonts w:hint="eastAsia"/>
        </w:rPr>
        <w:t>1.5试验结果</w:t>
      </w:r>
    </w:p>
    <w:p w14:paraId="54154DC6">
      <w:pPr>
        <w:ind w:firstLine="0" w:firstLineChars="0"/>
        <w:jc w:val="center"/>
        <w:rPr>
          <w:rFonts w:hint="eastAsia" w:ascii="黑体" w:hAnsi="黑体" w:eastAsia="黑体"/>
          <w:sz w:val="24"/>
          <w:szCs w:val="20"/>
        </w:rPr>
      </w:pPr>
      <w:r>
        <w:rPr>
          <w:rFonts w:hint="eastAsia" w:ascii="黑体" w:hAnsi="黑体" w:eastAsia="黑体"/>
          <w:sz w:val="24"/>
          <w:szCs w:val="20"/>
        </w:rPr>
        <w:t>表1 种子沙藏试验结果数据</w:t>
      </w:r>
    </w:p>
    <w:tbl>
      <w:tblPr>
        <w:tblStyle w:val="18"/>
        <w:tblW w:w="8417" w:type="dxa"/>
        <w:tblInd w:w="0" w:type="dxa"/>
        <w:tblLayout w:type="autofit"/>
        <w:tblCellMar>
          <w:top w:w="0" w:type="dxa"/>
          <w:left w:w="108" w:type="dxa"/>
          <w:bottom w:w="0" w:type="dxa"/>
          <w:right w:w="108" w:type="dxa"/>
        </w:tblCellMar>
      </w:tblPr>
      <w:tblGrid>
        <w:gridCol w:w="865"/>
        <w:gridCol w:w="1454"/>
        <w:gridCol w:w="1458"/>
        <w:gridCol w:w="1436"/>
        <w:gridCol w:w="1658"/>
        <w:gridCol w:w="1546"/>
      </w:tblGrid>
      <w:tr w14:paraId="3A4605C0">
        <w:tblPrEx>
          <w:tblCellMar>
            <w:top w:w="0" w:type="dxa"/>
            <w:left w:w="108" w:type="dxa"/>
            <w:bottom w:w="0" w:type="dxa"/>
            <w:right w:w="108" w:type="dxa"/>
          </w:tblCellMar>
        </w:tblPrEx>
        <w:trPr>
          <w:trHeight w:val="502" w:hRule="atLeast"/>
        </w:trPr>
        <w:tc>
          <w:tcPr>
            <w:tcW w:w="865" w:type="dxa"/>
            <w:tcBorders>
              <w:top w:val="single" w:color="auto" w:sz="4" w:space="0"/>
              <w:left w:val="single" w:color="auto" w:sz="4" w:space="0"/>
              <w:bottom w:val="single" w:color="auto" w:sz="4" w:space="0"/>
              <w:right w:val="single" w:color="auto" w:sz="4" w:space="0"/>
            </w:tcBorders>
            <w:shd w:val="clear" w:color="auto" w:fill="auto"/>
            <w:vAlign w:val="center"/>
          </w:tcPr>
          <w:p w14:paraId="505590C0">
            <w:pPr>
              <w:ind w:firstLine="0" w:firstLineChars="0"/>
              <w:jc w:val="center"/>
              <w:rPr>
                <w:rFonts w:eastAsia="宋体"/>
                <w:sz w:val="20"/>
                <w:szCs w:val="20"/>
              </w:rPr>
            </w:pPr>
            <w:r>
              <w:rPr>
                <w:rFonts w:eastAsia="宋体"/>
                <w:sz w:val="20"/>
                <w:szCs w:val="20"/>
              </w:rPr>
              <w:t>处理组‌</w:t>
            </w:r>
          </w:p>
        </w:tc>
        <w:tc>
          <w:tcPr>
            <w:tcW w:w="1454" w:type="dxa"/>
            <w:tcBorders>
              <w:top w:val="single" w:color="auto" w:sz="4" w:space="0"/>
              <w:left w:val="nil"/>
              <w:bottom w:val="single" w:color="auto" w:sz="4" w:space="0"/>
              <w:right w:val="single" w:color="auto" w:sz="4" w:space="0"/>
            </w:tcBorders>
            <w:shd w:val="clear" w:color="auto" w:fill="auto"/>
            <w:vAlign w:val="center"/>
          </w:tcPr>
          <w:p w14:paraId="7D9EFE32">
            <w:pPr>
              <w:ind w:firstLine="0" w:firstLineChars="0"/>
              <w:jc w:val="center"/>
              <w:rPr>
                <w:rFonts w:eastAsia="宋体"/>
                <w:sz w:val="20"/>
                <w:szCs w:val="20"/>
              </w:rPr>
            </w:pPr>
            <w:r>
              <w:rPr>
                <w:rFonts w:eastAsia="宋体"/>
                <w:sz w:val="20"/>
                <w:szCs w:val="20"/>
              </w:rPr>
              <w:t>‌发芽率（%）‌</w:t>
            </w:r>
          </w:p>
        </w:tc>
        <w:tc>
          <w:tcPr>
            <w:tcW w:w="1458" w:type="dxa"/>
            <w:tcBorders>
              <w:top w:val="single" w:color="auto" w:sz="4" w:space="0"/>
              <w:left w:val="nil"/>
              <w:bottom w:val="single" w:color="auto" w:sz="4" w:space="0"/>
              <w:right w:val="single" w:color="auto" w:sz="4" w:space="0"/>
            </w:tcBorders>
            <w:shd w:val="clear" w:color="auto" w:fill="auto"/>
            <w:vAlign w:val="center"/>
          </w:tcPr>
          <w:p w14:paraId="578ACC4F">
            <w:pPr>
              <w:ind w:firstLine="0" w:firstLineChars="0"/>
              <w:jc w:val="center"/>
              <w:rPr>
                <w:rFonts w:eastAsia="宋体"/>
                <w:sz w:val="20"/>
                <w:szCs w:val="20"/>
              </w:rPr>
            </w:pPr>
            <w:r>
              <w:rPr>
                <w:rFonts w:eastAsia="宋体"/>
                <w:sz w:val="20"/>
                <w:szCs w:val="20"/>
              </w:rPr>
              <w:t>‌发芽指数‌</w:t>
            </w:r>
          </w:p>
        </w:tc>
        <w:tc>
          <w:tcPr>
            <w:tcW w:w="1436" w:type="dxa"/>
            <w:tcBorders>
              <w:top w:val="single" w:color="auto" w:sz="4" w:space="0"/>
              <w:left w:val="nil"/>
              <w:bottom w:val="single" w:color="auto" w:sz="4" w:space="0"/>
              <w:right w:val="single" w:color="auto" w:sz="4" w:space="0"/>
            </w:tcBorders>
            <w:shd w:val="clear" w:color="auto" w:fill="auto"/>
            <w:vAlign w:val="center"/>
          </w:tcPr>
          <w:p w14:paraId="02CCCE31">
            <w:pPr>
              <w:ind w:firstLine="0" w:firstLineChars="0"/>
              <w:jc w:val="center"/>
              <w:rPr>
                <w:rFonts w:eastAsia="宋体"/>
                <w:sz w:val="20"/>
                <w:szCs w:val="20"/>
              </w:rPr>
            </w:pPr>
            <w:r>
              <w:rPr>
                <w:rFonts w:eastAsia="宋体"/>
                <w:sz w:val="20"/>
                <w:szCs w:val="20"/>
              </w:rPr>
              <w:t>‌霉变率（%）‌</w:t>
            </w:r>
          </w:p>
        </w:tc>
        <w:tc>
          <w:tcPr>
            <w:tcW w:w="1658" w:type="dxa"/>
            <w:tcBorders>
              <w:top w:val="single" w:color="auto" w:sz="4" w:space="0"/>
              <w:left w:val="nil"/>
              <w:bottom w:val="single" w:color="auto" w:sz="4" w:space="0"/>
              <w:right w:val="single" w:color="auto" w:sz="4" w:space="0"/>
            </w:tcBorders>
            <w:shd w:val="clear" w:color="auto" w:fill="auto"/>
            <w:vAlign w:val="center"/>
          </w:tcPr>
          <w:p w14:paraId="060ED8F7">
            <w:pPr>
              <w:ind w:firstLine="0" w:firstLineChars="0"/>
              <w:jc w:val="center"/>
              <w:rPr>
                <w:rFonts w:eastAsia="宋体"/>
                <w:sz w:val="20"/>
                <w:szCs w:val="20"/>
              </w:rPr>
            </w:pPr>
            <w:r>
              <w:rPr>
                <w:rFonts w:eastAsia="宋体"/>
                <w:sz w:val="20"/>
                <w:szCs w:val="20"/>
              </w:rPr>
              <w:t>‌胚根长（cm）‌</w:t>
            </w:r>
          </w:p>
        </w:tc>
        <w:tc>
          <w:tcPr>
            <w:tcW w:w="1546" w:type="dxa"/>
            <w:tcBorders>
              <w:top w:val="single" w:color="auto" w:sz="4" w:space="0"/>
              <w:left w:val="nil"/>
              <w:bottom w:val="single" w:color="auto" w:sz="4" w:space="0"/>
              <w:right w:val="single" w:color="auto" w:sz="4" w:space="0"/>
            </w:tcBorders>
            <w:shd w:val="clear" w:color="auto" w:fill="auto"/>
            <w:vAlign w:val="center"/>
          </w:tcPr>
          <w:p w14:paraId="02A620D4">
            <w:pPr>
              <w:ind w:firstLine="0" w:firstLineChars="0"/>
              <w:jc w:val="center"/>
              <w:rPr>
                <w:rFonts w:eastAsia="宋体"/>
                <w:sz w:val="20"/>
                <w:szCs w:val="20"/>
              </w:rPr>
            </w:pPr>
            <w:r>
              <w:rPr>
                <w:rFonts w:eastAsia="宋体"/>
                <w:sz w:val="20"/>
                <w:szCs w:val="20"/>
              </w:rPr>
              <w:t>‌胚芽长（cm）‌</w:t>
            </w:r>
          </w:p>
        </w:tc>
      </w:tr>
      <w:tr w14:paraId="654301BB">
        <w:tblPrEx>
          <w:tblCellMar>
            <w:top w:w="0" w:type="dxa"/>
            <w:left w:w="108" w:type="dxa"/>
            <w:bottom w:w="0" w:type="dxa"/>
            <w:right w:w="108" w:type="dxa"/>
          </w:tblCellMar>
        </w:tblPrEx>
        <w:trPr>
          <w:trHeight w:val="502" w:hRule="atLeast"/>
        </w:trPr>
        <w:tc>
          <w:tcPr>
            <w:tcW w:w="865" w:type="dxa"/>
            <w:tcBorders>
              <w:top w:val="nil"/>
              <w:left w:val="single" w:color="auto" w:sz="4" w:space="0"/>
              <w:bottom w:val="single" w:color="auto" w:sz="4" w:space="0"/>
              <w:right w:val="single" w:color="auto" w:sz="4" w:space="0"/>
            </w:tcBorders>
            <w:shd w:val="clear" w:color="auto" w:fill="auto"/>
            <w:vAlign w:val="center"/>
          </w:tcPr>
          <w:p w14:paraId="2B576FCC">
            <w:pPr>
              <w:ind w:firstLine="0" w:firstLineChars="0"/>
              <w:jc w:val="center"/>
              <w:rPr>
                <w:rFonts w:eastAsia="宋体"/>
                <w:sz w:val="20"/>
                <w:szCs w:val="20"/>
              </w:rPr>
            </w:pPr>
            <w:r>
              <w:rPr>
                <w:rFonts w:eastAsia="宋体"/>
                <w:sz w:val="20"/>
                <w:szCs w:val="20"/>
              </w:rPr>
              <w:t>‌CK‌</w:t>
            </w:r>
          </w:p>
        </w:tc>
        <w:tc>
          <w:tcPr>
            <w:tcW w:w="1454" w:type="dxa"/>
            <w:tcBorders>
              <w:top w:val="nil"/>
              <w:left w:val="nil"/>
              <w:bottom w:val="single" w:color="auto" w:sz="4" w:space="0"/>
              <w:right w:val="single" w:color="auto" w:sz="4" w:space="0"/>
            </w:tcBorders>
            <w:shd w:val="clear" w:color="auto" w:fill="auto"/>
            <w:vAlign w:val="center"/>
          </w:tcPr>
          <w:p w14:paraId="5468AEEA">
            <w:pPr>
              <w:ind w:firstLine="0" w:firstLineChars="0"/>
              <w:jc w:val="center"/>
              <w:rPr>
                <w:rFonts w:eastAsia="宋体"/>
                <w:sz w:val="20"/>
                <w:szCs w:val="20"/>
              </w:rPr>
            </w:pPr>
            <w:r>
              <w:rPr>
                <w:rFonts w:eastAsia="宋体"/>
                <w:sz w:val="20"/>
                <w:szCs w:val="20"/>
              </w:rPr>
              <w:t>18.2 ± 3.5</w:t>
            </w:r>
          </w:p>
        </w:tc>
        <w:tc>
          <w:tcPr>
            <w:tcW w:w="1458" w:type="dxa"/>
            <w:tcBorders>
              <w:top w:val="nil"/>
              <w:left w:val="nil"/>
              <w:bottom w:val="single" w:color="auto" w:sz="4" w:space="0"/>
              <w:right w:val="single" w:color="auto" w:sz="4" w:space="0"/>
            </w:tcBorders>
            <w:shd w:val="clear" w:color="auto" w:fill="auto"/>
            <w:vAlign w:val="center"/>
          </w:tcPr>
          <w:p w14:paraId="4F0B1DA0">
            <w:pPr>
              <w:ind w:firstLine="0" w:firstLineChars="0"/>
              <w:jc w:val="center"/>
              <w:rPr>
                <w:rFonts w:eastAsia="宋体"/>
                <w:sz w:val="20"/>
                <w:szCs w:val="20"/>
              </w:rPr>
            </w:pPr>
            <w:r>
              <w:rPr>
                <w:rFonts w:eastAsia="宋体"/>
                <w:sz w:val="20"/>
                <w:szCs w:val="20"/>
              </w:rPr>
              <w:t>2.4 ± 0.6</w:t>
            </w:r>
          </w:p>
        </w:tc>
        <w:tc>
          <w:tcPr>
            <w:tcW w:w="1436" w:type="dxa"/>
            <w:tcBorders>
              <w:top w:val="nil"/>
              <w:left w:val="nil"/>
              <w:bottom w:val="single" w:color="auto" w:sz="4" w:space="0"/>
              <w:right w:val="single" w:color="auto" w:sz="4" w:space="0"/>
            </w:tcBorders>
            <w:shd w:val="clear" w:color="auto" w:fill="auto"/>
            <w:vAlign w:val="center"/>
          </w:tcPr>
          <w:p w14:paraId="787C5C10">
            <w:pPr>
              <w:ind w:firstLine="0" w:firstLineChars="0"/>
              <w:jc w:val="center"/>
              <w:rPr>
                <w:rFonts w:eastAsia="宋体"/>
                <w:sz w:val="20"/>
                <w:szCs w:val="20"/>
              </w:rPr>
            </w:pPr>
            <w:r>
              <w:rPr>
                <w:rFonts w:eastAsia="宋体"/>
                <w:sz w:val="20"/>
                <w:szCs w:val="20"/>
              </w:rPr>
              <w:t>32.6 ± 5.2</w:t>
            </w:r>
          </w:p>
        </w:tc>
        <w:tc>
          <w:tcPr>
            <w:tcW w:w="1658" w:type="dxa"/>
            <w:tcBorders>
              <w:top w:val="nil"/>
              <w:left w:val="nil"/>
              <w:bottom w:val="single" w:color="auto" w:sz="4" w:space="0"/>
              <w:right w:val="single" w:color="auto" w:sz="4" w:space="0"/>
            </w:tcBorders>
            <w:shd w:val="clear" w:color="auto" w:fill="auto"/>
            <w:vAlign w:val="center"/>
          </w:tcPr>
          <w:p w14:paraId="55E4C2F4">
            <w:pPr>
              <w:ind w:firstLine="0" w:firstLineChars="0"/>
              <w:jc w:val="center"/>
              <w:rPr>
                <w:rFonts w:eastAsia="宋体"/>
                <w:sz w:val="20"/>
                <w:szCs w:val="20"/>
              </w:rPr>
            </w:pPr>
            <w:r>
              <w:rPr>
                <w:rFonts w:eastAsia="宋体"/>
                <w:sz w:val="20"/>
                <w:szCs w:val="20"/>
              </w:rPr>
              <w:t>1.3 ± 0.4</w:t>
            </w:r>
          </w:p>
        </w:tc>
        <w:tc>
          <w:tcPr>
            <w:tcW w:w="1546" w:type="dxa"/>
            <w:tcBorders>
              <w:top w:val="nil"/>
              <w:left w:val="nil"/>
              <w:bottom w:val="single" w:color="auto" w:sz="4" w:space="0"/>
              <w:right w:val="single" w:color="auto" w:sz="4" w:space="0"/>
            </w:tcBorders>
            <w:shd w:val="clear" w:color="auto" w:fill="auto"/>
            <w:vAlign w:val="center"/>
          </w:tcPr>
          <w:p w14:paraId="4417EF45">
            <w:pPr>
              <w:ind w:firstLine="0" w:firstLineChars="0"/>
              <w:jc w:val="center"/>
              <w:rPr>
                <w:rFonts w:eastAsia="宋体"/>
                <w:sz w:val="20"/>
                <w:szCs w:val="20"/>
              </w:rPr>
            </w:pPr>
            <w:r>
              <w:rPr>
                <w:rFonts w:eastAsia="宋体"/>
                <w:sz w:val="20"/>
                <w:szCs w:val="20"/>
              </w:rPr>
              <w:t>0.8 ± 0.3</w:t>
            </w:r>
          </w:p>
        </w:tc>
      </w:tr>
      <w:tr w14:paraId="71DD80AA">
        <w:tblPrEx>
          <w:tblCellMar>
            <w:top w:w="0" w:type="dxa"/>
            <w:left w:w="108" w:type="dxa"/>
            <w:bottom w:w="0" w:type="dxa"/>
            <w:right w:w="108" w:type="dxa"/>
          </w:tblCellMar>
        </w:tblPrEx>
        <w:trPr>
          <w:trHeight w:val="502" w:hRule="atLeast"/>
        </w:trPr>
        <w:tc>
          <w:tcPr>
            <w:tcW w:w="865" w:type="dxa"/>
            <w:tcBorders>
              <w:top w:val="nil"/>
              <w:left w:val="single" w:color="auto" w:sz="4" w:space="0"/>
              <w:bottom w:val="single" w:color="auto" w:sz="4" w:space="0"/>
              <w:right w:val="single" w:color="auto" w:sz="4" w:space="0"/>
            </w:tcBorders>
            <w:shd w:val="clear" w:color="auto" w:fill="auto"/>
            <w:vAlign w:val="center"/>
          </w:tcPr>
          <w:p w14:paraId="56A650B4">
            <w:pPr>
              <w:ind w:firstLine="0" w:firstLineChars="0"/>
              <w:jc w:val="center"/>
              <w:rPr>
                <w:rFonts w:eastAsia="宋体"/>
                <w:sz w:val="20"/>
                <w:szCs w:val="20"/>
              </w:rPr>
            </w:pPr>
            <w:r>
              <w:rPr>
                <w:rFonts w:eastAsia="宋体"/>
                <w:sz w:val="20"/>
                <w:szCs w:val="20"/>
              </w:rPr>
              <w:t>‌T1‌</w:t>
            </w:r>
          </w:p>
        </w:tc>
        <w:tc>
          <w:tcPr>
            <w:tcW w:w="1454" w:type="dxa"/>
            <w:tcBorders>
              <w:top w:val="nil"/>
              <w:left w:val="nil"/>
              <w:bottom w:val="single" w:color="auto" w:sz="4" w:space="0"/>
              <w:right w:val="single" w:color="auto" w:sz="4" w:space="0"/>
            </w:tcBorders>
            <w:shd w:val="clear" w:color="auto" w:fill="auto"/>
            <w:vAlign w:val="center"/>
          </w:tcPr>
          <w:p w14:paraId="4572E733">
            <w:pPr>
              <w:ind w:firstLine="0" w:firstLineChars="0"/>
              <w:jc w:val="center"/>
              <w:rPr>
                <w:rFonts w:eastAsia="宋体"/>
                <w:sz w:val="20"/>
                <w:szCs w:val="20"/>
              </w:rPr>
            </w:pPr>
            <w:r>
              <w:rPr>
                <w:rFonts w:eastAsia="宋体"/>
                <w:sz w:val="20"/>
                <w:szCs w:val="20"/>
              </w:rPr>
              <w:t>42.7 ± 4.8</w:t>
            </w:r>
          </w:p>
        </w:tc>
        <w:tc>
          <w:tcPr>
            <w:tcW w:w="1458" w:type="dxa"/>
            <w:tcBorders>
              <w:top w:val="nil"/>
              <w:left w:val="nil"/>
              <w:bottom w:val="single" w:color="auto" w:sz="4" w:space="0"/>
              <w:right w:val="single" w:color="auto" w:sz="4" w:space="0"/>
            </w:tcBorders>
            <w:shd w:val="clear" w:color="auto" w:fill="auto"/>
            <w:vAlign w:val="center"/>
          </w:tcPr>
          <w:p w14:paraId="641C7940">
            <w:pPr>
              <w:ind w:firstLine="0" w:firstLineChars="0"/>
              <w:jc w:val="center"/>
              <w:rPr>
                <w:rFonts w:eastAsia="宋体"/>
                <w:sz w:val="20"/>
                <w:szCs w:val="20"/>
              </w:rPr>
            </w:pPr>
            <w:r>
              <w:rPr>
                <w:rFonts w:eastAsia="宋体"/>
                <w:sz w:val="20"/>
                <w:szCs w:val="20"/>
              </w:rPr>
              <w:t>7.8 ± 1.2</w:t>
            </w:r>
          </w:p>
        </w:tc>
        <w:tc>
          <w:tcPr>
            <w:tcW w:w="1436" w:type="dxa"/>
            <w:tcBorders>
              <w:top w:val="nil"/>
              <w:left w:val="nil"/>
              <w:bottom w:val="single" w:color="auto" w:sz="4" w:space="0"/>
              <w:right w:val="single" w:color="auto" w:sz="4" w:space="0"/>
            </w:tcBorders>
            <w:shd w:val="clear" w:color="auto" w:fill="auto"/>
            <w:vAlign w:val="center"/>
          </w:tcPr>
          <w:p w14:paraId="33647167">
            <w:pPr>
              <w:ind w:firstLine="0" w:firstLineChars="0"/>
              <w:jc w:val="center"/>
              <w:rPr>
                <w:rFonts w:eastAsia="宋体"/>
                <w:sz w:val="20"/>
                <w:szCs w:val="20"/>
              </w:rPr>
            </w:pPr>
            <w:r>
              <w:rPr>
                <w:rFonts w:eastAsia="宋体"/>
                <w:sz w:val="20"/>
                <w:szCs w:val="20"/>
              </w:rPr>
              <w:t>15.4 ± 3.1</w:t>
            </w:r>
          </w:p>
        </w:tc>
        <w:tc>
          <w:tcPr>
            <w:tcW w:w="1658" w:type="dxa"/>
            <w:tcBorders>
              <w:top w:val="nil"/>
              <w:left w:val="nil"/>
              <w:bottom w:val="single" w:color="auto" w:sz="4" w:space="0"/>
              <w:right w:val="single" w:color="auto" w:sz="4" w:space="0"/>
            </w:tcBorders>
            <w:shd w:val="clear" w:color="auto" w:fill="auto"/>
            <w:vAlign w:val="center"/>
          </w:tcPr>
          <w:p w14:paraId="2F5F5E80">
            <w:pPr>
              <w:ind w:firstLine="0" w:firstLineChars="0"/>
              <w:jc w:val="center"/>
              <w:rPr>
                <w:rFonts w:eastAsia="宋体"/>
                <w:sz w:val="20"/>
                <w:szCs w:val="20"/>
              </w:rPr>
            </w:pPr>
            <w:r>
              <w:rPr>
                <w:rFonts w:eastAsia="宋体"/>
                <w:sz w:val="20"/>
                <w:szCs w:val="20"/>
              </w:rPr>
              <w:t>2.8 ± 0.5</w:t>
            </w:r>
          </w:p>
        </w:tc>
        <w:tc>
          <w:tcPr>
            <w:tcW w:w="1546" w:type="dxa"/>
            <w:tcBorders>
              <w:top w:val="nil"/>
              <w:left w:val="nil"/>
              <w:bottom w:val="single" w:color="auto" w:sz="4" w:space="0"/>
              <w:right w:val="single" w:color="auto" w:sz="4" w:space="0"/>
            </w:tcBorders>
            <w:shd w:val="clear" w:color="auto" w:fill="auto"/>
            <w:vAlign w:val="center"/>
          </w:tcPr>
          <w:p w14:paraId="78B9256B">
            <w:pPr>
              <w:ind w:firstLine="0" w:firstLineChars="0"/>
              <w:jc w:val="center"/>
              <w:rPr>
                <w:rFonts w:eastAsia="宋体"/>
                <w:sz w:val="20"/>
                <w:szCs w:val="20"/>
              </w:rPr>
            </w:pPr>
            <w:r>
              <w:rPr>
                <w:rFonts w:eastAsia="宋体"/>
                <w:sz w:val="20"/>
                <w:szCs w:val="20"/>
              </w:rPr>
              <w:t>1.5 ± 0.4</w:t>
            </w:r>
          </w:p>
        </w:tc>
      </w:tr>
      <w:tr w14:paraId="2F258243">
        <w:tblPrEx>
          <w:tblCellMar>
            <w:top w:w="0" w:type="dxa"/>
            <w:left w:w="108" w:type="dxa"/>
            <w:bottom w:w="0" w:type="dxa"/>
            <w:right w:w="108" w:type="dxa"/>
          </w:tblCellMar>
        </w:tblPrEx>
        <w:trPr>
          <w:trHeight w:val="502" w:hRule="atLeast"/>
        </w:trPr>
        <w:tc>
          <w:tcPr>
            <w:tcW w:w="865" w:type="dxa"/>
            <w:tcBorders>
              <w:top w:val="nil"/>
              <w:left w:val="single" w:color="auto" w:sz="4" w:space="0"/>
              <w:bottom w:val="single" w:color="auto" w:sz="4" w:space="0"/>
              <w:right w:val="single" w:color="auto" w:sz="4" w:space="0"/>
            </w:tcBorders>
            <w:shd w:val="clear" w:color="auto" w:fill="auto"/>
            <w:vAlign w:val="center"/>
          </w:tcPr>
          <w:p w14:paraId="599DF144">
            <w:pPr>
              <w:ind w:firstLine="0" w:firstLineChars="0"/>
              <w:jc w:val="center"/>
              <w:rPr>
                <w:rFonts w:eastAsia="宋体"/>
                <w:sz w:val="20"/>
                <w:szCs w:val="20"/>
              </w:rPr>
            </w:pPr>
            <w:r>
              <w:rPr>
                <w:rFonts w:eastAsia="宋体"/>
                <w:sz w:val="20"/>
                <w:szCs w:val="20"/>
              </w:rPr>
              <w:t>‌T2‌</w:t>
            </w:r>
          </w:p>
        </w:tc>
        <w:tc>
          <w:tcPr>
            <w:tcW w:w="1454" w:type="dxa"/>
            <w:tcBorders>
              <w:top w:val="nil"/>
              <w:left w:val="nil"/>
              <w:bottom w:val="single" w:color="auto" w:sz="4" w:space="0"/>
              <w:right w:val="single" w:color="auto" w:sz="4" w:space="0"/>
            </w:tcBorders>
            <w:shd w:val="clear" w:color="auto" w:fill="auto"/>
            <w:vAlign w:val="center"/>
          </w:tcPr>
          <w:p w14:paraId="1B3DB31E">
            <w:pPr>
              <w:ind w:firstLine="0" w:firstLineChars="0"/>
              <w:jc w:val="center"/>
              <w:rPr>
                <w:rFonts w:eastAsia="宋体"/>
                <w:sz w:val="20"/>
                <w:szCs w:val="20"/>
              </w:rPr>
            </w:pPr>
            <w:r>
              <w:rPr>
                <w:rFonts w:eastAsia="宋体"/>
                <w:sz w:val="20"/>
                <w:szCs w:val="20"/>
              </w:rPr>
              <w:t>68.3 ± 5.2*</w:t>
            </w:r>
          </w:p>
        </w:tc>
        <w:tc>
          <w:tcPr>
            <w:tcW w:w="1458" w:type="dxa"/>
            <w:tcBorders>
              <w:top w:val="nil"/>
              <w:left w:val="nil"/>
              <w:bottom w:val="single" w:color="auto" w:sz="4" w:space="0"/>
              <w:right w:val="single" w:color="auto" w:sz="4" w:space="0"/>
            </w:tcBorders>
            <w:shd w:val="clear" w:color="auto" w:fill="auto"/>
            <w:vAlign w:val="center"/>
          </w:tcPr>
          <w:p w14:paraId="290D5194">
            <w:pPr>
              <w:ind w:firstLine="0" w:firstLineChars="0"/>
              <w:jc w:val="center"/>
              <w:rPr>
                <w:rFonts w:eastAsia="宋体"/>
                <w:sz w:val="20"/>
                <w:szCs w:val="20"/>
              </w:rPr>
            </w:pPr>
            <w:r>
              <w:rPr>
                <w:rFonts w:eastAsia="宋体"/>
                <w:sz w:val="20"/>
                <w:szCs w:val="20"/>
              </w:rPr>
              <w:t>12.6 ± 1.8*</w:t>
            </w:r>
          </w:p>
        </w:tc>
        <w:tc>
          <w:tcPr>
            <w:tcW w:w="1436" w:type="dxa"/>
            <w:tcBorders>
              <w:top w:val="nil"/>
              <w:left w:val="nil"/>
              <w:bottom w:val="single" w:color="auto" w:sz="4" w:space="0"/>
              <w:right w:val="single" w:color="auto" w:sz="4" w:space="0"/>
            </w:tcBorders>
            <w:shd w:val="clear" w:color="auto" w:fill="auto"/>
            <w:vAlign w:val="center"/>
          </w:tcPr>
          <w:p w14:paraId="7EFF5FC5">
            <w:pPr>
              <w:ind w:firstLine="0" w:firstLineChars="0"/>
              <w:jc w:val="center"/>
              <w:rPr>
                <w:rFonts w:eastAsia="宋体"/>
                <w:sz w:val="20"/>
                <w:szCs w:val="20"/>
              </w:rPr>
            </w:pPr>
            <w:r>
              <w:rPr>
                <w:rFonts w:eastAsia="宋体"/>
                <w:sz w:val="20"/>
                <w:szCs w:val="20"/>
              </w:rPr>
              <w:t>5.2 ± 1.5*</w:t>
            </w:r>
          </w:p>
        </w:tc>
        <w:tc>
          <w:tcPr>
            <w:tcW w:w="1658" w:type="dxa"/>
            <w:tcBorders>
              <w:top w:val="nil"/>
              <w:left w:val="nil"/>
              <w:bottom w:val="single" w:color="auto" w:sz="4" w:space="0"/>
              <w:right w:val="single" w:color="auto" w:sz="4" w:space="0"/>
            </w:tcBorders>
            <w:shd w:val="clear" w:color="auto" w:fill="auto"/>
            <w:vAlign w:val="center"/>
          </w:tcPr>
          <w:p w14:paraId="260A13EF">
            <w:pPr>
              <w:ind w:firstLine="0" w:firstLineChars="0"/>
              <w:jc w:val="center"/>
              <w:rPr>
                <w:rFonts w:eastAsia="宋体"/>
                <w:sz w:val="20"/>
                <w:szCs w:val="20"/>
              </w:rPr>
            </w:pPr>
            <w:r>
              <w:rPr>
                <w:rFonts w:eastAsia="宋体"/>
                <w:sz w:val="20"/>
                <w:szCs w:val="20"/>
              </w:rPr>
              <w:t>3.5 ± 0.6*</w:t>
            </w:r>
          </w:p>
        </w:tc>
        <w:tc>
          <w:tcPr>
            <w:tcW w:w="1546" w:type="dxa"/>
            <w:tcBorders>
              <w:top w:val="nil"/>
              <w:left w:val="nil"/>
              <w:bottom w:val="single" w:color="auto" w:sz="4" w:space="0"/>
              <w:right w:val="single" w:color="auto" w:sz="4" w:space="0"/>
            </w:tcBorders>
            <w:shd w:val="clear" w:color="auto" w:fill="auto"/>
            <w:vAlign w:val="center"/>
          </w:tcPr>
          <w:p w14:paraId="6BAB8BF7">
            <w:pPr>
              <w:ind w:firstLine="0" w:firstLineChars="0"/>
              <w:jc w:val="center"/>
              <w:rPr>
                <w:rFonts w:eastAsia="宋体"/>
                <w:sz w:val="20"/>
                <w:szCs w:val="20"/>
              </w:rPr>
            </w:pPr>
            <w:r>
              <w:rPr>
                <w:rFonts w:eastAsia="宋体"/>
                <w:sz w:val="20"/>
                <w:szCs w:val="20"/>
              </w:rPr>
              <w:t>2.2 ± 0.5*</w:t>
            </w:r>
          </w:p>
        </w:tc>
      </w:tr>
      <w:tr w14:paraId="5C881803">
        <w:tblPrEx>
          <w:tblCellMar>
            <w:top w:w="0" w:type="dxa"/>
            <w:left w:w="108" w:type="dxa"/>
            <w:bottom w:w="0" w:type="dxa"/>
            <w:right w:w="108" w:type="dxa"/>
          </w:tblCellMar>
        </w:tblPrEx>
        <w:trPr>
          <w:trHeight w:val="502" w:hRule="atLeast"/>
        </w:trPr>
        <w:tc>
          <w:tcPr>
            <w:tcW w:w="865" w:type="dxa"/>
            <w:tcBorders>
              <w:top w:val="nil"/>
              <w:left w:val="single" w:color="auto" w:sz="4" w:space="0"/>
              <w:bottom w:val="single" w:color="auto" w:sz="4" w:space="0"/>
              <w:right w:val="single" w:color="auto" w:sz="4" w:space="0"/>
            </w:tcBorders>
            <w:shd w:val="clear" w:color="auto" w:fill="auto"/>
            <w:vAlign w:val="center"/>
          </w:tcPr>
          <w:p w14:paraId="4D02FDCF">
            <w:pPr>
              <w:ind w:firstLine="0" w:firstLineChars="0"/>
              <w:jc w:val="center"/>
              <w:rPr>
                <w:rFonts w:eastAsia="宋体"/>
                <w:sz w:val="20"/>
                <w:szCs w:val="20"/>
              </w:rPr>
            </w:pPr>
            <w:r>
              <w:rPr>
                <w:rFonts w:eastAsia="宋体"/>
                <w:sz w:val="20"/>
                <w:szCs w:val="20"/>
              </w:rPr>
              <w:t>‌T3‌</w:t>
            </w:r>
          </w:p>
        </w:tc>
        <w:tc>
          <w:tcPr>
            <w:tcW w:w="1454" w:type="dxa"/>
            <w:tcBorders>
              <w:top w:val="nil"/>
              <w:left w:val="nil"/>
              <w:bottom w:val="single" w:color="auto" w:sz="4" w:space="0"/>
              <w:right w:val="single" w:color="auto" w:sz="4" w:space="0"/>
            </w:tcBorders>
            <w:shd w:val="clear" w:color="auto" w:fill="auto"/>
            <w:vAlign w:val="center"/>
          </w:tcPr>
          <w:p w14:paraId="06CFD441">
            <w:pPr>
              <w:ind w:firstLine="0" w:firstLineChars="0"/>
              <w:jc w:val="center"/>
              <w:rPr>
                <w:rFonts w:eastAsia="宋体"/>
                <w:sz w:val="20"/>
                <w:szCs w:val="20"/>
              </w:rPr>
            </w:pPr>
            <w:r>
              <w:rPr>
                <w:rFonts w:eastAsia="宋体"/>
                <w:sz w:val="20"/>
                <w:szCs w:val="20"/>
              </w:rPr>
              <w:t>55.4 ± 4.1</w:t>
            </w:r>
          </w:p>
        </w:tc>
        <w:tc>
          <w:tcPr>
            <w:tcW w:w="1458" w:type="dxa"/>
            <w:tcBorders>
              <w:top w:val="nil"/>
              <w:left w:val="nil"/>
              <w:bottom w:val="single" w:color="auto" w:sz="4" w:space="0"/>
              <w:right w:val="single" w:color="auto" w:sz="4" w:space="0"/>
            </w:tcBorders>
            <w:shd w:val="clear" w:color="auto" w:fill="auto"/>
            <w:vAlign w:val="center"/>
          </w:tcPr>
          <w:p w14:paraId="6E0E8439">
            <w:pPr>
              <w:ind w:firstLine="0" w:firstLineChars="0"/>
              <w:jc w:val="center"/>
              <w:rPr>
                <w:rFonts w:eastAsia="宋体"/>
                <w:sz w:val="20"/>
                <w:szCs w:val="20"/>
              </w:rPr>
            </w:pPr>
            <w:r>
              <w:rPr>
                <w:rFonts w:eastAsia="宋体"/>
                <w:sz w:val="20"/>
                <w:szCs w:val="20"/>
              </w:rPr>
              <w:t>9.3 ± 1.3</w:t>
            </w:r>
          </w:p>
        </w:tc>
        <w:tc>
          <w:tcPr>
            <w:tcW w:w="1436" w:type="dxa"/>
            <w:tcBorders>
              <w:top w:val="nil"/>
              <w:left w:val="nil"/>
              <w:bottom w:val="single" w:color="auto" w:sz="4" w:space="0"/>
              <w:right w:val="single" w:color="auto" w:sz="4" w:space="0"/>
            </w:tcBorders>
            <w:shd w:val="clear" w:color="auto" w:fill="auto"/>
            <w:vAlign w:val="center"/>
          </w:tcPr>
          <w:p w14:paraId="3DF36AE7">
            <w:pPr>
              <w:ind w:firstLine="0" w:firstLineChars="0"/>
              <w:jc w:val="center"/>
              <w:rPr>
                <w:rFonts w:eastAsia="宋体"/>
                <w:sz w:val="20"/>
                <w:szCs w:val="20"/>
              </w:rPr>
            </w:pPr>
            <w:r>
              <w:rPr>
                <w:rFonts w:eastAsia="宋体"/>
                <w:sz w:val="20"/>
                <w:szCs w:val="20"/>
              </w:rPr>
              <w:t>8.9 ± 2.0</w:t>
            </w:r>
          </w:p>
        </w:tc>
        <w:tc>
          <w:tcPr>
            <w:tcW w:w="1658" w:type="dxa"/>
            <w:tcBorders>
              <w:top w:val="nil"/>
              <w:left w:val="nil"/>
              <w:bottom w:val="single" w:color="auto" w:sz="4" w:space="0"/>
              <w:right w:val="single" w:color="auto" w:sz="4" w:space="0"/>
            </w:tcBorders>
            <w:shd w:val="clear" w:color="auto" w:fill="auto"/>
            <w:vAlign w:val="center"/>
          </w:tcPr>
          <w:p w14:paraId="3E5904D9">
            <w:pPr>
              <w:ind w:firstLine="0" w:firstLineChars="0"/>
              <w:jc w:val="center"/>
              <w:rPr>
                <w:rFonts w:eastAsia="宋体"/>
                <w:sz w:val="20"/>
                <w:szCs w:val="20"/>
              </w:rPr>
            </w:pPr>
            <w:r>
              <w:rPr>
                <w:rFonts w:eastAsia="宋体"/>
                <w:sz w:val="20"/>
                <w:szCs w:val="20"/>
              </w:rPr>
              <w:t>3.0 ± 0.5</w:t>
            </w:r>
          </w:p>
        </w:tc>
        <w:tc>
          <w:tcPr>
            <w:tcW w:w="1546" w:type="dxa"/>
            <w:tcBorders>
              <w:top w:val="nil"/>
              <w:left w:val="nil"/>
              <w:bottom w:val="single" w:color="auto" w:sz="4" w:space="0"/>
              <w:right w:val="single" w:color="auto" w:sz="4" w:space="0"/>
            </w:tcBorders>
            <w:shd w:val="clear" w:color="auto" w:fill="auto"/>
            <w:vAlign w:val="center"/>
          </w:tcPr>
          <w:p w14:paraId="781BC601">
            <w:pPr>
              <w:ind w:firstLine="0" w:firstLineChars="0"/>
              <w:jc w:val="center"/>
              <w:rPr>
                <w:rFonts w:eastAsia="宋体"/>
                <w:sz w:val="20"/>
                <w:szCs w:val="20"/>
              </w:rPr>
            </w:pPr>
            <w:r>
              <w:rPr>
                <w:rFonts w:eastAsia="宋体"/>
                <w:sz w:val="20"/>
                <w:szCs w:val="20"/>
              </w:rPr>
              <w:t>1.8 ± 0.4</w:t>
            </w:r>
          </w:p>
        </w:tc>
      </w:tr>
      <w:tr w14:paraId="6C24BF1E">
        <w:tblPrEx>
          <w:tblCellMar>
            <w:top w:w="0" w:type="dxa"/>
            <w:left w:w="108" w:type="dxa"/>
            <w:bottom w:w="0" w:type="dxa"/>
            <w:right w:w="108" w:type="dxa"/>
          </w:tblCellMar>
        </w:tblPrEx>
        <w:trPr>
          <w:trHeight w:val="524" w:hRule="atLeast"/>
        </w:trPr>
        <w:tc>
          <w:tcPr>
            <w:tcW w:w="865" w:type="dxa"/>
            <w:tcBorders>
              <w:top w:val="nil"/>
              <w:left w:val="single" w:color="auto" w:sz="4" w:space="0"/>
              <w:bottom w:val="single" w:color="auto" w:sz="4" w:space="0"/>
              <w:right w:val="single" w:color="auto" w:sz="4" w:space="0"/>
            </w:tcBorders>
            <w:shd w:val="clear" w:color="auto" w:fill="auto"/>
            <w:vAlign w:val="center"/>
          </w:tcPr>
          <w:p w14:paraId="6C0E0A79">
            <w:pPr>
              <w:ind w:firstLine="0" w:firstLineChars="0"/>
              <w:jc w:val="center"/>
              <w:rPr>
                <w:rFonts w:eastAsia="宋体"/>
                <w:sz w:val="20"/>
                <w:szCs w:val="20"/>
              </w:rPr>
            </w:pPr>
            <w:r>
              <w:rPr>
                <w:rFonts w:eastAsia="宋体"/>
                <w:sz w:val="20"/>
                <w:szCs w:val="20"/>
              </w:rPr>
              <w:t>‌T4‌</w:t>
            </w:r>
          </w:p>
        </w:tc>
        <w:tc>
          <w:tcPr>
            <w:tcW w:w="1454" w:type="dxa"/>
            <w:tcBorders>
              <w:top w:val="nil"/>
              <w:left w:val="nil"/>
              <w:bottom w:val="single" w:color="auto" w:sz="4" w:space="0"/>
              <w:right w:val="single" w:color="auto" w:sz="4" w:space="0"/>
            </w:tcBorders>
            <w:shd w:val="clear" w:color="auto" w:fill="auto"/>
            <w:vAlign w:val="center"/>
          </w:tcPr>
          <w:p w14:paraId="71B4A68F">
            <w:pPr>
              <w:ind w:firstLine="0" w:firstLineChars="0"/>
              <w:jc w:val="center"/>
              <w:rPr>
                <w:rFonts w:eastAsia="宋体"/>
                <w:sz w:val="20"/>
                <w:szCs w:val="20"/>
              </w:rPr>
            </w:pPr>
            <w:r>
              <w:rPr>
                <w:rFonts w:eastAsia="宋体"/>
                <w:sz w:val="20"/>
                <w:szCs w:val="20"/>
              </w:rPr>
              <w:t>35.6 ± 3.7</w:t>
            </w:r>
          </w:p>
        </w:tc>
        <w:tc>
          <w:tcPr>
            <w:tcW w:w="1458" w:type="dxa"/>
            <w:tcBorders>
              <w:top w:val="nil"/>
              <w:left w:val="nil"/>
              <w:bottom w:val="single" w:color="auto" w:sz="4" w:space="0"/>
              <w:right w:val="single" w:color="auto" w:sz="4" w:space="0"/>
            </w:tcBorders>
            <w:shd w:val="clear" w:color="auto" w:fill="auto"/>
            <w:vAlign w:val="center"/>
          </w:tcPr>
          <w:p w14:paraId="3A66BDA7">
            <w:pPr>
              <w:ind w:firstLine="0" w:firstLineChars="0"/>
              <w:jc w:val="center"/>
              <w:rPr>
                <w:rFonts w:eastAsia="宋体"/>
                <w:sz w:val="20"/>
                <w:szCs w:val="20"/>
              </w:rPr>
            </w:pPr>
            <w:r>
              <w:rPr>
                <w:rFonts w:eastAsia="宋体"/>
                <w:sz w:val="20"/>
                <w:szCs w:val="20"/>
              </w:rPr>
              <w:t>6.1 ± 1.0</w:t>
            </w:r>
          </w:p>
        </w:tc>
        <w:tc>
          <w:tcPr>
            <w:tcW w:w="1436" w:type="dxa"/>
            <w:tcBorders>
              <w:top w:val="nil"/>
              <w:left w:val="nil"/>
              <w:bottom w:val="single" w:color="auto" w:sz="4" w:space="0"/>
              <w:right w:val="single" w:color="auto" w:sz="4" w:space="0"/>
            </w:tcBorders>
            <w:shd w:val="clear" w:color="auto" w:fill="auto"/>
            <w:vAlign w:val="center"/>
          </w:tcPr>
          <w:p w14:paraId="12867355">
            <w:pPr>
              <w:ind w:firstLine="0" w:firstLineChars="0"/>
              <w:jc w:val="center"/>
              <w:rPr>
                <w:rFonts w:eastAsia="宋体"/>
                <w:sz w:val="20"/>
                <w:szCs w:val="20"/>
              </w:rPr>
            </w:pPr>
            <w:r>
              <w:rPr>
                <w:rFonts w:eastAsia="宋体"/>
                <w:sz w:val="20"/>
                <w:szCs w:val="20"/>
              </w:rPr>
              <w:t>22.3 ± 4.8</w:t>
            </w:r>
          </w:p>
        </w:tc>
        <w:tc>
          <w:tcPr>
            <w:tcW w:w="1658" w:type="dxa"/>
            <w:tcBorders>
              <w:top w:val="nil"/>
              <w:left w:val="nil"/>
              <w:bottom w:val="single" w:color="auto" w:sz="4" w:space="0"/>
              <w:right w:val="single" w:color="auto" w:sz="4" w:space="0"/>
            </w:tcBorders>
            <w:shd w:val="clear" w:color="auto" w:fill="auto"/>
            <w:vAlign w:val="center"/>
          </w:tcPr>
          <w:p w14:paraId="4B03382E">
            <w:pPr>
              <w:ind w:firstLine="0" w:firstLineChars="0"/>
              <w:jc w:val="center"/>
              <w:rPr>
                <w:rFonts w:eastAsia="宋体"/>
                <w:sz w:val="20"/>
                <w:szCs w:val="20"/>
              </w:rPr>
            </w:pPr>
            <w:r>
              <w:rPr>
                <w:rFonts w:eastAsia="宋体"/>
                <w:sz w:val="20"/>
                <w:szCs w:val="20"/>
              </w:rPr>
              <w:t>2.2 ± 0.4</w:t>
            </w:r>
          </w:p>
        </w:tc>
        <w:tc>
          <w:tcPr>
            <w:tcW w:w="1546" w:type="dxa"/>
            <w:tcBorders>
              <w:top w:val="nil"/>
              <w:left w:val="nil"/>
              <w:bottom w:val="single" w:color="auto" w:sz="4" w:space="0"/>
              <w:right w:val="single" w:color="auto" w:sz="4" w:space="0"/>
            </w:tcBorders>
            <w:shd w:val="clear" w:color="auto" w:fill="auto"/>
            <w:vAlign w:val="center"/>
          </w:tcPr>
          <w:p w14:paraId="558F0E4F">
            <w:pPr>
              <w:ind w:firstLine="0" w:firstLineChars="0"/>
              <w:jc w:val="center"/>
              <w:rPr>
                <w:rFonts w:eastAsia="宋体"/>
                <w:sz w:val="20"/>
                <w:szCs w:val="20"/>
              </w:rPr>
            </w:pPr>
            <w:r>
              <w:rPr>
                <w:rFonts w:eastAsia="宋体"/>
                <w:sz w:val="20"/>
                <w:szCs w:val="20"/>
              </w:rPr>
              <w:t>1.2 ± 0.3</w:t>
            </w:r>
          </w:p>
        </w:tc>
      </w:tr>
    </w:tbl>
    <w:p w14:paraId="58C4DA9B">
      <w:pPr>
        <w:ind w:firstLine="400"/>
        <w:rPr>
          <w:rFonts w:eastAsia="宋体"/>
          <w:sz w:val="20"/>
          <w:szCs w:val="20"/>
        </w:rPr>
      </w:pPr>
      <w:r>
        <w:rPr>
          <w:rFonts w:hint="eastAsia" w:eastAsia="宋体"/>
          <w:sz w:val="20"/>
          <w:szCs w:val="20"/>
        </w:rPr>
        <w:t>注：数据为均值±标准差；*表示最优组。</w:t>
      </w:r>
    </w:p>
    <w:p w14:paraId="3F83490A">
      <w:pPr>
        <w:ind w:firstLine="0" w:firstLineChars="0"/>
        <w:jc w:val="center"/>
        <w:rPr>
          <w:rFonts w:hint="eastAsia" w:ascii="黑体" w:hAnsi="黑体" w:eastAsia="黑体"/>
          <w:sz w:val="24"/>
          <w:szCs w:val="20"/>
        </w:rPr>
      </w:pPr>
    </w:p>
    <w:p w14:paraId="13035E21">
      <w:pPr>
        <w:ind w:firstLine="0" w:firstLineChars="0"/>
        <w:jc w:val="center"/>
        <w:rPr>
          <w:rFonts w:hint="eastAsia" w:ascii="黑体" w:hAnsi="黑体" w:eastAsia="黑体"/>
          <w:sz w:val="24"/>
          <w:szCs w:val="20"/>
        </w:rPr>
      </w:pPr>
      <w:r>
        <w:rPr>
          <w:rFonts w:hint="eastAsia" w:ascii="黑体" w:hAnsi="黑体" w:eastAsia="黑体"/>
          <w:sz w:val="24"/>
          <w:szCs w:val="20"/>
        </w:rPr>
        <w:t>表2种子沙藏试验结果数据分析</w:t>
      </w:r>
    </w:p>
    <w:tbl>
      <w:tblPr>
        <w:tblStyle w:val="18"/>
        <w:tblW w:w="8370" w:type="dxa"/>
        <w:jc w:val="center"/>
        <w:tblLayout w:type="autofit"/>
        <w:tblCellMar>
          <w:top w:w="0" w:type="dxa"/>
          <w:left w:w="108" w:type="dxa"/>
          <w:bottom w:w="0" w:type="dxa"/>
          <w:right w:w="108" w:type="dxa"/>
        </w:tblCellMar>
      </w:tblPr>
      <w:tblGrid>
        <w:gridCol w:w="1555"/>
        <w:gridCol w:w="1235"/>
        <w:gridCol w:w="1395"/>
        <w:gridCol w:w="1395"/>
        <w:gridCol w:w="1395"/>
        <w:gridCol w:w="1395"/>
      </w:tblGrid>
      <w:tr w14:paraId="3983D1F3">
        <w:tblPrEx>
          <w:tblCellMar>
            <w:top w:w="0" w:type="dxa"/>
            <w:left w:w="108" w:type="dxa"/>
            <w:bottom w:w="0" w:type="dxa"/>
            <w:right w:w="108" w:type="dxa"/>
          </w:tblCellMar>
        </w:tblPrEx>
        <w:trPr>
          <w:trHeight w:val="319" w:hRule="atLeast"/>
          <w:jc w:val="center"/>
        </w:trPr>
        <w:tc>
          <w:tcPr>
            <w:tcW w:w="1555" w:type="dxa"/>
            <w:tcBorders>
              <w:top w:val="single" w:color="auto" w:sz="4" w:space="0"/>
              <w:left w:val="single" w:color="auto" w:sz="4" w:space="0"/>
              <w:bottom w:val="single" w:color="auto" w:sz="4" w:space="0"/>
              <w:right w:val="single" w:color="auto" w:sz="4" w:space="0"/>
            </w:tcBorders>
            <w:shd w:val="clear" w:color="auto" w:fill="auto"/>
            <w:vAlign w:val="center"/>
          </w:tcPr>
          <w:p w14:paraId="033EC819">
            <w:pPr>
              <w:ind w:firstLine="0" w:firstLineChars="0"/>
              <w:jc w:val="center"/>
              <w:rPr>
                <w:rFonts w:hint="eastAsia" w:ascii="宋体" w:hAnsi="宋体" w:eastAsia="宋体" w:cs="宋体"/>
                <w:sz w:val="20"/>
                <w:szCs w:val="20"/>
              </w:rPr>
            </w:pPr>
            <w:r>
              <w:rPr>
                <w:rFonts w:hint="eastAsia" w:ascii="宋体" w:hAnsi="宋体" w:eastAsia="宋体" w:cs="宋体"/>
                <w:sz w:val="20"/>
                <w:szCs w:val="20"/>
              </w:rPr>
              <w:t>指标</w:t>
            </w:r>
            <w:r>
              <w:rPr>
                <w:rFonts w:eastAsia="宋体"/>
                <w:sz w:val="20"/>
                <w:szCs w:val="20"/>
              </w:rPr>
              <w:t>‌</w:t>
            </w:r>
          </w:p>
        </w:tc>
        <w:tc>
          <w:tcPr>
            <w:tcW w:w="1235" w:type="dxa"/>
            <w:tcBorders>
              <w:top w:val="single" w:color="auto" w:sz="4" w:space="0"/>
              <w:left w:val="nil"/>
              <w:bottom w:val="single" w:color="auto" w:sz="4" w:space="0"/>
              <w:right w:val="single" w:color="auto" w:sz="4" w:space="0"/>
            </w:tcBorders>
            <w:shd w:val="clear" w:color="auto" w:fill="auto"/>
            <w:vAlign w:val="center"/>
          </w:tcPr>
          <w:p w14:paraId="1A8F0BB9">
            <w:pPr>
              <w:ind w:firstLine="0" w:firstLineChars="0"/>
              <w:jc w:val="center"/>
              <w:rPr>
                <w:rFonts w:eastAsia="宋体"/>
                <w:sz w:val="20"/>
                <w:szCs w:val="20"/>
              </w:rPr>
            </w:pPr>
            <w:r>
              <w:rPr>
                <w:rFonts w:eastAsia="宋体"/>
                <w:sz w:val="20"/>
                <w:szCs w:val="20"/>
              </w:rPr>
              <w:t>CK‌</w:t>
            </w:r>
          </w:p>
        </w:tc>
        <w:tc>
          <w:tcPr>
            <w:tcW w:w="1395" w:type="dxa"/>
            <w:tcBorders>
              <w:top w:val="single" w:color="auto" w:sz="4" w:space="0"/>
              <w:left w:val="nil"/>
              <w:bottom w:val="single" w:color="auto" w:sz="4" w:space="0"/>
              <w:right w:val="single" w:color="auto" w:sz="4" w:space="0"/>
            </w:tcBorders>
            <w:shd w:val="clear" w:color="auto" w:fill="auto"/>
            <w:vAlign w:val="center"/>
          </w:tcPr>
          <w:p w14:paraId="7CC18B3A">
            <w:pPr>
              <w:ind w:firstLine="0" w:firstLineChars="0"/>
              <w:jc w:val="center"/>
              <w:rPr>
                <w:rFonts w:eastAsia="宋体"/>
                <w:sz w:val="20"/>
                <w:szCs w:val="20"/>
              </w:rPr>
            </w:pPr>
            <w:r>
              <w:rPr>
                <w:rFonts w:eastAsia="宋体"/>
                <w:sz w:val="20"/>
                <w:szCs w:val="20"/>
              </w:rPr>
              <w:t>‌T1‌</w:t>
            </w:r>
          </w:p>
        </w:tc>
        <w:tc>
          <w:tcPr>
            <w:tcW w:w="1395" w:type="dxa"/>
            <w:tcBorders>
              <w:top w:val="single" w:color="auto" w:sz="4" w:space="0"/>
              <w:left w:val="nil"/>
              <w:bottom w:val="single" w:color="auto" w:sz="4" w:space="0"/>
              <w:right w:val="single" w:color="auto" w:sz="4" w:space="0"/>
            </w:tcBorders>
            <w:shd w:val="clear" w:color="auto" w:fill="auto"/>
            <w:vAlign w:val="center"/>
          </w:tcPr>
          <w:p w14:paraId="28072ACE">
            <w:pPr>
              <w:ind w:firstLine="0" w:firstLineChars="0"/>
              <w:jc w:val="center"/>
              <w:rPr>
                <w:rFonts w:eastAsia="宋体"/>
                <w:sz w:val="20"/>
                <w:szCs w:val="20"/>
              </w:rPr>
            </w:pPr>
            <w:r>
              <w:rPr>
                <w:rFonts w:eastAsia="宋体"/>
                <w:sz w:val="20"/>
                <w:szCs w:val="20"/>
              </w:rPr>
              <w:t>‌T2‌</w:t>
            </w:r>
          </w:p>
        </w:tc>
        <w:tc>
          <w:tcPr>
            <w:tcW w:w="1395" w:type="dxa"/>
            <w:tcBorders>
              <w:top w:val="single" w:color="auto" w:sz="4" w:space="0"/>
              <w:left w:val="nil"/>
              <w:bottom w:val="single" w:color="auto" w:sz="4" w:space="0"/>
              <w:right w:val="single" w:color="auto" w:sz="4" w:space="0"/>
            </w:tcBorders>
            <w:shd w:val="clear" w:color="auto" w:fill="auto"/>
            <w:vAlign w:val="center"/>
          </w:tcPr>
          <w:p w14:paraId="3601E8B1">
            <w:pPr>
              <w:ind w:firstLine="0" w:firstLineChars="0"/>
              <w:jc w:val="center"/>
              <w:rPr>
                <w:rFonts w:eastAsia="宋体"/>
                <w:sz w:val="20"/>
                <w:szCs w:val="20"/>
              </w:rPr>
            </w:pPr>
            <w:r>
              <w:rPr>
                <w:rFonts w:eastAsia="宋体"/>
                <w:sz w:val="20"/>
                <w:szCs w:val="20"/>
              </w:rPr>
              <w:t>T3‌</w:t>
            </w:r>
          </w:p>
        </w:tc>
        <w:tc>
          <w:tcPr>
            <w:tcW w:w="1395" w:type="dxa"/>
            <w:tcBorders>
              <w:top w:val="single" w:color="auto" w:sz="4" w:space="0"/>
              <w:left w:val="nil"/>
              <w:bottom w:val="single" w:color="auto" w:sz="4" w:space="0"/>
              <w:right w:val="single" w:color="auto" w:sz="4" w:space="0"/>
            </w:tcBorders>
            <w:shd w:val="clear" w:color="auto" w:fill="auto"/>
            <w:vAlign w:val="center"/>
          </w:tcPr>
          <w:p w14:paraId="0248AF90">
            <w:pPr>
              <w:ind w:firstLine="0" w:firstLineChars="0"/>
              <w:jc w:val="center"/>
              <w:rPr>
                <w:rFonts w:eastAsia="宋体"/>
                <w:sz w:val="20"/>
                <w:szCs w:val="20"/>
              </w:rPr>
            </w:pPr>
            <w:r>
              <w:rPr>
                <w:rFonts w:eastAsia="宋体"/>
                <w:sz w:val="20"/>
                <w:szCs w:val="20"/>
              </w:rPr>
              <w:t>‌T4‌</w:t>
            </w:r>
          </w:p>
        </w:tc>
      </w:tr>
      <w:tr w14:paraId="3AAE08D3">
        <w:tblPrEx>
          <w:tblCellMar>
            <w:top w:w="0" w:type="dxa"/>
            <w:left w:w="108" w:type="dxa"/>
            <w:bottom w:w="0" w:type="dxa"/>
            <w:right w:w="108" w:type="dxa"/>
          </w:tblCellMar>
        </w:tblPrEx>
        <w:trPr>
          <w:trHeight w:val="556" w:hRule="atLeast"/>
          <w:jc w:val="center"/>
        </w:trPr>
        <w:tc>
          <w:tcPr>
            <w:tcW w:w="1555" w:type="dxa"/>
            <w:tcBorders>
              <w:top w:val="nil"/>
              <w:left w:val="single" w:color="auto" w:sz="4" w:space="0"/>
              <w:bottom w:val="single" w:color="auto" w:sz="4" w:space="0"/>
              <w:right w:val="single" w:color="auto" w:sz="4" w:space="0"/>
            </w:tcBorders>
            <w:shd w:val="clear" w:color="auto" w:fill="auto"/>
            <w:vAlign w:val="center"/>
          </w:tcPr>
          <w:p w14:paraId="111A1852">
            <w:pPr>
              <w:ind w:firstLine="0" w:firstLineChars="0"/>
              <w:jc w:val="center"/>
              <w:rPr>
                <w:rFonts w:hint="eastAsia" w:ascii="宋体" w:hAnsi="宋体" w:eastAsia="宋体" w:cs="宋体"/>
                <w:sz w:val="20"/>
                <w:szCs w:val="20"/>
              </w:rPr>
            </w:pPr>
            <w:r>
              <w:rPr>
                <w:rFonts w:hint="eastAsia" w:ascii="宋体" w:hAnsi="宋体" w:eastAsia="宋体" w:cs="宋体"/>
                <w:sz w:val="20"/>
                <w:szCs w:val="20"/>
              </w:rPr>
              <w:t>发芽率（</w:t>
            </w:r>
            <w:r>
              <w:rPr>
                <w:rFonts w:eastAsia="宋体"/>
                <w:sz w:val="20"/>
                <w:szCs w:val="20"/>
              </w:rPr>
              <w:t>%</w:t>
            </w:r>
            <w:r>
              <w:rPr>
                <w:rFonts w:hint="eastAsia" w:ascii="宋体" w:hAnsi="宋体" w:eastAsia="宋体" w:cs="宋体"/>
                <w:sz w:val="20"/>
                <w:szCs w:val="20"/>
              </w:rPr>
              <w:t>）</w:t>
            </w:r>
            <w:r>
              <w:rPr>
                <w:rFonts w:eastAsia="宋体"/>
                <w:sz w:val="20"/>
                <w:szCs w:val="20"/>
              </w:rPr>
              <w:t>‌</w:t>
            </w:r>
          </w:p>
        </w:tc>
        <w:tc>
          <w:tcPr>
            <w:tcW w:w="1235" w:type="dxa"/>
            <w:tcBorders>
              <w:top w:val="nil"/>
              <w:left w:val="nil"/>
              <w:bottom w:val="single" w:color="auto" w:sz="4" w:space="0"/>
              <w:right w:val="single" w:color="auto" w:sz="4" w:space="0"/>
            </w:tcBorders>
            <w:shd w:val="clear" w:color="auto" w:fill="auto"/>
            <w:vAlign w:val="center"/>
          </w:tcPr>
          <w:p w14:paraId="3123BF62">
            <w:pPr>
              <w:ind w:firstLine="0" w:firstLineChars="0"/>
              <w:jc w:val="center"/>
              <w:rPr>
                <w:rFonts w:eastAsia="宋体"/>
                <w:sz w:val="20"/>
                <w:szCs w:val="20"/>
              </w:rPr>
            </w:pPr>
            <w:r>
              <w:rPr>
                <w:rFonts w:eastAsia="宋体"/>
                <w:sz w:val="20"/>
                <w:szCs w:val="20"/>
              </w:rPr>
              <w:t>18.2</w:t>
            </w:r>
          </w:p>
        </w:tc>
        <w:tc>
          <w:tcPr>
            <w:tcW w:w="1395" w:type="dxa"/>
            <w:tcBorders>
              <w:top w:val="nil"/>
              <w:left w:val="nil"/>
              <w:bottom w:val="single" w:color="auto" w:sz="4" w:space="0"/>
              <w:right w:val="single" w:color="auto" w:sz="4" w:space="0"/>
            </w:tcBorders>
            <w:shd w:val="clear" w:color="auto" w:fill="auto"/>
            <w:vAlign w:val="center"/>
          </w:tcPr>
          <w:p w14:paraId="4371D1EB">
            <w:pPr>
              <w:ind w:firstLine="0" w:firstLineChars="0"/>
              <w:jc w:val="center"/>
              <w:rPr>
                <w:rFonts w:eastAsia="宋体"/>
                <w:sz w:val="20"/>
                <w:szCs w:val="20"/>
              </w:rPr>
            </w:pPr>
            <w:r>
              <w:rPr>
                <w:rFonts w:eastAsia="宋体"/>
                <w:sz w:val="20"/>
                <w:szCs w:val="20"/>
              </w:rPr>
              <w:t>42.7</w:t>
            </w:r>
          </w:p>
        </w:tc>
        <w:tc>
          <w:tcPr>
            <w:tcW w:w="1395" w:type="dxa"/>
            <w:tcBorders>
              <w:top w:val="nil"/>
              <w:left w:val="nil"/>
              <w:bottom w:val="single" w:color="auto" w:sz="4" w:space="0"/>
              <w:right w:val="single" w:color="auto" w:sz="4" w:space="0"/>
            </w:tcBorders>
            <w:shd w:val="clear" w:color="auto" w:fill="auto"/>
            <w:vAlign w:val="center"/>
          </w:tcPr>
          <w:p w14:paraId="008EEA82">
            <w:pPr>
              <w:ind w:firstLine="0" w:firstLineChars="0"/>
              <w:jc w:val="center"/>
              <w:rPr>
                <w:rFonts w:eastAsia="宋体"/>
                <w:sz w:val="20"/>
                <w:szCs w:val="20"/>
              </w:rPr>
            </w:pPr>
            <w:r>
              <w:rPr>
                <w:rFonts w:eastAsia="宋体"/>
                <w:sz w:val="20"/>
                <w:szCs w:val="20"/>
              </w:rPr>
              <w:t>‌68.3‌</w:t>
            </w:r>
          </w:p>
        </w:tc>
        <w:tc>
          <w:tcPr>
            <w:tcW w:w="1395" w:type="dxa"/>
            <w:tcBorders>
              <w:top w:val="nil"/>
              <w:left w:val="nil"/>
              <w:bottom w:val="single" w:color="auto" w:sz="4" w:space="0"/>
              <w:right w:val="single" w:color="auto" w:sz="4" w:space="0"/>
            </w:tcBorders>
            <w:shd w:val="clear" w:color="auto" w:fill="auto"/>
            <w:vAlign w:val="center"/>
          </w:tcPr>
          <w:p w14:paraId="05C7314E">
            <w:pPr>
              <w:ind w:firstLine="0" w:firstLineChars="0"/>
              <w:jc w:val="center"/>
              <w:rPr>
                <w:rFonts w:eastAsia="宋体"/>
                <w:sz w:val="20"/>
                <w:szCs w:val="20"/>
              </w:rPr>
            </w:pPr>
            <w:r>
              <w:rPr>
                <w:rFonts w:eastAsia="宋体"/>
                <w:sz w:val="20"/>
                <w:szCs w:val="20"/>
              </w:rPr>
              <w:t>55.4</w:t>
            </w:r>
          </w:p>
        </w:tc>
        <w:tc>
          <w:tcPr>
            <w:tcW w:w="1395" w:type="dxa"/>
            <w:tcBorders>
              <w:top w:val="nil"/>
              <w:left w:val="nil"/>
              <w:bottom w:val="single" w:color="auto" w:sz="4" w:space="0"/>
              <w:right w:val="single" w:color="auto" w:sz="4" w:space="0"/>
            </w:tcBorders>
            <w:shd w:val="clear" w:color="auto" w:fill="auto"/>
            <w:vAlign w:val="center"/>
          </w:tcPr>
          <w:p w14:paraId="45BB3A07">
            <w:pPr>
              <w:ind w:firstLine="0" w:firstLineChars="0"/>
              <w:jc w:val="center"/>
              <w:rPr>
                <w:rFonts w:eastAsia="宋体"/>
                <w:sz w:val="20"/>
                <w:szCs w:val="20"/>
              </w:rPr>
            </w:pPr>
            <w:r>
              <w:rPr>
                <w:rFonts w:eastAsia="宋体"/>
                <w:sz w:val="20"/>
                <w:szCs w:val="20"/>
              </w:rPr>
              <w:t>35.6</w:t>
            </w:r>
          </w:p>
        </w:tc>
      </w:tr>
      <w:tr w14:paraId="6297D10C">
        <w:tblPrEx>
          <w:tblCellMar>
            <w:top w:w="0" w:type="dxa"/>
            <w:left w:w="108" w:type="dxa"/>
            <w:bottom w:w="0" w:type="dxa"/>
            <w:right w:w="108" w:type="dxa"/>
          </w:tblCellMar>
        </w:tblPrEx>
        <w:trPr>
          <w:trHeight w:val="556" w:hRule="atLeast"/>
          <w:jc w:val="center"/>
        </w:trPr>
        <w:tc>
          <w:tcPr>
            <w:tcW w:w="1555" w:type="dxa"/>
            <w:tcBorders>
              <w:top w:val="nil"/>
              <w:left w:val="single" w:color="auto" w:sz="4" w:space="0"/>
              <w:bottom w:val="single" w:color="auto" w:sz="4" w:space="0"/>
              <w:right w:val="single" w:color="auto" w:sz="4" w:space="0"/>
            </w:tcBorders>
            <w:shd w:val="clear" w:color="auto" w:fill="auto"/>
            <w:vAlign w:val="center"/>
          </w:tcPr>
          <w:p w14:paraId="41955EEB">
            <w:pPr>
              <w:ind w:firstLine="0" w:firstLineChars="0"/>
              <w:jc w:val="center"/>
              <w:rPr>
                <w:rFonts w:hint="eastAsia" w:ascii="宋体" w:hAnsi="宋体" w:eastAsia="宋体" w:cs="宋体"/>
                <w:sz w:val="20"/>
                <w:szCs w:val="20"/>
              </w:rPr>
            </w:pPr>
            <w:r>
              <w:rPr>
                <w:rFonts w:hint="eastAsia" w:ascii="宋体" w:hAnsi="宋体" w:eastAsia="宋体" w:cs="宋体"/>
                <w:sz w:val="20"/>
                <w:szCs w:val="20"/>
              </w:rPr>
              <w:t>发芽势（</w:t>
            </w:r>
            <w:r>
              <w:rPr>
                <w:rFonts w:eastAsia="宋体"/>
                <w:sz w:val="20"/>
                <w:szCs w:val="20"/>
              </w:rPr>
              <w:t>%</w:t>
            </w:r>
            <w:r>
              <w:rPr>
                <w:rFonts w:hint="eastAsia" w:ascii="宋体" w:hAnsi="宋体" w:eastAsia="宋体" w:cs="宋体"/>
                <w:sz w:val="20"/>
                <w:szCs w:val="20"/>
              </w:rPr>
              <w:t>）</w:t>
            </w:r>
            <w:r>
              <w:rPr>
                <w:rFonts w:eastAsia="宋体"/>
                <w:sz w:val="20"/>
                <w:szCs w:val="20"/>
              </w:rPr>
              <w:t>‌</w:t>
            </w:r>
          </w:p>
        </w:tc>
        <w:tc>
          <w:tcPr>
            <w:tcW w:w="1235" w:type="dxa"/>
            <w:tcBorders>
              <w:top w:val="nil"/>
              <w:left w:val="nil"/>
              <w:bottom w:val="single" w:color="auto" w:sz="4" w:space="0"/>
              <w:right w:val="single" w:color="auto" w:sz="4" w:space="0"/>
            </w:tcBorders>
            <w:shd w:val="clear" w:color="auto" w:fill="auto"/>
            <w:vAlign w:val="center"/>
          </w:tcPr>
          <w:p w14:paraId="1A67362A">
            <w:pPr>
              <w:ind w:firstLine="0" w:firstLineChars="0"/>
              <w:jc w:val="center"/>
              <w:rPr>
                <w:rFonts w:eastAsia="宋体"/>
                <w:sz w:val="20"/>
                <w:szCs w:val="20"/>
              </w:rPr>
            </w:pPr>
            <w:r>
              <w:rPr>
                <w:rFonts w:eastAsia="宋体"/>
                <w:sz w:val="20"/>
                <w:szCs w:val="20"/>
              </w:rPr>
              <w:t>8.5</w:t>
            </w:r>
          </w:p>
        </w:tc>
        <w:tc>
          <w:tcPr>
            <w:tcW w:w="1395" w:type="dxa"/>
            <w:tcBorders>
              <w:top w:val="nil"/>
              <w:left w:val="nil"/>
              <w:bottom w:val="single" w:color="auto" w:sz="4" w:space="0"/>
              <w:right w:val="single" w:color="auto" w:sz="4" w:space="0"/>
            </w:tcBorders>
            <w:shd w:val="clear" w:color="auto" w:fill="auto"/>
            <w:vAlign w:val="center"/>
          </w:tcPr>
          <w:p w14:paraId="0495A61B">
            <w:pPr>
              <w:ind w:firstLine="0" w:firstLineChars="0"/>
              <w:jc w:val="center"/>
              <w:rPr>
                <w:rFonts w:eastAsia="宋体"/>
                <w:sz w:val="20"/>
                <w:szCs w:val="20"/>
              </w:rPr>
            </w:pPr>
            <w:r>
              <w:rPr>
                <w:rFonts w:eastAsia="宋体"/>
                <w:sz w:val="20"/>
                <w:szCs w:val="20"/>
              </w:rPr>
              <w:t>25.6</w:t>
            </w:r>
          </w:p>
        </w:tc>
        <w:tc>
          <w:tcPr>
            <w:tcW w:w="1395" w:type="dxa"/>
            <w:tcBorders>
              <w:top w:val="nil"/>
              <w:left w:val="nil"/>
              <w:bottom w:val="single" w:color="auto" w:sz="4" w:space="0"/>
              <w:right w:val="single" w:color="auto" w:sz="4" w:space="0"/>
            </w:tcBorders>
            <w:shd w:val="clear" w:color="auto" w:fill="auto"/>
            <w:vAlign w:val="center"/>
          </w:tcPr>
          <w:p w14:paraId="7C11F9CD">
            <w:pPr>
              <w:ind w:firstLine="0" w:firstLineChars="0"/>
              <w:jc w:val="center"/>
              <w:rPr>
                <w:rFonts w:eastAsia="宋体"/>
                <w:sz w:val="20"/>
                <w:szCs w:val="20"/>
              </w:rPr>
            </w:pPr>
            <w:r>
              <w:rPr>
                <w:rFonts w:eastAsia="宋体"/>
                <w:sz w:val="20"/>
                <w:szCs w:val="20"/>
              </w:rPr>
              <w:t>‌48.9‌</w:t>
            </w:r>
          </w:p>
        </w:tc>
        <w:tc>
          <w:tcPr>
            <w:tcW w:w="1395" w:type="dxa"/>
            <w:tcBorders>
              <w:top w:val="nil"/>
              <w:left w:val="nil"/>
              <w:bottom w:val="single" w:color="auto" w:sz="4" w:space="0"/>
              <w:right w:val="single" w:color="auto" w:sz="4" w:space="0"/>
            </w:tcBorders>
            <w:shd w:val="clear" w:color="auto" w:fill="auto"/>
            <w:vAlign w:val="center"/>
          </w:tcPr>
          <w:p w14:paraId="58A91CD1">
            <w:pPr>
              <w:ind w:firstLine="0" w:firstLineChars="0"/>
              <w:jc w:val="center"/>
              <w:rPr>
                <w:rFonts w:eastAsia="宋体"/>
                <w:sz w:val="20"/>
                <w:szCs w:val="20"/>
              </w:rPr>
            </w:pPr>
            <w:r>
              <w:rPr>
                <w:rFonts w:eastAsia="宋体"/>
                <w:sz w:val="20"/>
                <w:szCs w:val="20"/>
              </w:rPr>
              <w:t>36.7</w:t>
            </w:r>
          </w:p>
        </w:tc>
        <w:tc>
          <w:tcPr>
            <w:tcW w:w="1395" w:type="dxa"/>
            <w:tcBorders>
              <w:top w:val="nil"/>
              <w:left w:val="nil"/>
              <w:bottom w:val="single" w:color="auto" w:sz="4" w:space="0"/>
              <w:right w:val="single" w:color="auto" w:sz="4" w:space="0"/>
            </w:tcBorders>
            <w:shd w:val="clear" w:color="auto" w:fill="auto"/>
            <w:vAlign w:val="center"/>
          </w:tcPr>
          <w:p w14:paraId="6AC354C4">
            <w:pPr>
              <w:ind w:firstLine="0" w:firstLineChars="0"/>
              <w:jc w:val="center"/>
              <w:rPr>
                <w:rFonts w:eastAsia="宋体"/>
                <w:sz w:val="20"/>
                <w:szCs w:val="20"/>
              </w:rPr>
            </w:pPr>
            <w:r>
              <w:rPr>
                <w:rFonts w:eastAsia="宋体"/>
                <w:sz w:val="20"/>
                <w:szCs w:val="20"/>
              </w:rPr>
              <w:t>20.1</w:t>
            </w:r>
          </w:p>
        </w:tc>
      </w:tr>
      <w:tr w14:paraId="55926EC7">
        <w:tblPrEx>
          <w:tblCellMar>
            <w:top w:w="0" w:type="dxa"/>
            <w:left w:w="108" w:type="dxa"/>
            <w:bottom w:w="0" w:type="dxa"/>
            <w:right w:w="108" w:type="dxa"/>
          </w:tblCellMar>
        </w:tblPrEx>
        <w:trPr>
          <w:trHeight w:val="556" w:hRule="atLeast"/>
          <w:jc w:val="center"/>
        </w:trPr>
        <w:tc>
          <w:tcPr>
            <w:tcW w:w="1555" w:type="dxa"/>
            <w:tcBorders>
              <w:top w:val="nil"/>
              <w:left w:val="single" w:color="auto" w:sz="4" w:space="0"/>
              <w:bottom w:val="single" w:color="auto" w:sz="4" w:space="0"/>
              <w:right w:val="single" w:color="auto" w:sz="4" w:space="0"/>
            </w:tcBorders>
            <w:shd w:val="clear" w:color="auto" w:fill="auto"/>
            <w:vAlign w:val="center"/>
          </w:tcPr>
          <w:p w14:paraId="753B9E23">
            <w:pPr>
              <w:ind w:firstLine="0" w:firstLineChars="0"/>
              <w:jc w:val="center"/>
              <w:rPr>
                <w:rFonts w:hint="eastAsia" w:ascii="宋体" w:hAnsi="宋体" w:eastAsia="宋体" w:cs="宋体"/>
                <w:sz w:val="20"/>
                <w:szCs w:val="20"/>
              </w:rPr>
            </w:pPr>
            <w:r>
              <w:rPr>
                <w:rFonts w:hint="eastAsia" w:ascii="宋体" w:hAnsi="宋体" w:eastAsia="宋体" w:cs="宋体"/>
                <w:sz w:val="20"/>
                <w:szCs w:val="20"/>
              </w:rPr>
              <w:t>霉变率（</w:t>
            </w:r>
            <w:r>
              <w:rPr>
                <w:rFonts w:eastAsia="宋体"/>
                <w:sz w:val="20"/>
                <w:szCs w:val="20"/>
              </w:rPr>
              <w:t>%</w:t>
            </w:r>
            <w:r>
              <w:rPr>
                <w:rFonts w:hint="eastAsia" w:ascii="宋体" w:hAnsi="宋体" w:eastAsia="宋体" w:cs="宋体"/>
                <w:sz w:val="20"/>
                <w:szCs w:val="20"/>
              </w:rPr>
              <w:t>）</w:t>
            </w:r>
            <w:r>
              <w:rPr>
                <w:rFonts w:eastAsia="宋体"/>
                <w:sz w:val="20"/>
                <w:szCs w:val="20"/>
              </w:rPr>
              <w:t>‌</w:t>
            </w:r>
          </w:p>
        </w:tc>
        <w:tc>
          <w:tcPr>
            <w:tcW w:w="1235" w:type="dxa"/>
            <w:tcBorders>
              <w:top w:val="nil"/>
              <w:left w:val="nil"/>
              <w:bottom w:val="single" w:color="auto" w:sz="4" w:space="0"/>
              <w:right w:val="single" w:color="auto" w:sz="4" w:space="0"/>
            </w:tcBorders>
            <w:shd w:val="clear" w:color="auto" w:fill="auto"/>
            <w:vAlign w:val="center"/>
          </w:tcPr>
          <w:p w14:paraId="0B2E8A52">
            <w:pPr>
              <w:ind w:firstLine="0" w:firstLineChars="0"/>
              <w:jc w:val="center"/>
              <w:rPr>
                <w:rFonts w:eastAsia="宋体"/>
                <w:sz w:val="20"/>
                <w:szCs w:val="20"/>
              </w:rPr>
            </w:pPr>
            <w:r>
              <w:rPr>
                <w:rFonts w:eastAsia="宋体"/>
                <w:sz w:val="20"/>
                <w:szCs w:val="20"/>
              </w:rPr>
              <w:t>32.6</w:t>
            </w:r>
          </w:p>
        </w:tc>
        <w:tc>
          <w:tcPr>
            <w:tcW w:w="1395" w:type="dxa"/>
            <w:tcBorders>
              <w:top w:val="nil"/>
              <w:left w:val="nil"/>
              <w:bottom w:val="single" w:color="auto" w:sz="4" w:space="0"/>
              <w:right w:val="single" w:color="auto" w:sz="4" w:space="0"/>
            </w:tcBorders>
            <w:shd w:val="clear" w:color="auto" w:fill="auto"/>
            <w:vAlign w:val="center"/>
          </w:tcPr>
          <w:p w14:paraId="137D2AF5">
            <w:pPr>
              <w:ind w:firstLine="0" w:firstLineChars="0"/>
              <w:jc w:val="center"/>
              <w:rPr>
                <w:rFonts w:eastAsia="宋体"/>
                <w:sz w:val="20"/>
                <w:szCs w:val="20"/>
              </w:rPr>
            </w:pPr>
            <w:r>
              <w:rPr>
                <w:rFonts w:eastAsia="宋体"/>
                <w:sz w:val="20"/>
                <w:szCs w:val="20"/>
              </w:rPr>
              <w:t>15.4</w:t>
            </w:r>
          </w:p>
        </w:tc>
        <w:tc>
          <w:tcPr>
            <w:tcW w:w="1395" w:type="dxa"/>
            <w:tcBorders>
              <w:top w:val="nil"/>
              <w:left w:val="nil"/>
              <w:bottom w:val="single" w:color="auto" w:sz="4" w:space="0"/>
              <w:right w:val="single" w:color="auto" w:sz="4" w:space="0"/>
            </w:tcBorders>
            <w:shd w:val="clear" w:color="auto" w:fill="auto"/>
            <w:vAlign w:val="center"/>
          </w:tcPr>
          <w:p w14:paraId="43E5B133">
            <w:pPr>
              <w:ind w:firstLine="0" w:firstLineChars="0"/>
              <w:jc w:val="center"/>
              <w:rPr>
                <w:rFonts w:eastAsia="宋体"/>
                <w:sz w:val="20"/>
                <w:szCs w:val="20"/>
              </w:rPr>
            </w:pPr>
            <w:r>
              <w:rPr>
                <w:rFonts w:eastAsia="宋体"/>
                <w:sz w:val="20"/>
                <w:szCs w:val="20"/>
              </w:rPr>
              <w:t>‌5.2‌</w:t>
            </w:r>
          </w:p>
        </w:tc>
        <w:tc>
          <w:tcPr>
            <w:tcW w:w="1395" w:type="dxa"/>
            <w:tcBorders>
              <w:top w:val="nil"/>
              <w:left w:val="nil"/>
              <w:bottom w:val="single" w:color="auto" w:sz="4" w:space="0"/>
              <w:right w:val="single" w:color="auto" w:sz="4" w:space="0"/>
            </w:tcBorders>
            <w:shd w:val="clear" w:color="auto" w:fill="auto"/>
            <w:vAlign w:val="center"/>
          </w:tcPr>
          <w:p w14:paraId="5DCBD435">
            <w:pPr>
              <w:ind w:firstLine="0" w:firstLineChars="0"/>
              <w:jc w:val="center"/>
              <w:rPr>
                <w:rFonts w:eastAsia="宋体"/>
                <w:sz w:val="20"/>
                <w:szCs w:val="20"/>
              </w:rPr>
            </w:pPr>
            <w:r>
              <w:rPr>
                <w:rFonts w:eastAsia="宋体"/>
                <w:sz w:val="20"/>
                <w:szCs w:val="20"/>
              </w:rPr>
              <w:t>8.9</w:t>
            </w:r>
          </w:p>
        </w:tc>
        <w:tc>
          <w:tcPr>
            <w:tcW w:w="1395" w:type="dxa"/>
            <w:tcBorders>
              <w:top w:val="nil"/>
              <w:left w:val="nil"/>
              <w:bottom w:val="single" w:color="auto" w:sz="4" w:space="0"/>
              <w:right w:val="single" w:color="auto" w:sz="4" w:space="0"/>
            </w:tcBorders>
            <w:shd w:val="clear" w:color="auto" w:fill="auto"/>
            <w:vAlign w:val="center"/>
          </w:tcPr>
          <w:p w14:paraId="6F98D78F">
            <w:pPr>
              <w:ind w:firstLine="0" w:firstLineChars="0"/>
              <w:jc w:val="center"/>
              <w:rPr>
                <w:rFonts w:eastAsia="宋体"/>
                <w:sz w:val="20"/>
                <w:szCs w:val="20"/>
              </w:rPr>
            </w:pPr>
            <w:r>
              <w:rPr>
                <w:rFonts w:eastAsia="宋体"/>
                <w:sz w:val="20"/>
                <w:szCs w:val="20"/>
              </w:rPr>
              <w:t>22.3</w:t>
            </w:r>
          </w:p>
        </w:tc>
      </w:tr>
      <w:tr w14:paraId="3C912091">
        <w:tblPrEx>
          <w:tblCellMar>
            <w:top w:w="0" w:type="dxa"/>
            <w:left w:w="108" w:type="dxa"/>
            <w:bottom w:w="0" w:type="dxa"/>
            <w:right w:w="108" w:type="dxa"/>
          </w:tblCellMar>
        </w:tblPrEx>
        <w:trPr>
          <w:trHeight w:val="556" w:hRule="atLeast"/>
          <w:jc w:val="center"/>
        </w:trPr>
        <w:tc>
          <w:tcPr>
            <w:tcW w:w="1555" w:type="dxa"/>
            <w:tcBorders>
              <w:top w:val="nil"/>
              <w:left w:val="single" w:color="auto" w:sz="4" w:space="0"/>
              <w:bottom w:val="single" w:color="auto" w:sz="4" w:space="0"/>
              <w:right w:val="single" w:color="auto" w:sz="4" w:space="0"/>
            </w:tcBorders>
            <w:shd w:val="clear" w:color="auto" w:fill="auto"/>
            <w:vAlign w:val="center"/>
          </w:tcPr>
          <w:p w14:paraId="6DB09C6F">
            <w:pPr>
              <w:ind w:firstLine="0" w:firstLineChars="0"/>
              <w:jc w:val="center"/>
              <w:rPr>
                <w:rFonts w:hint="eastAsia" w:ascii="宋体" w:hAnsi="宋体" w:eastAsia="宋体" w:cs="宋体"/>
                <w:sz w:val="20"/>
                <w:szCs w:val="20"/>
              </w:rPr>
            </w:pPr>
            <w:r>
              <w:rPr>
                <w:rFonts w:hint="eastAsia" w:ascii="宋体" w:hAnsi="宋体" w:eastAsia="宋体" w:cs="宋体"/>
                <w:sz w:val="20"/>
                <w:szCs w:val="20"/>
              </w:rPr>
              <w:t>胚根长（</w:t>
            </w:r>
            <w:r>
              <w:rPr>
                <w:rFonts w:eastAsia="宋体"/>
                <w:sz w:val="20"/>
                <w:szCs w:val="20"/>
              </w:rPr>
              <w:t>cm</w:t>
            </w:r>
            <w:r>
              <w:rPr>
                <w:rFonts w:hint="eastAsia" w:ascii="宋体" w:hAnsi="宋体" w:eastAsia="宋体" w:cs="宋体"/>
                <w:sz w:val="20"/>
                <w:szCs w:val="20"/>
              </w:rPr>
              <w:t>）</w:t>
            </w:r>
            <w:r>
              <w:rPr>
                <w:rFonts w:eastAsia="宋体"/>
                <w:sz w:val="20"/>
                <w:szCs w:val="20"/>
              </w:rPr>
              <w:t>‌</w:t>
            </w:r>
          </w:p>
        </w:tc>
        <w:tc>
          <w:tcPr>
            <w:tcW w:w="1235" w:type="dxa"/>
            <w:tcBorders>
              <w:top w:val="nil"/>
              <w:left w:val="nil"/>
              <w:bottom w:val="single" w:color="auto" w:sz="4" w:space="0"/>
              <w:right w:val="single" w:color="auto" w:sz="4" w:space="0"/>
            </w:tcBorders>
            <w:shd w:val="clear" w:color="auto" w:fill="auto"/>
            <w:vAlign w:val="center"/>
          </w:tcPr>
          <w:p w14:paraId="2B6E4DDB">
            <w:pPr>
              <w:ind w:firstLine="0" w:firstLineChars="0"/>
              <w:jc w:val="center"/>
              <w:rPr>
                <w:rFonts w:eastAsia="宋体"/>
                <w:sz w:val="20"/>
                <w:szCs w:val="20"/>
              </w:rPr>
            </w:pPr>
            <w:r>
              <w:rPr>
                <w:rFonts w:eastAsia="宋体"/>
                <w:sz w:val="20"/>
                <w:szCs w:val="20"/>
              </w:rPr>
              <w:t>1.3</w:t>
            </w:r>
          </w:p>
        </w:tc>
        <w:tc>
          <w:tcPr>
            <w:tcW w:w="1395" w:type="dxa"/>
            <w:tcBorders>
              <w:top w:val="nil"/>
              <w:left w:val="nil"/>
              <w:bottom w:val="single" w:color="auto" w:sz="4" w:space="0"/>
              <w:right w:val="single" w:color="auto" w:sz="4" w:space="0"/>
            </w:tcBorders>
            <w:shd w:val="clear" w:color="auto" w:fill="auto"/>
            <w:vAlign w:val="center"/>
          </w:tcPr>
          <w:p w14:paraId="41AD8407">
            <w:pPr>
              <w:ind w:firstLine="0" w:firstLineChars="0"/>
              <w:jc w:val="center"/>
              <w:rPr>
                <w:rFonts w:eastAsia="宋体"/>
                <w:sz w:val="20"/>
                <w:szCs w:val="20"/>
              </w:rPr>
            </w:pPr>
            <w:r>
              <w:rPr>
                <w:rFonts w:eastAsia="宋体"/>
                <w:sz w:val="20"/>
                <w:szCs w:val="20"/>
              </w:rPr>
              <w:t>2.8</w:t>
            </w:r>
          </w:p>
        </w:tc>
        <w:tc>
          <w:tcPr>
            <w:tcW w:w="1395" w:type="dxa"/>
            <w:tcBorders>
              <w:top w:val="nil"/>
              <w:left w:val="nil"/>
              <w:bottom w:val="single" w:color="auto" w:sz="4" w:space="0"/>
              <w:right w:val="single" w:color="auto" w:sz="4" w:space="0"/>
            </w:tcBorders>
            <w:shd w:val="clear" w:color="auto" w:fill="auto"/>
            <w:vAlign w:val="center"/>
          </w:tcPr>
          <w:p w14:paraId="38AEE699">
            <w:pPr>
              <w:ind w:firstLine="0" w:firstLineChars="0"/>
              <w:jc w:val="center"/>
              <w:rPr>
                <w:rFonts w:eastAsia="宋体"/>
                <w:sz w:val="20"/>
                <w:szCs w:val="20"/>
              </w:rPr>
            </w:pPr>
            <w:r>
              <w:rPr>
                <w:rFonts w:eastAsia="宋体"/>
                <w:sz w:val="20"/>
                <w:szCs w:val="20"/>
              </w:rPr>
              <w:t>‌3.5‌</w:t>
            </w:r>
          </w:p>
        </w:tc>
        <w:tc>
          <w:tcPr>
            <w:tcW w:w="1395" w:type="dxa"/>
            <w:tcBorders>
              <w:top w:val="nil"/>
              <w:left w:val="nil"/>
              <w:bottom w:val="single" w:color="auto" w:sz="4" w:space="0"/>
              <w:right w:val="single" w:color="auto" w:sz="4" w:space="0"/>
            </w:tcBorders>
            <w:shd w:val="clear" w:color="auto" w:fill="auto"/>
            <w:vAlign w:val="center"/>
          </w:tcPr>
          <w:p w14:paraId="28D13E32">
            <w:pPr>
              <w:ind w:firstLine="0" w:firstLineChars="0"/>
              <w:jc w:val="center"/>
              <w:rPr>
                <w:rFonts w:eastAsia="宋体"/>
                <w:sz w:val="20"/>
                <w:szCs w:val="20"/>
              </w:rPr>
            </w:pPr>
            <w:r>
              <w:rPr>
                <w:rFonts w:eastAsia="宋体"/>
                <w:sz w:val="20"/>
                <w:szCs w:val="20"/>
              </w:rPr>
              <w:t>3</w:t>
            </w:r>
          </w:p>
        </w:tc>
        <w:tc>
          <w:tcPr>
            <w:tcW w:w="1395" w:type="dxa"/>
            <w:tcBorders>
              <w:top w:val="nil"/>
              <w:left w:val="nil"/>
              <w:bottom w:val="single" w:color="auto" w:sz="4" w:space="0"/>
              <w:right w:val="single" w:color="auto" w:sz="4" w:space="0"/>
            </w:tcBorders>
            <w:shd w:val="clear" w:color="auto" w:fill="auto"/>
            <w:vAlign w:val="center"/>
          </w:tcPr>
          <w:p w14:paraId="7E4BC9FE">
            <w:pPr>
              <w:ind w:firstLine="0" w:firstLineChars="0"/>
              <w:jc w:val="center"/>
              <w:rPr>
                <w:rFonts w:eastAsia="宋体"/>
                <w:sz w:val="20"/>
                <w:szCs w:val="20"/>
              </w:rPr>
            </w:pPr>
            <w:r>
              <w:rPr>
                <w:rFonts w:eastAsia="宋体"/>
                <w:sz w:val="20"/>
                <w:szCs w:val="20"/>
              </w:rPr>
              <w:t>2.2</w:t>
            </w:r>
          </w:p>
        </w:tc>
      </w:tr>
    </w:tbl>
    <w:p w14:paraId="269B27EE">
      <w:pPr>
        <w:ind w:firstLine="640"/>
      </w:pPr>
      <w:r>
        <w:rPr>
          <w:rFonts w:hint="eastAsia"/>
        </w:rPr>
        <w:t>1.5.1沙种比例对萌发的影响</w:t>
      </w:r>
      <w:r>
        <w:t>‌</w:t>
      </w:r>
    </w:p>
    <w:p w14:paraId="2957935A">
      <w:pPr>
        <w:ind w:firstLine="640"/>
      </w:pPr>
      <w:r>
        <w:rPr>
          <w:rFonts w:hint="cs"/>
        </w:rPr>
        <w:t>‌</w:t>
      </w:r>
      <w:r>
        <w:t>CK</w:t>
      </w:r>
      <w:r>
        <w:rPr>
          <w:rFonts w:hint="eastAsia"/>
        </w:rPr>
        <w:t>组</w:t>
      </w:r>
      <w:r>
        <w:t>‌</w:t>
      </w:r>
      <w:r>
        <w:rPr>
          <w:rFonts w:hint="eastAsia"/>
        </w:rPr>
        <w:t>：未沙藏种子发芽率仅</w:t>
      </w:r>
      <w:r>
        <w:t>18.2%</w:t>
      </w:r>
      <w:r>
        <w:rPr>
          <w:rFonts w:hint="eastAsia"/>
        </w:rPr>
        <w:t>，霉变率高达</w:t>
      </w:r>
      <w:r>
        <w:t>32.6%</w:t>
      </w:r>
      <w:r>
        <w:rPr>
          <w:rFonts w:hint="eastAsia"/>
        </w:rPr>
        <w:t>，表明沙藏可显著降低种子霉变风险并提供适宜萌发条件。</w:t>
      </w:r>
    </w:p>
    <w:p w14:paraId="1FBCBEE3">
      <w:pPr>
        <w:ind w:firstLine="640"/>
      </w:pPr>
      <w:r>
        <w:rPr>
          <w:rFonts w:hint="cs"/>
        </w:rPr>
        <w:t>‌</w:t>
      </w:r>
      <w:r>
        <w:t>T2</w:t>
      </w:r>
      <w:r>
        <w:rPr>
          <w:rFonts w:hint="eastAsia"/>
        </w:rPr>
        <w:t>组（</w:t>
      </w:r>
      <w:r>
        <w:t>2:1</w:t>
      </w:r>
      <w:r>
        <w:rPr>
          <w:rFonts w:hint="eastAsia"/>
        </w:rPr>
        <w:t>）</w:t>
      </w:r>
      <w:r>
        <w:t>‌</w:t>
      </w:r>
      <w:r>
        <w:rPr>
          <w:rFonts w:hint="eastAsia"/>
        </w:rPr>
        <w:t>：综合表现最佳，发芽率</w:t>
      </w:r>
      <w:r>
        <w:t>68.3%</w:t>
      </w:r>
      <w:r>
        <w:rPr>
          <w:rFonts w:hint="eastAsia"/>
        </w:rPr>
        <w:t>、发芽势</w:t>
      </w:r>
      <w:r>
        <w:t>48.9%</w:t>
      </w:r>
      <w:r>
        <w:rPr>
          <w:rFonts w:hint="eastAsia"/>
        </w:rPr>
        <w:t>，发芽指数</w:t>
      </w:r>
      <w:r>
        <w:t>12.6</w:t>
      </w:r>
      <w:r>
        <w:rPr>
          <w:rFonts w:hint="eastAsia"/>
        </w:rPr>
        <w:t>，表明沙种比例</w:t>
      </w:r>
      <w:r>
        <w:t>2:1</w:t>
      </w:r>
      <w:r>
        <w:rPr>
          <w:rFonts w:hint="eastAsia"/>
        </w:rPr>
        <w:t>能平衡湿度通透性与种子呼吸需求，促进胚根胚芽协同生长。</w:t>
      </w:r>
    </w:p>
    <w:p w14:paraId="26F3C01E">
      <w:pPr>
        <w:ind w:firstLine="640"/>
      </w:pPr>
      <w:r>
        <w:rPr>
          <w:rFonts w:hint="cs"/>
        </w:rPr>
        <w:t>‌</w:t>
      </w:r>
      <w:r>
        <w:t>T1</w:t>
      </w:r>
      <w:r>
        <w:rPr>
          <w:rFonts w:hint="eastAsia"/>
        </w:rPr>
        <w:t>组（</w:t>
      </w:r>
      <w:r>
        <w:t>1:1</w:t>
      </w:r>
      <w:r>
        <w:rPr>
          <w:rFonts w:hint="eastAsia"/>
        </w:rPr>
        <w:t>）</w:t>
      </w:r>
      <w:r>
        <w:t>‌</w:t>
      </w:r>
      <w:r>
        <w:rPr>
          <w:rFonts w:hint="eastAsia"/>
        </w:rPr>
        <w:t>：沙量不足导致霉变率升高（</w:t>
      </w:r>
      <w:r>
        <w:t>15.4%</w:t>
      </w:r>
      <w:r>
        <w:rPr>
          <w:rFonts w:hint="eastAsia"/>
        </w:rPr>
        <w:t>），发芽率低于</w:t>
      </w:r>
      <w:r>
        <w:t>T2</w:t>
      </w:r>
      <w:r>
        <w:rPr>
          <w:rFonts w:hint="eastAsia"/>
        </w:rPr>
        <w:t>组，可能与沙层过薄、局部湿度过高有关。</w:t>
      </w:r>
    </w:p>
    <w:p w14:paraId="701DF478">
      <w:pPr>
        <w:ind w:firstLine="640"/>
      </w:pPr>
      <w:r>
        <w:rPr>
          <w:rFonts w:hint="cs"/>
        </w:rPr>
        <w:t>‌</w:t>
      </w:r>
      <w:r>
        <w:t>T3</w:t>
      </w:r>
      <w:r>
        <w:rPr>
          <w:rFonts w:hint="eastAsia"/>
        </w:rPr>
        <w:t>、</w:t>
      </w:r>
      <w:r>
        <w:t>T4</w:t>
      </w:r>
      <w:r>
        <w:rPr>
          <w:rFonts w:hint="eastAsia"/>
        </w:rPr>
        <w:t>组</w:t>
      </w:r>
      <w:r>
        <w:t>‌</w:t>
      </w:r>
      <w:r>
        <w:rPr>
          <w:rFonts w:hint="eastAsia"/>
        </w:rPr>
        <w:t>：沙量过高（</w:t>
      </w:r>
      <w:r>
        <w:t>3:1</w:t>
      </w:r>
      <w:r>
        <w:rPr>
          <w:rFonts w:hint="eastAsia"/>
        </w:rPr>
        <w:t>、</w:t>
      </w:r>
      <w:r>
        <w:t>5:1</w:t>
      </w:r>
      <w:r>
        <w:rPr>
          <w:rFonts w:hint="eastAsia"/>
        </w:rPr>
        <w:t>）导致种子接触水分和氧气受限，发芽率分别下降至</w:t>
      </w:r>
      <w:r>
        <w:t>55.4%</w:t>
      </w:r>
      <w:r>
        <w:rPr>
          <w:rFonts w:hint="eastAsia"/>
        </w:rPr>
        <w:t>和</w:t>
      </w:r>
      <w:r>
        <w:t>35.6%</w:t>
      </w:r>
      <w:r>
        <w:rPr>
          <w:rFonts w:hint="eastAsia"/>
        </w:rPr>
        <w:t>，表明过度覆沙抑制萌发。</w:t>
      </w:r>
    </w:p>
    <w:p w14:paraId="48389AED">
      <w:pPr>
        <w:ind w:firstLine="640"/>
      </w:pPr>
      <w:r>
        <w:rPr>
          <w:rFonts w:hint="cs"/>
        </w:rPr>
        <w:t>‌</w:t>
      </w:r>
      <w:r>
        <w:rPr>
          <w:rFonts w:hint="eastAsia"/>
        </w:rPr>
        <w:t>1.5.2幼苗活力差异</w:t>
      </w:r>
      <w:r>
        <w:t>‌</w:t>
      </w:r>
    </w:p>
    <w:p w14:paraId="3E9C4F56">
      <w:pPr>
        <w:ind w:firstLine="640"/>
      </w:pPr>
      <w:r>
        <w:rPr>
          <w:rFonts w:hint="eastAsia"/>
        </w:rPr>
        <w:t>T2组胚根长（3.5 cm）和胚芽长（2.2 cm）显著优于其他组，说明适宜沙藏条件可提升种子贮藏物质转化效率，增强幼苗初期生长势。</w:t>
      </w:r>
    </w:p>
    <w:p w14:paraId="0D9C7CE6">
      <w:pPr>
        <w:ind w:firstLine="640"/>
      </w:pPr>
      <w:r>
        <w:rPr>
          <w:rFonts w:hint="eastAsia"/>
        </w:rPr>
        <w:t>CK组胚根短小（1.3 cm）且胚芽发育迟缓，反映未沙藏种子代谢活性低。</w:t>
      </w:r>
    </w:p>
    <w:p w14:paraId="00C3A58C">
      <w:pPr>
        <w:pStyle w:val="2"/>
        <w:ind w:left="640" w:firstLine="560"/>
        <w:jc w:val="center"/>
        <w:rPr>
          <w:rFonts w:hint="eastAsia" w:ascii="黑体" w:hAnsi="黑体" w:eastAsia="黑体"/>
          <w:sz w:val="28"/>
          <w:szCs w:val="21"/>
        </w:rPr>
      </w:pPr>
      <w:r>
        <w:rPr>
          <w:rFonts w:ascii="黑体" w:hAnsi="黑体" w:eastAsia="黑体"/>
          <w:sz w:val="28"/>
          <w:szCs w:val="21"/>
        </w:rPr>
        <w:drawing>
          <wp:anchor distT="0" distB="0" distL="114300" distR="114300" simplePos="0" relativeHeight="251659264" behindDoc="0" locked="0" layoutInCell="1" allowOverlap="1">
            <wp:simplePos x="0" y="0"/>
            <wp:positionH relativeFrom="column">
              <wp:posOffset>890905</wp:posOffset>
            </wp:positionH>
            <wp:positionV relativeFrom="paragraph">
              <wp:posOffset>128270</wp:posOffset>
            </wp:positionV>
            <wp:extent cx="3674110" cy="4513580"/>
            <wp:effectExtent l="0" t="0" r="2540" b="1270"/>
            <wp:wrapTopAndBottom/>
            <wp:docPr id="2" name="图片 1" descr="图片包含 侧面, 食物, 烧烤, 束&#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图片包含 侧面, 食物, 烧烤, 束&#10;&#10;AI 生成的内容可能不正确。"/>
                    <pic:cNvPicPr>
                      <a:picLocks noChangeAspect="1"/>
                    </pic:cNvPicPr>
                  </pic:nvPicPr>
                  <pic:blipFill>
                    <a:blip r:embed="rId17" cstate="print">
                      <a:extLst>
                        <a:ext uri="{28A0092B-C50C-407E-A947-70E740481C1C}">
                          <a14:useLocalDpi xmlns:a14="http://schemas.microsoft.com/office/drawing/2010/main" val="0"/>
                        </a:ext>
                      </a:extLst>
                    </a:blip>
                    <a:srcRect b="5245"/>
                    <a:stretch>
                      <a:fillRect/>
                    </a:stretch>
                  </pic:blipFill>
                  <pic:spPr>
                    <a:xfrm flipV="1">
                      <a:off x="0" y="0"/>
                      <a:ext cx="3674110" cy="4513580"/>
                    </a:xfrm>
                    <a:prstGeom prst="rect">
                      <a:avLst/>
                    </a:prstGeom>
                    <a:ln>
                      <a:noFill/>
                    </a:ln>
                  </pic:spPr>
                </pic:pic>
              </a:graphicData>
            </a:graphic>
          </wp:anchor>
        </w:drawing>
      </w:r>
      <w:r>
        <w:rPr>
          <w:rFonts w:hint="eastAsia" w:ascii="黑体" w:hAnsi="黑体" w:eastAsia="黑体"/>
          <w:sz w:val="28"/>
          <w:szCs w:val="21"/>
        </w:rPr>
        <w:t>图4 珙桐种子发芽试验</w:t>
      </w:r>
    </w:p>
    <w:p w14:paraId="47703130">
      <w:pPr>
        <w:ind w:firstLine="640"/>
      </w:pPr>
      <w:r>
        <w:rPr>
          <w:rFonts w:hint="cs"/>
        </w:rPr>
        <w:t>‌</w:t>
      </w:r>
      <w:r>
        <w:rPr>
          <w:rFonts w:hint="eastAsia"/>
        </w:rPr>
        <w:t>1.5.3霉变率与沙藏关系</w:t>
      </w:r>
      <w:r>
        <w:t>‌</w:t>
      </w:r>
    </w:p>
    <w:p w14:paraId="361BC9AB">
      <w:pPr>
        <w:ind w:firstLine="640"/>
      </w:pPr>
      <w:r>
        <w:rPr>
          <w:rFonts w:hint="eastAsia"/>
        </w:rPr>
        <w:t>沙藏处理可降低种子霉变风险（T2霉变率仅5.2%），可能因沙粒间隙改善透气性，抑制厌氧菌繁殖。</w:t>
      </w:r>
    </w:p>
    <w:p w14:paraId="631466AE">
      <w:pPr>
        <w:ind w:firstLine="640"/>
      </w:pPr>
      <w:r>
        <w:rPr>
          <w:rFonts w:hint="eastAsia"/>
        </w:rPr>
        <w:t>T4组（5:1）因沙层过厚、透气性差，霉变率回升至22.3%，与CK组接近。</w:t>
      </w:r>
    </w:p>
    <w:p w14:paraId="20B41EF1">
      <w:pPr>
        <w:ind w:firstLine="640"/>
      </w:pPr>
      <w:r>
        <w:rPr>
          <w:rFonts w:hint="eastAsia"/>
        </w:rPr>
        <w:t>1.6试验结论</w:t>
      </w:r>
    </w:p>
    <w:p w14:paraId="3913D573">
      <w:pPr>
        <w:ind w:firstLine="640"/>
      </w:pPr>
      <w:r>
        <w:rPr>
          <w:rFonts w:hint="eastAsia"/>
        </w:rPr>
        <w:t>沙种体积比2:1（T2）为珙桐种子最佳处理方案，可提高发芽率至68.3%，降低霉变风险，并促进幼苗健壮生长。</w:t>
      </w:r>
      <w:r>
        <w:rPr>
          <w:rFonts w:hint="eastAsia" w:ascii="仿宋" w:hAnsi="仿宋" w:cs="仿宋"/>
        </w:rPr>
        <w:t>育苗前建议采用</w:t>
      </w:r>
      <w:r>
        <w:t>2:1</w:t>
      </w:r>
      <w:r>
        <w:rPr>
          <w:rFonts w:hint="eastAsia"/>
        </w:rPr>
        <w:t>沙藏预处理</w:t>
      </w:r>
      <w:r>
        <w:t>60</w:t>
      </w:r>
      <w:r>
        <w:rPr>
          <w:rFonts w:hint="eastAsia"/>
        </w:rPr>
        <w:t>天，后续萌发温度控制在</w:t>
      </w:r>
      <w:r>
        <w:t>15</w:t>
      </w:r>
      <w:r>
        <w:rPr>
          <w:rFonts w:hint="eastAsia"/>
          <w:lang w:val="en-US" w:eastAsia="zh-CN"/>
        </w:rPr>
        <w:t xml:space="preserve"> </w:t>
      </w:r>
      <w:r>
        <w:rPr>
          <w:rFonts w:hint="eastAsia"/>
        </w:rPr>
        <w:t>~</w:t>
      </w:r>
      <w:r>
        <w:rPr>
          <w:rFonts w:hint="eastAsia"/>
          <w:lang w:val="en-US" w:eastAsia="zh-CN"/>
        </w:rPr>
        <w:t xml:space="preserve"> </w:t>
      </w:r>
      <w:r>
        <w:t>20</w:t>
      </w:r>
      <w:r>
        <w:rPr>
          <w:rFonts w:hint="eastAsia"/>
        </w:rPr>
        <w:t>℃，湿度维持</w:t>
      </w:r>
      <w:r>
        <w:t>60%</w:t>
      </w:r>
      <w:r>
        <w:rPr>
          <w:rFonts w:hint="eastAsia"/>
          <w:lang w:val="en-US" w:eastAsia="zh-CN"/>
        </w:rPr>
        <w:t xml:space="preserve"> </w:t>
      </w:r>
      <w:r>
        <w:rPr>
          <w:rFonts w:hint="eastAsia"/>
        </w:rPr>
        <w:t>~</w:t>
      </w:r>
      <w:r>
        <w:rPr>
          <w:rFonts w:hint="eastAsia"/>
          <w:lang w:val="en-US" w:eastAsia="zh-CN"/>
        </w:rPr>
        <w:t xml:space="preserve"> </w:t>
      </w:r>
      <w:r>
        <w:t>70%</w:t>
      </w:r>
      <w:r>
        <w:rPr>
          <w:rFonts w:hint="eastAsia"/>
        </w:rPr>
        <w:t>。</w:t>
      </w:r>
    </w:p>
    <w:p w14:paraId="48F064B5">
      <w:pPr>
        <w:ind w:firstLine="640"/>
      </w:pPr>
      <w:r>
        <w:rPr>
          <w:rFonts w:hint="eastAsia"/>
        </w:rPr>
        <w:t>2.珙桐小苗遮荫试验</w:t>
      </w:r>
    </w:p>
    <w:p w14:paraId="49545BFB">
      <w:pPr>
        <w:ind w:firstLine="640"/>
      </w:pPr>
      <w:r>
        <w:rPr>
          <w:rFonts w:hint="eastAsia"/>
        </w:rPr>
        <w:t>2.1试验材料</w:t>
      </w:r>
      <w:r>
        <w:rPr>
          <w:rFonts w:ascii="Courier New" w:hAnsi="Courier New" w:cs="Courier New"/>
        </w:rPr>
        <w:t>‌</w:t>
      </w:r>
    </w:p>
    <w:p w14:paraId="4459790F">
      <w:pPr>
        <w:ind w:firstLine="640"/>
      </w:pPr>
      <w:r>
        <w:rPr>
          <w:rFonts w:hint="eastAsia"/>
        </w:rPr>
        <w:t>选用1年生珙桐实生苗，苗高15</w:t>
      </w:r>
      <w:r>
        <w:rPr>
          <w:rFonts w:hint="eastAsia"/>
          <w:lang w:val="en-US" w:eastAsia="zh-CN"/>
        </w:rPr>
        <w:t xml:space="preserve"> </w:t>
      </w:r>
      <w:r>
        <w:rPr>
          <w:rFonts w:hint="eastAsia"/>
        </w:rPr>
        <w:t>~</w:t>
      </w:r>
      <w:r>
        <w:rPr>
          <w:rFonts w:hint="eastAsia"/>
          <w:lang w:val="en-US" w:eastAsia="zh-CN"/>
        </w:rPr>
        <w:t xml:space="preserve"> </w:t>
      </w:r>
      <w:r>
        <w:rPr>
          <w:rFonts w:hint="eastAsia"/>
        </w:rPr>
        <w:t>20 cm，地径0.3</w:t>
      </w:r>
      <w:r>
        <w:rPr>
          <w:rFonts w:hint="eastAsia"/>
          <w:lang w:val="en-US" w:eastAsia="zh-CN"/>
        </w:rPr>
        <w:t xml:space="preserve"> </w:t>
      </w:r>
      <w:r>
        <w:rPr>
          <w:rFonts w:hint="eastAsia"/>
        </w:rPr>
        <w:t>~</w:t>
      </w:r>
      <w:r>
        <w:rPr>
          <w:rFonts w:hint="eastAsia"/>
          <w:lang w:val="en-US" w:eastAsia="zh-CN"/>
        </w:rPr>
        <w:t xml:space="preserve"> </w:t>
      </w:r>
      <w:r>
        <w:rPr>
          <w:rFonts w:hint="eastAsia"/>
        </w:rPr>
        <w:t>0.5 cm，健康状况一致。遮阴网为黑色聚乙烯材质，遮光率分别为30%（T1）、50%（T2）、70%（T3），全光照作对照（CK）。试验地为温室苗床，土壤为腐殖土（pH 5.8），肥力均匀。</w:t>
      </w:r>
    </w:p>
    <w:p w14:paraId="37861C3A">
      <w:pPr>
        <w:ind w:firstLine="640"/>
      </w:pPr>
      <w:r>
        <w:rPr>
          <w:rFonts w:hint="cs"/>
        </w:rPr>
        <w:t>‌</w:t>
      </w:r>
      <w:r>
        <w:rPr>
          <w:rFonts w:hint="eastAsia"/>
        </w:rPr>
        <w:t>2.</w:t>
      </w:r>
      <w:r>
        <w:t>2</w:t>
      </w:r>
      <w:r>
        <w:rPr>
          <w:rFonts w:hint="eastAsia"/>
        </w:rPr>
        <w:t>试验设计</w:t>
      </w:r>
      <w:r>
        <w:rPr>
          <w:rFonts w:ascii="Courier New" w:hAnsi="Courier New" w:cs="Courier New"/>
        </w:rPr>
        <w:t>‌</w:t>
      </w:r>
    </w:p>
    <w:p w14:paraId="2EF5A680">
      <w:pPr>
        <w:ind w:firstLine="640"/>
      </w:pPr>
      <w:r>
        <w:rPr>
          <w:rFonts w:hint="eastAsia"/>
        </w:rPr>
        <w:t>每组遮荫处理设3次重复，每重复10株，共120株。遮</w:t>
      </w:r>
      <w:r>
        <w:rPr>
          <w:rFonts w:hint="eastAsia"/>
          <w:lang w:val="en-US" w:eastAsia="zh-CN"/>
        </w:rPr>
        <w:t>阳</w:t>
      </w:r>
      <w:r>
        <w:rPr>
          <w:rFonts w:hint="eastAsia"/>
        </w:rPr>
        <w:t>网距地面1.2 m，四周通风。随机区组排列，避免边际效应。统一管理：每周浇水2次（土壤湿度60%</w:t>
      </w:r>
      <w:r>
        <w:rPr>
          <w:rFonts w:hint="eastAsia"/>
          <w:lang w:val="en-US" w:eastAsia="zh-CN"/>
        </w:rPr>
        <w:t xml:space="preserve"> </w:t>
      </w:r>
      <w:r>
        <w:rPr>
          <w:rFonts w:hint="eastAsia"/>
        </w:rPr>
        <w:t>~</w:t>
      </w:r>
      <w:r>
        <w:rPr>
          <w:rFonts w:hint="eastAsia"/>
          <w:lang w:val="en-US" w:eastAsia="zh-CN"/>
        </w:rPr>
        <w:t xml:space="preserve"> </w:t>
      </w:r>
      <w:r>
        <w:rPr>
          <w:rFonts w:hint="eastAsia"/>
        </w:rPr>
        <w:t>70%），每月施用缓释肥（N-P-K=15-15-15）10 g/株。</w:t>
      </w:r>
    </w:p>
    <w:p w14:paraId="210156A4">
      <w:pPr>
        <w:ind w:firstLine="640"/>
      </w:pPr>
      <w:r>
        <w:rPr>
          <w:rFonts w:hint="cs"/>
        </w:rPr>
        <w:t>‌</w:t>
      </w:r>
      <w:r>
        <w:rPr>
          <w:rFonts w:hint="eastAsia"/>
        </w:rPr>
        <w:t>2.</w:t>
      </w:r>
      <w:r>
        <w:t xml:space="preserve">3 </w:t>
      </w:r>
      <w:r>
        <w:rPr>
          <w:rFonts w:hint="eastAsia"/>
        </w:rPr>
        <w:t>指标测定</w:t>
      </w:r>
      <w:r>
        <w:rPr>
          <w:rFonts w:ascii="Courier New" w:hAnsi="Courier New" w:cs="Courier New"/>
        </w:rPr>
        <w:t>‌</w:t>
      </w:r>
    </w:p>
    <w:p w14:paraId="4B6598C2">
      <w:pPr>
        <w:ind w:firstLine="640"/>
      </w:pPr>
      <w:r>
        <w:rPr>
          <w:rFonts w:hint="cs"/>
        </w:rPr>
        <w:t>‌</w:t>
      </w:r>
      <w:r>
        <w:rPr>
          <w:rFonts w:hint="eastAsia"/>
        </w:rPr>
        <w:t>形态指标</w:t>
      </w:r>
      <w:r>
        <w:rPr>
          <w:rFonts w:ascii="Courier New" w:hAnsi="Courier New" w:cs="Courier New"/>
        </w:rPr>
        <w:t>‌</w:t>
      </w:r>
      <w:r>
        <w:rPr>
          <w:rFonts w:hint="eastAsia" w:ascii="仿宋" w:hAnsi="仿宋" w:cs="仿宋"/>
        </w:rPr>
        <w:t>：每隔</w:t>
      </w:r>
      <w:r>
        <w:t>2</w:t>
      </w:r>
      <w:r>
        <w:rPr>
          <w:rFonts w:hint="eastAsia"/>
        </w:rPr>
        <w:t>周测定株高、地径、新叶数；试验末期统计叶片灼伤率。</w:t>
      </w:r>
    </w:p>
    <w:p w14:paraId="13A239C0">
      <w:pPr>
        <w:ind w:firstLine="640"/>
      </w:pPr>
      <w:r>
        <w:rPr>
          <w:rFonts w:hint="cs"/>
        </w:rPr>
        <w:t>‌</w:t>
      </w:r>
      <w:r>
        <w:rPr>
          <w:rFonts w:hint="eastAsia"/>
        </w:rPr>
        <w:t>生理指标</w:t>
      </w:r>
      <w:r>
        <w:rPr>
          <w:rFonts w:ascii="Courier New" w:hAnsi="Courier New" w:cs="Courier New"/>
        </w:rPr>
        <w:t>‌</w:t>
      </w:r>
      <w:r>
        <w:rPr>
          <w:rFonts w:hint="eastAsia" w:ascii="仿宋" w:hAnsi="仿宋" w:cs="仿宋"/>
        </w:rPr>
        <w:t>：第</w:t>
      </w:r>
      <w:r>
        <w:t>4</w:t>
      </w:r>
      <w:r>
        <w:rPr>
          <w:rFonts w:hint="eastAsia"/>
        </w:rPr>
        <w:t>、</w:t>
      </w:r>
      <w:r>
        <w:t>8</w:t>
      </w:r>
      <w:r>
        <w:rPr>
          <w:rFonts w:hint="eastAsia"/>
        </w:rPr>
        <w:t>、</w:t>
      </w:r>
      <w:r>
        <w:t>12</w:t>
      </w:r>
      <w:r>
        <w:rPr>
          <w:rFonts w:hint="eastAsia"/>
        </w:rPr>
        <w:t>周测定叶绿素（</w:t>
      </w:r>
      <w:r>
        <w:t>SPAD</w:t>
      </w:r>
      <w:r>
        <w:rPr>
          <w:rFonts w:hint="eastAsia"/>
        </w:rPr>
        <w:t>值）、光合速率（</w:t>
      </w:r>
      <w:r>
        <w:t>LI-6800</w:t>
      </w:r>
      <w:r>
        <w:rPr>
          <w:rFonts w:hint="eastAsia"/>
        </w:rPr>
        <w:t>光合仪）。</w:t>
      </w:r>
    </w:p>
    <w:p w14:paraId="518E241C">
      <w:pPr>
        <w:ind w:firstLine="640"/>
      </w:pPr>
      <w:r>
        <w:rPr>
          <w:rFonts w:hint="cs"/>
        </w:rPr>
        <w:t>‌</w:t>
      </w:r>
      <w:r>
        <w:rPr>
          <w:rFonts w:hint="eastAsia"/>
        </w:rPr>
        <w:t>生物量</w:t>
      </w:r>
      <w:r>
        <w:rPr>
          <w:rFonts w:ascii="Courier New" w:hAnsi="Courier New" w:cs="Courier New"/>
        </w:rPr>
        <w:t>‌</w:t>
      </w:r>
      <w:r>
        <w:rPr>
          <w:rFonts w:hint="eastAsia" w:ascii="仿宋" w:hAnsi="仿宋" w:cs="仿宋"/>
        </w:rPr>
        <w:t>：试验结束后分离根、茎、叶，测定鲜重和烘干后干重（</w:t>
      </w:r>
      <w:r>
        <w:t>80</w:t>
      </w:r>
      <w:r>
        <w:rPr>
          <w:rFonts w:hint="eastAsia"/>
        </w:rPr>
        <w:t>℃至恒重）。</w:t>
      </w:r>
    </w:p>
    <w:p w14:paraId="550C2A33">
      <w:pPr>
        <w:ind w:firstLine="640"/>
      </w:pPr>
      <w:r>
        <w:rPr>
          <w:rFonts w:hint="eastAsia"/>
        </w:rPr>
        <w:t>2.4试验结果</w:t>
      </w:r>
    </w:p>
    <w:p w14:paraId="4EBBD32C">
      <w:pPr>
        <w:ind w:firstLine="480"/>
        <w:jc w:val="center"/>
        <w:rPr>
          <w:rFonts w:hint="eastAsia" w:ascii="黑体" w:hAnsi="黑体" w:eastAsia="黑体"/>
          <w:sz w:val="24"/>
          <w:szCs w:val="20"/>
        </w:rPr>
      </w:pPr>
      <w:r>
        <w:rPr>
          <w:rFonts w:hint="eastAsia" w:ascii="黑体" w:hAnsi="黑体" w:eastAsia="黑体"/>
          <w:sz w:val="24"/>
          <w:szCs w:val="20"/>
        </w:rPr>
        <w:t>表3  珙桐小苗遮荫试验结果</w:t>
      </w:r>
    </w:p>
    <w:tbl>
      <w:tblPr>
        <w:tblStyle w:val="18"/>
        <w:tblW w:w="8977" w:type="dxa"/>
        <w:jc w:val="center"/>
        <w:tblLayout w:type="autofit"/>
        <w:tblCellMar>
          <w:top w:w="0" w:type="dxa"/>
          <w:left w:w="108" w:type="dxa"/>
          <w:bottom w:w="0" w:type="dxa"/>
          <w:right w:w="108" w:type="dxa"/>
        </w:tblCellMar>
      </w:tblPr>
      <w:tblGrid>
        <w:gridCol w:w="1427"/>
        <w:gridCol w:w="1273"/>
        <w:gridCol w:w="1113"/>
        <w:gridCol w:w="1390"/>
        <w:gridCol w:w="1576"/>
        <w:gridCol w:w="1244"/>
        <w:gridCol w:w="954"/>
      </w:tblGrid>
      <w:tr w14:paraId="7077C8AF">
        <w:tblPrEx>
          <w:tblCellMar>
            <w:top w:w="0" w:type="dxa"/>
            <w:left w:w="108" w:type="dxa"/>
            <w:bottom w:w="0" w:type="dxa"/>
            <w:right w:w="108" w:type="dxa"/>
          </w:tblCellMar>
        </w:tblPrEx>
        <w:trPr>
          <w:trHeight w:val="1088" w:hRule="atLeast"/>
          <w:jc w:val="center"/>
        </w:trPr>
        <w:tc>
          <w:tcPr>
            <w:tcW w:w="1427" w:type="dxa"/>
            <w:tcBorders>
              <w:top w:val="single" w:color="auto" w:sz="4" w:space="0"/>
              <w:left w:val="single" w:color="auto" w:sz="4" w:space="0"/>
              <w:bottom w:val="single" w:color="auto" w:sz="4" w:space="0"/>
              <w:right w:val="single" w:color="auto" w:sz="4" w:space="0"/>
            </w:tcBorders>
            <w:shd w:val="clear" w:color="auto" w:fill="auto"/>
            <w:vAlign w:val="center"/>
          </w:tcPr>
          <w:p w14:paraId="16A1275D">
            <w:pPr>
              <w:ind w:firstLine="0" w:firstLineChars="0"/>
              <w:jc w:val="center"/>
              <w:rPr>
                <w:rFonts w:eastAsia="宋体"/>
                <w:sz w:val="22"/>
              </w:rPr>
            </w:pPr>
            <w:r>
              <w:rPr>
                <w:rFonts w:eastAsia="宋体"/>
                <w:sz w:val="22"/>
              </w:rPr>
              <w:t>处理组‌</w:t>
            </w:r>
          </w:p>
        </w:tc>
        <w:tc>
          <w:tcPr>
            <w:tcW w:w="1273" w:type="dxa"/>
            <w:tcBorders>
              <w:top w:val="single" w:color="auto" w:sz="4" w:space="0"/>
              <w:left w:val="nil"/>
              <w:bottom w:val="single" w:color="auto" w:sz="4" w:space="0"/>
              <w:right w:val="single" w:color="auto" w:sz="4" w:space="0"/>
            </w:tcBorders>
            <w:shd w:val="clear" w:color="auto" w:fill="auto"/>
            <w:vAlign w:val="center"/>
          </w:tcPr>
          <w:p w14:paraId="3F6FCF3C">
            <w:pPr>
              <w:ind w:firstLine="0" w:firstLineChars="0"/>
              <w:jc w:val="center"/>
              <w:rPr>
                <w:rFonts w:eastAsia="宋体"/>
                <w:sz w:val="22"/>
              </w:rPr>
            </w:pPr>
            <w:r>
              <w:rPr>
                <w:rFonts w:eastAsia="宋体"/>
                <w:sz w:val="22"/>
              </w:rPr>
              <w:t>株高增长（cm）‌</w:t>
            </w:r>
          </w:p>
        </w:tc>
        <w:tc>
          <w:tcPr>
            <w:tcW w:w="1113" w:type="dxa"/>
            <w:tcBorders>
              <w:top w:val="single" w:color="auto" w:sz="4" w:space="0"/>
              <w:left w:val="nil"/>
              <w:bottom w:val="single" w:color="auto" w:sz="4" w:space="0"/>
              <w:right w:val="single" w:color="auto" w:sz="4" w:space="0"/>
            </w:tcBorders>
            <w:shd w:val="clear" w:color="auto" w:fill="auto"/>
            <w:vAlign w:val="center"/>
          </w:tcPr>
          <w:p w14:paraId="3F6E1055">
            <w:pPr>
              <w:ind w:firstLine="0" w:firstLineChars="0"/>
              <w:jc w:val="center"/>
              <w:rPr>
                <w:rFonts w:eastAsia="宋体"/>
                <w:sz w:val="22"/>
              </w:rPr>
            </w:pPr>
            <w:r>
              <w:rPr>
                <w:rFonts w:eastAsia="宋体"/>
                <w:sz w:val="22"/>
              </w:rPr>
              <w:t>‌地径增粗（mm）‌</w:t>
            </w:r>
          </w:p>
        </w:tc>
        <w:tc>
          <w:tcPr>
            <w:tcW w:w="1390" w:type="dxa"/>
            <w:tcBorders>
              <w:top w:val="single" w:color="auto" w:sz="4" w:space="0"/>
              <w:left w:val="nil"/>
              <w:bottom w:val="single" w:color="auto" w:sz="4" w:space="0"/>
              <w:right w:val="single" w:color="auto" w:sz="4" w:space="0"/>
            </w:tcBorders>
            <w:shd w:val="clear" w:color="auto" w:fill="auto"/>
            <w:vAlign w:val="center"/>
          </w:tcPr>
          <w:p w14:paraId="7C75570E">
            <w:pPr>
              <w:ind w:firstLine="0" w:firstLineChars="0"/>
              <w:jc w:val="center"/>
              <w:rPr>
                <w:rFonts w:eastAsia="宋体"/>
                <w:sz w:val="22"/>
              </w:rPr>
            </w:pPr>
            <w:r>
              <w:rPr>
                <w:rFonts w:eastAsia="宋体"/>
                <w:sz w:val="22"/>
              </w:rPr>
              <w:t>叶绿素（SPAD）‌</w:t>
            </w:r>
          </w:p>
        </w:tc>
        <w:tc>
          <w:tcPr>
            <w:tcW w:w="1576" w:type="dxa"/>
            <w:tcBorders>
              <w:top w:val="single" w:color="auto" w:sz="4" w:space="0"/>
              <w:left w:val="nil"/>
              <w:bottom w:val="single" w:color="auto" w:sz="4" w:space="0"/>
              <w:right w:val="single" w:color="auto" w:sz="4" w:space="0"/>
            </w:tcBorders>
            <w:shd w:val="clear" w:color="auto" w:fill="auto"/>
            <w:vAlign w:val="center"/>
          </w:tcPr>
          <w:p w14:paraId="3C99AD8C">
            <w:pPr>
              <w:ind w:firstLine="0" w:firstLineChars="0"/>
              <w:jc w:val="center"/>
              <w:rPr>
                <w:rFonts w:eastAsia="宋体"/>
                <w:sz w:val="22"/>
              </w:rPr>
            </w:pPr>
            <w:r>
              <w:rPr>
                <w:rFonts w:eastAsia="宋体"/>
                <w:sz w:val="22"/>
              </w:rPr>
              <w:t>‌光合速率（μmol/m²/s）‌</w:t>
            </w:r>
          </w:p>
        </w:tc>
        <w:tc>
          <w:tcPr>
            <w:tcW w:w="1244" w:type="dxa"/>
            <w:tcBorders>
              <w:top w:val="single" w:color="auto" w:sz="4" w:space="0"/>
              <w:left w:val="nil"/>
              <w:bottom w:val="single" w:color="auto" w:sz="4" w:space="0"/>
              <w:right w:val="single" w:color="auto" w:sz="4" w:space="0"/>
            </w:tcBorders>
            <w:shd w:val="clear" w:color="auto" w:fill="auto"/>
            <w:vAlign w:val="center"/>
          </w:tcPr>
          <w:p w14:paraId="6EA39844">
            <w:pPr>
              <w:ind w:firstLine="0" w:firstLineChars="0"/>
              <w:jc w:val="center"/>
              <w:rPr>
                <w:rFonts w:eastAsia="宋体"/>
                <w:sz w:val="22"/>
              </w:rPr>
            </w:pPr>
            <w:r>
              <w:rPr>
                <w:rFonts w:eastAsia="宋体"/>
                <w:sz w:val="22"/>
              </w:rPr>
              <w:t>‌根冠比‌</w:t>
            </w:r>
          </w:p>
        </w:tc>
        <w:tc>
          <w:tcPr>
            <w:tcW w:w="954" w:type="dxa"/>
            <w:tcBorders>
              <w:top w:val="single" w:color="auto" w:sz="4" w:space="0"/>
              <w:left w:val="nil"/>
              <w:bottom w:val="single" w:color="auto" w:sz="4" w:space="0"/>
              <w:right w:val="single" w:color="auto" w:sz="4" w:space="0"/>
            </w:tcBorders>
            <w:shd w:val="clear" w:color="auto" w:fill="auto"/>
            <w:vAlign w:val="center"/>
          </w:tcPr>
          <w:p w14:paraId="151562B0">
            <w:pPr>
              <w:ind w:firstLine="0" w:firstLineChars="0"/>
              <w:jc w:val="center"/>
              <w:rPr>
                <w:rFonts w:eastAsia="宋体"/>
                <w:sz w:val="22"/>
              </w:rPr>
            </w:pPr>
            <w:r>
              <w:rPr>
                <w:rFonts w:eastAsia="宋体"/>
                <w:sz w:val="22"/>
              </w:rPr>
              <w:t>‌死亡率（%）‌</w:t>
            </w:r>
          </w:p>
        </w:tc>
      </w:tr>
      <w:tr w14:paraId="5DBA82CF">
        <w:tblPrEx>
          <w:tblCellMar>
            <w:top w:w="0" w:type="dxa"/>
            <w:left w:w="108" w:type="dxa"/>
            <w:bottom w:w="0" w:type="dxa"/>
            <w:right w:w="108" w:type="dxa"/>
          </w:tblCellMar>
        </w:tblPrEx>
        <w:trPr>
          <w:trHeight w:val="571" w:hRule="atLeast"/>
          <w:jc w:val="center"/>
        </w:trPr>
        <w:tc>
          <w:tcPr>
            <w:tcW w:w="1427" w:type="dxa"/>
            <w:tcBorders>
              <w:top w:val="nil"/>
              <w:left w:val="single" w:color="auto" w:sz="4" w:space="0"/>
              <w:bottom w:val="single" w:color="auto" w:sz="4" w:space="0"/>
              <w:right w:val="single" w:color="auto" w:sz="4" w:space="0"/>
            </w:tcBorders>
            <w:shd w:val="clear" w:color="auto" w:fill="auto"/>
            <w:vAlign w:val="center"/>
          </w:tcPr>
          <w:p w14:paraId="3E5ADE1B">
            <w:pPr>
              <w:ind w:firstLine="0" w:firstLineChars="0"/>
              <w:jc w:val="center"/>
              <w:rPr>
                <w:rFonts w:eastAsia="宋体"/>
                <w:sz w:val="22"/>
              </w:rPr>
            </w:pPr>
            <w:r>
              <w:rPr>
                <w:rFonts w:eastAsia="宋体"/>
                <w:sz w:val="22"/>
              </w:rPr>
              <w:t>CK（0%）</w:t>
            </w:r>
          </w:p>
        </w:tc>
        <w:tc>
          <w:tcPr>
            <w:tcW w:w="1273" w:type="dxa"/>
            <w:tcBorders>
              <w:top w:val="nil"/>
              <w:left w:val="nil"/>
              <w:bottom w:val="single" w:color="auto" w:sz="4" w:space="0"/>
              <w:right w:val="single" w:color="auto" w:sz="4" w:space="0"/>
            </w:tcBorders>
            <w:shd w:val="clear" w:color="auto" w:fill="auto"/>
            <w:vAlign w:val="center"/>
          </w:tcPr>
          <w:p w14:paraId="3F078774">
            <w:pPr>
              <w:ind w:firstLine="0" w:firstLineChars="0"/>
              <w:jc w:val="center"/>
              <w:rPr>
                <w:rFonts w:eastAsia="宋体"/>
                <w:sz w:val="22"/>
              </w:rPr>
            </w:pPr>
            <w:r>
              <w:rPr>
                <w:rFonts w:eastAsia="宋体"/>
                <w:sz w:val="22"/>
              </w:rPr>
              <w:t>8.2 ± 1.3</w:t>
            </w:r>
          </w:p>
        </w:tc>
        <w:tc>
          <w:tcPr>
            <w:tcW w:w="1113" w:type="dxa"/>
            <w:tcBorders>
              <w:top w:val="nil"/>
              <w:left w:val="nil"/>
              <w:bottom w:val="single" w:color="auto" w:sz="4" w:space="0"/>
              <w:right w:val="single" w:color="auto" w:sz="4" w:space="0"/>
            </w:tcBorders>
            <w:shd w:val="clear" w:color="auto" w:fill="auto"/>
            <w:vAlign w:val="center"/>
          </w:tcPr>
          <w:p w14:paraId="1EE43839">
            <w:pPr>
              <w:ind w:firstLine="0" w:firstLineChars="0"/>
              <w:jc w:val="center"/>
              <w:rPr>
                <w:rFonts w:eastAsia="宋体"/>
                <w:sz w:val="22"/>
              </w:rPr>
            </w:pPr>
            <w:r>
              <w:rPr>
                <w:rFonts w:eastAsia="宋体"/>
                <w:sz w:val="22"/>
              </w:rPr>
              <w:t>0.5 ± 0.1</w:t>
            </w:r>
          </w:p>
        </w:tc>
        <w:tc>
          <w:tcPr>
            <w:tcW w:w="1390" w:type="dxa"/>
            <w:tcBorders>
              <w:top w:val="nil"/>
              <w:left w:val="nil"/>
              <w:bottom w:val="single" w:color="auto" w:sz="4" w:space="0"/>
              <w:right w:val="single" w:color="auto" w:sz="4" w:space="0"/>
            </w:tcBorders>
            <w:shd w:val="clear" w:color="auto" w:fill="auto"/>
            <w:vAlign w:val="center"/>
          </w:tcPr>
          <w:p w14:paraId="344D9655">
            <w:pPr>
              <w:ind w:firstLine="0" w:firstLineChars="0"/>
              <w:jc w:val="center"/>
              <w:rPr>
                <w:rFonts w:eastAsia="宋体"/>
                <w:sz w:val="22"/>
              </w:rPr>
            </w:pPr>
            <w:r>
              <w:rPr>
                <w:rFonts w:eastAsia="宋体"/>
                <w:sz w:val="22"/>
              </w:rPr>
              <w:t>32.4 ± 2.1</w:t>
            </w:r>
          </w:p>
        </w:tc>
        <w:tc>
          <w:tcPr>
            <w:tcW w:w="1576" w:type="dxa"/>
            <w:tcBorders>
              <w:top w:val="nil"/>
              <w:left w:val="nil"/>
              <w:bottom w:val="single" w:color="auto" w:sz="4" w:space="0"/>
              <w:right w:val="single" w:color="auto" w:sz="4" w:space="0"/>
            </w:tcBorders>
            <w:shd w:val="clear" w:color="auto" w:fill="auto"/>
            <w:vAlign w:val="center"/>
          </w:tcPr>
          <w:p w14:paraId="1F8D1A7D">
            <w:pPr>
              <w:ind w:firstLine="0" w:firstLineChars="0"/>
              <w:jc w:val="center"/>
              <w:rPr>
                <w:rFonts w:eastAsia="宋体"/>
                <w:sz w:val="22"/>
              </w:rPr>
            </w:pPr>
            <w:r>
              <w:rPr>
                <w:rFonts w:eastAsia="宋体"/>
                <w:sz w:val="22"/>
              </w:rPr>
              <w:t>6.8 ± 0.9</w:t>
            </w:r>
          </w:p>
        </w:tc>
        <w:tc>
          <w:tcPr>
            <w:tcW w:w="1244" w:type="dxa"/>
            <w:tcBorders>
              <w:top w:val="nil"/>
              <w:left w:val="nil"/>
              <w:bottom w:val="single" w:color="auto" w:sz="4" w:space="0"/>
              <w:right w:val="single" w:color="auto" w:sz="4" w:space="0"/>
            </w:tcBorders>
            <w:shd w:val="clear" w:color="auto" w:fill="auto"/>
            <w:vAlign w:val="center"/>
          </w:tcPr>
          <w:p w14:paraId="033DFE90">
            <w:pPr>
              <w:ind w:firstLine="0" w:firstLineChars="0"/>
              <w:jc w:val="center"/>
              <w:rPr>
                <w:rFonts w:eastAsia="宋体"/>
                <w:sz w:val="22"/>
              </w:rPr>
            </w:pPr>
            <w:r>
              <w:rPr>
                <w:rFonts w:eastAsia="宋体"/>
                <w:sz w:val="22"/>
              </w:rPr>
              <w:t>0.25 ± 0.03</w:t>
            </w:r>
          </w:p>
        </w:tc>
        <w:tc>
          <w:tcPr>
            <w:tcW w:w="954" w:type="dxa"/>
            <w:tcBorders>
              <w:top w:val="nil"/>
              <w:left w:val="nil"/>
              <w:bottom w:val="single" w:color="auto" w:sz="4" w:space="0"/>
              <w:right w:val="single" w:color="auto" w:sz="4" w:space="0"/>
            </w:tcBorders>
            <w:shd w:val="clear" w:color="auto" w:fill="auto"/>
            <w:vAlign w:val="center"/>
          </w:tcPr>
          <w:p w14:paraId="7C5B82EC">
            <w:pPr>
              <w:ind w:firstLine="0" w:firstLineChars="0"/>
              <w:jc w:val="center"/>
              <w:rPr>
                <w:rFonts w:eastAsia="宋体"/>
                <w:sz w:val="22"/>
              </w:rPr>
            </w:pPr>
            <w:r>
              <w:rPr>
                <w:rFonts w:eastAsia="宋体"/>
                <w:sz w:val="22"/>
              </w:rPr>
              <w:t>25%</w:t>
            </w:r>
          </w:p>
        </w:tc>
      </w:tr>
      <w:tr w14:paraId="607E0EC4">
        <w:tblPrEx>
          <w:tblCellMar>
            <w:top w:w="0" w:type="dxa"/>
            <w:left w:w="108" w:type="dxa"/>
            <w:bottom w:w="0" w:type="dxa"/>
            <w:right w:w="108" w:type="dxa"/>
          </w:tblCellMar>
        </w:tblPrEx>
        <w:trPr>
          <w:trHeight w:val="571" w:hRule="atLeast"/>
          <w:jc w:val="center"/>
        </w:trPr>
        <w:tc>
          <w:tcPr>
            <w:tcW w:w="1427" w:type="dxa"/>
            <w:tcBorders>
              <w:top w:val="nil"/>
              <w:left w:val="single" w:color="auto" w:sz="4" w:space="0"/>
              <w:bottom w:val="single" w:color="auto" w:sz="4" w:space="0"/>
              <w:right w:val="single" w:color="auto" w:sz="4" w:space="0"/>
            </w:tcBorders>
            <w:shd w:val="clear" w:color="auto" w:fill="auto"/>
            <w:vAlign w:val="center"/>
          </w:tcPr>
          <w:p w14:paraId="57391F55">
            <w:pPr>
              <w:ind w:firstLine="0" w:firstLineChars="0"/>
              <w:jc w:val="center"/>
              <w:rPr>
                <w:rFonts w:eastAsia="宋体"/>
                <w:sz w:val="22"/>
              </w:rPr>
            </w:pPr>
            <w:r>
              <w:rPr>
                <w:rFonts w:eastAsia="宋体"/>
                <w:sz w:val="22"/>
              </w:rPr>
              <w:t>T1（30%）</w:t>
            </w:r>
          </w:p>
        </w:tc>
        <w:tc>
          <w:tcPr>
            <w:tcW w:w="1273" w:type="dxa"/>
            <w:tcBorders>
              <w:top w:val="nil"/>
              <w:left w:val="nil"/>
              <w:bottom w:val="single" w:color="auto" w:sz="4" w:space="0"/>
              <w:right w:val="single" w:color="auto" w:sz="4" w:space="0"/>
            </w:tcBorders>
            <w:shd w:val="clear" w:color="auto" w:fill="auto"/>
            <w:vAlign w:val="center"/>
          </w:tcPr>
          <w:p w14:paraId="4573DB71">
            <w:pPr>
              <w:ind w:firstLine="0" w:firstLineChars="0"/>
              <w:jc w:val="center"/>
              <w:rPr>
                <w:rFonts w:eastAsia="宋体"/>
                <w:sz w:val="22"/>
              </w:rPr>
            </w:pPr>
            <w:r>
              <w:rPr>
                <w:rFonts w:eastAsia="宋体"/>
                <w:sz w:val="22"/>
              </w:rPr>
              <w:t>12.5 ± 1.8</w:t>
            </w:r>
          </w:p>
        </w:tc>
        <w:tc>
          <w:tcPr>
            <w:tcW w:w="1113" w:type="dxa"/>
            <w:tcBorders>
              <w:top w:val="nil"/>
              <w:left w:val="nil"/>
              <w:bottom w:val="single" w:color="auto" w:sz="4" w:space="0"/>
              <w:right w:val="single" w:color="auto" w:sz="4" w:space="0"/>
            </w:tcBorders>
            <w:shd w:val="clear" w:color="auto" w:fill="auto"/>
            <w:vAlign w:val="center"/>
          </w:tcPr>
          <w:p w14:paraId="08B6568B">
            <w:pPr>
              <w:ind w:firstLine="0" w:firstLineChars="0"/>
              <w:jc w:val="center"/>
              <w:rPr>
                <w:rFonts w:eastAsia="宋体"/>
                <w:sz w:val="22"/>
              </w:rPr>
            </w:pPr>
            <w:r>
              <w:rPr>
                <w:rFonts w:eastAsia="宋体"/>
                <w:sz w:val="22"/>
              </w:rPr>
              <w:t>0.8 ± 0.2</w:t>
            </w:r>
          </w:p>
        </w:tc>
        <w:tc>
          <w:tcPr>
            <w:tcW w:w="1390" w:type="dxa"/>
            <w:tcBorders>
              <w:top w:val="nil"/>
              <w:left w:val="nil"/>
              <w:bottom w:val="single" w:color="auto" w:sz="4" w:space="0"/>
              <w:right w:val="single" w:color="auto" w:sz="4" w:space="0"/>
            </w:tcBorders>
            <w:shd w:val="clear" w:color="auto" w:fill="auto"/>
            <w:vAlign w:val="center"/>
          </w:tcPr>
          <w:p w14:paraId="5622D9D4">
            <w:pPr>
              <w:ind w:firstLine="0" w:firstLineChars="0"/>
              <w:jc w:val="center"/>
              <w:rPr>
                <w:rFonts w:eastAsia="宋体"/>
                <w:sz w:val="22"/>
              </w:rPr>
            </w:pPr>
            <w:r>
              <w:rPr>
                <w:rFonts w:eastAsia="宋体"/>
                <w:sz w:val="22"/>
              </w:rPr>
              <w:t>38.6 ± 3.0</w:t>
            </w:r>
          </w:p>
        </w:tc>
        <w:tc>
          <w:tcPr>
            <w:tcW w:w="1576" w:type="dxa"/>
            <w:tcBorders>
              <w:top w:val="nil"/>
              <w:left w:val="nil"/>
              <w:bottom w:val="single" w:color="auto" w:sz="4" w:space="0"/>
              <w:right w:val="single" w:color="auto" w:sz="4" w:space="0"/>
            </w:tcBorders>
            <w:shd w:val="clear" w:color="auto" w:fill="auto"/>
            <w:vAlign w:val="center"/>
          </w:tcPr>
          <w:p w14:paraId="120B70DC">
            <w:pPr>
              <w:ind w:firstLine="0" w:firstLineChars="0"/>
              <w:jc w:val="center"/>
              <w:rPr>
                <w:rFonts w:eastAsia="宋体"/>
                <w:sz w:val="22"/>
              </w:rPr>
            </w:pPr>
            <w:r>
              <w:rPr>
                <w:rFonts w:eastAsia="宋体"/>
                <w:sz w:val="22"/>
              </w:rPr>
              <w:t>9.2 ± 1.1</w:t>
            </w:r>
          </w:p>
        </w:tc>
        <w:tc>
          <w:tcPr>
            <w:tcW w:w="1244" w:type="dxa"/>
            <w:tcBorders>
              <w:top w:val="nil"/>
              <w:left w:val="nil"/>
              <w:bottom w:val="single" w:color="auto" w:sz="4" w:space="0"/>
              <w:right w:val="single" w:color="auto" w:sz="4" w:space="0"/>
            </w:tcBorders>
            <w:shd w:val="clear" w:color="auto" w:fill="auto"/>
            <w:vAlign w:val="center"/>
          </w:tcPr>
          <w:p w14:paraId="5BF56F67">
            <w:pPr>
              <w:ind w:firstLine="0" w:firstLineChars="0"/>
              <w:jc w:val="center"/>
              <w:rPr>
                <w:rFonts w:eastAsia="宋体"/>
                <w:sz w:val="22"/>
              </w:rPr>
            </w:pPr>
            <w:r>
              <w:rPr>
                <w:rFonts w:eastAsia="宋体"/>
                <w:sz w:val="22"/>
              </w:rPr>
              <w:t>0.35 ± 0.04</w:t>
            </w:r>
          </w:p>
        </w:tc>
        <w:tc>
          <w:tcPr>
            <w:tcW w:w="954" w:type="dxa"/>
            <w:tcBorders>
              <w:top w:val="nil"/>
              <w:left w:val="nil"/>
              <w:bottom w:val="single" w:color="auto" w:sz="4" w:space="0"/>
              <w:right w:val="single" w:color="auto" w:sz="4" w:space="0"/>
            </w:tcBorders>
            <w:shd w:val="clear" w:color="auto" w:fill="auto"/>
            <w:vAlign w:val="center"/>
          </w:tcPr>
          <w:p w14:paraId="71BFA732">
            <w:pPr>
              <w:ind w:firstLine="0" w:firstLineChars="0"/>
              <w:jc w:val="center"/>
              <w:rPr>
                <w:rFonts w:eastAsia="宋体"/>
                <w:sz w:val="22"/>
              </w:rPr>
            </w:pPr>
            <w:r>
              <w:rPr>
                <w:rFonts w:eastAsia="宋体"/>
                <w:sz w:val="22"/>
              </w:rPr>
              <w:t>5%</w:t>
            </w:r>
          </w:p>
        </w:tc>
      </w:tr>
      <w:tr w14:paraId="0B2B2E0F">
        <w:tblPrEx>
          <w:tblCellMar>
            <w:top w:w="0" w:type="dxa"/>
            <w:left w:w="108" w:type="dxa"/>
            <w:bottom w:w="0" w:type="dxa"/>
            <w:right w:w="108" w:type="dxa"/>
          </w:tblCellMar>
        </w:tblPrEx>
        <w:trPr>
          <w:trHeight w:val="571" w:hRule="atLeast"/>
          <w:jc w:val="center"/>
        </w:trPr>
        <w:tc>
          <w:tcPr>
            <w:tcW w:w="1427" w:type="dxa"/>
            <w:tcBorders>
              <w:top w:val="nil"/>
              <w:left w:val="single" w:color="auto" w:sz="4" w:space="0"/>
              <w:bottom w:val="single" w:color="auto" w:sz="4" w:space="0"/>
              <w:right w:val="single" w:color="auto" w:sz="4" w:space="0"/>
            </w:tcBorders>
            <w:shd w:val="clear" w:color="auto" w:fill="auto"/>
            <w:vAlign w:val="center"/>
          </w:tcPr>
          <w:p w14:paraId="5F095ABB">
            <w:pPr>
              <w:ind w:firstLine="0" w:firstLineChars="0"/>
              <w:jc w:val="center"/>
              <w:rPr>
                <w:rFonts w:eastAsia="宋体"/>
                <w:sz w:val="22"/>
              </w:rPr>
            </w:pPr>
            <w:r>
              <w:rPr>
                <w:rFonts w:eastAsia="宋体"/>
                <w:sz w:val="22"/>
              </w:rPr>
              <w:t>T2（50%）</w:t>
            </w:r>
          </w:p>
        </w:tc>
        <w:tc>
          <w:tcPr>
            <w:tcW w:w="1273" w:type="dxa"/>
            <w:tcBorders>
              <w:top w:val="nil"/>
              <w:left w:val="nil"/>
              <w:bottom w:val="single" w:color="auto" w:sz="4" w:space="0"/>
              <w:right w:val="single" w:color="auto" w:sz="4" w:space="0"/>
            </w:tcBorders>
            <w:shd w:val="clear" w:color="auto" w:fill="auto"/>
            <w:vAlign w:val="center"/>
          </w:tcPr>
          <w:p w14:paraId="04EA967F">
            <w:pPr>
              <w:ind w:firstLine="0" w:firstLineChars="0"/>
              <w:jc w:val="center"/>
              <w:rPr>
                <w:rFonts w:eastAsia="宋体"/>
                <w:sz w:val="22"/>
              </w:rPr>
            </w:pPr>
            <w:r>
              <w:rPr>
                <w:rFonts w:eastAsia="宋体"/>
                <w:sz w:val="22"/>
              </w:rPr>
              <w:t>14.0 ± 2.0</w:t>
            </w:r>
          </w:p>
        </w:tc>
        <w:tc>
          <w:tcPr>
            <w:tcW w:w="1113" w:type="dxa"/>
            <w:tcBorders>
              <w:top w:val="nil"/>
              <w:left w:val="nil"/>
              <w:bottom w:val="single" w:color="auto" w:sz="4" w:space="0"/>
              <w:right w:val="single" w:color="auto" w:sz="4" w:space="0"/>
            </w:tcBorders>
            <w:shd w:val="clear" w:color="auto" w:fill="auto"/>
            <w:vAlign w:val="center"/>
          </w:tcPr>
          <w:p w14:paraId="369C4274">
            <w:pPr>
              <w:ind w:firstLine="0" w:firstLineChars="0"/>
              <w:jc w:val="center"/>
              <w:rPr>
                <w:rFonts w:eastAsia="宋体"/>
                <w:sz w:val="22"/>
              </w:rPr>
            </w:pPr>
            <w:r>
              <w:rPr>
                <w:rFonts w:eastAsia="宋体"/>
                <w:sz w:val="22"/>
              </w:rPr>
              <w:t>1.2 ± 0.3</w:t>
            </w:r>
          </w:p>
        </w:tc>
        <w:tc>
          <w:tcPr>
            <w:tcW w:w="1390" w:type="dxa"/>
            <w:tcBorders>
              <w:top w:val="nil"/>
              <w:left w:val="nil"/>
              <w:bottom w:val="single" w:color="auto" w:sz="4" w:space="0"/>
              <w:right w:val="single" w:color="auto" w:sz="4" w:space="0"/>
            </w:tcBorders>
            <w:shd w:val="clear" w:color="auto" w:fill="auto"/>
            <w:vAlign w:val="center"/>
          </w:tcPr>
          <w:p w14:paraId="23AE3E73">
            <w:pPr>
              <w:ind w:firstLine="0" w:firstLineChars="0"/>
              <w:jc w:val="center"/>
              <w:rPr>
                <w:rFonts w:eastAsia="宋体"/>
                <w:sz w:val="22"/>
              </w:rPr>
            </w:pPr>
            <w:r>
              <w:rPr>
                <w:rFonts w:eastAsia="宋体"/>
                <w:sz w:val="22"/>
              </w:rPr>
              <w:t>43.5 ± 3.5</w:t>
            </w:r>
          </w:p>
        </w:tc>
        <w:tc>
          <w:tcPr>
            <w:tcW w:w="1576" w:type="dxa"/>
            <w:tcBorders>
              <w:top w:val="nil"/>
              <w:left w:val="nil"/>
              <w:bottom w:val="single" w:color="auto" w:sz="4" w:space="0"/>
              <w:right w:val="single" w:color="auto" w:sz="4" w:space="0"/>
            </w:tcBorders>
            <w:shd w:val="clear" w:color="auto" w:fill="auto"/>
            <w:vAlign w:val="center"/>
          </w:tcPr>
          <w:p w14:paraId="6E9E813D">
            <w:pPr>
              <w:ind w:firstLine="0" w:firstLineChars="0"/>
              <w:jc w:val="center"/>
              <w:rPr>
                <w:rFonts w:eastAsia="宋体"/>
                <w:sz w:val="22"/>
              </w:rPr>
            </w:pPr>
            <w:r>
              <w:rPr>
                <w:rFonts w:eastAsia="宋体"/>
                <w:sz w:val="22"/>
              </w:rPr>
              <w:t>12.5 ± 1.5</w:t>
            </w:r>
          </w:p>
        </w:tc>
        <w:tc>
          <w:tcPr>
            <w:tcW w:w="1244" w:type="dxa"/>
            <w:tcBorders>
              <w:top w:val="nil"/>
              <w:left w:val="nil"/>
              <w:bottom w:val="single" w:color="auto" w:sz="4" w:space="0"/>
              <w:right w:val="single" w:color="auto" w:sz="4" w:space="0"/>
            </w:tcBorders>
            <w:shd w:val="clear" w:color="auto" w:fill="auto"/>
            <w:vAlign w:val="center"/>
          </w:tcPr>
          <w:p w14:paraId="51D0FB98">
            <w:pPr>
              <w:ind w:firstLine="0" w:firstLineChars="0"/>
              <w:jc w:val="center"/>
              <w:rPr>
                <w:rFonts w:eastAsia="宋体"/>
                <w:sz w:val="22"/>
              </w:rPr>
            </w:pPr>
            <w:r>
              <w:rPr>
                <w:rFonts w:eastAsia="宋体"/>
                <w:sz w:val="22"/>
              </w:rPr>
              <w:t>0.42 ± 0.05</w:t>
            </w:r>
          </w:p>
        </w:tc>
        <w:tc>
          <w:tcPr>
            <w:tcW w:w="954" w:type="dxa"/>
            <w:tcBorders>
              <w:top w:val="nil"/>
              <w:left w:val="nil"/>
              <w:bottom w:val="single" w:color="auto" w:sz="4" w:space="0"/>
              <w:right w:val="single" w:color="auto" w:sz="4" w:space="0"/>
            </w:tcBorders>
            <w:shd w:val="clear" w:color="auto" w:fill="auto"/>
            <w:vAlign w:val="center"/>
          </w:tcPr>
          <w:p w14:paraId="5950C890">
            <w:pPr>
              <w:ind w:firstLine="0" w:firstLineChars="0"/>
              <w:jc w:val="center"/>
              <w:rPr>
                <w:rFonts w:eastAsia="宋体"/>
                <w:sz w:val="22"/>
              </w:rPr>
            </w:pPr>
            <w:r>
              <w:rPr>
                <w:rFonts w:eastAsia="宋体"/>
                <w:sz w:val="22"/>
              </w:rPr>
              <w:t>2%</w:t>
            </w:r>
          </w:p>
        </w:tc>
      </w:tr>
      <w:tr w14:paraId="1725F476">
        <w:tblPrEx>
          <w:tblCellMar>
            <w:top w:w="0" w:type="dxa"/>
            <w:left w:w="108" w:type="dxa"/>
            <w:bottom w:w="0" w:type="dxa"/>
            <w:right w:w="108" w:type="dxa"/>
          </w:tblCellMar>
        </w:tblPrEx>
        <w:trPr>
          <w:trHeight w:val="623" w:hRule="atLeast"/>
          <w:jc w:val="center"/>
        </w:trPr>
        <w:tc>
          <w:tcPr>
            <w:tcW w:w="1427" w:type="dxa"/>
            <w:tcBorders>
              <w:top w:val="nil"/>
              <w:left w:val="single" w:color="auto" w:sz="4" w:space="0"/>
              <w:bottom w:val="single" w:color="auto" w:sz="4" w:space="0"/>
              <w:right w:val="single" w:color="auto" w:sz="4" w:space="0"/>
            </w:tcBorders>
            <w:shd w:val="clear" w:color="auto" w:fill="auto"/>
            <w:vAlign w:val="center"/>
          </w:tcPr>
          <w:p w14:paraId="12929E97">
            <w:pPr>
              <w:ind w:firstLine="0" w:firstLineChars="0"/>
              <w:jc w:val="center"/>
              <w:rPr>
                <w:rFonts w:eastAsia="宋体"/>
                <w:sz w:val="22"/>
              </w:rPr>
            </w:pPr>
            <w:r>
              <w:rPr>
                <w:rFonts w:eastAsia="宋体"/>
                <w:sz w:val="22"/>
              </w:rPr>
              <w:t>T3（70%）</w:t>
            </w:r>
          </w:p>
        </w:tc>
        <w:tc>
          <w:tcPr>
            <w:tcW w:w="1273" w:type="dxa"/>
            <w:tcBorders>
              <w:top w:val="nil"/>
              <w:left w:val="nil"/>
              <w:bottom w:val="single" w:color="auto" w:sz="4" w:space="0"/>
              <w:right w:val="single" w:color="auto" w:sz="4" w:space="0"/>
            </w:tcBorders>
            <w:shd w:val="clear" w:color="auto" w:fill="auto"/>
            <w:vAlign w:val="center"/>
          </w:tcPr>
          <w:p w14:paraId="1DDAAF9E">
            <w:pPr>
              <w:ind w:firstLine="0" w:firstLineChars="0"/>
              <w:jc w:val="center"/>
              <w:rPr>
                <w:rFonts w:eastAsia="宋体"/>
                <w:sz w:val="22"/>
              </w:rPr>
            </w:pPr>
            <w:r>
              <w:rPr>
                <w:rFonts w:eastAsia="宋体"/>
                <w:sz w:val="22"/>
              </w:rPr>
              <w:t>15.5 ± 2.5*</w:t>
            </w:r>
          </w:p>
        </w:tc>
        <w:tc>
          <w:tcPr>
            <w:tcW w:w="1113" w:type="dxa"/>
            <w:tcBorders>
              <w:top w:val="nil"/>
              <w:left w:val="nil"/>
              <w:bottom w:val="single" w:color="auto" w:sz="4" w:space="0"/>
              <w:right w:val="single" w:color="auto" w:sz="4" w:space="0"/>
            </w:tcBorders>
            <w:shd w:val="clear" w:color="auto" w:fill="auto"/>
            <w:vAlign w:val="center"/>
          </w:tcPr>
          <w:p w14:paraId="6990130B">
            <w:pPr>
              <w:ind w:firstLine="0" w:firstLineChars="0"/>
              <w:jc w:val="center"/>
              <w:rPr>
                <w:rFonts w:eastAsia="宋体"/>
                <w:sz w:val="22"/>
              </w:rPr>
            </w:pPr>
            <w:r>
              <w:rPr>
                <w:rFonts w:eastAsia="宋体"/>
                <w:sz w:val="22"/>
              </w:rPr>
              <w:t>0.7 ± 0.2</w:t>
            </w:r>
          </w:p>
        </w:tc>
        <w:tc>
          <w:tcPr>
            <w:tcW w:w="1390" w:type="dxa"/>
            <w:tcBorders>
              <w:top w:val="nil"/>
              <w:left w:val="nil"/>
              <w:bottom w:val="single" w:color="auto" w:sz="4" w:space="0"/>
              <w:right w:val="single" w:color="auto" w:sz="4" w:space="0"/>
            </w:tcBorders>
            <w:shd w:val="clear" w:color="auto" w:fill="auto"/>
            <w:vAlign w:val="center"/>
          </w:tcPr>
          <w:p w14:paraId="5737743F">
            <w:pPr>
              <w:ind w:firstLine="0" w:firstLineChars="0"/>
              <w:jc w:val="center"/>
              <w:rPr>
                <w:rFonts w:eastAsia="宋体"/>
                <w:sz w:val="22"/>
              </w:rPr>
            </w:pPr>
            <w:r>
              <w:rPr>
                <w:rFonts w:eastAsia="宋体"/>
                <w:sz w:val="22"/>
              </w:rPr>
              <w:t>47.8 ± 4.0*</w:t>
            </w:r>
          </w:p>
        </w:tc>
        <w:tc>
          <w:tcPr>
            <w:tcW w:w="1576" w:type="dxa"/>
            <w:tcBorders>
              <w:top w:val="nil"/>
              <w:left w:val="nil"/>
              <w:bottom w:val="single" w:color="auto" w:sz="4" w:space="0"/>
              <w:right w:val="single" w:color="auto" w:sz="4" w:space="0"/>
            </w:tcBorders>
            <w:shd w:val="clear" w:color="auto" w:fill="auto"/>
            <w:vAlign w:val="center"/>
          </w:tcPr>
          <w:p w14:paraId="05737A45">
            <w:pPr>
              <w:ind w:firstLine="0" w:firstLineChars="0"/>
              <w:jc w:val="center"/>
              <w:rPr>
                <w:rFonts w:eastAsia="宋体"/>
                <w:sz w:val="22"/>
              </w:rPr>
            </w:pPr>
            <w:r>
              <w:rPr>
                <w:rFonts w:eastAsia="宋体"/>
                <w:sz w:val="22"/>
              </w:rPr>
              <w:t>8.0 ± 1.0</w:t>
            </w:r>
          </w:p>
        </w:tc>
        <w:tc>
          <w:tcPr>
            <w:tcW w:w="1244" w:type="dxa"/>
            <w:tcBorders>
              <w:top w:val="nil"/>
              <w:left w:val="nil"/>
              <w:bottom w:val="single" w:color="auto" w:sz="4" w:space="0"/>
              <w:right w:val="single" w:color="auto" w:sz="4" w:space="0"/>
            </w:tcBorders>
            <w:shd w:val="clear" w:color="auto" w:fill="auto"/>
            <w:vAlign w:val="center"/>
          </w:tcPr>
          <w:p w14:paraId="3A265354">
            <w:pPr>
              <w:ind w:firstLine="0" w:firstLineChars="0"/>
              <w:jc w:val="center"/>
              <w:rPr>
                <w:rFonts w:eastAsia="宋体"/>
                <w:sz w:val="22"/>
              </w:rPr>
            </w:pPr>
            <w:r>
              <w:rPr>
                <w:rFonts w:eastAsia="宋体"/>
                <w:sz w:val="22"/>
              </w:rPr>
              <w:t>0.18 ± 0.02</w:t>
            </w:r>
          </w:p>
        </w:tc>
        <w:tc>
          <w:tcPr>
            <w:tcW w:w="954" w:type="dxa"/>
            <w:tcBorders>
              <w:top w:val="nil"/>
              <w:left w:val="nil"/>
              <w:bottom w:val="single" w:color="auto" w:sz="4" w:space="0"/>
              <w:right w:val="single" w:color="auto" w:sz="4" w:space="0"/>
            </w:tcBorders>
            <w:shd w:val="clear" w:color="auto" w:fill="auto"/>
            <w:vAlign w:val="center"/>
          </w:tcPr>
          <w:p w14:paraId="6B578213">
            <w:pPr>
              <w:ind w:firstLine="0" w:firstLineChars="0"/>
              <w:jc w:val="center"/>
              <w:rPr>
                <w:rFonts w:eastAsia="宋体"/>
                <w:sz w:val="22"/>
              </w:rPr>
            </w:pPr>
            <w:r>
              <w:rPr>
                <w:rFonts w:eastAsia="宋体"/>
                <w:sz w:val="22"/>
              </w:rPr>
              <w:t>10%</w:t>
            </w:r>
          </w:p>
        </w:tc>
      </w:tr>
    </w:tbl>
    <w:p w14:paraId="26201987">
      <w:pPr>
        <w:ind w:firstLine="640"/>
      </w:pPr>
      <w:r>
        <w:rPr>
          <w:rFonts w:hint="eastAsia"/>
        </w:rPr>
        <w:t>2.4.1形态生长</w:t>
      </w:r>
      <w:r>
        <w:rPr>
          <w:rFonts w:ascii="Courier New" w:hAnsi="Courier New" w:cs="Courier New"/>
        </w:rPr>
        <w:t>‌</w:t>
      </w:r>
    </w:p>
    <w:p w14:paraId="38800E89">
      <w:pPr>
        <w:ind w:firstLine="640"/>
      </w:pPr>
      <w:r>
        <w:rPr>
          <w:rFonts w:hint="cs"/>
        </w:rPr>
        <w:t>‌</w:t>
      </w:r>
      <w:r>
        <w:t>CK</w:t>
      </w:r>
      <w:r>
        <w:rPr>
          <w:rFonts w:hint="eastAsia"/>
        </w:rPr>
        <w:t>组</w:t>
      </w:r>
      <w:r>
        <w:rPr>
          <w:rFonts w:ascii="Courier New" w:hAnsi="Courier New" w:cs="Courier New"/>
        </w:rPr>
        <w:t>‌</w:t>
      </w:r>
      <w:r>
        <w:rPr>
          <w:rFonts w:hint="eastAsia" w:ascii="仿宋" w:hAnsi="仿宋" w:cs="仿宋"/>
        </w:rPr>
        <w:t>：全光照下叶片灼伤严重（灼伤率约</w:t>
      </w:r>
      <w:r>
        <w:t>25%</w:t>
      </w:r>
      <w:r>
        <w:rPr>
          <w:rFonts w:hint="eastAsia"/>
        </w:rPr>
        <w:t>），株高和地径增长最慢，表明强光抑制幼苗生长。</w:t>
      </w:r>
    </w:p>
    <w:p w14:paraId="23BA63FB">
      <w:pPr>
        <w:ind w:firstLine="640"/>
      </w:pPr>
      <w:r>
        <w:rPr>
          <w:rFonts w:hint="cs"/>
        </w:rPr>
        <w:t>‌</w:t>
      </w:r>
      <w:r>
        <w:t>T1</w:t>
      </w:r>
      <w:r>
        <w:rPr>
          <w:rFonts w:hint="eastAsia"/>
        </w:rPr>
        <w:t>组</w:t>
      </w:r>
      <w:r>
        <w:rPr>
          <w:rFonts w:ascii="Courier New" w:hAnsi="Courier New" w:cs="Courier New"/>
        </w:rPr>
        <w:t>‌</w:t>
      </w:r>
      <w:r>
        <w:rPr>
          <w:rFonts w:hint="eastAsia" w:ascii="仿宋" w:hAnsi="仿宋" w:cs="仿宋"/>
        </w:rPr>
        <w:t>：</w:t>
      </w:r>
      <w:r>
        <w:t>30%</w:t>
      </w:r>
      <w:r>
        <w:rPr>
          <w:rFonts w:hint="eastAsia"/>
        </w:rPr>
        <w:t>遮荫缓解光胁迫，株高增长较</w:t>
      </w:r>
      <w:r>
        <w:t>CK</w:t>
      </w:r>
      <w:r>
        <w:rPr>
          <w:rFonts w:hint="eastAsia"/>
        </w:rPr>
        <w:t>提高</w:t>
      </w:r>
      <w:r>
        <w:t>52%</w:t>
      </w:r>
      <w:r>
        <w:rPr>
          <w:rFonts w:hint="eastAsia"/>
        </w:rPr>
        <w:t>，但地径增粗仍不足，可能与光强略高有关。</w:t>
      </w:r>
    </w:p>
    <w:p w14:paraId="409A4F3A">
      <w:pPr>
        <w:ind w:firstLine="640"/>
      </w:pPr>
      <w:r>
        <w:rPr>
          <w:rFonts w:hint="cs"/>
        </w:rPr>
        <w:t>‌</w:t>
      </w:r>
      <w:r>
        <w:t>T2</w:t>
      </w:r>
      <w:r>
        <w:rPr>
          <w:rFonts w:hint="eastAsia"/>
        </w:rPr>
        <w:t>组</w:t>
      </w:r>
      <w:r>
        <w:rPr>
          <w:rFonts w:ascii="Courier New" w:hAnsi="Courier New" w:cs="Courier New"/>
        </w:rPr>
        <w:t>‌</w:t>
      </w:r>
      <w:r>
        <w:rPr>
          <w:rFonts w:hint="eastAsia" w:ascii="仿宋" w:hAnsi="仿宋" w:cs="仿宋"/>
        </w:rPr>
        <w:t>：</w:t>
      </w:r>
      <w:r>
        <w:t>50%</w:t>
      </w:r>
      <w:r>
        <w:rPr>
          <w:rFonts w:hint="eastAsia"/>
        </w:rPr>
        <w:t>遮荫下株高和地径协同增长最优（地径增粗</w:t>
      </w:r>
      <w:r>
        <w:t>140%</w:t>
      </w:r>
      <w:r>
        <w:rPr>
          <w:rFonts w:hint="eastAsia"/>
        </w:rPr>
        <w:t>），说明适度遮荫促进苗木健壮发育。</w:t>
      </w:r>
    </w:p>
    <w:p w14:paraId="7ADE4300">
      <w:pPr>
        <w:ind w:firstLine="640"/>
      </w:pPr>
      <w:r>
        <w:rPr>
          <w:rFonts w:hint="cs"/>
        </w:rPr>
        <w:t>‌</w:t>
      </w:r>
      <w:r>
        <w:t>T3</w:t>
      </w:r>
      <w:r>
        <w:rPr>
          <w:rFonts w:hint="eastAsia"/>
        </w:rPr>
        <w:t>组</w:t>
      </w:r>
      <w:r>
        <w:rPr>
          <w:rFonts w:ascii="Courier New" w:hAnsi="Courier New" w:cs="Courier New"/>
        </w:rPr>
        <w:t>‌</w:t>
      </w:r>
      <w:r>
        <w:rPr>
          <w:rFonts w:hint="eastAsia" w:ascii="仿宋" w:hAnsi="仿宋" w:cs="仿宋"/>
        </w:rPr>
        <w:t>：</w:t>
      </w:r>
      <w:r>
        <w:t>70%</w:t>
      </w:r>
      <w:r>
        <w:rPr>
          <w:rFonts w:hint="eastAsia"/>
        </w:rPr>
        <w:t>遮荫导致株高徒长（增长</w:t>
      </w:r>
      <w:r>
        <w:t>89%</w:t>
      </w:r>
      <w:r>
        <w:rPr>
          <w:rFonts w:hint="eastAsia"/>
        </w:rPr>
        <w:t>）、地径停滞，根系发育弱（根冠比最低），表明过度遮荫引发光竞争适应性响应。</w:t>
      </w:r>
    </w:p>
    <w:p w14:paraId="3BBD5C86">
      <w:pPr>
        <w:ind w:firstLine="640"/>
      </w:pPr>
      <w:r>
        <w:rPr>
          <w:rFonts w:hint="cs"/>
        </w:rPr>
        <w:t>‌</w:t>
      </w:r>
      <w:r>
        <w:rPr>
          <w:rFonts w:hint="eastAsia"/>
        </w:rPr>
        <w:t>2.4.2生理响应</w:t>
      </w:r>
      <w:r>
        <w:rPr>
          <w:rFonts w:ascii="Courier New" w:hAnsi="Courier New" w:cs="Courier New"/>
        </w:rPr>
        <w:t>‌</w:t>
      </w:r>
    </w:p>
    <w:p w14:paraId="6A934E87">
      <w:pPr>
        <w:ind w:firstLine="640"/>
      </w:pPr>
      <w:r>
        <w:rPr>
          <w:rFonts w:hint="eastAsia"/>
        </w:rPr>
        <w:t>叶绿素含量随遮荫度增加而升高（T3 &gt; T2 &gt; T1 &gt; CK），符合植物在弱光下提高光捕获能力的规律。</w:t>
      </w:r>
    </w:p>
    <w:p w14:paraId="303886AF">
      <w:pPr>
        <w:ind w:firstLine="640"/>
      </w:pPr>
      <w:r>
        <w:rPr>
          <w:rFonts w:hint="eastAsia"/>
        </w:rPr>
        <w:t>光合速率在T2组达到峰值（12.5 μmol/m</w:t>
      </w:r>
      <w:r>
        <w:rPr>
          <w:rFonts w:ascii="Calibri" w:hAnsi="Calibri" w:cs="Calibri"/>
        </w:rPr>
        <w:t>²</w:t>
      </w:r>
      <w:r>
        <w:rPr>
          <w:rFonts w:hint="eastAsia"/>
        </w:rPr>
        <w:t>/s），显著高于其他组，说明50%遮荫既避免光抑制，又提供充足光能驱动碳固定。</w:t>
      </w:r>
    </w:p>
    <w:p w14:paraId="0393A1CC">
      <w:pPr>
        <w:ind w:firstLine="640"/>
      </w:pPr>
      <w:r>
        <w:rPr>
          <w:rFonts w:hint="eastAsia"/>
        </w:rPr>
        <w:t>CK组蒸腾速率高但光合速率低，反映高温强光下水分利用效率低下。</w:t>
      </w:r>
    </w:p>
    <w:p w14:paraId="038892C1">
      <w:pPr>
        <w:pStyle w:val="16"/>
        <w:ind w:firstLine="640"/>
        <w:jc w:val="center"/>
        <w:rPr>
          <w:rFonts w:hint="eastAsia" w:ascii="黑体" w:hAnsi="黑体" w:eastAsia="黑体"/>
          <w:sz w:val="28"/>
          <w:szCs w:val="21"/>
        </w:rPr>
      </w:pPr>
      <w:r>
        <w:rPr>
          <w:rFonts w:hint="eastAsia" w:ascii="仿宋" w:hAnsi="仿宋" w:eastAsia="仿宋" w:cs="仿宋"/>
          <w:sz w:val="24"/>
          <w:szCs w:val="24"/>
        </w:rPr>
        <w:drawing>
          <wp:anchor distT="0" distB="0" distL="114300" distR="114300" simplePos="0" relativeHeight="251662336" behindDoc="0" locked="0" layoutInCell="1" allowOverlap="1">
            <wp:simplePos x="0" y="0"/>
            <wp:positionH relativeFrom="column">
              <wp:posOffset>-26035</wp:posOffset>
            </wp:positionH>
            <wp:positionV relativeFrom="paragraph">
              <wp:posOffset>158115</wp:posOffset>
            </wp:positionV>
            <wp:extent cx="5379720" cy="3056890"/>
            <wp:effectExtent l="0" t="0" r="11430" b="10160"/>
            <wp:wrapTopAndBottom/>
            <wp:docPr id="598078603" name="图片 598078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078603" name="图片 59807860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379720" cy="3056890"/>
                    </a:xfrm>
                    <a:prstGeom prst="rect">
                      <a:avLst/>
                    </a:prstGeom>
                    <a:noFill/>
                    <a:ln>
                      <a:noFill/>
                    </a:ln>
                  </pic:spPr>
                </pic:pic>
              </a:graphicData>
            </a:graphic>
          </wp:anchor>
        </w:drawing>
      </w:r>
      <w:r>
        <w:rPr>
          <w:rFonts w:ascii="Times New Roman" w:hAnsi="Times New Roman" w:cs="Times New Roman"/>
        </w:rPr>
        <w:t>‌</w:t>
      </w:r>
      <w:r>
        <w:rPr>
          <w:rFonts w:hint="eastAsia"/>
        </w:rPr>
        <w:t xml:space="preserve"> </w:t>
      </w:r>
      <w:r>
        <w:rPr>
          <w:rFonts w:hint="eastAsia" w:ascii="仿宋" w:hAnsi="仿宋" w:eastAsia="仿宋" w:cs="仿宋"/>
          <w:sz w:val="24"/>
          <w:szCs w:val="24"/>
        </w:rPr>
        <w:t>图5 珙桐遮荫试验</w:t>
      </w:r>
    </w:p>
    <w:p w14:paraId="51B2C7C1">
      <w:pPr>
        <w:ind w:firstLine="640"/>
      </w:pPr>
      <w:r>
        <w:rPr>
          <w:rFonts w:hint="eastAsia"/>
        </w:rPr>
        <w:t>2.4.3生物量与适应性</w:t>
      </w:r>
      <w:r>
        <w:rPr>
          <w:rFonts w:ascii="Courier New" w:hAnsi="Courier New" w:cs="Courier New"/>
        </w:rPr>
        <w:t>‌</w:t>
      </w:r>
    </w:p>
    <w:p w14:paraId="52A61D3D">
      <w:pPr>
        <w:ind w:firstLine="640"/>
      </w:pPr>
      <w:r>
        <w:rPr>
          <w:rFonts w:hint="eastAsia"/>
        </w:rPr>
        <w:t>T2组总生物量最高（干重比CK高28%），根冠比合理（0.42），表明其能平衡地上地下资源分配。</w:t>
      </w:r>
    </w:p>
    <w:p w14:paraId="49BC9D1A">
      <w:pPr>
        <w:ind w:firstLine="640"/>
      </w:pPr>
      <w:r>
        <w:rPr>
          <w:rFonts w:hint="eastAsia"/>
        </w:rPr>
        <w:t>T3组因徒长消耗过多能量，生物量积累反低于T1组，死亡率升高（10%），可能与弱光下抗逆性下降有关。</w:t>
      </w:r>
    </w:p>
    <w:p w14:paraId="63E3D685">
      <w:pPr>
        <w:ind w:firstLine="640"/>
      </w:pPr>
      <w:r>
        <w:rPr>
          <w:rFonts w:hint="eastAsia"/>
        </w:rPr>
        <w:t>2.5试验结论</w:t>
      </w:r>
    </w:p>
    <w:p w14:paraId="36A9919F">
      <w:pPr>
        <w:ind w:firstLine="640"/>
      </w:pPr>
      <w:r>
        <w:t>50%</w:t>
      </w:r>
      <w:r>
        <w:rPr>
          <w:rFonts w:hint="eastAsia"/>
        </w:rPr>
        <w:t>遮荫（</w:t>
      </w:r>
      <w:r>
        <w:t>T2</w:t>
      </w:r>
      <w:r>
        <w:rPr>
          <w:rFonts w:hint="eastAsia"/>
        </w:rPr>
        <w:t>）可显著提高珙桐小苗生长速率、生物量积累及抗逆性，推荐作为驯化阶段首选方案。</w:t>
      </w:r>
      <w:r>
        <w:rPr>
          <w:rFonts w:hint="cs"/>
        </w:rPr>
        <w:t>‌</w:t>
      </w:r>
      <w:r>
        <w:rPr>
          <w:rFonts w:hint="eastAsia" w:ascii="仿宋" w:hAnsi="仿宋" w:cs="仿宋"/>
        </w:rPr>
        <w:t>后期可逐步降低遮荫率（如</w:t>
      </w:r>
      <w:r>
        <w:t>50%</w:t>
      </w:r>
      <w:r>
        <w:rPr>
          <w:rFonts w:hint="eastAsia"/>
        </w:rPr>
        <w:t>→</w:t>
      </w:r>
      <w:r>
        <w:t>30%</w:t>
      </w:r>
      <w:r>
        <w:rPr>
          <w:rFonts w:hint="eastAsia"/>
        </w:rPr>
        <w:t>→</w:t>
      </w:r>
      <w:r>
        <w:t>0%</w:t>
      </w:r>
      <w:r>
        <w:rPr>
          <w:rFonts w:hint="eastAsia"/>
        </w:rPr>
        <w:t>），增强苗木对全光照环境的适应性。</w:t>
      </w:r>
    </w:p>
    <w:p w14:paraId="22444A6B">
      <w:pPr>
        <w:pStyle w:val="3"/>
        <w:keepLines w:val="0"/>
        <w:widowControl/>
        <w:numPr>
          <w:ilvl w:val="0"/>
          <w:numId w:val="2"/>
        </w:numPr>
        <w:ind w:firstLine="640"/>
      </w:pPr>
      <w:r>
        <w:rPr>
          <w:rFonts w:hint="eastAsia"/>
        </w:rPr>
        <w:t>知识产权说明</w:t>
      </w:r>
    </w:p>
    <w:p w14:paraId="30E7B38E">
      <w:pPr>
        <w:ind w:firstLine="640"/>
        <w:rPr>
          <w:b/>
        </w:rPr>
      </w:pPr>
      <w:r>
        <w:rPr>
          <w:rFonts w:hint="eastAsia"/>
        </w:rPr>
        <w:t>本标准中各个部分的要素和技术要求来源于编制单位多年的实践经验和试验验证结果，均具有独立的知识产权，与其他单位没有知识产权纠纷。</w:t>
      </w:r>
    </w:p>
    <w:p w14:paraId="43E00968">
      <w:pPr>
        <w:ind w:firstLine="640"/>
        <w:rPr>
          <w:b/>
        </w:rPr>
      </w:pPr>
      <w:r>
        <w:rPr>
          <w:rFonts w:hint="eastAsia"/>
        </w:rPr>
        <w:t>查阅国内外现行法律、法规及标准发现，贵州省发布有《珙桐培育技术</w:t>
      </w:r>
      <w:r>
        <w:rPr>
          <w:rFonts w:hint="eastAsia"/>
          <w:lang w:eastAsia="zh-CN"/>
        </w:rPr>
        <w:t>规范</w:t>
      </w:r>
      <w:r>
        <w:rPr>
          <w:rFonts w:hint="eastAsia"/>
        </w:rPr>
        <w:t>》，但适用于贵州省内，陕西省无相关标准。本标准规定了陕西省珙桐栽培技术</w:t>
      </w:r>
      <w:r>
        <w:rPr>
          <w:rFonts w:hint="eastAsia"/>
          <w:lang w:eastAsia="zh-CN"/>
        </w:rPr>
        <w:t>规范</w:t>
      </w:r>
      <w:r>
        <w:rPr>
          <w:rFonts w:hint="eastAsia"/>
        </w:rPr>
        <w:t>要求，结合陕西省自然条件、气候条件等实际情况，进行本标准的编制，尚未与有关现行法律、法规和强制性国家标准、行业标准冲突部分。</w:t>
      </w:r>
    </w:p>
    <w:p w14:paraId="04D5A4D0">
      <w:pPr>
        <w:pStyle w:val="3"/>
        <w:keepLines w:val="0"/>
        <w:widowControl/>
        <w:numPr>
          <w:ilvl w:val="0"/>
          <w:numId w:val="2"/>
        </w:numPr>
        <w:ind w:firstLine="640"/>
      </w:pPr>
      <w:r>
        <w:rPr>
          <w:rFonts w:hint="eastAsia"/>
        </w:rPr>
        <w:t>采标情况</w:t>
      </w:r>
    </w:p>
    <w:p w14:paraId="132084B9">
      <w:pPr>
        <w:ind w:firstLine="640"/>
      </w:pPr>
      <w:r>
        <w:rPr>
          <w:rFonts w:hint="eastAsia"/>
        </w:rPr>
        <w:t>本标准是依据陕西省情况制定，未见国内外针对陕西省珙桐栽培技术</w:t>
      </w:r>
      <w:r>
        <w:rPr>
          <w:rFonts w:hint="eastAsia"/>
          <w:lang w:eastAsia="zh-CN"/>
        </w:rPr>
        <w:t>规范</w:t>
      </w:r>
      <w:r>
        <w:rPr>
          <w:rFonts w:hint="eastAsia"/>
        </w:rPr>
        <w:t>的同类标准。本标准遵循了林业行业的相关条例、法规，以及国家相关标准，贯彻了国家林业行业标准和地方标准，与陕西省已经编制并发布的相关标准、规范、技术</w:t>
      </w:r>
      <w:r>
        <w:rPr>
          <w:rFonts w:hint="eastAsia"/>
          <w:lang w:eastAsia="zh-CN"/>
        </w:rPr>
        <w:t>规范</w:t>
      </w:r>
      <w:r>
        <w:rPr>
          <w:rFonts w:hint="eastAsia"/>
        </w:rPr>
        <w:t>进行融合、参考和引用。严格遵守《中华人民共和国标准化法》，根据《中华人民共和国标准化工作导则》的相关规范要求，本标准的制定参照了以下标准:</w:t>
      </w:r>
    </w:p>
    <w:p w14:paraId="619079C8">
      <w:pPr>
        <w:ind w:firstLine="640"/>
      </w:pPr>
      <w:r>
        <w:rPr>
          <w:rFonts w:hint="eastAsia"/>
        </w:rPr>
        <w:t>GB 6001-85        育苗技术</w:t>
      </w:r>
      <w:bookmarkStart w:id="40" w:name="_GoBack"/>
      <w:bookmarkEnd w:id="40"/>
      <w:r>
        <w:rPr>
          <w:rFonts w:hint="eastAsia"/>
        </w:rPr>
        <w:t>规程</w:t>
      </w:r>
    </w:p>
    <w:p w14:paraId="7E9CDFEB">
      <w:pPr>
        <w:ind w:firstLine="640"/>
      </w:pPr>
      <w:r>
        <w:rPr>
          <w:rFonts w:hint="eastAsia"/>
        </w:rPr>
        <w:t>GB 6000-1999      主要造林树种苗木质量分级</w:t>
      </w:r>
    </w:p>
    <w:p w14:paraId="63473AA6">
      <w:pPr>
        <w:ind w:firstLine="640"/>
      </w:pPr>
      <w:r>
        <w:rPr>
          <w:rFonts w:hint="eastAsia"/>
        </w:rPr>
        <w:t>GB/T 10016        林木种子贮藏</w:t>
      </w:r>
    </w:p>
    <w:p w14:paraId="3EA1CAF2">
      <w:pPr>
        <w:ind w:firstLine="640"/>
      </w:pPr>
      <w:r>
        <w:rPr>
          <w:rFonts w:hint="eastAsia"/>
        </w:rPr>
        <w:t xml:space="preserve">GB/T 15776-2016   造林技术规程       </w:t>
      </w:r>
    </w:p>
    <w:p w14:paraId="5FF37B2E">
      <w:pPr>
        <w:ind w:firstLine="640"/>
      </w:pPr>
      <w:r>
        <w:rPr>
          <w:rFonts w:hint="eastAsia"/>
        </w:rPr>
        <w:t>DB61/T 142-2003   陕西省造林技术规程</w:t>
      </w:r>
    </w:p>
    <w:p w14:paraId="1AC988AD">
      <w:pPr>
        <w:ind w:firstLine="640"/>
      </w:pPr>
      <w:r>
        <w:rPr>
          <w:rFonts w:hint="eastAsia"/>
        </w:rPr>
        <w:t xml:space="preserve">GB 4285           农药安全使用标准 </w:t>
      </w:r>
    </w:p>
    <w:p w14:paraId="408D1D14">
      <w:pPr>
        <w:ind w:firstLine="640"/>
      </w:pPr>
      <w:r>
        <w:rPr>
          <w:rFonts w:hint="eastAsia"/>
        </w:rPr>
        <w:t>GB/T 8321         农药合理使用准则(所有部分)</w:t>
      </w:r>
    </w:p>
    <w:p w14:paraId="00A16601">
      <w:pPr>
        <w:pStyle w:val="3"/>
        <w:keepLines w:val="0"/>
        <w:widowControl/>
        <w:numPr>
          <w:ilvl w:val="0"/>
          <w:numId w:val="2"/>
        </w:numPr>
        <w:ind w:firstLine="640"/>
      </w:pPr>
      <w:r>
        <w:rPr>
          <w:rFonts w:hint="eastAsia"/>
        </w:rPr>
        <w:t>重大意见分歧处理</w:t>
      </w:r>
    </w:p>
    <w:p w14:paraId="4AD2F0C1">
      <w:pPr>
        <w:ind w:firstLine="640"/>
        <w:rPr>
          <w:b/>
        </w:rPr>
      </w:pPr>
      <w:r>
        <w:rPr>
          <w:rFonts w:hint="eastAsia"/>
        </w:rPr>
        <w:t>本标准现处于征求意见阶段，欢迎我省有关科研、管理和生产单位提出修改意见。同时本标准属于推荐性省级地方标准，所规定的技术内容和要求具有普遍指导作用，建议使用单位或个人结合实际生产情况，加以灵活应用；有不同意见或见解时，欢迎与标准起草组人员进行沟通与讨论。在沟通无果的情况下，可本着求同存异的理念加以应用，或修订、研发、执行新的适用技术标准。</w:t>
      </w:r>
    </w:p>
    <w:p w14:paraId="196B0564">
      <w:pPr>
        <w:pStyle w:val="3"/>
        <w:keepLines w:val="0"/>
        <w:widowControl/>
        <w:numPr>
          <w:ilvl w:val="0"/>
          <w:numId w:val="2"/>
        </w:numPr>
        <w:ind w:firstLine="640"/>
      </w:pPr>
      <w:r>
        <w:rPr>
          <w:rFonts w:hint="eastAsia"/>
        </w:rPr>
        <w:t>其他应说明的事项</w:t>
      </w:r>
    </w:p>
    <w:p w14:paraId="39BA9423">
      <w:pPr>
        <w:pStyle w:val="4"/>
        <w:keepLines w:val="0"/>
        <w:widowControl/>
        <w:ind w:firstLine="640"/>
        <w:rPr>
          <w:rFonts w:hint="eastAsia" w:ascii="仿宋" w:hAnsi="仿宋" w:eastAsia="仿宋" w:cs="仿宋"/>
          <w:b w:val="0"/>
          <w:bCs/>
        </w:rPr>
      </w:pPr>
      <w:r>
        <w:rPr>
          <w:rFonts w:hint="eastAsia" w:ascii="仿宋" w:hAnsi="仿宋" w:eastAsia="仿宋" w:cs="仿宋"/>
          <w:b w:val="0"/>
          <w:bCs/>
        </w:rPr>
        <w:t>无</w:t>
      </w:r>
    </w:p>
    <w:p w14:paraId="2B5EADCA">
      <w:pPr>
        <w:ind w:firstLine="640"/>
      </w:pPr>
    </w:p>
    <w:p w14:paraId="660C7884">
      <w:pPr>
        <w:pStyle w:val="2"/>
        <w:ind w:left="640" w:firstLine="640"/>
      </w:pPr>
    </w:p>
    <w:p w14:paraId="2CC0963A">
      <w:pPr>
        <w:ind w:firstLine="640"/>
      </w:pPr>
    </w:p>
    <w:p w14:paraId="45D1CF24">
      <w:pPr>
        <w:ind w:firstLine="640"/>
        <w:jc w:val="right"/>
        <w:rPr>
          <w:b/>
        </w:rPr>
      </w:pPr>
      <w:r>
        <w:rPr>
          <w:rFonts w:hint="eastAsia"/>
        </w:rPr>
        <w:t>《珙桐栽培技术</w:t>
      </w:r>
      <w:r>
        <w:rPr>
          <w:rFonts w:hint="eastAsia"/>
          <w:lang w:eastAsia="zh-CN"/>
        </w:rPr>
        <w:t>规范</w:t>
      </w:r>
      <w:r>
        <w:rPr>
          <w:rFonts w:hint="eastAsia"/>
        </w:rPr>
        <w:t>》地方标准起草组</w:t>
      </w:r>
    </w:p>
    <w:p w14:paraId="1D047C69">
      <w:pPr>
        <w:ind w:firstLine="640"/>
        <w:jc w:val="right"/>
        <w:rPr>
          <w:b/>
        </w:rPr>
      </w:pPr>
      <w:r>
        <w:rPr>
          <w:rFonts w:hint="eastAsia"/>
        </w:rPr>
        <w:t xml:space="preserve">                           二〇二五年四月</w:t>
      </w:r>
    </w:p>
    <w:sectPr>
      <w:footerReference r:id="rId12" w:type="default"/>
      <w:pgSz w:w="11906" w:h="16838"/>
      <w:pgMar w:top="1440" w:right="1800" w:bottom="1440" w:left="1800"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640"/>
      </w:pPr>
      <w:r>
        <w:separator/>
      </w:r>
    </w:p>
  </w:endnote>
  <w:endnote w:type="continuationSeparator" w:id="1">
    <w:p>
      <w:pPr>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B9A7A1E-1A74-4574-B670-39E56251B017}"/>
  </w:font>
  <w:font w:name="Courier New">
    <w:panose1 w:val="02070309020205020404"/>
    <w:charset w:val="01"/>
    <w:family w:val="modern"/>
    <w:pitch w:val="default"/>
    <w:sig w:usb0="E0002EFF" w:usb1="C0007843" w:usb2="00000009" w:usb3="00000000" w:csb0="400001FF" w:csb1="FFFF0000"/>
    <w:embedRegular r:id="rId2" w:fontKey="{A2FEA8B3-820B-4EE6-BBBC-FC4DC282479E}"/>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BF50C356-C9F9-489E-AC3E-E688E21C3C58}"/>
  </w:font>
  <w:font w:name="等线">
    <w:panose1 w:val="02010600030101010101"/>
    <w:charset w:val="86"/>
    <w:family w:val="auto"/>
    <w:pitch w:val="default"/>
    <w:sig w:usb0="A00002BF" w:usb1="38CF7CFA" w:usb2="00000016" w:usb3="00000000" w:csb0="0004000F" w:csb1="00000000"/>
    <w:embedRegular r:id="rId4" w:fontKey="{EA083B7D-8EDE-492B-B67D-612FD9C19BE8}"/>
  </w:font>
  <w:font w:name="仿宋">
    <w:panose1 w:val="02010609060101010101"/>
    <w:charset w:val="86"/>
    <w:family w:val="modern"/>
    <w:pitch w:val="default"/>
    <w:sig w:usb0="800002BF" w:usb1="38CF7CFA" w:usb2="00000016" w:usb3="00000000" w:csb0="00040001" w:csb1="00000000"/>
    <w:embedRegular r:id="rId5" w:fontKey="{2178DBD0-F909-4285-920C-31339FCA9D82}"/>
  </w:font>
  <w:font w:name="楷体">
    <w:panose1 w:val="02010609060101010101"/>
    <w:charset w:val="86"/>
    <w:family w:val="modern"/>
    <w:pitch w:val="default"/>
    <w:sig w:usb0="800002BF" w:usb1="38CF7CFA" w:usb2="00000016" w:usb3="00000000" w:csb0="00040001" w:csb1="00000000"/>
  </w:font>
  <w:font w:name="等线 Light">
    <w:panose1 w:val="02010600030101010101"/>
    <w:charset w:val="86"/>
    <w:family w:val="auto"/>
    <w:pitch w:val="default"/>
    <w:sig w:usb0="A00002BF" w:usb1="38CF7CFA" w:usb2="00000016" w:usb3="00000000" w:csb0="0004000F" w:csb1="00000000"/>
  </w:font>
  <w:font w:name="仿宋_GB2312">
    <w:altName w:val="仿宋"/>
    <w:panose1 w:val="00000000000000000000"/>
    <w:charset w:val="86"/>
    <w:family w:val="modern"/>
    <w:pitch w:val="default"/>
    <w:sig w:usb0="00000000" w:usb1="00000000" w:usb2="00000000" w:usb3="00000000" w:csb0="00040000" w:csb1="00000000"/>
  </w:font>
  <w:font w:name="方正小标宋简体">
    <w:panose1 w:val="02000000000000000000"/>
    <w:charset w:val="86"/>
    <w:family w:val="script"/>
    <w:pitch w:val="default"/>
    <w:sig w:usb0="00000001" w:usb1="08000000" w:usb2="00000000" w:usb3="00000000" w:csb0="00040000" w:csb1="00000000"/>
    <w:embedRegular r:id="rId6" w:fontKey="{65F033D4-5EA0-4883-ABBE-55D23C212358}"/>
  </w:font>
  <w:font w:name="楷体_GB2312">
    <w:altName w:val="楷体"/>
    <w:panose1 w:val="00000000000000000000"/>
    <w:charset w:val="86"/>
    <w:family w:val="modern"/>
    <w:pitch w:val="default"/>
    <w:sig w:usb0="00000000" w:usb1="00000000" w:usb2="00000000" w:usb3="00000000" w:csb0="00040000" w:csb1="00000000"/>
    <w:embedRegular r:id="rId7" w:fontKey="{B30B87BA-8300-469D-8FCD-FCDC6BD5C946}"/>
  </w:font>
  <w:font w:name="方正仿宋_GB2312">
    <w:panose1 w:val="02000000000000000000"/>
    <w:charset w:val="86"/>
    <w:family w:val="auto"/>
    <w:pitch w:val="default"/>
    <w:sig w:usb0="A00002BF" w:usb1="184F6CFA" w:usb2="00000012" w:usb3="00000000" w:csb0="00040001" w:csb1="00000000"/>
    <w:embedRegular r:id="rId8" w:fontKey="{397E8AEB-D6EE-45EC-A555-A0A1B05C614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DECB9F">
    <w:pPr>
      <w:pStyle w:val="13"/>
      <w:ind w:firstLine="360"/>
      <w:jc w:val="center"/>
      <w:rPr>
        <w:rFonts w:hint="eastAsia"/>
      </w:rPr>
    </w:pPr>
  </w:p>
  <w:p w14:paraId="7DB6B628">
    <w:pPr>
      <w:pStyle w:val="13"/>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354C0F">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C5FEA6">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E0BC73">
    <w:pPr>
      <w:pStyle w:val="13"/>
      <w:ind w:firstLine="360"/>
      <w:jc w:val="center"/>
      <w:rPr>
        <w:rFonts w:hint="eastAsia"/>
      </w:rPr>
    </w:pPr>
  </w:p>
  <w:p w14:paraId="03AA86EF">
    <w:pPr>
      <w:pStyle w:val="13"/>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51022468"/>
      <w:docPartObj>
        <w:docPartGallery w:val="autotext"/>
      </w:docPartObj>
    </w:sdtPr>
    <w:sdtContent>
      <w:p w14:paraId="3AE76A65">
        <w:pPr>
          <w:pStyle w:val="13"/>
          <w:ind w:firstLine="360"/>
          <w:jc w:val="center"/>
          <w:rPr>
            <w:rFonts w:hint="eastAsia"/>
          </w:rPr>
        </w:pPr>
        <w:r>
          <w:fldChar w:fldCharType="begin"/>
        </w:r>
        <w:r>
          <w:instrText xml:space="preserve">PAGE   \* MERGEFORMAT</w:instrText>
        </w:r>
        <w:r>
          <w:fldChar w:fldCharType="separate"/>
        </w:r>
        <w:r>
          <w:rPr>
            <w:lang w:val="zh-CN"/>
          </w:rPr>
          <w:t>2</w:t>
        </w:r>
        <w:r>
          <w:fldChar w:fldCharType="end"/>
        </w:r>
      </w:p>
    </w:sdtContent>
  </w:sdt>
  <w:p w14:paraId="5AE9656E">
    <w:pPr>
      <w:pStyle w:val="13"/>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640"/>
      </w:pPr>
      <w:r>
        <w:separator/>
      </w:r>
    </w:p>
  </w:footnote>
  <w:footnote w:type="continuationSeparator" w:id="1">
    <w:p>
      <w:pPr>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CC459F">
    <w:pPr>
      <w:pStyle w:val="14"/>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3E723A">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3AB0A4">
    <w:pPr>
      <w:pStyle w:val="14"/>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5C0BEFB"/>
    <w:multiLevelType w:val="singleLevel"/>
    <w:tmpl w:val="D5C0BEFB"/>
    <w:lvl w:ilvl="0" w:tentative="0">
      <w:start w:val="3"/>
      <w:numFmt w:val="chineseCounting"/>
      <w:suff w:val="nothing"/>
      <w:lvlText w:val="（%1）"/>
      <w:lvlJc w:val="left"/>
      <w:rPr>
        <w:rFonts w:hint="eastAsia"/>
      </w:rPr>
    </w:lvl>
  </w:abstractNum>
  <w:abstractNum w:abstractNumId="1">
    <w:nsid w:val="333AE8F3"/>
    <w:multiLevelType w:val="singleLevel"/>
    <w:tmpl w:val="333AE8F3"/>
    <w:lvl w:ilvl="0" w:tentative="0">
      <w:start w:val="2"/>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ZjNzgwODhiM2M0MmRlNTU2MzgyM2IzNzJlNjVjYzYifQ=="/>
  </w:docVars>
  <w:rsids>
    <w:rsidRoot w:val="00BE2827"/>
    <w:rsid w:val="000148A3"/>
    <w:rsid w:val="000162D0"/>
    <w:rsid w:val="00085668"/>
    <w:rsid w:val="000C09D8"/>
    <w:rsid w:val="000C69D0"/>
    <w:rsid w:val="00184BFA"/>
    <w:rsid w:val="001A3B97"/>
    <w:rsid w:val="001B3567"/>
    <w:rsid w:val="00211139"/>
    <w:rsid w:val="002947C1"/>
    <w:rsid w:val="0029531C"/>
    <w:rsid w:val="00323EE7"/>
    <w:rsid w:val="003777BC"/>
    <w:rsid w:val="003A7C50"/>
    <w:rsid w:val="003C64E4"/>
    <w:rsid w:val="003E0D7B"/>
    <w:rsid w:val="00414FF7"/>
    <w:rsid w:val="00421AEA"/>
    <w:rsid w:val="00443789"/>
    <w:rsid w:val="004B166A"/>
    <w:rsid w:val="005074DE"/>
    <w:rsid w:val="005D5719"/>
    <w:rsid w:val="006106BA"/>
    <w:rsid w:val="00611008"/>
    <w:rsid w:val="00632D49"/>
    <w:rsid w:val="006B4706"/>
    <w:rsid w:val="00730537"/>
    <w:rsid w:val="007462CB"/>
    <w:rsid w:val="00764264"/>
    <w:rsid w:val="007A2374"/>
    <w:rsid w:val="007B4EC6"/>
    <w:rsid w:val="007D6815"/>
    <w:rsid w:val="007E0F0E"/>
    <w:rsid w:val="008245AE"/>
    <w:rsid w:val="00825623"/>
    <w:rsid w:val="008400CF"/>
    <w:rsid w:val="0085063D"/>
    <w:rsid w:val="008947A5"/>
    <w:rsid w:val="008A4B71"/>
    <w:rsid w:val="008F40FD"/>
    <w:rsid w:val="008F669D"/>
    <w:rsid w:val="008F720D"/>
    <w:rsid w:val="0092109E"/>
    <w:rsid w:val="00922A3C"/>
    <w:rsid w:val="00936413"/>
    <w:rsid w:val="009A2E02"/>
    <w:rsid w:val="009B394C"/>
    <w:rsid w:val="00A3794B"/>
    <w:rsid w:val="00A53AFC"/>
    <w:rsid w:val="00A717E7"/>
    <w:rsid w:val="00A85EC2"/>
    <w:rsid w:val="00A920DE"/>
    <w:rsid w:val="00AC3313"/>
    <w:rsid w:val="00AD749C"/>
    <w:rsid w:val="00B051FB"/>
    <w:rsid w:val="00B55145"/>
    <w:rsid w:val="00BE2827"/>
    <w:rsid w:val="00BF1D77"/>
    <w:rsid w:val="00C23953"/>
    <w:rsid w:val="00C44FA9"/>
    <w:rsid w:val="00C83350"/>
    <w:rsid w:val="00CD0596"/>
    <w:rsid w:val="00CE688A"/>
    <w:rsid w:val="00D15F44"/>
    <w:rsid w:val="00D44473"/>
    <w:rsid w:val="00D819AC"/>
    <w:rsid w:val="00E523A2"/>
    <w:rsid w:val="00E559FB"/>
    <w:rsid w:val="00E60F7C"/>
    <w:rsid w:val="00E93DF9"/>
    <w:rsid w:val="00EA365C"/>
    <w:rsid w:val="00F34CAC"/>
    <w:rsid w:val="00F62509"/>
    <w:rsid w:val="00F7104B"/>
    <w:rsid w:val="00F737B8"/>
    <w:rsid w:val="00FE04BB"/>
    <w:rsid w:val="00FE302E"/>
    <w:rsid w:val="083A012C"/>
    <w:rsid w:val="0A9F7E2F"/>
    <w:rsid w:val="0E1303D3"/>
    <w:rsid w:val="1C101A4C"/>
    <w:rsid w:val="2571768F"/>
    <w:rsid w:val="575E35F0"/>
    <w:rsid w:val="5C845150"/>
    <w:rsid w:val="5D3E4DD8"/>
    <w:rsid w:val="6A3C10C2"/>
    <w:rsid w:val="703E58B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qFormat="1" w:unhideWhenUsed="0" w:uiPriority="0" w:semiHidden="0"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ind w:firstLine="200" w:firstLineChars="200"/>
      <w:jc w:val="both"/>
    </w:pPr>
    <w:rPr>
      <w:rFonts w:ascii="Times New Roman" w:hAnsi="Times New Roman" w:eastAsia="仿宋" w:cstheme="minorBidi"/>
      <w:kern w:val="2"/>
      <w:sz w:val="32"/>
      <w:szCs w:val="22"/>
      <w:lang w:val="en-US" w:eastAsia="zh-CN" w:bidi="ar-SA"/>
    </w:rPr>
  </w:style>
  <w:style w:type="paragraph" w:styleId="3">
    <w:name w:val="heading 1"/>
    <w:basedOn w:val="1"/>
    <w:next w:val="1"/>
    <w:link w:val="21"/>
    <w:qFormat/>
    <w:uiPriority w:val="9"/>
    <w:pPr>
      <w:keepNext/>
      <w:keepLines/>
      <w:spacing w:before="60" w:after="60" w:line="360" w:lineRule="auto"/>
      <w:outlineLvl w:val="0"/>
    </w:pPr>
    <w:rPr>
      <w:rFonts w:eastAsia="黑体" w:cstheme="majorBidi"/>
      <w:color w:val="000000" w:themeColor="text1"/>
      <w:szCs w:val="48"/>
      <w14:textFill>
        <w14:solidFill>
          <w14:schemeClr w14:val="tx1"/>
        </w14:solidFill>
      </w14:textFill>
    </w:rPr>
  </w:style>
  <w:style w:type="paragraph" w:styleId="4">
    <w:name w:val="heading 2"/>
    <w:basedOn w:val="1"/>
    <w:next w:val="1"/>
    <w:link w:val="22"/>
    <w:unhideWhenUsed/>
    <w:qFormat/>
    <w:uiPriority w:val="9"/>
    <w:pPr>
      <w:keepNext/>
      <w:keepLines/>
      <w:spacing w:before="60" w:after="60" w:line="360" w:lineRule="auto"/>
      <w:outlineLvl w:val="1"/>
    </w:pPr>
    <w:rPr>
      <w:rFonts w:eastAsia="楷体" w:cstheme="majorBidi"/>
      <w:b/>
      <w:color w:val="000000" w:themeColor="text1"/>
      <w:szCs w:val="40"/>
      <w14:textFill>
        <w14:solidFill>
          <w14:schemeClr w14:val="tx1"/>
        </w14:solidFill>
      </w14:textFill>
    </w:rPr>
  </w:style>
  <w:style w:type="paragraph" w:styleId="5">
    <w:name w:val="heading 3"/>
    <w:basedOn w:val="1"/>
    <w:next w:val="1"/>
    <w:link w:val="23"/>
    <w:semiHidden/>
    <w:unhideWhenUsed/>
    <w:qFormat/>
    <w:uiPriority w:val="9"/>
    <w:pPr>
      <w:keepNext/>
      <w:keepLines/>
      <w:spacing w:before="160" w:after="80"/>
      <w:outlineLvl w:val="2"/>
    </w:pPr>
    <w:rPr>
      <w:rFonts w:asciiTheme="majorHAnsi" w:hAnsiTheme="majorHAnsi" w:eastAsiaTheme="majorEastAsia" w:cstheme="majorBidi"/>
      <w:color w:val="2F5597" w:themeColor="accent1" w:themeShade="BF"/>
      <w:szCs w:val="32"/>
    </w:rPr>
  </w:style>
  <w:style w:type="paragraph" w:styleId="6">
    <w:name w:val="heading 4"/>
    <w:basedOn w:val="1"/>
    <w:next w:val="1"/>
    <w:link w:val="24"/>
    <w:semiHidden/>
    <w:unhideWhenUsed/>
    <w:qFormat/>
    <w:uiPriority w:val="9"/>
    <w:pPr>
      <w:keepNext/>
      <w:keepLines/>
      <w:spacing w:before="80" w:after="40"/>
      <w:outlineLvl w:val="3"/>
    </w:pPr>
    <w:rPr>
      <w:rFonts w:cstheme="majorBidi"/>
      <w:color w:val="2F5597" w:themeColor="accent1" w:themeShade="BF"/>
      <w:sz w:val="28"/>
      <w:szCs w:val="28"/>
    </w:rPr>
  </w:style>
  <w:style w:type="paragraph" w:styleId="7">
    <w:name w:val="heading 5"/>
    <w:basedOn w:val="1"/>
    <w:next w:val="1"/>
    <w:link w:val="25"/>
    <w:semiHidden/>
    <w:unhideWhenUsed/>
    <w:qFormat/>
    <w:uiPriority w:val="9"/>
    <w:pPr>
      <w:keepNext/>
      <w:keepLines/>
      <w:spacing w:before="80" w:after="40"/>
      <w:outlineLvl w:val="4"/>
    </w:pPr>
    <w:rPr>
      <w:rFonts w:cstheme="majorBidi"/>
      <w:color w:val="2F5597" w:themeColor="accent1" w:themeShade="BF"/>
      <w:sz w:val="24"/>
      <w:szCs w:val="24"/>
    </w:rPr>
  </w:style>
  <w:style w:type="paragraph" w:styleId="8">
    <w:name w:val="heading 6"/>
    <w:basedOn w:val="1"/>
    <w:next w:val="1"/>
    <w:link w:val="26"/>
    <w:semiHidden/>
    <w:unhideWhenUsed/>
    <w:qFormat/>
    <w:uiPriority w:val="9"/>
    <w:pPr>
      <w:keepNext/>
      <w:keepLines/>
      <w:spacing w:before="40"/>
      <w:outlineLvl w:val="5"/>
    </w:pPr>
    <w:rPr>
      <w:rFonts w:cstheme="majorBidi"/>
      <w:b/>
      <w:bCs/>
      <w:color w:val="2F5597" w:themeColor="accent1" w:themeShade="BF"/>
    </w:rPr>
  </w:style>
  <w:style w:type="paragraph" w:styleId="9">
    <w:name w:val="heading 7"/>
    <w:basedOn w:val="1"/>
    <w:next w:val="1"/>
    <w:link w:val="27"/>
    <w:semiHidden/>
    <w:unhideWhenUsed/>
    <w:qFormat/>
    <w:uiPriority w:val="9"/>
    <w:pPr>
      <w:keepNext/>
      <w:keepLines/>
      <w:spacing w:before="40"/>
      <w:outlineLvl w:val="6"/>
    </w:pPr>
    <w:rPr>
      <w:rFonts w:cstheme="majorBidi"/>
      <w:b/>
      <w:bCs/>
      <w:color w:val="595959" w:themeColor="text1" w:themeTint="A6"/>
      <w14:textFill>
        <w14:solidFill>
          <w14:schemeClr w14:val="tx1">
            <w14:lumMod w14:val="65000"/>
            <w14:lumOff w14:val="35000"/>
          </w14:schemeClr>
        </w14:solidFill>
      </w14:textFill>
    </w:rPr>
  </w:style>
  <w:style w:type="paragraph" w:styleId="10">
    <w:name w:val="heading 8"/>
    <w:basedOn w:val="1"/>
    <w:next w:val="1"/>
    <w:link w:val="28"/>
    <w:semiHidden/>
    <w:unhideWhenUsed/>
    <w:qFormat/>
    <w:uiPriority w:val="9"/>
    <w:pPr>
      <w:keepNext/>
      <w:keepLines/>
      <w:outlineLvl w:val="7"/>
    </w:pPr>
    <w:rPr>
      <w:rFonts w:cstheme="majorBidi"/>
      <w:color w:val="595959" w:themeColor="text1" w:themeTint="A6"/>
      <w14:textFill>
        <w14:solidFill>
          <w14:schemeClr w14:val="tx1">
            <w14:lumMod w14:val="65000"/>
            <w14:lumOff w14:val="35000"/>
          </w14:schemeClr>
        </w14:solidFill>
      </w14:textFill>
    </w:rPr>
  </w:style>
  <w:style w:type="paragraph" w:styleId="11">
    <w:name w:val="heading 9"/>
    <w:basedOn w:val="1"/>
    <w:next w:val="1"/>
    <w:link w:val="29"/>
    <w:semiHidden/>
    <w:unhideWhenUsed/>
    <w:qFormat/>
    <w:uiPriority w:val="9"/>
    <w:pPr>
      <w:keepNext/>
      <w:keepLines/>
      <w:outlineLvl w:val="8"/>
    </w:pPr>
    <w:rPr>
      <w:rFonts w:eastAsiaTheme="majorEastAsia" w:cstheme="majorBidi"/>
      <w:color w:val="595959" w:themeColor="text1" w:themeTint="A6"/>
      <w14:textFill>
        <w14:solidFill>
          <w14:schemeClr w14:val="tx1">
            <w14:lumMod w14:val="65000"/>
            <w14:lumOff w14:val="35000"/>
          </w14:schemeClr>
        </w14:solidFill>
      </w14:textFill>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2">
    <w:name w:val="table of authorities"/>
    <w:basedOn w:val="1"/>
    <w:next w:val="1"/>
    <w:qFormat/>
    <w:uiPriority w:val="0"/>
    <w:pPr>
      <w:ind w:left="420" w:leftChars="200"/>
    </w:pPr>
  </w:style>
  <w:style w:type="paragraph" w:styleId="12">
    <w:name w:val="Normal Indent"/>
    <w:basedOn w:val="1"/>
    <w:qFormat/>
    <w:uiPriority w:val="0"/>
    <w:pPr>
      <w:ind w:firstLine="420"/>
    </w:pPr>
    <w:rPr>
      <w:rFonts w:eastAsia="仿宋_GB2312"/>
    </w:rPr>
  </w:style>
  <w:style w:type="paragraph" w:styleId="13">
    <w:name w:val="footer"/>
    <w:basedOn w:val="1"/>
    <w:link w:val="40"/>
    <w:unhideWhenUsed/>
    <w:qFormat/>
    <w:uiPriority w:val="99"/>
    <w:pPr>
      <w:tabs>
        <w:tab w:val="center" w:pos="4153"/>
        <w:tab w:val="right" w:pos="8306"/>
      </w:tabs>
      <w:snapToGrid w:val="0"/>
      <w:jc w:val="left"/>
    </w:pPr>
    <w:rPr>
      <w:sz w:val="18"/>
      <w:szCs w:val="18"/>
    </w:rPr>
  </w:style>
  <w:style w:type="paragraph" w:styleId="14">
    <w:name w:val="header"/>
    <w:basedOn w:val="1"/>
    <w:link w:val="39"/>
    <w:unhideWhenUsed/>
    <w:qFormat/>
    <w:uiPriority w:val="99"/>
    <w:pPr>
      <w:tabs>
        <w:tab w:val="center" w:pos="4153"/>
        <w:tab w:val="right" w:pos="8306"/>
      </w:tabs>
      <w:snapToGrid w:val="0"/>
      <w:jc w:val="center"/>
    </w:pPr>
    <w:rPr>
      <w:sz w:val="18"/>
      <w:szCs w:val="18"/>
    </w:rPr>
  </w:style>
  <w:style w:type="paragraph" w:styleId="15">
    <w:name w:val="Subtitle"/>
    <w:basedOn w:val="1"/>
    <w:next w:val="1"/>
    <w:link w:val="31"/>
    <w:qFormat/>
    <w:uiPriority w:val="11"/>
    <w:pPr>
      <w:spacing w:after="160"/>
      <w:jc w:val="center"/>
    </w:pPr>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16">
    <w:name w:val="Normal (Web)"/>
    <w:basedOn w:val="1"/>
    <w:unhideWhenUsed/>
    <w:qFormat/>
    <w:uiPriority w:val="99"/>
    <w:pPr>
      <w:widowControl/>
      <w:spacing w:before="100" w:beforeAutospacing="1" w:after="100" w:afterAutospacing="1"/>
      <w:ind w:firstLine="0" w:firstLineChars="0"/>
      <w:jc w:val="left"/>
    </w:pPr>
    <w:rPr>
      <w:rFonts w:ascii="宋体" w:hAnsi="宋体" w:eastAsia="宋体" w:cs="宋体"/>
      <w:kern w:val="0"/>
      <w:sz w:val="24"/>
      <w:szCs w:val="24"/>
    </w:rPr>
  </w:style>
  <w:style w:type="paragraph" w:styleId="17">
    <w:name w:val="Title"/>
    <w:basedOn w:val="1"/>
    <w:next w:val="1"/>
    <w:link w:val="30"/>
    <w:qFormat/>
    <w:uiPriority w:val="10"/>
    <w:pPr>
      <w:spacing w:after="80"/>
      <w:contextualSpacing/>
      <w:jc w:val="center"/>
    </w:pPr>
    <w:rPr>
      <w:rFonts w:asciiTheme="majorHAnsi" w:hAnsiTheme="majorHAnsi" w:eastAsiaTheme="majorEastAsia" w:cstheme="majorBidi"/>
      <w:spacing w:val="-10"/>
      <w:kern w:val="28"/>
      <w:sz w:val="56"/>
      <w:szCs w:val="56"/>
    </w:rPr>
  </w:style>
  <w:style w:type="table" w:styleId="19">
    <w:name w:val="Table Grid"/>
    <w:basedOn w:val="18"/>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1">
    <w:name w:val="标题 1 字符"/>
    <w:basedOn w:val="20"/>
    <w:link w:val="3"/>
    <w:qFormat/>
    <w:uiPriority w:val="9"/>
    <w:rPr>
      <w:rFonts w:ascii="Times New Roman" w:hAnsi="Times New Roman" w:eastAsia="黑体" w:cstheme="majorBidi"/>
      <w:color w:val="000000" w:themeColor="text1"/>
      <w:sz w:val="32"/>
      <w:szCs w:val="48"/>
      <w14:textFill>
        <w14:solidFill>
          <w14:schemeClr w14:val="tx1"/>
        </w14:solidFill>
      </w14:textFill>
    </w:rPr>
  </w:style>
  <w:style w:type="character" w:customStyle="1" w:styleId="22">
    <w:name w:val="标题 2 字符"/>
    <w:basedOn w:val="20"/>
    <w:link w:val="4"/>
    <w:qFormat/>
    <w:uiPriority w:val="9"/>
    <w:rPr>
      <w:rFonts w:ascii="Times New Roman" w:hAnsi="Times New Roman" w:eastAsia="楷体" w:cstheme="majorBidi"/>
      <w:b/>
      <w:color w:val="000000" w:themeColor="text1"/>
      <w:sz w:val="32"/>
      <w:szCs w:val="40"/>
      <w14:textFill>
        <w14:solidFill>
          <w14:schemeClr w14:val="tx1"/>
        </w14:solidFill>
      </w14:textFill>
    </w:rPr>
  </w:style>
  <w:style w:type="character" w:customStyle="1" w:styleId="23">
    <w:name w:val="标题 3 字符"/>
    <w:basedOn w:val="20"/>
    <w:link w:val="5"/>
    <w:semiHidden/>
    <w:qFormat/>
    <w:uiPriority w:val="9"/>
    <w:rPr>
      <w:rFonts w:asciiTheme="majorHAnsi" w:hAnsiTheme="majorHAnsi" w:eastAsiaTheme="majorEastAsia" w:cstheme="majorBidi"/>
      <w:color w:val="2F5597" w:themeColor="accent1" w:themeShade="BF"/>
      <w:sz w:val="32"/>
      <w:szCs w:val="32"/>
    </w:rPr>
  </w:style>
  <w:style w:type="character" w:customStyle="1" w:styleId="24">
    <w:name w:val="标题 4 字符"/>
    <w:basedOn w:val="20"/>
    <w:link w:val="6"/>
    <w:semiHidden/>
    <w:qFormat/>
    <w:uiPriority w:val="9"/>
    <w:rPr>
      <w:rFonts w:cstheme="majorBidi"/>
      <w:color w:val="2F5597" w:themeColor="accent1" w:themeShade="BF"/>
      <w:sz w:val="28"/>
      <w:szCs w:val="28"/>
    </w:rPr>
  </w:style>
  <w:style w:type="character" w:customStyle="1" w:styleId="25">
    <w:name w:val="标题 5 字符"/>
    <w:basedOn w:val="20"/>
    <w:link w:val="7"/>
    <w:semiHidden/>
    <w:qFormat/>
    <w:uiPriority w:val="9"/>
    <w:rPr>
      <w:rFonts w:cstheme="majorBidi"/>
      <w:color w:val="2F5597" w:themeColor="accent1" w:themeShade="BF"/>
      <w:sz w:val="24"/>
      <w:szCs w:val="24"/>
    </w:rPr>
  </w:style>
  <w:style w:type="character" w:customStyle="1" w:styleId="26">
    <w:name w:val="标题 6 字符"/>
    <w:basedOn w:val="20"/>
    <w:link w:val="8"/>
    <w:semiHidden/>
    <w:qFormat/>
    <w:uiPriority w:val="9"/>
    <w:rPr>
      <w:rFonts w:cstheme="majorBidi"/>
      <w:b/>
      <w:bCs/>
      <w:color w:val="2F5597" w:themeColor="accent1" w:themeShade="BF"/>
    </w:rPr>
  </w:style>
  <w:style w:type="character" w:customStyle="1" w:styleId="27">
    <w:name w:val="标题 7 字符"/>
    <w:basedOn w:val="20"/>
    <w:link w:val="9"/>
    <w:semiHidden/>
    <w:qFormat/>
    <w:uiPriority w:val="9"/>
    <w:rPr>
      <w:rFonts w:cstheme="majorBidi"/>
      <w:b/>
      <w:bCs/>
      <w:color w:val="595959" w:themeColor="text1" w:themeTint="A6"/>
      <w14:textFill>
        <w14:solidFill>
          <w14:schemeClr w14:val="tx1">
            <w14:lumMod w14:val="65000"/>
            <w14:lumOff w14:val="35000"/>
          </w14:schemeClr>
        </w14:solidFill>
      </w14:textFill>
    </w:rPr>
  </w:style>
  <w:style w:type="character" w:customStyle="1" w:styleId="28">
    <w:name w:val="标题 8 字符"/>
    <w:basedOn w:val="20"/>
    <w:link w:val="10"/>
    <w:semiHidden/>
    <w:qFormat/>
    <w:uiPriority w:val="9"/>
    <w:rPr>
      <w:rFonts w:cstheme="majorBidi"/>
      <w:color w:val="595959" w:themeColor="text1" w:themeTint="A6"/>
      <w14:textFill>
        <w14:solidFill>
          <w14:schemeClr w14:val="tx1">
            <w14:lumMod w14:val="65000"/>
            <w14:lumOff w14:val="35000"/>
          </w14:schemeClr>
        </w14:solidFill>
      </w14:textFill>
    </w:rPr>
  </w:style>
  <w:style w:type="character" w:customStyle="1" w:styleId="29">
    <w:name w:val="标题 9 字符"/>
    <w:basedOn w:val="20"/>
    <w:link w:val="11"/>
    <w:semiHidden/>
    <w:qFormat/>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30">
    <w:name w:val="标题 字符"/>
    <w:basedOn w:val="20"/>
    <w:link w:val="17"/>
    <w:qFormat/>
    <w:uiPriority w:val="10"/>
    <w:rPr>
      <w:rFonts w:asciiTheme="majorHAnsi" w:hAnsiTheme="majorHAnsi" w:eastAsiaTheme="majorEastAsia" w:cstheme="majorBidi"/>
      <w:spacing w:val="-10"/>
      <w:kern w:val="28"/>
      <w:sz w:val="56"/>
      <w:szCs w:val="56"/>
    </w:rPr>
  </w:style>
  <w:style w:type="character" w:customStyle="1" w:styleId="31">
    <w:name w:val="副标题 字符"/>
    <w:basedOn w:val="20"/>
    <w:link w:val="15"/>
    <w:qFormat/>
    <w:uiPriority w:val="11"/>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32">
    <w:name w:val="Quote"/>
    <w:basedOn w:val="1"/>
    <w:next w:val="1"/>
    <w:link w:val="33"/>
    <w:qFormat/>
    <w:uiPriority w:val="29"/>
    <w:pPr>
      <w:spacing w:before="160" w:after="160"/>
      <w:jc w:val="center"/>
    </w:pPr>
    <w:rPr>
      <w:i/>
      <w:iCs/>
      <w:color w:val="404040" w:themeColor="text1" w:themeTint="BF"/>
      <w14:textFill>
        <w14:solidFill>
          <w14:schemeClr w14:val="tx1">
            <w14:lumMod w14:val="75000"/>
            <w14:lumOff w14:val="25000"/>
          </w14:schemeClr>
        </w14:solidFill>
      </w14:textFill>
    </w:rPr>
  </w:style>
  <w:style w:type="character" w:customStyle="1" w:styleId="33">
    <w:name w:val="引用 字符"/>
    <w:basedOn w:val="20"/>
    <w:link w:val="32"/>
    <w:qFormat/>
    <w:uiPriority w:val="29"/>
    <w:rPr>
      <w:i/>
      <w:iCs/>
      <w:color w:val="404040" w:themeColor="text1" w:themeTint="BF"/>
      <w14:textFill>
        <w14:solidFill>
          <w14:schemeClr w14:val="tx1">
            <w14:lumMod w14:val="75000"/>
            <w14:lumOff w14:val="25000"/>
          </w14:schemeClr>
        </w14:solidFill>
      </w14:textFill>
    </w:rPr>
  </w:style>
  <w:style w:type="paragraph" w:styleId="34">
    <w:name w:val="List Paragraph"/>
    <w:basedOn w:val="1"/>
    <w:qFormat/>
    <w:uiPriority w:val="34"/>
    <w:pPr>
      <w:ind w:left="720"/>
      <w:contextualSpacing/>
    </w:pPr>
  </w:style>
  <w:style w:type="character" w:customStyle="1" w:styleId="35">
    <w:name w:val="明显强调1"/>
    <w:basedOn w:val="20"/>
    <w:qFormat/>
    <w:uiPriority w:val="21"/>
    <w:rPr>
      <w:i/>
      <w:iCs/>
      <w:color w:val="2F5597" w:themeColor="accent1" w:themeShade="BF"/>
    </w:rPr>
  </w:style>
  <w:style w:type="paragraph" w:styleId="36">
    <w:name w:val="Intense Quote"/>
    <w:basedOn w:val="1"/>
    <w:next w:val="1"/>
    <w:link w:val="37"/>
    <w:qFormat/>
    <w:uiPriority w:val="30"/>
    <w:pPr>
      <w:pBdr>
        <w:top w:val="single" w:color="2F5496" w:themeColor="accent1" w:themeShade="BF" w:sz="4" w:space="10"/>
        <w:bottom w:val="single" w:color="2F5496" w:themeColor="accent1" w:themeShade="BF" w:sz="4" w:space="10"/>
      </w:pBdr>
      <w:spacing w:before="360" w:after="360"/>
      <w:ind w:left="864" w:right="864"/>
      <w:jc w:val="center"/>
    </w:pPr>
    <w:rPr>
      <w:i/>
      <w:iCs/>
      <w:color w:val="2F5597" w:themeColor="accent1" w:themeShade="BF"/>
    </w:rPr>
  </w:style>
  <w:style w:type="character" w:customStyle="1" w:styleId="37">
    <w:name w:val="明显引用 字符"/>
    <w:basedOn w:val="20"/>
    <w:link w:val="36"/>
    <w:qFormat/>
    <w:uiPriority w:val="30"/>
    <w:rPr>
      <w:i/>
      <w:iCs/>
      <w:color w:val="2F5597" w:themeColor="accent1" w:themeShade="BF"/>
    </w:rPr>
  </w:style>
  <w:style w:type="character" w:customStyle="1" w:styleId="38">
    <w:name w:val="明显参考1"/>
    <w:basedOn w:val="20"/>
    <w:qFormat/>
    <w:uiPriority w:val="32"/>
    <w:rPr>
      <w:b/>
      <w:bCs/>
      <w:smallCaps/>
      <w:color w:val="2F5597" w:themeColor="accent1" w:themeShade="BF"/>
      <w:spacing w:val="5"/>
    </w:rPr>
  </w:style>
  <w:style w:type="character" w:customStyle="1" w:styleId="39">
    <w:name w:val="页眉 字符"/>
    <w:basedOn w:val="20"/>
    <w:link w:val="14"/>
    <w:qFormat/>
    <w:uiPriority w:val="99"/>
    <w:rPr>
      <w:sz w:val="18"/>
      <w:szCs w:val="18"/>
    </w:rPr>
  </w:style>
  <w:style w:type="character" w:customStyle="1" w:styleId="40">
    <w:name w:val="页脚 字符"/>
    <w:basedOn w:val="20"/>
    <w:link w:val="13"/>
    <w:qFormat/>
    <w:uiPriority w:val="99"/>
    <w:rPr>
      <w:sz w:val="18"/>
      <w:szCs w:val="18"/>
    </w:rPr>
  </w:style>
  <w:style w:type="character" w:customStyle="1" w:styleId="41">
    <w:name w:val="fontstyle21"/>
    <w:basedOn w:val="20"/>
    <w:qFormat/>
    <w:uiPriority w:val="0"/>
    <w:rPr>
      <w:rFonts w:hint="eastAsia" w:ascii="宋体" w:hAnsi="宋体" w:eastAsia="宋体"/>
      <w:color w:val="000000"/>
      <w:sz w:val="22"/>
      <w:szCs w:val="22"/>
    </w:rPr>
  </w:style>
  <w:style w:type="paragraph" w:customStyle="1" w:styleId="42">
    <w:name w:val="Default"/>
    <w:qFormat/>
    <w:uiPriority w:val="0"/>
    <w:pPr>
      <w:widowControl w:val="0"/>
      <w:autoSpaceDE w:val="0"/>
      <w:autoSpaceDN w:val="0"/>
      <w:adjustRightInd w:val="0"/>
    </w:pPr>
    <w:rPr>
      <w:rFonts w:ascii="黑体" w:hAnsi="Times New Roman" w:eastAsia="黑体" w:cs="黑体"/>
      <w:color w:val="000000"/>
      <w:sz w:val="24"/>
      <w:szCs w:val="24"/>
      <w:lang w:val="en-US" w:eastAsia="zh-CN" w:bidi="ar-SA"/>
    </w:rPr>
  </w:style>
  <w:style w:type="character" w:customStyle="1" w:styleId="43">
    <w:name w:val="fontstyle01"/>
    <w:basedOn w:val="20"/>
    <w:qFormat/>
    <w:uiPriority w:val="0"/>
    <w:rPr>
      <w:rFonts w:hint="eastAsia" w:ascii="黑体" w:eastAsia="黑体"/>
      <w:color w:val="000000"/>
      <w:sz w:val="32"/>
      <w:szCs w:val="32"/>
    </w:rPr>
  </w:style>
  <w:style w:type="paragraph" w:customStyle="1" w:styleId="44">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image" Target="media/image5.jpeg"/><Relationship Id="rId17" Type="http://schemas.openxmlformats.org/officeDocument/2006/relationships/image" Target="media/image4.jpeg"/><Relationship Id="rId16" Type="http://schemas.openxmlformats.org/officeDocument/2006/relationships/image" Target="media/image3.jpeg"/><Relationship Id="rId15" Type="http://schemas.openxmlformats.org/officeDocument/2006/relationships/image" Target="media/image2.jpeg"/><Relationship Id="rId14" Type="http://schemas.openxmlformats.org/officeDocument/2006/relationships/image" Target="media/image1.jpeg"/><Relationship Id="rId13" Type="http://schemas.openxmlformats.org/officeDocument/2006/relationships/theme" Target="theme/theme1.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23</Pages>
  <Words>7308</Words>
  <Characters>8332</Characters>
  <Lines>66</Lines>
  <Paragraphs>18</Paragraphs>
  <TotalTime>3</TotalTime>
  <ScaleCrop>false</ScaleCrop>
  <LinksUpToDate>false</LinksUpToDate>
  <CharactersWithSpaces>8691</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2025-05-09T07:52:00Z</dcterms:created>
  <dc:creator>龙 高</dc:creator>
  <cp:lastModifiedBy>李亚利</cp:lastModifiedBy>
  <dcterms:modified xsi:type="dcterms:W3CDTF">2025-05-19T07:05:32Z</dcterms:modified>
  <cp:revision>47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FE1D397181DA43289B5282217366ECC9_12</vt:lpwstr>
  </property>
</Properties>
</file>