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5270F">
      <w:p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bookmarkStart w:id="0" w:name="_GoBack"/>
      <w:bookmarkEnd w:id="0"/>
    </w:p>
    <w:p w14:paraId="01FC0B52">
      <w:pPr>
        <w:jc w:val="center"/>
        <w:rPr>
          <w:rFonts w:hint="eastAsia" w:ascii="Times New Roman" w:hAnsi="Times New Roman" w:eastAsia="方正小标宋简体" w:cs="方正小标宋简体"/>
          <w:sz w:val="36"/>
          <w:szCs w:val="36"/>
          <w:lang w:val="en-US" w:eastAsia="zh-CN"/>
        </w:rPr>
      </w:pPr>
      <w:r>
        <w:rPr>
          <w:rFonts w:hint="eastAsia" w:ascii="Times New Roman" w:hAnsi="Times New Roman" w:eastAsia="方正小标宋简体" w:cs="方正小标宋简体"/>
          <w:sz w:val="36"/>
          <w:szCs w:val="36"/>
          <w:lang w:val="en-US" w:eastAsia="zh-CN"/>
        </w:rPr>
        <w:t>《病死畜禽和病害畜禽产品收集场所建设规范》</w:t>
      </w:r>
    </w:p>
    <w:p w14:paraId="3E90D8D3">
      <w:pPr>
        <w:jc w:val="center"/>
        <w:rPr>
          <w:rFonts w:hint="eastAsia" w:ascii="Times New Roman" w:hAnsi="Times New Roman" w:eastAsia="方正小标宋简体" w:cs="方正小标宋简体"/>
          <w:sz w:val="36"/>
          <w:szCs w:val="36"/>
          <w:lang w:val="en-US" w:eastAsia="zh-CN"/>
        </w:rPr>
      </w:pPr>
      <w:r>
        <w:rPr>
          <w:rFonts w:hint="eastAsia" w:ascii="Times New Roman" w:hAnsi="Times New Roman" w:eastAsia="方正小标宋简体" w:cs="方正小标宋简体"/>
          <w:sz w:val="36"/>
          <w:szCs w:val="36"/>
          <w:lang w:val="en-US" w:eastAsia="zh-CN"/>
        </w:rPr>
        <w:t>（征求意见稿）地方标准编制说明</w:t>
      </w:r>
    </w:p>
    <w:p w14:paraId="66E161B8">
      <w:pPr>
        <w:jc w:val="center"/>
        <w:rPr>
          <w:rFonts w:hint="eastAsia" w:ascii="Times New Roman" w:hAnsi="Times New Roman" w:eastAsia="方正小标宋简体" w:cs="方正小标宋简体"/>
          <w:sz w:val="36"/>
          <w:szCs w:val="36"/>
          <w:lang w:val="en-US" w:eastAsia="zh-CN"/>
        </w:rPr>
      </w:pPr>
    </w:p>
    <w:p w14:paraId="2382297C">
      <w:pPr>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（一）工作概况</w:t>
      </w:r>
    </w:p>
    <w:p w14:paraId="5AB71026">
      <w:pPr>
        <w:widowControl w:val="0"/>
        <w:numPr>
          <w:ilvl w:val="0"/>
          <w:numId w:val="0"/>
        </w:numPr>
        <w:ind w:firstLine="640" w:firstLineChars="200"/>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1.任务来源</w:t>
      </w:r>
    </w:p>
    <w:p w14:paraId="793D81FC">
      <w:pPr>
        <w:widowControl w:val="0"/>
        <w:numPr>
          <w:ilvl w:val="0"/>
          <w:numId w:val="0"/>
        </w:numPr>
        <w:ind w:firstLine="640"/>
        <w:jc w:val="both"/>
        <w:rPr>
          <w:rFonts w:hint="eastAsia" w:ascii="Times New Roman" w:hAnsi="Times New Roman" w:eastAsia="仿宋_GB2312" w:cs="宋体"/>
          <w:sz w:val="32"/>
          <w:szCs w:val="32"/>
          <w:lang w:val="en-US" w:eastAsia="zh-CN" w:bidi="ar-SA"/>
        </w:rPr>
      </w:pPr>
      <w:r>
        <w:rPr>
          <w:rFonts w:hint="eastAsia" w:ascii="Times New Roman" w:hAnsi="Times New Roman" w:eastAsia="仿宋_GB2312" w:cs="宋体"/>
          <w:sz w:val="32"/>
          <w:szCs w:val="32"/>
          <w:lang w:val="en-US" w:eastAsia="zh-CN" w:bidi="ar-SA"/>
        </w:rPr>
        <w:t>病死畜禽和病害畜禽产品的无害化处理是防控动物疫病、保障公共卫生安全的重要措施，涉及收集、转运、处理等多个环节。考虑到无害化工作成本及动物防疫安全，病死畜禽在收集后可以暂时性存放在收集暂存场所。该场所作为无害化处理的前端环节，其建设规范直接关系到无害化处理防疫安全。</w:t>
      </w:r>
    </w:p>
    <w:p w14:paraId="0FF72188">
      <w:pPr>
        <w:widowControl w:val="0"/>
        <w:numPr>
          <w:ilvl w:val="0"/>
          <w:numId w:val="0"/>
        </w:numPr>
        <w:ind w:firstLine="640"/>
        <w:jc w:val="both"/>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根据陕西省市场监督管理局下达的2024年第二批地方标准制修订项目，项目编号SDBXM 202-2024，计划要求制定《病死畜禽和病害畜禽产品收集场所建设规范》地方标准。</w:t>
      </w:r>
    </w:p>
    <w:p w14:paraId="512D3F6B">
      <w:pPr>
        <w:widowControl w:val="0"/>
        <w:numPr>
          <w:ilvl w:val="0"/>
          <w:numId w:val="0"/>
        </w:numPr>
        <w:ind w:firstLine="640" w:firstLineChars="200"/>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2.目的意义</w:t>
      </w:r>
    </w:p>
    <w:p w14:paraId="3979BA16">
      <w:pPr>
        <w:widowControl w:val="0"/>
        <w:numPr>
          <w:ilvl w:val="0"/>
          <w:numId w:val="0"/>
        </w:numPr>
        <w:jc w:val="both"/>
        <w:rPr>
          <w:rFonts w:hint="eastAsia" w:ascii="Times New Roman" w:hAnsi="Times New Roman" w:eastAsia="仿宋_GB2312" w:cs="仿宋_GB2312"/>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 xml:space="preserve"> 本技术规范旨在为病死畜禽和病害畜禽产品收集场所的建设制定科学、合理的的标准化操作指南，防止疫病扩散，提升无害化处理效率，规范行业管理，保障食品安全和公共卫生安全。</w:t>
      </w:r>
    </w:p>
    <w:p w14:paraId="2A7056B7">
      <w:pPr>
        <w:widowControl w:val="0"/>
        <w:numPr>
          <w:ilvl w:val="0"/>
          <w:numId w:val="0"/>
        </w:numPr>
        <w:ind w:firstLine="640" w:firstLineChars="200"/>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3.主导单位</w:t>
      </w:r>
    </w:p>
    <w:p w14:paraId="41A716AF">
      <w:pPr>
        <w:pStyle w:val="2"/>
        <w:keepNext w:val="0"/>
        <w:keepLines w:val="0"/>
        <w:pageBreakBefore w:val="0"/>
        <w:widowControl/>
        <w:tabs>
          <w:tab w:val="left" w:pos="426"/>
        </w:tabs>
        <w:kinsoku/>
        <w:wordWrap/>
        <w:overflowPunct/>
        <w:topLinePunct w:val="0"/>
        <w:autoSpaceDE/>
        <w:autoSpaceDN/>
        <w:bidi w:val="0"/>
        <w:adjustRightInd/>
        <w:snapToGrid/>
        <w:spacing w:after="0" w:line="60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项目主导单位为陕西省动物卫生与屠宰管理站，承担全省重大动物疫病及人畜共患病防控、重大动物疫情处置等动物防疫、动物检疫、病死畜禽无害化处理等动物卫生监督的技术指导工作，在动物疫病防控、无害化处理技术等方面具有丰富的经验和技术积累，具备制定本标准所需的技术能力和人才队伍</w:t>
      </w:r>
      <w:r>
        <w:rPr>
          <w:rFonts w:hint="eastAsia" w:ascii="Times New Roman" w:hAnsi="Times New Roman" w:eastAsia="仿宋_GB2312" w:cs="仿宋_GB2312"/>
          <w:b w:val="0"/>
          <w:sz w:val="32"/>
          <w:szCs w:val="32"/>
          <w:lang w:val="en-US" w:eastAsia="zh-CN"/>
        </w:rPr>
        <w:t>。</w:t>
      </w:r>
    </w:p>
    <w:p w14:paraId="3F0102B0">
      <w:pPr>
        <w:widowControl w:val="0"/>
        <w:numPr>
          <w:ilvl w:val="0"/>
          <w:numId w:val="0"/>
        </w:numPr>
        <w:ind w:firstLine="640" w:firstLineChars="200"/>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4.主要工作过程</w:t>
      </w:r>
    </w:p>
    <w:p w14:paraId="06161A5A">
      <w:pPr>
        <w:widowControl w:val="0"/>
        <w:numPr>
          <w:ilvl w:val="0"/>
          <w:numId w:val="0"/>
        </w:numPr>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kern w:val="2"/>
          <w:sz w:val="32"/>
          <w:szCs w:val="32"/>
          <w:lang w:val="en-US" w:eastAsia="zh-CN" w:bidi="ar-SA"/>
        </w:rPr>
        <w:t xml:space="preserve">  标准计划下达后，立即成立标准起草小组，收集了大量国内外相关标准、法律法规以及技术文献资料，对病死畜禽及病害畜禽产品收集场所建设现状进行了深入调研，分析了存在的问题和需求。在参考现有相关标准和实践经验的基础上，结合实际情况，制定了本标准的框架和主要内容，并多次组织专家进行了讨论和修改，形成了征求意见稿。</w:t>
      </w:r>
    </w:p>
    <w:p w14:paraId="68D642B9">
      <w:pPr>
        <w:widowControl w:val="0"/>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5.标准起草工作组成员及任务分工</w:t>
      </w:r>
    </w:p>
    <w:tbl>
      <w:tblPr>
        <w:tblStyle w:val="8"/>
        <w:tblW w:w="912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7"/>
        <w:gridCol w:w="1613"/>
        <w:gridCol w:w="4647"/>
        <w:gridCol w:w="1763"/>
      </w:tblGrid>
      <w:tr w14:paraId="05FFF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vAlign w:val="center"/>
          </w:tcPr>
          <w:p w14:paraId="0833F33E">
            <w:pPr>
              <w:pStyle w:val="7"/>
              <w:keepNext w:val="0"/>
              <w:keepLines w:val="0"/>
              <w:pageBreakBefore w:val="0"/>
              <w:widowControl/>
              <w:wordWrap/>
              <w:overflowPunct/>
              <w:topLinePunct w:val="0"/>
              <w:bidi w:val="0"/>
              <w:jc w:val="center"/>
              <w:rPr>
                <w:rFonts w:hint="default" w:ascii="Times New Roman" w:hAnsi="Times New Roman" w:eastAsia="仿宋" w:cs="Times New Roman"/>
                <w:b/>
                <w:bCs/>
                <w:spacing w:val="-8"/>
                <w:sz w:val="24"/>
                <w:szCs w:val="24"/>
                <w:lang w:eastAsia="zh-CN"/>
              </w:rPr>
            </w:pPr>
            <w:r>
              <w:rPr>
                <w:rFonts w:hint="default" w:ascii="Times New Roman" w:hAnsi="Times New Roman" w:cs="Times New Roman"/>
                <w:b/>
                <w:bCs/>
                <w:spacing w:val="-8"/>
                <w:sz w:val="24"/>
                <w:szCs w:val="24"/>
                <w:lang w:eastAsia="zh-CN"/>
              </w:rPr>
              <w:t>序号</w:t>
            </w:r>
          </w:p>
        </w:tc>
        <w:tc>
          <w:tcPr>
            <w:tcW w:w="1613" w:type="dxa"/>
            <w:vAlign w:val="center"/>
          </w:tcPr>
          <w:p w14:paraId="113C5647">
            <w:pPr>
              <w:pStyle w:val="7"/>
              <w:keepNext w:val="0"/>
              <w:keepLines w:val="0"/>
              <w:pageBreakBefore w:val="0"/>
              <w:widowControl/>
              <w:wordWrap/>
              <w:overflowPunct/>
              <w:topLinePunct w:val="0"/>
              <w:bidi w:val="0"/>
              <w:jc w:val="center"/>
              <w:rPr>
                <w:rFonts w:hint="default" w:ascii="Times New Roman" w:hAnsi="Times New Roman" w:cs="Times New Roman"/>
                <w:b/>
                <w:bCs/>
                <w:sz w:val="24"/>
                <w:szCs w:val="24"/>
              </w:rPr>
            </w:pPr>
            <w:r>
              <w:rPr>
                <w:rFonts w:hint="default" w:ascii="Times New Roman" w:hAnsi="Times New Roman" w:cs="Times New Roman"/>
                <w:b/>
                <w:bCs/>
                <w:spacing w:val="-8"/>
                <w:sz w:val="24"/>
                <w:szCs w:val="24"/>
              </w:rPr>
              <w:t>姓名</w:t>
            </w:r>
          </w:p>
        </w:tc>
        <w:tc>
          <w:tcPr>
            <w:tcW w:w="4647" w:type="dxa"/>
            <w:vAlign w:val="center"/>
          </w:tcPr>
          <w:p w14:paraId="378D21AC">
            <w:pPr>
              <w:pStyle w:val="7"/>
              <w:keepNext w:val="0"/>
              <w:keepLines w:val="0"/>
              <w:pageBreakBefore w:val="0"/>
              <w:widowControl/>
              <w:wordWrap/>
              <w:overflowPunct/>
              <w:topLinePunct w:val="0"/>
              <w:bidi w:val="0"/>
              <w:spacing w:line="236" w:lineRule="auto"/>
              <w:jc w:val="center"/>
              <w:rPr>
                <w:rFonts w:hint="default" w:ascii="Times New Roman" w:hAnsi="Times New Roman" w:cs="Times New Roman"/>
                <w:b/>
                <w:bCs/>
                <w:sz w:val="24"/>
                <w:szCs w:val="24"/>
              </w:rPr>
            </w:pPr>
            <w:r>
              <w:rPr>
                <w:rFonts w:hint="default" w:ascii="Times New Roman" w:hAnsi="Times New Roman" w:cs="Times New Roman"/>
                <w:b/>
                <w:bCs/>
                <w:spacing w:val="-11"/>
                <w:sz w:val="24"/>
                <w:szCs w:val="24"/>
              </w:rPr>
              <w:t>单位</w:t>
            </w:r>
          </w:p>
        </w:tc>
        <w:tc>
          <w:tcPr>
            <w:tcW w:w="1763" w:type="dxa"/>
            <w:vAlign w:val="center"/>
          </w:tcPr>
          <w:p w14:paraId="23385F9F">
            <w:pPr>
              <w:pStyle w:val="7"/>
              <w:keepNext w:val="0"/>
              <w:keepLines w:val="0"/>
              <w:pageBreakBefore w:val="0"/>
              <w:widowControl/>
              <w:wordWrap/>
              <w:overflowPunct/>
              <w:topLinePunct w:val="0"/>
              <w:bidi w:val="0"/>
              <w:spacing w:line="235" w:lineRule="auto"/>
              <w:jc w:val="center"/>
              <w:rPr>
                <w:rFonts w:hint="default" w:ascii="Times New Roman" w:hAnsi="Times New Roman" w:cs="Times New Roman"/>
                <w:b/>
                <w:bCs/>
                <w:sz w:val="24"/>
                <w:szCs w:val="24"/>
              </w:rPr>
            </w:pPr>
            <w:r>
              <w:rPr>
                <w:rFonts w:hint="default" w:ascii="Times New Roman" w:hAnsi="Times New Roman" w:cs="Times New Roman"/>
                <w:b/>
                <w:bCs/>
                <w:spacing w:val="-4"/>
                <w:sz w:val="24"/>
                <w:szCs w:val="24"/>
              </w:rPr>
              <w:t>主要工作</w:t>
            </w:r>
          </w:p>
        </w:tc>
      </w:tr>
      <w:tr w14:paraId="17AA1E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exact"/>
          <w:jc w:val="center"/>
        </w:trPr>
        <w:tc>
          <w:tcPr>
            <w:tcW w:w="1097" w:type="dxa"/>
            <w:shd w:val="clear" w:color="auto" w:fill="auto"/>
            <w:vAlign w:val="center"/>
          </w:tcPr>
          <w:p w14:paraId="35A3FB7C">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en-US"/>
              </w:rPr>
            </w:pPr>
            <w:r>
              <w:rPr>
                <w:rFonts w:hint="default" w:ascii="Times New Roman" w:hAnsi="Times New Roman" w:cs="Times New Roman"/>
                <w:spacing w:val="-8"/>
                <w:sz w:val="24"/>
                <w:szCs w:val="24"/>
              </w:rPr>
              <w:t>1</w:t>
            </w:r>
          </w:p>
        </w:tc>
        <w:tc>
          <w:tcPr>
            <w:tcW w:w="1613" w:type="dxa"/>
            <w:vAlign w:val="center"/>
          </w:tcPr>
          <w:p w14:paraId="1453287F">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zh-CN"/>
              </w:rPr>
            </w:pPr>
            <w:r>
              <w:rPr>
                <w:rFonts w:hint="eastAsia" w:ascii="Times New Roman" w:hAnsi="Times New Roman" w:cs="Times New Roman"/>
                <w:spacing w:val="-8"/>
                <w:sz w:val="24"/>
                <w:szCs w:val="24"/>
                <w:lang w:val="en-US" w:eastAsia="zh-CN"/>
              </w:rPr>
              <w:t>郭  倩</w:t>
            </w:r>
          </w:p>
        </w:tc>
        <w:tc>
          <w:tcPr>
            <w:tcW w:w="4647" w:type="dxa"/>
            <w:vAlign w:val="center"/>
          </w:tcPr>
          <w:p w14:paraId="017749E9">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61D6C23E">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初稿撰写</w:t>
            </w:r>
          </w:p>
        </w:tc>
      </w:tr>
      <w:tr w14:paraId="34BE0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78981DFB">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en-US"/>
              </w:rPr>
            </w:pPr>
            <w:r>
              <w:rPr>
                <w:rFonts w:hint="default" w:ascii="Times New Roman" w:hAnsi="Times New Roman" w:cs="Times New Roman"/>
                <w:spacing w:val="-8"/>
                <w:sz w:val="24"/>
                <w:szCs w:val="24"/>
                <w:lang w:eastAsia="zh-CN"/>
              </w:rPr>
              <w:t>2</w:t>
            </w:r>
          </w:p>
        </w:tc>
        <w:tc>
          <w:tcPr>
            <w:tcW w:w="1613" w:type="dxa"/>
            <w:vAlign w:val="center"/>
          </w:tcPr>
          <w:p w14:paraId="5D93F93B">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zh-CN"/>
              </w:rPr>
            </w:pPr>
            <w:r>
              <w:rPr>
                <w:rFonts w:hint="eastAsia" w:ascii="Times New Roman" w:hAnsi="Times New Roman" w:cs="Times New Roman"/>
                <w:spacing w:val="-8"/>
                <w:kern w:val="2"/>
                <w:sz w:val="24"/>
                <w:szCs w:val="24"/>
                <w:lang w:val="en-US" w:eastAsia="zh-CN" w:bidi="ar-SA"/>
              </w:rPr>
              <w:t>谷  涛</w:t>
            </w:r>
          </w:p>
        </w:tc>
        <w:tc>
          <w:tcPr>
            <w:tcW w:w="4647" w:type="dxa"/>
            <w:vAlign w:val="center"/>
          </w:tcPr>
          <w:p w14:paraId="59271E4C">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eastAsia="zh-CN"/>
              </w:rPr>
            </w:pPr>
            <w:r>
              <w:rPr>
                <w:rFonts w:hint="default" w:ascii="Times New Roman" w:hAnsi="Times New Roman" w:cs="Times New Roman"/>
                <w:spacing w:val="-8"/>
                <w:sz w:val="24"/>
                <w:szCs w:val="24"/>
                <w:lang w:eastAsia="zh-CN"/>
              </w:rPr>
              <w:t>延安市宝塔区畜牧兽医服务中心</w:t>
            </w:r>
          </w:p>
        </w:tc>
        <w:tc>
          <w:tcPr>
            <w:tcW w:w="1763" w:type="dxa"/>
            <w:vAlign w:val="center"/>
          </w:tcPr>
          <w:p w14:paraId="4A6B1043">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eastAsia="zh-CN"/>
              </w:rPr>
            </w:pPr>
            <w:r>
              <w:rPr>
                <w:rFonts w:hint="default" w:ascii="Times New Roman" w:hAnsi="Times New Roman" w:cs="Times New Roman"/>
                <w:spacing w:val="-8"/>
                <w:sz w:val="24"/>
                <w:szCs w:val="24"/>
                <w:lang w:eastAsia="zh-CN"/>
              </w:rPr>
              <w:t>初稿撰写</w:t>
            </w:r>
          </w:p>
        </w:tc>
      </w:tr>
      <w:tr w14:paraId="5471F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68B5385F">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en-US"/>
              </w:rPr>
            </w:pPr>
            <w:r>
              <w:rPr>
                <w:rFonts w:hint="default" w:ascii="Times New Roman" w:hAnsi="Times New Roman" w:cs="Times New Roman"/>
                <w:spacing w:val="-8"/>
                <w:sz w:val="24"/>
                <w:szCs w:val="24"/>
              </w:rPr>
              <w:t>3</w:t>
            </w:r>
          </w:p>
        </w:tc>
        <w:tc>
          <w:tcPr>
            <w:tcW w:w="1613" w:type="dxa"/>
            <w:shd w:val="clear" w:color="auto" w:fill="auto"/>
            <w:vAlign w:val="center"/>
          </w:tcPr>
          <w:p w14:paraId="5A9860FE">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eastAsia" w:ascii="Times New Roman" w:hAnsi="Times New Roman" w:cs="Times New Roman"/>
                <w:spacing w:val="-8"/>
                <w:sz w:val="24"/>
                <w:szCs w:val="24"/>
                <w:lang w:val="en-US" w:eastAsia="zh-CN"/>
              </w:rPr>
              <w:t>任晓玲</w:t>
            </w:r>
          </w:p>
        </w:tc>
        <w:tc>
          <w:tcPr>
            <w:tcW w:w="4647" w:type="dxa"/>
            <w:vAlign w:val="center"/>
          </w:tcPr>
          <w:p w14:paraId="272A7A6E">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14C3D584">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初稿撰写</w:t>
            </w:r>
          </w:p>
        </w:tc>
      </w:tr>
      <w:tr w14:paraId="3C5D2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0306BC61">
            <w:pPr>
              <w:pStyle w:val="7"/>
              <w:keepNext w:val="0"/>
              <w:keepLines w:val="0"/>
              <w:pageBreakBefore w:val="0"/>
              <w:widowControl/>
              <w:wordWrap/>
              <w:overflowPunct/>
              <w:topLinePunct w:val="0"/>
              <w:bidi w:val="0"/>
              <w:jc w:val="center"/>
              <w:rPr>
                <w:rFonts w:hint="eastAsia" w:ascii="Times New Roman" w:hAnsi="Times New Roman" w:eastAsia="仿宋" w:cs="Times New Roman"/>
                <w:spacing w:val="-8"/>
                <w:sz w:val="24"/>
                <w:szCs w:val="24"/>
                <w:lang w:val="en-US" w:eastAsia="zh-CN"/>
              </w:rPr>
            </w:pPr>
            <w:r>
              <w:rPr>
                <w:rFonts w:hint="eastAsia" w:ascii="Times New Roman" w:hAnsi="Times New Roman" w:cs="Times New Roman"/>
                <w:spacing w:val="-8"/>
                <w:sz w:val="24"/>
                <w:szCs w:val="24"/>
                <w:lang w:val="en-US" w:eastAsia="zh-CN"/>
              </w:rPr>
              <w:t>4</w:t>
            </w:r>
          </w:p>
        </w:tc>
        <w:tc>
          <w:tcPr>
            <w:tcW w:w="1613" w:type="dxa"/>
            <w:shd w:val="clear" w:color="auto" w:fill="auto"/>
            <w:vAlign w:val="center"/>
          </w:tcPr>
          <w:p w14:paraId="02F8CD70">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eastAsia" w:ascii="Times New Roman" w:hAnsi="Times New Roman" w:cs="Times New Roman"/>
                <w:spacing w:val="-8"/>
                <w:kern w:val="2"/>
                <w:sz w:val="24"/>
                <w:szCs w:val="24"/>
                <w:lang w:val="en-US" w:eastAsia="zh-CN" w:bidi="ar-SA"/>
              </w:rPr>
              <w:t>程  浩</w:t>
            </w:r>
          </w:p>
        </w:tc>
        <w:tc>
          <w:tcPr>
            <w:tcW w:w="4647" w:type="dxa"/>
            <w:shd w:val="clear" w:color="auto" w:fill="auto"/>
            <w:vAlign w:val="center"/>
          </w:tcPr>
          <w:p w14:paraId="7D2316C0">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1283F518">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初稿撰写</w:t>
            </w:r>
          </w:p>
        </w:tc>
      </w:tr>
      <w:tr w14:paraId="37487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68464A4C">
            <w:pPr>
              <w:pStyle w:val="7"/>
              <w:keepNext w:val="0"/>
              <w:keepLines w:val="0"/>
              <w:pageBreakBefore w:val="0"/>
              <w:widowControl/>
              <w:wordWrap/>
              <w:overflowPunct/>
              <w:topLinePunct w:val="0"/>
              <w:bidi w:val="0"/>
              <w:jc w:val="center"/>
              <w:rPr>
                <w:rFonts w:hint="eastAsia" w:ascii="Times New Roman" w:hAnsi="Times New Roman" w:eastAsia="仿宋" w:cs="Times New Roman"/>
                <w:spacing w:val="-8"/>
                <w:sz w:val="24"/>
                <w:szCs w:val="24"/>
                <w:lang w:val="en-US" w:eastAsia="zh-CN"/>
              </w:rPr>
            </w:pPr>
            <w:r>
              <w:rPr>
                <w:rFonts w:hint="eastAsia" w:ascii="Times New Roman" w:hAnsi="Times New Roman" w:cs="Times New Roman"/>
                <w:spacing w:val="-8"/>
                <w:sz w:val="24"/>
                <w:szCs w:val="24"/>
                <w:lang w:val="en-US" w:eastAsia="zh-CN"/>
              </w:rPr>
              <w:t>5</w:t>
            </w:r>
          </w:p>
        </w:tc>
        <w:tc>
          <w:tcPr>
            <w:tcW w:w="1613" w:type="dxa"/>
            <w:shd w:val="clear" w:color="auto" w:fill="auto"/>
            <w:vAlign w:val="center"/>
          </w:tcPr>
          <w:p w14:paraId="631D7906">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eastAsia" w:ascii="Times New Roman" w:hAnsi="Times New Roman" w:cs="Times New Roman"/>
                <w:spacing w:val="-8"/>
                <w:sz w:val="24"/>
                <w:szCs w:val="24"/>
                <w:lang w:val="en-US" w:eastAsia="zh-CN"/>
              </w:rPr>
              <w:t>杨  晨</w:t>
            </w:r>
          </w:p>
        </w:tc>
        <w:tc>
          <w:tcPr>
            <w:tcW w:w="4647" w:type="dxa"/>
            <w:shd w:val="clear" w:color="auto" w:fill="auto"/>
            <w:vAlign w:val="center"/>
          </w:tcPr>
          <w:p w14:paraId="7DD3035A">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6863409C">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初稿撰写</w:t>
            </w:r>
          </w:p>
        </w:tc>
      </w:tr>
      <w:tr w14:paraId="69271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709EEECC">
            <w:pPr>
              <w:pStyle w:val="7"/>
              <w:keepNext w:val="0"/>
              <w:keepLines w:val="0"/>
              <w:pageBreakBefore w:val="0"/>
              <w:widowControl/>
              <w:wordWrap/>
              <w:overflowPunct/>
              <w:topLinePunct w:val="0"/>
              <w:bidi w:val="0"/>
              <w:jc w:val="center"/>
              <w:rPr>
                <w:rFonts w:hint="eastAsia" w:ascii="Times New Roman" w:hAnsi="Times New Roman" w:eastAsia="仿宋" w:cs="Times New Roman"/>
                <w:spacing w:val="-8"/>
                <w:sz w:val="24"/>
                <w:szCs w:val="24"/>
                <w:lang w:eastAsia="zh-CN"/>
              </w:rPr>
            </w:pPr>
            <w:r>
              <w:rPr>
                <w:rFonts w:hint="eastAsia" w:ascii="Times New Roman" w:hAnsi="Times New Roman" w:cs="Times New Roman"/>
                <w:spacing w:val="-8"/>
                <w:sz w:val="24"/>
                <w:szCs w:val="24"/>
                <w:lang w:val="en-US" w:eastAsia="zh-CN"/>
              </w:rPr>
              <w:t>6</w:t>
            </w:r>
          </w:p>
        </w:tc>
        <w:tc>
          <w:tcPr>
            <w:tcW w:w="1613" w:type="dxa"/>
            <w:shd w:val="clear" w:color="auto" w:fill="auto"/>
            <w:vAlign w:val="center"/>
          </w:tcPr>
          <w:p w14:paraId="2F0FDF58">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eastAsia" w:ascii="Times New Roman" w:hAnsi="Times New Roman" w:cs="Times New Roman"/>
                <w:spacing w:val="-8"/>
                <w:kern w:val="2"/>
                <w:sz w:val="24"/>
                <w:szCs w:val="24"/>
                <w:lang w:val="en-US" w:eastAsia="zh-CN" w:bidi="ar-SA"/>
              </w:rPr>
              <w:t>雷江红</w:t>
            </w:r>
          </w:p>
        </w:tc>
        <w:tc>
          <w:tcPr>
            <w:tcW w:w="4647" w:type="dxa"/>
            <w:shd w:val="clear" w:color="auto" w:fill="auto"/>
            <w:vAlign w:val="center"/>
          </w:tcPr>
          <w:p w14:paraId="20E23CB9">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7A1FFAE9">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试验验证</w:t>
            </w:r>
          </w:p>
        </w:tc>
      </w:tr>
      <w:tr w14:paraId="23C89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10567C15">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en-US"/>
              </w:rPr>
            </w:pPr>
            <w:r>
              <w:rPr>
                <w:rFonts w:hint="eastAsia" w:ascii="Times New Roman" w:hAnsi="Times New Roman" w:cs="Times New Roman"/>
                <w:spacing w:val="-8"/>
                <w:sz w:val="24"/>
                <w:szCs w:val="24"/>
                <w:lang w:val="en-US" w:eastAsia="zh-CN"/>
              </w:rPr>
              <w:t>7</w:t>
            </w:r>
          </w:p>
        </w:tc>
        <w:tc>
          <w:tcPr>
            <w:tcW w:w="1613" w:type="dxa"/>
            <w:shd w:val="clear" w:color="auto" w:fill="auto"/>
            <w:vAlign w:val="center"/>
          </w:tcPr>
          <w:p w14:paraId="413D25DC">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default" w:ascii="Times New Roman" w:hAnsi="Times New Roman" w:eastAsia="仿宋" w:cs="Times New Roman"/>
                <w:spacing w:val="-8"/>
                <w:kern w:val="2"/>
                <w:sz w:val="24"/>
                <w:szCs w:val="24"/>
                <w:lang w:val="en-US" w:eastAsia="zh-CN" w:bidi="ar-SA"/>
              </w:rPr>
              <w:t>焦雪玲</w:t>
            </w:r>
          </w:p>
        </w:tc>
        <w:tc>
          <w:tcPr>
            <w:tcW w:w="4647" w:type="dxa"/>
            <w:shd w:val="clear" w:color="auto" w:fill="auto"/>
            <w:vAlign w:val="center"/>
          </w:tcPr>
          <w:p w14:paraId="07AB6B1B">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en-US" w:bidi="ar-SA"/>
              </w:rPr>
            </w:pPr>
            <w:r>
              <w:rPr>
                <w:rFonts w:hint="default" w:ascii="Times New Roman" w:hAnsi="Times New Roman" w:cs="Times New Roman"/>
                <w:spacing w:val="-8"/>
                <w:sz w:val="24"/>
                <w:szCs w:val="24"/>
                <w:lang w:eastAsia="zh-CN"/>
              </w:rPr>
              <w:t>延安市宝塔区畜牧兽医服务中心</w:t>
            </w:r>
          </w:p>
        </w:tc>
        <w:tc>
          <w:tcPr>
            <w:tcW w:w="1763" w:type="dxa"/>
            <w:shd w:val="clear" w:color="auto" w:fill="auto"/>
            <w:vAlign w:val="center"/>
          </w:tcPr>
          <w:p w14:paraId="57B57CF0">
            <w:pPr>
              <w:pStyle w:val="7"/>
              <w:keepNext w:val="0"/>
              <w:keepLines w:val="0"/>
              <w:pageBreakBefore w:val="0"/>
              <w:widowControl/>
              <w:wordWrap/>
              <w:overflowPunct/>
              <w:topLinePunct w:val="0"/>
              <w:bidi w:val="0"/>
              <w:jc w:val="center"/>
              <w:rPr>
                <w:rFonts w:hint="default" w:ascii="Times New Roman" w:hAnsi="Times New Roman" w:eastAsia="仿宋" w:cs="Times New Roman"/>
                <w:snapToGrid w:val="0"/>
                <w:color w:val="000000"/>
                <w:spacing w:val="-8"/>
                <w:kern w:val="0"/>
                <w:sz w:val="24"/>
                <w:szCs w:val="24"/>
                <w:lang w:val="en-US" w:eastAsia="en-US" w:bidi="ar-SA"/>
              </w:rPr>
            </w:pPr>
            <w:r>
              <w:rPr>
                <w:rFonts w:hint="default" w:ascii="Times New Roman" w:hAnsi="Times New Roman" w:cs="Times New Roman"/>
                <w:spacing w:val="-8"/>
                <w:sz w:val="24"/>
                <w:szCs w:val="24"/>
              </w:rPr>
              <w:t>试验验证</w:t>
            </w:r>
          </w:p>
        </w:tc>
      </w:tr>
      <w:tr w14:paraId="7BAC7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6580E84C">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zh-CN"/>
              </w:rPr>
            </w:pPr>
            <w:r>
              <w:rPr>
                <w:rFonts w:hint="eastAsia" w:ascii="Times New Roman" w:hAnsi="Times New Roman" w:cs="Times New Roman"/>
                <w:spacing w:val="-8"/>
                <w:sz w:val="24"/>
                <w:szCs w:val="24"/>
                <w:lang w:val="en-US" w:eastAsia="zh-CN"/>
              </w:rPr>
              <w:t>8</w:t>
            </w:r>
          </w:p>
        </w:tc>
        <w:tc>
          <w:tcPr>
            <w:tcW w:w="1613" w:type="dxa"/>
            <w:shd w:val="clear" w:color="auto" w:fill="auto"/>
            <w:vAlign w:val="center"/>
          </w:tcPr>
          <w:p w14:paraId="3B58F442">
            <w:pPr>
              <w:pStyle w:val="7"/>
              <w:keepNext w:val="0"/>
              <w:keepLines w:val="0"/>
              <w:pageBreakBefore w:val="0"/>
              <w:widowControl/>
              <w:wordWrap/>
              <w:overflowPunct/>
              <w:topLinePunct w:val="0"/>
              <w:bidi w:val="0"/>
              <w:jc w:val="center"/>
              <w:rPr>
                <w:rFonts w:hint="default" w:ascii="Times New Roman" w:hAnsi="Times New Roman" w:eastAsia="仿宋" w:cs="Times New Roman"/>
                <w:snapToGrid w:val="0"/>
                <w:color w:val="000000"/>
                <w:spacing w:val="-8"/>
                <w:kern w:val="0"/>
                <w:sz w:val="24"/>
                <w:szCs w:val="24"/>
                <w:lang w:val="en-US" w:eastAsia="zh-CN" w:bidi="ar-SA"/>
              </w:rPr>
            </w:pPr>
            <w:r>
              <w:rPr>
                <w:rFonts w:hint="default" w:ascii="Times New Roman" w:hAnsi="Times New Roman" w:eastAsia="仿宋" w:cs="Times New Roman"/>
                <w:snapToGrid w:val="0"/>
                <w:color w:val="000000"/>
                <w:spacing w:val="-8"/>
                <w:kern w:val="0"/>
                <w:sz w:val="24"/>
                <w:szCs w:val="24"/>
                <w:lang w:val="en-US" w:eastAsia="zh-CN" w:bidi="ar-SA"/>
              </w:rPr>
              <w:t>马小桥</w:t>
            </w:r>
          </w:p>
        </w:tc>
        <w:tc>
          <w:tcPr>
            <w:tcW w:w="4647" w:type="dxa"/>
            <w:shd w:val="clear" w:color="auto" w:fill="auto"/>
            <w:vAlign w:val="center"/>
          </w:tcPr>
          <w:p w14:paraId="2FA5F215">
            <w:pPr>
              <w:pStyle w:val="7"/>
              <w:keepNext w:val="0"/>
              <w:keepLines w:val="0"/>
              <w:pageBreakBefore w:val="0"/>
              <w:widowControl/>
              <w:wordWrap/>
              <w:overflowPunct/>
              <w:topLinePunct w:val="0"/>
              <w:bidi w:val="0"/>
              <w:jc w:val="center"/>
              <w:rPr>
                <w:rFonts w:hint="default" w:ascii="Times New Roman" w:hAnsi="Times New Roman" w:eastAsia="仿宋" w:cs="Times New Roman"/>
                <w:snapToGrid w:val="0"/>
                <w:color w:val="000000"/>
                <w:spacing w:val="-8"/>
                <w:kern w:val="0"/>
                <w:sz w:val="24"/>
                <w:szCs w:val="24"/>
                <w:lang w:val="en-US" w:eastAsia="zh-CN" w:bidi="ar-SA"/>
              </w:rPr>
            </w:pPr>
            <w:r>
              <w:rPr>
                <w:rFonts w:hint="default" w:ascii="Times New Roman" w:hAnsi="Times New Roman" w:cs="Times New Roman"/>
                <w:spacing w:val="-8"/>
                <w:sz w:val="24"/>
                <w:szCs w:val="24"/>
                <w:lang w:eastAsia="zh-CN"/>
              </w:rPr>
              <w:t>延安市宝塔区畜牧兽医服务中心</w:t>
            </w:r>
          </w:p>
        </w:tc>
        <w:tc>
          <w:tcPr>
            <w:tcW w:w="1763" w:type="dxa"/>
            <w:shd w:val="clear" w:color="auto" w:fill="auto"/>
            <w:vAlign w:val="center"/>
          </w:tcPr>
          <w:p w14:paraId="1835C5FC">
            <w:pPr>
              <w:pStyle w:val="7"/>
              <w:keepNext w:val="0"/>
              <w:keepLines w:val="0"/>
              <w:pageBreakBefore w:val="0"/>
              <w:widowControl/>
              <w:wordWrap/>
              <w:overflowPunct/>
              <w:topLinePunct w:val="0"/>
              <w:bidi w:val="0"/>
              <w:jc w:val="center"/>
              <w:rPr>
                <w:rFonts w:hint="default" w:ascii="Times New Roman" w:hAnsi="Times New Roman" w:eastAsia="仿宋" w:cs="Times New Roman"/>
                <w:snapToGrid w:val="0"/>
                <w:color w:val="000000"/>
                <w:spacing w:val="-8"/>
                <w:kern w:val="0"/>
                <w:sz w:val="24"/>
                <w:szCs w:val="24"/>
                <w:lang w:val="en-US" w:eastAsia="en-US" w:bidi="ar-SA"/>
              </w:rPr>
            </w:pPr>
            <w:r>
              <w:rPr>
                <w:rFonts w:hint="default" w:ascii="Times New Roman" w:hAnsi="Times New Roman" w:cs="Times New Roman"/>
                <w:spacing w:val="-8"/>
                <w:sz w:val="24"/>
                <w:szCs w:val="24"/>
              </w:rPr>
              <w:t>试验验证</w:t>
            </w:r>
          </w:p>
        </w:tc>
      </w:tr>
      <w:tr w14:paraId="2FAA7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16E9C66B">
            <w:pPr>
              <w:pStyle w:val="7"/>
              <w:keepNext w:val="0"/>
              <w:keepLines w:val="0"/>
              <w:pageBreakBefore w:val="0"/>
              <w:widowControl/>
              <w:wordWrap/>
              <w:overflowPunct/>
              <w:topLinePunct w:val="0"/>
              <w:bidi w:val="0"/>
              <w:jc w:val="center"/>
              <w:rPr>
                <w:rFonts w:hint="default" w:ascii="Times New Roman" w:hAnsi="Times New Roman" w:eastAsia="仿宋" w:cs="Times New Roman"/>
                <w:snapToGrid w:val="0"/>
                <w:color w:val="000000"/>
                <w:spacing w:val="-8"/>
                <w:kern w:val="0"/>
                <w:sz w:val="24"/>
                <w:szCs w:val="24"/>
                <w:lang w:val="en-US" w:eastAsia="zh-CN" w:bidi="ar-SA"/>
              </w:rPr>
            </w:pPr>
            <w:r>
              <w:rPr>
                <w:rFonts w:hint="eastAsia" w:ascii="Times New Roman" w:hAnsi="Times New Roman" w:cs="Times New Roman"/>
                <w:spacing w:val="-8"/>
                <w:sz w:val="24"/>
                <w:szCs w:val="24"/>
                <w:lang w:val="en-US" w:eastAsia="zh-CN"/>
              </w:rPr>
              <w:t>9</w:t>
            </w:r>
          </w:p>
        </w:tc>
        <w:tc>
          <w:tcPr>
            <w:tcW w:w="1613" w:type="dxa"/>
            <w:shd w:val="clear" w:color="auto" w:fill="auto"/>
            <w:vAlign w:val="center"/>
          </w:tcPr>
          <w:p w14:paraId="2EBC4157">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eastAsia" w:ascii="Times New Roman" w:hAnsi="Times New Roman" w:cs="Times New Roman"/>
                <w:spacing w:val="-8"/>
                <w:sz w:val="24"/>
                <w:szCs w:val="24"/>
                <w:lang w:val="en-US" w:eastAsia="zh-CN"/>
              </w:rPr>
              <w:t>王  洁</w:t>
            </w:r>
          </w:p>
        </w:tc>
        <w:tc>
          <w:tcPr>
            <w:tcW w:w="4647" w:type="dxa"/>
            <w:shd w:val="clear" w:color="auto" w:fill="auto"/>
            <w:vAlign w:val="center"/>
          </w:tcPr>
          <w:p w14:paraId="5D4336A0">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en-US" w:bidi="ar-SA"/>
              </w:rPr>
            </w:pPr>
            <w:r>
              <w:rPr>
                <w:rFonts w:hint="default" w:ascii="Times New Roman" w:hAnsi="Times New Roman" w:cs="Times New Roman"/>
                <w:spacing w:val="-8"/>
                <w:sz w:val="24"/>
                <w:szCs w:val="24"/>
                <w:lang w:eastAsia="zh-CN"/>
              </w:rPr>
              <w:t>陕西省动物卫生与屠宰管理站</w:t>
            </w:r>
          </w:p>
        </w:tc>
        <w:tc>
          <w:tcPr>
            <w:tcW w:w="1763" w:type="dxa"/>
            <w:shd w:val="clear" w:color="auto" w:fill="auto"/>
            <w:vAlign w:val="center"/>
          </w:tcPr>
          <w:p w14:paraId="02A49647">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en-US" w:bidi="ar-SA"/>
              </w:rPr>
            </w:pPr>
            <w:r>
              <w:rPr>
                <w:rFonts w:hint="default" w:ascii="Times New Roman" w:hAnsi="Times New Roman" w:cs="Times New Roman"/>
                <w:spacing w:val="-8"/>
                <w:sz w:val="24"/>
                <w:szCs w:val="24"/>
              </w:rPr>
              <w:t>试验验证</w:t>
            </w:r>
          </w:p>
        </w:tc>
      </w:tr>
    </w:tbl>
    <w:p w14:paraId="6936BECA">
      <w:pPr>
        <w:widowControl w:val="0"/>
        <w:numPr>
          <w:ilvl w:val="0"/>
          <w:numId w:val="0"/>
        </w:numPr>
        <w:jc w:val="both"/>
        <w:rPr>
          <w:rFonts w:hint="eastAsia" w:ascii="Times New Roman" w:hAnsi="Times New Roman" w:eastAsia="仿宋_GB2312" w:cs="仿宋_GB2312"/>
          <w:kern w:val="2"/>
          <w:sz w:val="32"/>
          <w:szCs w:val="32"/>
          <w:lang w:val="en-US" w:eastAsia="zh-CN" w:bidi="ar-SA"/>
        </w:rPr>
      </w:pPr>
    </w:p>
    <w:p w14:paraId="7D41E32C">
      <w:pPr>
        <w:widowControl w:val="0"/>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（二）标准编制原则和标准主要内容</w:t>
      </w:r>
    </w:p>
    <w:p w14:paraId="7411519C">
      <w:pPr>
        <w:widowControl w:val="0"/>
        <w:numPr>
          <w:ilvl w:val="0"/>
          <w:numId w:val="0"/>
        </w:numPr>
        <w:ind w:firstLine="640"/>
        <w:jc w:val="both"/>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1.编制原则</w:t>
      </w:r>
    </w:p>
    <w:p w14:paraId="0609B4A0">
      <w:pPr>
        <w:widowControl w:val="0"/>
        <w:numPr>
          <w:ilvl w:val="0"/>
          <w:numId w:val="0"/>
        </w:numPr>
        <w:ind w:firstLine="640"/>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本标准的制定遵循“统一性、协调性、适用性、一致性、规范性”的原则，本着先进性、科学性、合理性和可操作性的原则，依据《中华人民共和国动物防疫法》《病死畜禽和病害畜禽产品无害化处理管理办法》等相关法律法规和技术规范，参考国内外相关标准和研究成果，结合我省病死畜禽和病害畜禽产品收集场所建设实际情况，按照GB/T 1.1-2020《标准化工作导则  第1部分：标准化文件的结构和起草规则》规定的规则编制。</w:t>
      </w:r>
    </w:p>
    <w:p w14:paraId="0558EA95">
      <w:pPr>
        <w:widowControl w:val="0"/>
        <w:numPr>
          <w:ilvl w:val="0"/>
          <w:numId w:val="0"/>
        </w:numPr>
        <w:ind w:firstLine="640"/>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2.主要内容</w:t>
      </w:r>
    </w:p>
    <w:p w14:paraId="042ADD25">
      <w:pPr>
        <w:widowControl w:val="0"/>
        <w:numPr>
          <w:ilvl w:val="0"/>
          <w:numId w:val="0"/>
        </w:numPr>
        <w:ind w:firstLine="640"/>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本标准规定了病死畜禽和病害畜禽产品收集场所建设规范的范围、规范性引用文件、术语和定义、建设要求、人员要求、管理要求与制度要求。其中，建设要求包括选址、布局和场地、设施设备。</w:t>
      </w:r>
    </w:p>
    <w:p w14:paraId="53D1BC30">
      <w:pPr>
        <w:widowControl w:val="0"/>
        <w:numPr>
          <w:ilvl w:val="0"/>
          <w:numId w:val="0"/>
        </w:numPr>
        <w:ind w:firstLine="640"/>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3.主要内容的解释和说明</w:t>
      </w:r>
    </w:p>
    <w:p w14:paraId="64418AB4">
      <w:pPr>
        <w:widowControl w:val="0"/>
        <w:numPr>
          <w:ilvl w:val="0"/>
          <w:numId w:val="0"/>
        </w:numPr>
        <w:ind w:firstLine="640"/>
        <w:jc w:val="both"/>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1）标准名称：病死畜禽和病害畜禽产品收集场所建设规范</w:t>
      </w:r>
    </w:p>
    <w:p w14:paraId="7D5447AE">
      <w:pPr>
        <w:widowControl w:val="0"/>
        <w:numPr>
          <w:ilvl w:val="0"/>
          <w:numId w:val="0"/>
        </w:numPr>
        <w:ind w:firstLine="640" w:firstLineChars="200"/>
        <w:jc w:val="both"/>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2）范围：规定了病死畜禽和病害畜禽产品收集场所的建设要求、人员、管理与制度等技术要求。</w:t>
      </w:r>
    </w:p>
    <w:p w14:paraId="31DFF3CD">
      <w:pPr>
        <w:widowControl w:val="0"/>
        <w:numPr>
          <w:ilvl w:val="0"/>
          <w:numId w:val="0"/>
        </w:numPr>
        <w:ind w:firstLine="640" w:firstLineChars="200"/>
        <w:jc w:val="both"/>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3）规范性引用文件：引用和参考了最新版的国内先进标准，以充分保证本标准条款的可依靠性和可行性。</w:t>
      </w:r>
    </w:p>
    <w:p w14:paraId="051724F0">
      <w:pPr>
        <w:widowControl w:val="0"/>
        <w:numPr>
          <w:ilvl w:val="0"/>
          <w:numId w:val="0"/>
        </w:numPr>
        <w:ind w:firstLine="640" w:firstLineChars="200"/>
        <w:jc w:val="both"/>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4）建设要求：规定了收集场所的选址、布局和场地、设施设备。</w:t>
      </w:r>
    </w:p>
    <w:p w14:paraId="7F113D9C">
      <w:pPr>
        <w:widowControl w:val="0"/>
        <w:numPr>
          <w:ilvl w:val="0"/>
          <w:numId w:val="0"/>
        </w:numPr>
        <w:ind w:firstLine="640" w:firstLineChars="200"/>
        <w:jc w:val="both"/>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5）人员与管理：对收集场所人员及管理进行了规定。</w:t>
      </w:r>
    </w:p>
    <w:p w14:paraId="26A73401">
      <w:pPr>
        <w:widowControl w:val="0"/>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（三）实证研究</w:t>
      </w:r>
    </w:p>
    <w:p w14:paraId="09CC0B9B">
      <w:pPr>
        <w:widowControl w:val="0"/>
        <w:numPr>
          <w:ilvl w:val="0"/>
          <w:numId w:val="0"/>
        </w:numPr>
        <w:jc w:val="both"/>
        <w:rPr>
          <w:rFonts w:hint="default" w:ascii="Times New Roman" w:hAnsi="Times New Roman" w:eastAsia="仿宋_GB2312" w:cs="仿宋_GB2312"/>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 xml:space="preserve">  全省</w:t>
      </w:r>
      <w:r>
        <w:rPr>
          <w:rFonts w:hint="eastAsia" w:ascii="Times New Roman" w:hAnsi="Times New Roman" w:eastAsia="仿宋_GB2312" w:cs="仿宋_GB2312"/>
          <w:kern w:val="2"/>
          <w:sz w:val="32"/>
          <w:szCs w:val="32"/>
          <w:lang w:val="en-US" w:eastAsia="zh-CN" w:bidi="ar-SA"/>
        </w:rPr>
        <w:t>病死畜禽和病害畜禽产品收集场所</w:t>
      </w:r>
      <w:r>
        <w:rPr>
          <w:rFonts w:hint="eastAsia" w:ascii="Times New Roman" w:hAnsi="Times New Roman" w:eastAsia="仿宋_GB2312" w:cs="仿宋_GB2312"/>
          <w:sz w:val="32"/>
          <w:szCs w:val="32"/>
          <w:lang w:val="en-US" w:eastAsia="zh-CN"/>
        </w:rPr>
        <w:t>为试验验证提供场地和数据支撑。</w:t>
      </w:r>
    </w:p>
    <w:p w14:paraId="5CDA7C19">
      <w:pPr>
        <w:widowControl w:val="0"/>
        <w:numPr>
          <w:ilvl w:val="0"/>
          <w:numId w:val="0"/>
        </w:numPr>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（四）知识产权说明</w:t>
      </w:r>
    </w:p>
    <w:p w14:paraId="44AC0F3C">
      <w:pPr>
        <w:widowControl w:val="0"/>
        <w:numPr>
          <w:ilvl w:val="0"/>
          <w:numId w:val="0"/>
        </w:numPr>
        <w:jc w:val="both"/>
        <w:rPr>
          <w:rFonts w:hint="eastAsia" w:ascii="Times New Roman" w:hAnsi="Times New Roman" w:eastAsia="仿宋_GB2312" w:cs="仿宋_GB2312"/>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本标准不涉及相关知识产权。</w:t>
      </w:r>
    </w:p>
    <w:p w14:paraId="281E5611">
      <w:pPr>
        <w:widowControl w:val="0"/>
        <w:numPr>
          <w:ilvl w:val="0"/>
          <w:numId w:val="0"/>
        </w:numPr>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（五）采标情况</w:t>
      </w:r>
    </w:p>
    <w:p w14:paraId="4B69D49F">
      <w:pPr>
        <w:widowControl w:val="0"/>
        <w:numPr>
          <w:ilvl w:val="0"/>
          <w:numId w:val="0"/>
        </w:numPr>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 xml:space="preserve"> 除DB1307/T 428—2023《病死动物和病害动物产品无害化处理收集点建设规范》，我国尚无与该标准相同的国家、行业、地方标准，其内容符合现行法律、法规。</w:t>
      </w:r>
    </w:p>
    <w:p w14:paraId="3BBBBBBB">
      <w:pPr>
        <w:widowControl w:val="0"/>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（六）重大意见分歧的处理</w:t>
      </w:r>
    </w:p>
    <w:p w14:paraId="5AB19B7C">
      <w:pPr>
        <w:widowControl w:val="0"/>
        <w:numPr>
          <w:ilvl w:val="0"/>
          <w:numId w:val="0"/>
        </w:numPr>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目前，无分歧意见。</w:t>
      </w:r>
    </w:p>
    <w:p w14:paraId="38ED3306">
      <w:pPr>
        <w:widowControl w:val="0"/>
        <w:numPr>
          <w:ilvl w:val="0"/>
          <w:numId w:val="0"/>
        </w:numPr>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（七）其他应说明的事项</w:t>
      </w:r>
    </w:p>
    <w:p w14:paraId="624D15D1">
      <w:pPr>
        <w:widowControl w:val="0"/>
        <w:numPr>
          <w:ilvl w:val="0"/>
          <w:numId w:val="0"/>
        </w:numPr>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无。</w:t>
      </w:r>
    </w:p>
    <w:p w14:paraId="7F37E72F">
      <w:pPr>
        <w:widowControl w:val="0"/>
        <w:numPr>
          <w:ilvl w:val="0"/>
          <w:numId w:val="0"/>
        </w:numPr>
        <w:jc w:val="both"/>
        <w:rPr>
          <w:rFonts w:hint="eastAsia" w:ascii="Times New Roman" w:hAnsi="Times New Roman" w:eastAsia="黑体" w:cs="黑体"/>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0AC2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15C53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15C53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773E9"/>
    <w:rsid w:val="03367AB9"/>
    <w:rsid w:val="08BA0844"/>
    <w:rsid w:val="136073B1"/>
    <w:rsid w:val="1BED2887"/>
    <w:rsid w:val="1D812873"/>
    <w:rsid w:val="1F8B481F"/>
    <w:rsid w:val="27172661"/>
    <w:rsid w:val="2C680433"/>
    <w:rsid w:val="37ED34E0"/>
    <w:rsid w:val="3F141D55"/>
    <w:rsid w:val="416C40CA"/>
    <w:rsid w:val="42C37906"/>
    <w:rsid w:val="4E5008D0"/>
    <w:rsid w:val="4E9C372D"/>
    <w:rsid w:val="4F6A0535"/>
    <w:rsid w:val="56076FA5"/>
    <w:rsid w:val="57FD5624"/>
    <w:rsid w:val="5BE74621"/>
    <w:rsid w:val="5C1274A6"/>
    <w:rsid w:val="639037F0"/>
    <w:rsid w:val="73077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仿宋" w:hAnsi="仿宋" w:eastAsia="仿宋" w:cs="仿宋"/>
      <w:sz w:val="28"/>
      <w:szCs w:val="28"/>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1490</Words>
  <Characters>1534</Characters>
  <Lines>0</Lines>
  <Paragraphs>0</Paragraphs>
  <TotalTime>1</TotalTime>
  <ScaleCrop>false</ScaleCrop>
  <LinksUpToDate>false</LinksUpToDate>
  <CharactersWithSpaces>1591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2025-02-08T02:55:00Z</dcterms:created>
  <dc:creator>guoguo</dc:creator>
  <cp:lastModifiedBy>caogaixia</cp:lastModifiedBy>
  <dcterms:modified xsi:type="dcterms:W3CDTF">2025-06-19T07:04:49Z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408D56A5ABB549128BA2E6ECE1E3E68B_13</vt:lpwstr>
  </property>
  <property fmtid="{D5CDD505-2E9C-101B-9397-08002B2CF9AE}" pid="4" name="KSOTemplateDocerSaveRecord">
    <vt:lpwstr>eyJoZGlkIjoiNjg4Yjk2OWRmNWQxNWMyMjg3NWZhZjFmMzg5MmJjZjkifQ==</vt:lpwstr>
  </property>
</Properties>
</file>