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6090A">
      <w:pPr>
        <w:pStyle w:val="15"/>
        <w:framePr w:wrap="around"/>
        <w:pBdr>
          <w:top w:val="none" w:color="auto" w:sz="0" w:space="0"/>
          <w:left w:val="none" w:color="auto" w:sz="0" w:space="0"/>
          <w:bottom w:val="none" w:color="auto" w:sz="0" w:space="0"/>
          <w:right w:val="none" w:color="auto" w:sz="0" w:space="0"/>
        </w:pBdr>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ICS</w:t>
      </w:r>
      <w:r>
        <w:rPr>
          <w:rFonts w:hint="default" w:ascii="Times New Roman" w:hAnsi="Times New Roman" w:eastAsia="MS Mincho" w:cs="Times New Roman"/>
          <w:color w:val="auto"/>
          <w:highlight w:val="none"/>
        </w:rPr>
        <w:t> </w:t>
      </w:r>
      <w:r>
        <w:rPr>
          <w:rFonts w:hint="default" w:ascii="Times New Roman" w:hAnsi="Times New Roman" w:eastAsia="宋体" w:cs="Times New Roman"/>
          <w:color w:val="auto"/>
          <w:highlight w:val="none"/>
          <w:lang w:val="en-US" w:eastAsia="zh-CN"/>
        </w:rPr>
        <w:t>67.040</w:t>
      </w:r>
    </w:p>
    <w:p w14:paraId="7A5F22C1">
      <w:pPr>
        <w:pStyle w:val="15"/>
        <w:framePr w:wrap="around"/>
        <w:pBdr>
          <w:top w:val="none" w:color="auto" w:sz="0" w:space="0"/>
          <w:left w:val="none" w:color="auto" w:sz="0" w:space="0"/>
          <w:bottom w:val="none" w:color="auto" w:sz="0" w:space="0"/>
          <w:right w:val="none" w:color="auto" w:sz="0" w:space="0"/>
        </w:pBdr>
        <w:rPr>
          <w:color w:val="auto"/>
          <w:highlight w:val="none"/>
        </w:rPr>
      </w:pPr>
      <w:r>
        <w:rPr>
          <w:rFonts w:hint="default" w:ascii="Times New Roman" w:hAnsi="Times New Roman" w:cs="Times New Roman"/>
          <w:color w:val="auto"/>
          <w:highlight w:val="none"/>
          <w:lang w:val="en-US" w:eastAsia="zh-CN"/>
        </w:rPr>
        <w:t>CCS X 00</w:t>
      </w:r>
      <w:r>
        <w:rPr>
          <w:rFonts w:hint="eastAsia" w:ascii="Times New Roman" w:cs="Times New Roman"/>
          <w:color w:val="auto"/>
          <w:highlight w:val="none"/>
          <w:lang w:val="en-US" w:eastAsia="zh-CN"/>
        </w:rPr>
        <w:t xml:space="preserve">  </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4"/>
      </w:tblGrid>
      <w:tr w14:paraId="12383B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4" w:type="dxa"/>
            <w:tcBorders>
              <w:top w:val="nil"/>
              <w:left w:val="nil"/>
              <w:bottom w:val="nil"/>
              <w:right w:val="nil"/>
            </w:tcBorders>
          </w:tcPr>
          <w:p w14:paraId="6AA68B3B">
            <w:pPr>
              <w:pStyle w:val="15"/>
              <w:framePr w:wrap="around"/>
              <w:rPr>
                <w:color w:val="auto"/>
                <w:highlight w:val="none"/>
              </w:rPr>
            </w:pPr>
            <w:r>
              <w:rPr>
                <w:color w:val="auto"/>
                <w:highlight w:val="none"/>
              </w:rPr>
              <mc:AlternateContent>
                <mc:Choice Requires="wps">
                  <w:drawing>
                    <wp:anchor distT="0" distB="0" distL="114300" distR="114300" simplePos="0" relativeHeight="251659264" behindDoc="1" locked="0" layoutInCell="1" allowOverlap="1">
                      <wp:simplePos x="0" y="0"/>
                      <wp:positionH relativeFrom="column">
                        <wp:posOffset>-66675</wp:posOffset>
                      </wp:positionH>
                      <wp:positionV relativeFrom="paragraph">
                        <wp:posOffset>0</wp:posOffset>
                      </wp:positionV>
                      <wp:extent cx="866775" cy="198120"/>
                      <wp:effectExtent l="0" t="0" r="0" b="0"/>
                      <wp:wrapNone/>
                      <wp:docPr id="4" name="BAH"/>
                      <wp:cNvGraphicFramePr/>
                      <a:graphic xmlns:a="http://schemas.openxmlformats.org/drawingml/2006/main">
                        <a:graphicData uri="http://schemas.microsoft.com/office/word/2010/wordprocessingShape">
                          <wps:wsp>
                            <wps:cNvSpPr/>
                            <wps:spPr>
                              <a:xfrm>
                                <a:off x="0" y="0"/>
                                <a:ext cx="866775" cy="198120"/>
                              </a:xfrm>
                              <a:prstGeom prst="rect">
                                <a:avLst/>
                              </a:prstGeom>
                              <a:solidFill>
                                <a:srgbClr val="FFFFFF"/>
                              </a:solidFill>
                              <a:ln>
                                <a:noFill/>
                              </a:ln>
                              <a:effectLst/>
                            </wps:spPr>
                            <wps:bodyPr wrap="square" upright="1"/>
                          </wps:wsp>
                        </a:graphicData>
                      </a:graphic>
                    </wp:anchor>
                  </w:drawing>
                </mc:Choice>
                <mc:Fallback>
                  <w:pict>
                    <v:rect id="BAH" o:spid="_x0000_s1026" o:spt="1" style="position:absolute;left:0pt;margin-left:-5.25pt;margin-top:0pt;height:15.6pt;width:68.25pt;z-index:-251657216;mso-width-relative:page;mso-height-relative:page;" fillcolor="#FFFFFF" filled="t" stroked="f" coordsize="21600,21600" o:gfxdata="UEsDBAoAAAAAAIdO4kAAAAAAAAAAAAAAAAAEAAAAZHJzL1BLAwQUAAAACACHTuJAyK4v7NUAAAAH&#10;AQAADwAAAGRycy9kb3ducmV2LnhtbE2PwW7CMBBE75X6D9ZW4gZ2QoloGodDJU6lhwIS1yVekqjx&#10;Oo0dSP++5tTeZjWjmbfFZrKduNLgW8cakoUCQVw503Kt4XjYztcgfEA22DkmDT/kYVM+PhSYG3fj&#10;T7ruQy1iCfscNTQh9LmUvmrIol+4njh6FzdYDPEcamkGvMVy28lUqUxabDkuNNjTW0PV1360GjB7&#10;Nt8fl+Xu8D5m+FJPars6Ka1nT4l6BRFoCn9huONHdCgj09mNbLzoNMwTtYpRDfGju51mUZw1LJMU&#10;ZFnI//zlL1BLAwQUAAAACACHTuJAm0m16rQBAAB1AwAADgAAAGRycy9lMm9Eb2MueG1srVNNb9sw&#10;DL0P6H8QdG8cB12aGXGKrUG2w7AV6PoDFFm2BehrpBIn/36U7GZdd+mhPsikSD3yPUrru5M17KgA&#10;tXc1L2dzzpSTvtGuq/nTr931ijOMwjXCeKdqflbI7zZXH9ZDqNTC9940ChiBOKyGUPM+xlAVBcpe&#10;WYEzH5SjYOvBikgudEUDYiB0a4rFfL4sBg9NAC8VIu1uxyCfEOEtgL5ttVRbLw9WuTiigjIiEiXs&#10;dUC+yd22rZLxZ9uiiszUnJjGvFIRsvdpLTZrUXUgQq/l1IJ4SwuvOFmhHRW9QG1FFOwA+j8oqyV4&#10;9G2cSW+LkUhWhFiU81faPPYiqMyFpMZwER3fD1b+OD4A003NbzhzwtLAv3z+lmQZAlYUfQwPMHlI&#10;ZuJ4asGmP3XPTlnK80VKdYpM0uZquby9/ciZpFD5aVUustTF38MBMH5V3rJk1BxoUllAcfyOkQpS&#10;6nNKqoXe6GanjckOdPt7A+woaKq7/KWO6cg/acalZOfTsTE87qh8L6YyieZILFl735xJj4EuRM3x&#10;90GA4uwQQHc9NVnmKimPppHrTTcnjfulT/bL17L5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Miu&#10;L+zVAAAABwEAAA8AAAAAAAAAAQAgAAAAIgAAAGRycy9kb3ducmV2LnhtbFBLAQIUABQAAAAIAIdO&#10;4kCbSbXqtAEAAHUDAAAOAAAAAAAAAAEAIAAAACQBAABkcnMvZTJvRG9jLnhtbFBLBQYAAAAABgAG&#10;AFkBAABKBQAAAAA=&#10;">
                      <v:fill on="t" focussize="0,0"/>
                      <v:stroke on="f"/>
                      <v:imagedata o:title=""/>
                      <o:lock v:ext="edit" aspectratio="f"/>
                    </v:rect>
                  </w:pict>
                </mc:Fallback>
              </mc:AlternateContent>
            </w:r>
            <w:r>
              <w:rPr>
                <w:color w:val="auto"/>
                <w:highlight w:val="none"/>
              </w:rPr>
              <w:fldChar w:fldCharType="begin">
                <w:ffData>
                  <w:name w:val="BAH"/>
                  <w:enabled/>
                  <w:calcOnExit w:val="0"/>
                  <w:textInput/>
                </w:ffData>
              </w:fldChar>
            </w:r>
            <w:bookmarkStart w:id="0" w:name="BAH"/>
            <w:r>
              <w:rPr>
                <w:color w:val="auto"/>
                <w:highlight w:val="none"/>
              </w:rPr>
              <w:instrText xml:space="preserve"> FORMTEXT </w:instrText>
            </w:r>
            <w:r>
              <w:rPr>
                <w:color w:val="auto"/>
                <w:highlight w:val="none"/>
              </w:rPr>
              <w:fldChar w:fldCharType="separate"/>
            </w:r>
            <w:r>
              <w:rPr>
                <w:color w:val="auto"/>
                <w:highlight w:val="none"/>
              </w:rPr>
              <w:t>     </w:t>
            </w:r>
            <w:r>
              <w:rPr>
                <w:color w:val="auto"/>
                <w:highlight w:val="none"/>
              </w:rPr>
              <w:fldChar w:fldCharType="end"/>
            </w:r>
            <w:bookmarkEnd w:id="0"/>
          </w:p>
        </w:tc>
      </w:tr>
    </w:tbl>
    <w:p w14:paraId="12418C5A">
      <w:pPr>
        <w:pStyle w:val="17"/>
        <w:framePr w:wrap="around"/>
        <w:rPr>
          <w:color w:val="auto"/>
          <w:highlight w:val="none"/>
        </w:rPr>
      </w:pPr>
      <w:r>
        <w:rPr>
          <w:color w:val="auto"/>
          <w:highlight w:val="none"/>
        </w:rPr>
        <w:t>DB</w:t>
      </w:r>
      <w:bookmarkStart w:id="1" w:name="c3"/>
      <w:r>
        <w:rPr>
          <w:color w:val="auto"/>
          <w:highlight w:val="none"/>
        </w:rPr>
        <w:fldChar w:fldCharType="begin">
          <w:ffData>
            <w:name w:val="c3"/>
            <w:enabled/>
            <w:calcOnExit w:val="0"/>
            <w:textInput>
              <w:default w:val="61"/>
              <w:maxLength w:val="2"/>
            </w:textInput>
          </w:ffData>
        </w:fldChar>
      </w:r>
      <w:r>
        <w:rPr>
          <w:color w:val="auto"/>
          <w:highlight w:val="none"/>
        </w:rPr>
        <w:instrText xml:space="preserve">FORMTEXT</w:instrText>
      </w:r>
      <w:r>
        <w:rPr>
          <w:color w:val="auto"/>
          <w:highlight w:val="none"/>
        </w:rPr>
        <w:fldChar w:fldCharType="separate"/>
      </w:r>
      <w:r>
        <w:rPr>
          <w:color w:val="auto"/>
          <w:highlight w:val="none"/>
        </w:rPr>
        <w:t>61</w:t>
      </w:r>
      <w:r>
        <w:rPr>
          <w:color w:val="auto"/>
          <w:highlight w:val="none"/>
        </w:rPr>
        <w:fldChar w:fldCharType="end"/>
      </w:r>
      <w:bookmarkEnd w:id="1"/>
    </w:p>
    <w:p w14:paraId="77B21BFA">
      <w:pPr>
        <w:pStyle w:val="16"/>
        <w:framePr w:w="9343" w:wrap="around"/>
        <w:rPr>
          <w:rFonts w:hint="eastAsia"/>
          <w:color w:val="auto"/>
          <w:highlight w:val="none"/>
        </w:rPr>
      </w:pPr>
      <w:bookmarkStart w:id="2" w:name="c4"/>
      <w:r>
        <w:rPr>
          <w:color w:val="auto"/>
          <w:highlight w:val="none"/>
        </w:rPr>
        <w:fldChar w:fldCharType="begin">
          <w:ffData>
            <w:name w:val="c4"/>
            <w:enabled/>
            <w:calcOnExit w:val="0"/>
            <w:textInput/>
          </w:ffData>
        </w:fldChar>
      </w:r>
      <w:r>
        <w:rPr>
          <w:color w:val="auto"/>
          <w:highlight w:val="none"/>
        </w:rPr>
        <w:instrText xml:space="preserve"> FORMTEXT </w:instrText>
      </w:r>
      <w:r>
        <w:rPr>
          <w:color w:val="auto"/>
          <w:highlight w:val="none"/>
        </w:rPr>
        <w:fldChar w:fldCharType="separate"/>
      </w:r>
      <w:r>
        <w:rPr>
          <w:rFonts w:hint="eastAsia"/>
          <w:color w:val="auto"/>
          <w:highlight w:val="none"/>
        </w:rPr>
        <w:t>陕西省</w:t>
      </w:r>
      <w:r>
        <w:rPr>
          <w:color w:val="auto"/>
          <w:highlight w:val="none"/>
        </w:rPr>
        <w:fldChar w:fldCharType="end"/>
      </w:r>
      <w:bookmarkEnd w:id="2"/>
      <w:r>
        <w:rPr>
          <w:rFonts w:hint="eastAsia"/>
          <w:color w:val="auto"/>
          <w:highlight w:val="none"/>
        </w:rPr>
        <w:t>地方标准</w:t>
      </w:r>
    </w:p>
    <w:tbl>
      <w:tblPr>
        <w:tblStyle w:val="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356"/>
      </w:tblGrid>
      <w:tr w14:paraId="1656D3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1" w:hRule="atLeast"/>
        </w:trPr>
        <w:tc>
          <w:tcPr>
            <w:tcW w:w="9356" w:type="dxa"/>
            <w:tcBorders>
              <w:top w:val="nil"/>
              <w:left w:val="nil"/>
              <w:bottom w:val="nil"/>
              <w:right w:val="nil"/>
            </w:tcBorders>
          </w:tcPr>
          <w:p w14:paraId="06E84A5F">
            <w:pPr>
              <w:pStyle w:val="19"/>
              <w:framePr w:wrap="around"/>
              <w:rPr>
                <w:rFonts w:ascii="Times New Roman"/>
                <w:color w:val="auto"/>
                <w:sz w:val="28"/>
                <w:szCs w:val="28"/>
                <w:highlight w:val="none"/>
              </w:rPr>
            </w:pPr>
            <w:bookmarkStart w:id="3" w:name="DT"/>
          </w:p>
          <w:p w14:paraId="1879DE6E">
            <w:pPr>
              <w:pStyle w:val="19"/>
              <w:framePr w:wrap="around"/>
              <w:rPr>
                <w:color w:val="auto"/>
                <w:highlight w:val="none"/>
              </w:rPr>
            </w:pPr>
            <w:r>
              <w:rPr>
                <w:rFonts w:ascii="Times New Roman"/>
                <w:color w:val="auto"/>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137795</wp:posOffset>
                      </wp:positionH>
                      <wp:positionV relativeFrom="paragraph">
                        <wp:posOffset>339090</wp:posOffset>
                      </wp:positionV>
                      <wp:extent cx="5739765" cy="17780"/>
                      <wp:effectExtent l="0" t="4445" r="5715" b="8255"/>
                      <wp:wrapNone/>
                      <wp:docPr id="1" name="自选图形 3"/>
                      <wp:cNvGraphicFramePr/>
                      <a:graphic xmlns:a="http://schemas.openxmlformats.org/drawingml/2006/main">
                        <a:graphicData uri="http://schemas.microsoft.com/office/word/2010/wordprocessingShape">
                          <wps:wsp>
                            <wps:cNvCnPr>
                              <a:endCxn id="6" idx="3"/>
                            </wps:cNvCnPr>
                            <wps:spPr>
                              <a:xfrm flipV="1">
                                <a:off x="0" y="0"/>
                                <a:ext cx="5739765" cy="1778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flip:y;margin-left:10.85pt;margin-top:26.7pt;height:1.4pt;width:451.95pt;z-index:251660288;mso-width-relative:page;mso-height-relative:page;" filled="f" stroked="t" coordsize="21600,21600" o:gfxdata="UEsDBAoAAAAAAIdO4kAAAAAAAAAAAAAAAAAEAAAAZHJzL1BLAwQUAAAACACHTuJATqvKR9cAAAAI&#10;AQAADwAAAGRycy9kb3ducmV2LnhtbE2PwU7DMBBE70j8g7WVuFEnoU1LiNMDEogDitQW7m68JKHx&#10;OsRu0v49y4keZ2c08zbfnG0nRhx860hBPI9AIFXOtFQr+Ni/3K9B+KDJ6M4RKrigh01xe5PrzLiJ&#10;tjjuQi24hHymFTQh9JmUvmrQaj93PRJ7X26wOrAcamkGPXG57WQSRam0uiVeaHSPzw1Wx93JKvih&#10;1eVzIcf1d1mG9PXtvSYsJ6XuZnH0BCLgOfyH4Q+f0aFgpoM7kfGiU5DEK04qWD4sQLD/mCxTEAc+&#10;pAnIIpfXDxS/UEsDBBQAAAAIAIdO4kC5GLrIFwIAACYEAAAOAAAAZHJzL2Uyb0RvYy54bWytU72O&#10;EzEQ7pF4B8s92SSnJHerbK5IOBoEkfjpHdu7a8l/8viym44O8Qx0lLwD9zYnwVsw9oYcdzQp2MI7&#10;tme+mW/m8/K6N5rsZQDlbEUnozEl0nInlG0q+uH9zYtLSiAyK5h2Vlb0IIFer54/W3a+lFPXOi1k&#10;IAhioex8RdsYfVkUwFtpGIyclxYvaxcMi7gNTSEC6xDd6GI6Hs+LzgXhg+MSAE83wyU9IoZzAF1d&#10;Ky43jt8aaeOAGqRmESlBqzzQVa62riWPb+saZCS6osg05hWToL1La7FasrIJzLeKH0tg55TwhJNh&#10;ymLSE9SGRUZug/oHyigeHLg6jrgzxUAkdwRZTMZPevOuZV5mLthq8Kemw/+D5W/220CUQCVQYpnB&#10;gf/8/P3Xpy/3X+/uf3wjF6lDnYcSHdd2GxJHacW6tzloTvHXVzS7FY/80gb8ENHXwZBaK/8x5UkY&#10;yJxgHI7hcBqD7CPheDhbXFwt5jNKON5NFovLPKaClQkmBfsA8ZV0hiSjohADU00b185aHLgLQwq2&#10;fw0Rq8fAPwEpWFvSVfRqNk0JGAq4RuGgaTw2AWyTywOnlbhRWqcICM1urQPZsySi/KWuIO4jt5Rk&#10;w6Ad/PLVIK9WMvHSChIPHttr8VXRVIKRghIt8REmKwsxMqXP8cTU2qbSZJb4kedDx5O1c+KwDanO&#10;tEP55IqPUk/6/HufvR6e9+o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TqvKR9cAAAAIAQAADwAA&#10;AAAAAAABACAAAAAiAAAAZHJzL2Rvd25yZXYueG1sUEsBAhQAFAAAAAgAh07iQLkYusgXAgAAJgQA&#10;AA4AAAAAAAAAAQAgAAAAJgEAAGRycy9lMm9Eb2MueG1sUEsFBgAAAAAGAAYAWQEAAK8FAAAAAA==&#10;">
                      <v:fill on="f" focussize="0,0"/>
                      <v:stroke color="#000000" joinstyle="round"/>
                      <v:imagedata o:title=""/>
                      <o:lock v:ext="edit" aspectratio="f"/>
                    </v:shape>
                  </w:pict>
                </mc:Fallback>
              </mc:AlternateContent>
            </w:r>
            <w:r>
              <w:rPr>
                <w:rFonts w:ascii="Times New Roman"/>
                <w:color w:val="auto"/>
                <w:sz w:val="28"/>
                <w:szCs w:val="28"/>
                <w:highlight w:val="none"/>
              </w:rPr>
              <w:t xml:space="preserve">DB </w:t>
            </w:r>
            <w:r>
              <w:rPr>
                <w:rFonts w:ascii="Times New Roman"/>
                <w:color w:val="auto"/>
                <w:sz w:val="28"/>
                <w:szCs w:val="28"/>
                <w:highlight w:val="none"/>
              </w:rPr>
              <w:fldChar w:fldCharType="begin">
                <w:ffData>
                  <w:name w:val="StdNo0"/>
                  <w:enabled/>
                  <w:calcOnExit w:val="0"/>
                  <w:textInput>
                    <w:default w:val="XX"/>
                    <w:maxLength w:val="2"/>
                  </w:textInput>
                </w:ffData>
              </w:fldChar>
            </w:r>
            <w:bookmarkStart w:id="4" w:name="StdNo0"/>
            <w:r>
              <w:rPr>
                <w:rFonts w:ascii="Times New Roman"/>
                <w:color w:val="auto"/>
                <w:sz w:val="28"/>
                <w:szCs w:val="28"/>
                <w:highlight w:val="none"/>
              </w:rPr>
              <w:instrText xml:space="preserve">FORMTEXT</w:instrText>
            </w:r>
            <w:r>
              <w:rPr>
                <w:rFonts w:ascii="Times New Roman"/>
                <w:color w:val="auto"/>
                <w:sz w:val="28"/>
                <w:szCs w:val="28"/>
                <w:highlight w:val="none"/>
              </w:rPr>
              <w:fldChar w:fldCharType="separate"/>
            </w:r>
            <w:r>
              <w:rPr>
                <w:rFonts w:hint="eastAsia" w:ascii="Times New Roman"/>
                <w:color w:val="auto"/>
                <w:sz w:val="28"/>
                <w:szCs w:val="28"/>
                <w:highlight w:val="none"/>
              </w:rPr>
              <w:t>61</w:t>
            </w:r>
            <w:r>
              <w:rPr>
                <w:rFonts w:ascii="Times New Roman"/>
                <w:color w:val="auto"/>
                <w:sz w:val="28"/>
                <w:szCs w:val="28"/>
                <w:highlight w:val="none"/>
              </w:rPr>
              <w:fldChar w:fldCharType="end"/>
            </w:r>
            <w:bookmarkEnd w:id="4"/>
            <w:r>
              <w:rPr>
                <w:rFonts w:hint="eastAsia" w:ascii="Times New Roman"/>
                <w:color w:val="auto"/>
                <w:sz w:val="28"/>
                <w:szCs w:val="28"/>
                <w:highlight w:val="none"/>
              </w:rPr>
              <w:t>/</w:t>
            </w:r>
            <w:bookmarkStart w:id="5" w:name="StdNo1"/>
            <w:r>
              <w:rPr>
                <w:rFonts w:hint="eastAsia" w:ascii="Times New Roman"/>
                <w:color w:val="auto"/>
                <w:sz w:val="28"/>
                <w:szCs w:val="28"/>
                <w:highlight w:val="none"/>
                <w:lang w:val="en-US" w:eastAsia="zh-CN"/>
              </w:rPr>
              <w:t>T</w:t>
            </w:r>
            <w:r>
              <w:rPr>
                <w:rFonts w:hint="eastAsia" w:ascii="Times New Roman"/>
                <w:color w:val="auto"/>
                <w:sz w:val="28"/>
                <w:szCs w:val="28"/>
                <w:highlight w:val="none"/>
              </w:rPr>
              <w:t xml:space="preserve"> </w:t>
            </w:r>
            <w:r>
              <w:rPr>
                <w:rFonts w:hint="eastAsia" w:ascii="Times New Roman"/>
                <w:color w:val="auto"/>
                <w:sz w:val="28"/>
                <w:szCs w:val="28"/>
                <w:highlight w:val="none"/>
              </w:rPr>
              <w:fldChar w:fldCharType="begin">
                <w:ffData>
                  <w:name w:val="StdNo1"/>
                  <w:enabled/>
                  <w:calcOnExit w:val="0"/>
                  <w:textInput>
                    <w:default w:val="XXX"/>
                  </w:textInput>
                </w:ffData>
              </w:fldChar>
            </w:r>
            <w:r>
              <w:rPr>
                <w:rFonts w:hint="eastAsia" w:ascii="Times New Roman"/>
                <w:color w:val="auto"/>
                <w:sz w:val="28"/>
                <w:szCs w:val="28"/>
                <w:highlight w:val="none"/>
              </w:rPr>
              <w:instrText xml:space="preserve">FORMTEXT</w:instrText>
            </w:r>
            <w:r>
              <w:rPr>
                <w:rFonts w:hint="eastAsia" w:ascii="Times New Roman"/>
                <w:color w:val="auto"/>
                <w:sz w:val="28"/>
                <w:szCs w:val="28"/>
                <w:highlight w:val="none"/>
              </w:rPr>
              <w:fldChar w:fldCharType="separate"/>
            </w:r>
            <w:r>
              <w:rPr>
                <w:rFonts w:hint="eastAsia" w:ascii="Times New Roman"/>
                <w:color w:val="auto"/>
                <w:sz w:val="28"/>
                <w:szCs w:val="28"/>
                <w:highlight w:val="none"/>
              </w:rPr>
              <w:t>X</w:t>
            </w:r>
            <w:r>
              <w:rPr>
                <w:rFonts w:hint="eastAsia" w:ascii="Times New Roman"/>
                <w:color w:val="auto"/>
                <w:sz w:val="28"/>
                <w:szCs w:val="28"/>
                <w:highlight w:val="none"/>
                <w:lang w:val="en-US" w:eastAsia="zh-CN"/>
              </w:rPr>
              <w:t>X</w:t>
            </w:r>
            <w:r>
              <w:rPr>
                <w:rFonts w:hint="eastAsia" w:ascii="Times New Roman"/>
                <w:color w:val="auto"/>
                <w:sz w:val="28"/>
                <w:szCs w:val="28"/>
                <w:highlight w:val="none"/>
              </w:rPr>
              <w:t>XX</w:t>
            </w:r>
            <w:r>
              <w:rPr>
                <w:rFonts w:hint="eastAsia" w:ascii="Times New Roman"/>
                <w:color w:val="auto"/>
                <w:sz w:val="28"/>
                <w:szCs w:val="28"/>
                <w:highlight w:val="none"/>
              </w:rPr>
              <w:fldChar w:fldCharType="end"/>
            </w:r>
            <w:bookmarkEnd w:id="5"/>
            <w:r>
              <w:rPr>
                <w:rFonts w:hint="eastAsia" w:ascii="Times New Roman"/>
                <w:color w:val="auto"/>
                <w:sz w:val="28"/>
                <w:szCs w:val="28"/>
                <w:highlight w:val="none"/>
              </w:rPr>
              <w:t>—</w:t>
            </w:r>
            <w:r>
              <w:rPr>
                <w:rFonts w:hint="eastAsia" w:ascii="Times New Roman"/>
                <w:color w:val="auto"/>
                <w:sz w:val="28"/>
                <w:szCs w:val="28"/>
                <w:highlight w:val="none"/>
              </w:rPr>
              <w:fldChar w:fldCharType="begin">
                <w:ffData>
                  <w:name w:val="StdNo2"/>
                  <w:enabled/>
                  <w:calcOnExit w:val="0"/>
                  <w:textInput>
                    <w:default w:val="XXXX"/>
                    <w:maxLength w:val="4"/>
                  </w:textInput>
                </w:ffData>
              </w:fldChar>
            </w:r>
            <w:bookmarkStart w:id="6" w:name="StdNo2"/>
            <w:r>
              <w:rPr>
                <w:rFonts w:hint="eastAsia" w:ascii="Times New Roman"/>
                <w:color w:val="auto"/>
                <w:sz w:val="28"/>
                <w:szCs w:val="28"/>
                <w:highlight w:val="none"/>
              </w:rPr>
              <w:instrText xml:space="preserve">FORMTEXT</w:instrText>
            </w:r>
            <w:r>
              <w:rPr>
                <w:rFonts w:hint="eastAsia" w:ascii="Times New Roman"/>
                <w:color w:val="auto"/>
                <w:sz w:val="28"/>
                <w:szCs w:val="28"/>
                <w:highlight w:val="none"/>
              </w:rPr>
              <w:fldChar w:fldCharType="separate"/>
            </w:r>
            <w:r>
              <w:rPr>
                <w:rFonts w:hint="eastAsia" w:ascii="Times New Roman"/>
                <w:color w:val="auto"/>
                <w:sz w:val="28"/>
                <w:szCs w:val="28"/>
                <w:highlight w:val="none"/>
              </w:rPr>
              <w:t>XXXX</w:t>
            </w:r>
            <w:r>
              <w:rPr>
                <w:rFonts w:hint="eastAsia" w:ascii="Times New Roman"/>
                <w:color w:val="auto"/>
                <w:sz w:val="28"/>
                <w:szCs w:val="28"/>
                <w:highlight w:val="none"/>
              </w:rPr>
              <w:fldChar w:fldCharType="end"/>
            </w:r>
            <w:bookmarkEnd w:id="3"/>
            <w:bookmarkEnd w:id="6"/>
          </w:p>
        </w:tc>
      </w:tr>
    </w:tbl>
    <w:p w14:paraId="1BEDDF5F">
      <w:pPr>
        <w:spacing w:line="360" w:lineRule="auto"/>
        <w:rPr>
          <w:rFonts w:ascii="Times New Roman" w:hAnsi="Times New Roman" w:cs="Times New Roman"/>
          <w:color w:val="auto"/>
          <w:sz w:val="24"/>
          <w:szCs w:val="24"/>
          <w:highlight w:val="none"/>
        </w:rPr>
      </w:pPr>
    </w:p>
    <w:p w14:paraId="0F9EFF34">
      <w:pPr>
        <w:spacing w:line="360" w:lineRule="auto"/>
        <w:ind w:firstLine="465"/>
        <w:jc w:val="center"/>
        <w:rPr>
          <w:rFonts w:hint="eastAsia" w:ascii="黑体" w:hAnsi="黑体" w:eastAsia="黑体" w:cs="Times New Roman"/>
          <w:color w:val="auto"/>
          <w:sz w:val="48"/>
          <w:szCs w:val="48"/>
          <w:highlight w:val="none"/>
        </w:rPr>
      </w:pPr>
    </w:p>
    <w:p w14:paraId="61B13080">
      <w:pPr>
        <w:spacing w:line="360" w:lineRule="auto"/>
        <w:ind w:firstLine="465"/>
        <w:jc w:val="center"/>
        <w:rPr>
          <w:rFonts w:hint="eastAsia" w:ascii="黑体" w:hAnsi="黑体" w:eastAsia="黑体" w:cs="Times New Roman"/>
          <w:color w:val="auto"/>
          <w:sz w:val="48"/>
          <w:szCs w:val="48"/>
          <w:highlight w:val="none"/>
        </w:rPr>
      </w:pPr>
    </w:p>
    <w:p w14:paraId="659E8AB2">
      <w:pPr>
        <w:framePr w:w="9639" w:h="6917" w:hRule="exact" w:wrap="around" w:vAnchor="page" w:hAnchor="page" w:xAlign="center" w:y="6408" w:anchorLock="1"/>
        <w:spacing w:line="360" w:lineRule="auto"/>
        <w:ind w:firstLine="465"/>
        <w:jc w:val="center"/>
        <w:rPr>
          <w:rFonts w:hint="eastAsia" w:ascii="黑体" w:hAnsi="黑体" w:eastAsia="黑体" w:cs="Times New Roman"/>
          <w:color w:val="auto"/>
          <w:sz w:val="48"/>
          <w:szCs w:val="48"/>
          <w:highlight w:val="none"/>
        </w:rPr>
      </w:pPr>
      <w:r>
        <w:rPr>
          <w:rFonts w:hint="eastAsia" w:ascii="黑体" w:hAnsi="黑体" w:eastAsia="黑体" w:cs="Times New Roman"/>
          <w:color w:val="auto"/>
          <w:sz w:val="48"/>
          <w:szCs w:val="48"/>
          <w:highlight w:val="none"/>
        </w:rPr>
        <w:t>重大活动食品快速检测规范</w:t>
      </w:r>
    </w:p>
    <w:p w14:paraId="0E3BB399">
      <w:pPr>
        <w:pStyle w:val="22"/>
        <w:framePr w:wrap="around"/>
        <w:spacing w:before="0" w:line="240" w:lineRule="auto"/>
        <w:rPr>
          <w:rFonts w:ascii="Times New Roman"/>
          <w:color w:val="auto"/>
          <w:highlight w:val="none"/>
        </w:rPr>
      </w:pPr>
      <w:r>
        <w:rPr>
          <w:rFonts w:ascii="Times New Roman"/>
          <w:color w:val="auto"/>
          <w:highlight w:val="none"/>
        </w:rPr>
        <w:t>Specification and requirements for food</w:t>
      </w:r>
      <w:r>
        <w:rPr>
          <w:rFonts w:hint="eastAsia" w:ascii="Times New Roman"/>
          <w:color w:val="auto"/>
          <w:highlight w:val="none"/>
          <w:lang w:val="en-US" w:eastAsia="zh-CN"/>
        </w:rPr>
        <w:t xml:space="preserve"> </w:t>
      </w:r>
      <w:r>
        <w:rPr>
          <w:rFonts w:ascii="Times New Roman"/>
          <w:color w:val="auto"/>
          <w:highlight w:val="none"/>
        </w:rPr>
        <w:t>rapid detection in major events</w:t>
      </w:r>
    </w:p>
    <w:tbl>
      <w:tblPr>
        <w:tblStyle w:val="9"/>
        <w:tblW w:w="197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855"/>
        <w:gridCol w:w="9855"/>
      </w:tblGrid>
      <w:tr w14:paraId="0F6DA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23659B66">
            <w:pPr>
              <w:pStyle w:val="21"/>
              <w:framePr w:wrap="around"/>
              <w:rPr>
                <w:color w:val="auto"/>
                <w:highlight w:val="none"/>
              </w:rPr>
            </w:pPr>
            <w:r>
              <w:rPr>
                <w:color w:val="auto"/>
                <w:highlight w:val="none"/>
              </w:rPr>
              <mc:AlternateContent>
                <mc:Choice Requires="wps">
                  <w:drawing>
                    <wp:anchor distT="0" distB="0" distL="114300" distR="114300" simplePos="0" relativeHeight="251661312" behindDoc="1" locked="1" layoutInCell="1" allowOverlap="1">
                      <wp:simplePos x="0" y="0"/>
                      <wp:positionH relativeFrom="column">
                        <wp:posOffset>2200910</wp:posOffset>
                      </wp:positionH>
                      <wp:positionV relativeFrom="paragraph">
                        <wp:posOffset>4281805</wp:posOffset>
                      </wp:positionV>
                      <wp:extent cx="1905000" cy="254000"/>
                      <wp:effectExtent l="0" t="0" r="0" b="0"/>
                      <wp:wrapNone/>
                      <wp:docPr id="3" name="RQ"/>
                      <wp:cNvGraphicFramePr/>
                      <a:graphic xmlns:a="http://schemas.openxmlformats.org/drawingml/2006/main">
                        <a:graphicData uri="http://schemas.microsoft.com/office/word/2010/wordprocessingShape">
                          <wps:wsp>
                            <wps:cNvSpPr/>
                            <wps:spPr>
                              <a:xfrm>
                                <a:off x="0" y="0"/>
                                <a:ext cx="1905000" cy="254000"/>
                              </a:xfrm>
                              <a:prstGeom prst="rect">
                                <a:avLst/>
                              </a:prstGeom>
                              <a:solidFill>
                                <a:srgbClr val="FFFFFF"/>
                              </a:solidFill>
                              <a:ln>
                                <a:noFill/>
                              </a:ln>
                              <a:effectLst/>
                            </wps:spPr>
                            <wps:bodyPr wrap="square" upright="1"/>
                          </wps:wsp>
                        </a:graphicData>
                      </a:graphic>
                    </wp:anchor>
                  </w:drawing>
                </mc:Choice>
                <mc:Fallback>
                  <w:pict>
                    <v:rect id="RQ" o:spid="_x0000_s1026" o:spt="1" style="position:absolute;left:0pt;margin-left:173.3pt;margin-top:337.15pt;height:20pt;width:150pt;z-index:-251655168;mso-width-relative:page;mso-height-relative:page;" fillcolor="#FFFFFF" filled="t" stroked="f" coordsize="21600,21600" o:gfxdata="UEsDBAoAAAAAAIdO4kAAAAAAAAAAAAAAAAAEAAAAZHJzL1BLAwQUAAAACACHTuJA39f34NcAAAAL&#10;AQAADwAAAGRycy9kb3ducmV2LnhtbE2PwU7DMAyG70i8Q2QkbiwpHRmUujsg7QQc2JC4ek3WVjRO&#10;adKtvD2Byzj696ffn8v17HpxtGPoPCNkCwXCcu1Nxw3C+25zcw8iRGJDvWeL8G0DrKvLi5IK40/8&#10;Zo/b2IhUwqEghDbGoZAy1K11FBZ+sJx2Bz86imkcG2lGOqVy18tbpbR01HG60NJgn1pbf24nh0B6&#10;ab5eD/nL7nnS9NDManP3oRCvrzL1CCLaOZ5h+NVP6lAlp72f2ATRI+RLrROKoFfLHEQi9F+yR1hl&#10;KZFVKf//UP0AUEsDBBQAAAAIAIdO4kAkXwNLrgEAAHUDAAAOAAAAZHJzL2Uyb0RvYy54bWytU02T&#10;0zAMvTPDf/D4TpMWloFM0z1sp1wYWFj4Aa6jNJ7xF5LbtP8e2QllWS572BwcyZKf9J7s9e3ZWXEC&#10;JBN8K5eLWgrwOnTGH1r588fuzQcpKCnfKRs8tPICJG83r1+tx9jAKgzBdoCCQTw1Y2zlkFJsqor0&#10;AE7RIkTwHOwDOpXYxUPVoRoZ3dlqVdfvqzFgFzFoIOLd7RSUMyI+BzD0vdGwDfrowKcJFcGqxJRo&#10;MJHkpnTb96DT174nSMK2kpmmsnIRtvd5rTZr1RxQxcHouQX1nBaecHLKeC56hdqqpMQRzX9QzmgM&#10;FPq00MFVE5GiCLNY1k+0eRhUhMKFpaZ4FZ1eDlZ/Od2jMF0r30rhleOBf/+WVRkjNRx8iPc4e8Rm&#10;pnju0eU/Ny/ORcnLVUk4J6F5c/mxvqlrFllzbHXzLtsMU/09HZHSJwhOZKOVyJMqAqrTZ0pT6p+U&#10;XIyCNd3OWFscPOzvLIqT4qnuyjej/5NmfU72IR+bEKcdKPdiLpN5TsyytQ/dhfUY+UK0kn4dFYIU&#10;x4jmMHCTy1Il5/E0Cpv55uRxP/bZfvxaNr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39f34NcA&#10;AAALAQAADwAAAAAAAAABACAAAAAiAAAAZHJzL2Rvd25yZXYueG1sUEsBAhQAFAAAAAgAh07iQCRf&#10;A0uuAQAAdQMAAA4AAAAAAAAAAQAgAAAAJgEAAGRycy9lMm9Eb2MueG1sUEsFBgAAAAAGAAYAWQEA&#10;AEYFAAAAAA==&#10;">
                      <v:fill on="t" focussize="0,0"/>
                      <v:stroke on="f"/>
                      <v:imagedata o:title=""/>
                      <o:lock v:ext="edit" aspectratio="f"/>
                      <w10:anchorlock/>
                    </v:rect>
                  </w:pict>
                </mc:Fallback>
              </mc:AlternateContent>
            </w:r>
            <w:r>
              <w:rPr>
                <w:rFonts w:hint="eastAsia"/>
                <w:color w:val="auto"/>
                <w:highlight w:val="none"/>
              </w:rPr>
              <w:t>（</w:t>
            </w:r>
            <w:r>
              <w:rPr>
                <w:rFonts w:hint="eastAsia"/>
                <w:color w:val="auto"/>
                <w:highlight w:val="none"/>
                <w:lang w:val="en-US" w:eastAsia="zh-CN"/>
              </w:rPr>
              <w:t>征求意见稿</w:t>
            </w:r>
            <w:r>
              <w:rPr>
                <w:rFonts w:hint="eastAsia"/>
                <w:color w:val="auto"/>
                <w:highlight w:val="none"/>
              </w:rPr>
              <w:t>）</w:t>
            </w:r>
          </w:p>
        </w:tc>
        <w:tc>
          <w:tcPr>
            <w:tcW w:w="9855" w:type="dxa"/>
            <w:tcBorders>
              <w:top w:val="nil"/>
              <w:left w:val="nil"/>
              <w:bottom w:val="nil"/>
              <w:right w:val="nil"/>
            </w:tcBorders>
          </w:tcPr>
          <w:p w14:paraId="0C074EFB">
            <w:pPr>
              <w:pStyle w:val="21"/>
              <w:framePr w:wrap="around"/>
              <w:rPr>
                <w:color w:val="auto"/>
                <w:highlight w:val="none"/>
              </w:rPr>
            </w:pPr>
          </w:p>
        </w:tc>
      </w:tr>
      <w:tr w14:paraId="079363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855" w:type="dxa"/>
            <w:tcBorders>
              <w:top w:val="nil"/>
              <w:left w:val="nil"/>
              <w:bottom w:val="nil"/>
              <w:right w:val="nil"/>
            </w:tcBorders>
          </w:tcPr>
          <w:p w14:paraId="7D71499F">
            <w:pPr>
              <w:pStyle w:val="20"/>
              <w:framePr w:wrap="around"/>
              <w:rPr>
                <w:color w:val="auto"/>
                <w:highlight w:val="none"/>
              </w:rPr>
            </w:pPr>
          </w:p>
        </w:tc>
        <w:tc>
          <w:tcPr>
            <w:tcW w:w="9855" w:type="dxa"/>
            <w:tcBorders>
              <w:top w:val="nil"/>
              <w:left w:val="nil"/>
              <w:bottom w:val="nil"/>
              <w:right w:val="nil"/>
            </w:tcBorders>
          </w:tcPr>
          <w:p w14:paraId="7E225E95">
            <w:pPr>
              <w:pStyle w:val="20"/>
              <w:framePr w:wrap="around"/>
              <w:rPr>
                <w:color w:val="auto"/>
                <w:highlight w:val="none"/>
              </w:rPr>
            </w:pPr>
          </w:p>
        </w:tc>
      </w:tr>
    </w:tbl>
    <w:p w14:paraId="3C6A876D">
      <w:pPr>
        <w:pStyle w:val="24"/>
        <w:framePr w:wrap="around"/>
        <w:rPr>
          <w:color w:val="auto"/>
          <w:highlight w:val="none"/>
        </w:rPr>
      </w:pPr>
      <w:r>
        <w:rPr>
          <w:rFonts w:hint="eastAsia" w:ascii="黑体"/>
          <w:color w:val="auto"/>
          <w:highlight w:val="none"/>
        </w:rPr>
        <w:t>XXXX</w:t>
      </w:r>
      <w:r>
        <w:rPr>
          <w:rFonts w:ascii="黑体"/>
          <w:color w:val="auto"/>
          <w:highlight w:val="none"/>
        </w:rPr>
        <w:t>-</w:t>
      </w:r>
      <w:r>
        <w:rPr>
          <w:rFonts w:hint="eastAsia" w:ascii="黑体"/>
          <w:color w:val="auto"/>
          <w:highlight w:val="none"/>
        </w:rPr>
        <w:t>XX</w:t>
      </w:r>
      <w:r>
        <w:rPr>
          <w:rFonts w:ascii="黑体"/>
          <w:color w:val="auto"/>
          <w:highlight w:val="none"/>
        </w:rPr>
        <w:t>-</w:t>
      </w:r>
      <w:bookmarkStart w:id="7" w:name="FD"/>
      <w:r>
        <w:rPr>
          <w:rFonts w:ascii="黑体"/>
          <w:color w:val="auto"/>
          <w:highlight w:val="none"/>
        </w:rPr>
        <w:fldChar w:fldCharType="begin">
          <w:ffData>
            <w:name w:val="F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bookmarkEnd w:id="7"/>
      <w:r>
        <w:rPr>
          <w:rFonts w:hint="eastAsia"/>
          <w:color w:val="auto"/>
          <w:highlight w:val="none"/>
        </w:rPr>
        <w:t>发布</w:t>
      </w:r>
      <w:r>
        <w:rPr>
          <w:color w:val="auto"/>
          <w:highlight w:val="none"/>
        </w:rPr>
        <mc:AlternateContent>
          <mc:Choice Requires="wps">
            <w:drawing>
              <wp:anchor distT="0" distB="0" distL="114300" distR="114300" simplePos="0" relativeHeight="251662336" behindDoc="0" locked="1" layoutInCell="1" allowOverlap="1">
                <wp:simplePos x="0" y="0"/>
                <wp:positionH relativeFrom="column">
                  <wp:posOffset>-635</wp:posOffset>
                </wp:positionH>
                <wp:positionV relativeFrom="page">
                  <wp:posOffset>9251950</wp:posOffset>
                </wp:positionV>
                <wp:extent cx="6120130" cy="0"/>
                <wp:effectExtent l="0" t="0" r="0" b="0"/>
                <wp:wrapNone/>
                <wp:docPr id="5" name="直线 10"/>
                <wp:cNvGraphicFramePr/>
                <a:graphic xmlns:a="http://schemas.openxmlformats.org/drawingml/2006/main">
                  <a:graphicData uri="http://schemas.microsoft.com/office/word/2010/wordprocessingShape">
                    <wps:wsp>
                      <wps:cNvCnPr/>
                      <wps:spPr>
                        <a:xfrm>
                          <a:off x="0" y="0"/>
                          <a:ext cx="6120130" cy="0"/>
                        </a:xfrm>
                        <a:prstGeom prst="line">
                          <a:avLst/>
                        </a:prstGeom>
                        <a:ln w="9525" cap="flat" cmpd="sng">
                          <a:solidFill>
                            <a:srgbClr val="000000"/>
                          </a:solidFill>
                          <a:prstDash val="solid"/>
                          <a:headEnd type="none" w="med" len="med"/>
                          <a:tailEnd type="none" w="med" len="med"/>
                        </a:ln>
                        <a:effectLst/>
                      </wps:spPr>
                      <wps:bodyPr/>
                    </wps:wsp>
                  </a:graphicData>
                </a:graphic>
              </wp:anchor>
            </w:drawing>
          </mc:Choice>
          <mc:Fallback>
            <w:pict>
              <v:line id="直线 10" o:spid="_x0000_s1026" o:spt="20" style="position:absolute;left:0pt;margin-left:-0.05pt;margin-top:728.5pt;height:0pt;width:481.9pt;mso-position-vertical-relative:page;z-index:251662336;mso-width-relative:page;mso-height-relative:page;" filled="f" stroked="t" coordsize="21600,21600" o:gfxdata="UEsDBAoAAAAAAIdO4kAAAAAAAAAAAAAAAAAEAAAAZHJzL1BLAwQUAAAACACHTuJAJYdrPNYAAAAL&#10;AQAADwAAAGRycy9kb3ducmV2LnhtbE2PPU/DMBCGdyT+g3VILFVrp4UWQpwOQDaWllas1+RIIuJz&#10;Grsf8Os5BgTjvffo/ciWZ9epIw2h9WwhmRhQxKWvWq4tbF6L8R2oEJEr7DyThU8KsMwvLzJMK3/i&#10;FR3XsVZiwiFFC02Mfap1KBtyGCa+J5bfux8cRjmHWlcDnsTcdXpqzFw7bFkSGuzpsaHyY31wFkKx&#10;pX3xNSpH5m1We5run16e0drrq8Q8gIp0jn8w/NSX6pBLp50/cBVUZ2GcCCjyze1CNglwP58tQO1+&#10;JZ1n+v+G/BtQSwMEFAAAAAgAh07iQJi8ZUXjAQAA3gMAAA4AAABkcnMvZTJvRG9jLnhtbK1TzW4T&#10;MRC+I/EOlu9kk6BWsMqmh4ZyQRAJeICJPZu15D953GzyLLwGJy48Tl+DsZOmpVxyYA/eGXv8zXzf&#10;jBc3e2fFDhOZ4Ds5m0ylQK+CNn7bye/f7t68k4IyeA02eOzkAUneLF+/WoyxxXkYgtWYBIN4asfY&#10;ySHn2DYNqQEd0CRE9HzYh+Qgs5u2jU4wMrqzzXw6vW7GkHRMQSER766Oh/KEmC4BDH1vFK6Cunfo&#10;8xE1oYXMlGgwkeSyVtv3qPKXvifMwnaSmea6chK2N2VtlgtotwniYNSpBLikhBecHBjPSc9QK8gg&#10;7pP5B8oZlQKFPk9UcM2RSFWEWcymL7T5OkDEyoWlpngWnf4frPq8WydhdCevpPDguOEPP34+/Pot&#10;ZlWcMVLLMbd+nViq4lFcp8J03ydX/sxB7Kugh7OguM9C8eb1jFm9Za3V41nzdDEmyh8xOFGMTlrj&#10;C1doYfeJMifj0MeQsm29GDv5/mrOhSrgweu54Wy6yMWT39a7FKzRd8bacoPSdnNrk9hBaX79Sr8Z&#10;96+wkmQFNBzj6tFxLAYE/cFrkQ+RZfH8GmQpwaGWwiI/nmLVAcpg7CWRnNr6UhrW0TzxfFK1WJug&#10;D1Xspnjc9lrxaUTLXD332X7+LJd/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CWHazzWAAAACwEA&#10;AA8AAAAAAAAAAQAgAAAAIgAAAGRycy9kb3ducmV2LnhtbFBLAQIUABQAAAAIAIdO4kCYvGVF4wEA&#10;AN4DAAAOAAAAAAAAAAEAIAAAACUBAABkcnMvZTJvRG9jLnhtbFBLBQYAAAAABgAGAFkBAAB6BQAA&#10;AAA=&#10;">
                <v:fill on="f" focussize="0,0"/>
                <v:stroke color="#000000" joinstyle="round"/>
                <v:imagedata o:title=""/>
                <o:lock v:ext="edit" aspectratio="f"/>
                <w10:anchorlock/>
              </v:line>
            </w:pict>
          </mc:Fallback>
        </mc:AlternateContent>
      </w:r>
    </w:p>
    <w:p w14:paraId="5DDA2348">
      <w:pPr>
        <w:pStyle w:val="23"/>
        <w:framePr w:wrap="around"/>
        <w:rPr>
          <w:color w:val="auto"/>
          <w:highlight w:val="none"/>
        </w:rPr>
      </w:pPr>
      <w:r>
        <w:rPr>
          <w:rFonts w:hint="eastAsia" w:ascii="黑体"/>
          <w:color w:val="auto"/>
          <w:highlight w:val="none"/>
        </w:rPr>
        <w:t>XXXX</w:t>
      </w:r>
      <w:r>
        <w:rPr>
          <w:rFonts w:ascii="黑体"/>
          <w:color w:val="auto"/>
          <w:highlight w:val="none"/>
        </w:rPr>
        <w:t>-</w:t>
      </w:r>
      <w:r>
        <w:rPr>
          <w:rFonts w:hint="eastAsia" w:ascii="黑体"/>
          <w:color w:val="auto"/>
          <w:highlight w:val="none"/>
        </w:rPr>
        <w:t>XX</w:t>
      </w:r>
      <w:r>
        <w:rPr>
          <w:rFonts w:ascii="黑体"/>
          <w:color w:val="auto"/>
          <w:highlight w:val="none"/>
        </w:rPr>
        <w:t>-</w:t>
      </w:r>
      <w:bookmarkStart w:id="8" w:name="SD"/>
      <w:r>
        <w:rPr>
          <w:rFonts w:ascii="黑体"/>
          <w:color w:val="auto"/>
          <w:highlight w:val="none"/>
        </w:rPr>
        <w:fldChar w:fldCharType="begin">
          <w:ffData>
            <w:name w:val="SD"/>
            <w:enabled/>
            <w:calcOnExit w:val="0"/>
            <w:textInput>
              <w:default w:val="XX"/>
              <w:maxLength w:val="2"/>
            </w:textInput>
          </w:ffData>
        </w:fldChar>
      </w:r>
      <w:r>
        <w:rPr>
          <w:rFonts w:ascii="黑体"/>
          <w:color w:val="auto"/>
          <w:highlight w:val="none"/>
        </w:rPr>
        <w:instrText xml:space="preserve"> FORMTEXT </w:instrText>
      </w:r>
      <w:r>
        <w:rPr>
          <w:rFonts w:ascii="黑体"/>
          <w:color w:val="auto"/>
          <w:highlight w:val="none"/>
        </w:rPr>
        <w:fldChar w:fldCharType="separate"/>
      </w:r>
      <w:r>
        <w:rPr>
          <w:rFonts w:ascii="黑体"/>
          <w:color w:val="auto"/>
          <w:highlight w:val="none"/>
        </w:rPr>
        <w:t>XX</w:t>
      </w:r>
      <w:r>
        <w:rPr>
          <w:rFonts w:ascii="黑体"/>
          <w:color w:val="auto"/>
          <w:highlight w:val="none"/>
        </w:rPr>
        <w:fldChar w:fldCharType="end"/>
      </w:r>
      <w:bookmarkEnd w:id="8"/>
      <w:r>
        <w:rPr>
          <w:rFonts w:hint="eastAsia"/>
          <w:color w:val="auto"/>
          <w:highlight w:val="none"/>
        </w:rPr>
        <w:t>实施</w:t>
      </w:r>
    </w:p>
    <w:p w14:paraId="14887453">
      <w:pPr>
        <w:pStyle w:val="25"/>
        <w:framePr w:wrap="around"/>
        <w:rPr>
          <w:color w:val="auto"/>
          <w:highlight w:val="none"/>
        </w:rPr>
      </w:pPr>
      <w:bookmarkStart w:id="9" w:name="fm"/>
      <w:r>
        <w:rPr>
          <w:color w:val="auto"/>
          <w:w w:val="100"/>
          <w:highlight w:val="none"/>
        </w:rPr>
        <mc:AlternateContent>
          <mc:Choice Requires="wps">
            <w:drawing>
              <wp:anchor distT="0" distB="0" distL="114300" distR="114300" simplePos="0" relativeHeight="251663360" behindDoc="1" locked="0" layoutInCell="1" allowOverlap="1">
                <wp:simplePos x="0" y="0"/>
                <wp:positionH relativeFrom="column">
                  <wp:posOffset>1810385</wp:posOffset>
                </wp:positionH>
                <wp:positionV relativeFrom="paragraph">
                  <wp:posOffset>-3942715</wp:posOffset>
                </wp:positionV>
                <wp:extent cx="1270000" cy="304800"/>
                <wp:effectExtent l="0" t="0" r="0" b="0"/>
                <wp:wrapNone/>
                <wp:docPr id="2" name="LB"/>
                <wp:cNvGraphicFramePr/>
                <a:graphic xmlns:a="http://schemas.openxmlformats.org/drawingml/2006/main">
                  <a:graphicData uri="http://schemas.microsoft.com/office/word/2010/wordprocessingShape">
                    <wps:wsp>
                      <wps:cNvSpPr/>
                      <wps:spPr>
                        <a:xfrm>
                          <a:off x="0" y="0"/>
                          <a:ext cx="1270000" cy="304800"/>
                        </a:xfrm>
                        <a:prstGeom prst="rect">
                          <a:avLst/>
                        </a:prstGeom>
                        <a:solidFill>
                          <a:srgbClr val="FFFFFF"/>
                        </a:solidFill>
                        <a:ln>
                          <a:noFill/>
                        </a:ln>
                        <a:effectLst/>
                      </wps:spPr>
                      <wps:bodyPr wrap="square" upright="1"/>
                    </wps:wsp>
                  </a:graphicData>
                </a:graphic>
              </wp:anchor>
            </w:drawing>
          </mc:Choice>
          <mc:Fallback>
            <w:pict>
              <v:rect id="LB" o:spid="_x0000_s1026" o:spt="1" style="position:absolute;left:0pt;margin-left:142.55pt;margin-top:-310.45pt;height:24pt;width:100pt;z-index:-251653120;mso-width-relative:page;mso-height-relative:page;" fillcolor="#FFFFFF" filled="t" stroked="f" coordsize="21600,21600" o:gfxdata="UEsDBAoAAAAAAIdO4kAAAAAAAAAAAAAAAAAEAAAAZHJzL1BLAwQUAAAACACHTuJA+bXu1tkAAAAN&#10;AQAADwAAAGRycy9kb3ducmV2LnhtbE2PwU7DMAyG70i8Q2QkblvSspW1NN0BaSfgwIbE1WuytqJx&#10;SpNu5e0xXODo359+fy63s+vF2Y6h86QhWSoQlmpvOmo0vB12iw2IEJEM9p6shi8bYFtdX5VYGH+h&#10;V3vex0ZwCYUCNbQxDoWUoW6tw7D0gyXenfzoMPI4NtKMeOFy18tUqUw67IgvtDjYx9bWH/vJacBs&#10;ZT5fTnfPh6cpw7yZ1W79rrS+vUnUA4ho5/gHw48+q0PFTkc/kQmi15Bu1gmjGhZZqnIQjKx+oyNH&#10;6/s0B1mV8v8X1TdQSwMEFAAAAAgAh07iQNHBJdKtAQAAdQMAAA4AAABkcnMvZTJvRG9jLnhtbK1T&#10;TW/bMAy9D9h/EHRf7GTDVgRxCqxBdim2Al1/gCLTtgB9lVTi5N+Pkr2s6y49TAeZFKlHvkd5c3t2&#10;VpwAyQTfyOWilgK8Dq3xfSOffu4/3EhBSflW2eChkRcgebt9/24zxjWswhBsCygYxNN6jI0cUorr&#10;qiI9gFO0CBE8B7uATiV2sa9aVCOjO1ut6vpzNQZsIwYNRHy6m4JyRsS3AIauMxp2QR8d+DShIliV&#10;mBINJpLclm67DnT60XUESdhGMtNUdi7C9iHv1Xaj1j2qOBg9t6De0sIrTk4Zz0WvUDuVlDii+QfK&#10;GY2BQpcWOrhqIlIUYRbL+pU2j4OKULiw1BSvotP/g9XfTw8oTNvIlRReOR74/desyhhpzcHH+ICz&#10;R2xmiucOXf5y8+JclLxclYRzEpoPl6svNS8pNMc+1p9u2GaY6s/tiJS+QXAiG41EnlQRUJ3uKU2p&#10;v1NyMQrWtHtjbXGwP9xZFCfFU92XNaP/lWZ9TvYhX5sQpxMo72Iuk3lOzLJ1CO2F9Rj5QTSSno8K&#10;QYpjRNMP3OSyVMl5PI3CZn45edwvfbZf/i3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Pm17tbZ&#10;AAAADQEAAA8AAAAAAAAAAQAgAAAAIgAAAGRycy9kb3ducmV2LnhtbFBLAQIUABQAAAAIAIdO4kDR&#10;wSXSrQEAAHUDAAAOAAAAAAAAAAEAIAAAACgBAABkcnMvZTJvRG9jLnhtbFBLBQYAAAAABgAGAFkB&#10;AABHBQAAAAA=&#10;">
                <v:fill on="t" focussize="0,0"/>
                <v:stroke on="f"/>
                <v:imagedata o:title=""/>
                <o:lock v:ext="edit" aspectratio="f"/>
              </v:rect>
            </w:pict>
          </mc:Fallback>
        </mc:AlternateContent>
      </w:r>
      <w:r>
        <w:rPr>
          <w:color w:val="auto"/>
          <w:w w:val="100"/>
          <w:highlight w:val="none"/>
        </w:rPr>
        <mc:AlternateContent>
          <mc:Choice Requires="wps">
            <w:drawing>
              <wp:anchor distT="0" distB="0" distL="114300" distR="114300" simplePos="0" relativeHeight="251664384" behindDoc="1" locked="0" layoutInCell="1" allowOverlap="1">
                <wp:simplePos x="0" y="0"/>
                <wp:positionH relativeFrom="column">
                  <wp:posOffset>4413885</wp:posOffset>
                </wp:positionH>
                <wp:positionV relativeFrom="paragraph">
                  <wp:posOffset>-7435215</wp:posOffset>
                </wp:positionV>
                <wp:extent cx="1143000" cy="228600"/>
                <wp:effectExtent l="0" t="0" r="0" b="0"/>
                <wp:wrapNone/>
                <wp:docPr id="6" name="DT"/>
                <wp:cNvGraphicFramePr/>
                <a:graphic xmlns:a="http://schemas.openxmlformats.org/drawingml/2006/main">
                  <a:graphicData uri="http://schemas.microsoft.com/office/word/2010/wordprocessingShape">
                    <wps:wsp>
                      <wps:cNvSpPr/>
                      <wps:spPr>
                        <a:xfrm>
                          <a:off x="0" y="0"/>
                          <a:ext cx="1143000" cy="228600"/>
                        </a:xfrm>
                        <a:prstGeom prst="rect">
                          <a:avLst/>
                        </a:prstGeom>
                        <a:solidFill>
                          <a:srgbClr val="FFFFFF"/>
                        </a:solidFill>
                        <a:ln>
                          <a:noFill/>
                        </a:ln>
                        <a:effectLst/>
                      </wps:spPr>
                      <wps:bodyPr wrap="square" upright="1"/>
                    </wps:wsp>
                  </a:graphicData>
                </a:graphic>
              </wp:anchor>
            </w:drawing>
          </mc:Choice>
          <mc:Fallback>
            <w:pict>
              <v:rect id="DT" o:spid="_x0000_s1026" o:spt="1" style="position:absolute;left:0pt;margin-left:347.55pt;margin-top:-585.45pt;height:18pt;width:90pt;z-index:-251652096;mso-width-relative:page;mso-height-relative:page;" fillcolor="#FFFFFF" filled="t" stroked="f" coordsize="21600,21600" o:gfxdata="UEsDBAoAAAAAAIdO4kAAAAAAAAAAAAAAAAAEAAAAZHJzL1BLAwQUAAAACACHTuJA38mKEdoAAAAP&#10;AQAADwAAAGRycy9kb3ducmV2LnhtbE2PwU7DMAyG70i8Q2QkbltStnVraboD0k7AgQ2Jq9d4bUXj&#10;lCbdytuTcYGjf3/6/bnYTrYTZxp861hDMlcgiCtnWq41vB92sw0IH5ANdo5Jwzd52Ja3NwXmxl34&#10;jc77UItYwj5HDU0IfS6lrxqy6OeuJ467kxsshjgOtTQDXmK57eSDUqm02HK80GBPTw1Vn/vRasB0&#10;ab5eT4uXw/OYYlZParf6UFrf3yXqEUSgKfzBcNWP6lBGp6Mb2XjRaUizVRJRDbMkWasMRGQ262t2&#10;/M0WywxkWcj/f5Q/UEsDBBQAAAAIAIdO4kC5wiL3rgEAAHUDAAAOAAAAZHJzL2Uyb0RvYy54bWyt&#10;U01v2zAMvQ/YfxB0X2xnQ1AYcXpYkF6GrUC7H6DIki1AXyWVOPn3o2Qv67pLD/NBJkXqke9R2t5f&#10;nGVnBWiC73izqjlTXobe+KHjP58Pn+44wyR8L2zwquNXhfx+9/HDdoqtWocx2F4BIxCP7RQ7PqYU&#10;26pCOSoncBWi8hTUAZxI5MJQ9SAmQne2Wtf1ppoC9BGCVIi0u5+DfEGE9wAGrY1U+yBPTvk0o4Ky&#10;IhElHE1Evivdaq1k+qE1qsRsx4lpKisVIfuY12q3Fe0AIo5GLi2I97TwhpMTxlPRG9ReJMFOYP6B&#10;ckZCwKDTSgZXzUSKIsSiqd9o8zSKqAoXkhrjTXT8f7Dy+/kRmOk7vuHMC0cD3z9nVaaILQWf4iMs&#10;HpKZKV40uPyn5tmlKHm9KakuiUnabJovn+uaRJYUW6/vNmQTTPXndARMDyo4lo2OA02qCCjO3zDN&#10;qb9TcjEM1vQHY21xYDh+tcDOgqZ6KN+C/lea9TnZh3xsRpx3VLkXS5nMc2aWrWPor6THRBei4/hy&#10;EqA4O0Uww0hNNqVKzqNpFDbLzcnjfu2T/fq17H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38mK&#10;EdoAAAAPAQAADwAAAAAAAAABACAAAAAiAAAAZHJzL2Rvd25yZXYueG1sUEsBAhQAFAAAAAgAh07i&#10;QLnCIveuAQAAdQMAAA4AAAAAAAAAAQAgAAAAKQEAAGRycy9lMm9Eb2MueG1sUEsFBgAAAAAGAAYA&#10;WQEAAEkFAAAAAA==&#10;">
                <v:fill on="t" focussize="0,0"/>
                <v:stroke on="f"/>
                <v:imagedata o:title=""/>
                <o:lock v:ext="edit" aspectratio="f"/>
              </v:rect>
            </w:pict>
          </mc:Fallback>
        </mc:AlternateContent>
      </w:r>
      <w:r>
        <w:rPr>
          <w:color w:val="auto"/>
          <w:highlight w:val="none"/>
        </w:rPr>
        <w:fldChar w:fldCharType="begin">
          <w:ffData>
            <w:name w:val="fm"/>
            <w:enabled/>
            <w:calcOnExit w:val="0"/>
            <w:textInput/>
          </w:ffData>
        </w:fldChar>
      </w:r>
      <w:r>
        <w:rPr>
          <w:color w:val="auto"/>
          <w:highlight w:val="none"/>
        </w:rPr>
        <w:instrText xml:space="preserve"> FORMTEXT </w:instrText>
      </w:r>
      <w:r>
        <w:rPr>
          <w:color w:val="auto"/>
          <w:highlight w:val="none"/>
        </w:rPr>
        <w:fldChar w:fldCharType="separate"/>
      </w:r>
      <w:r>
        <w:rPr>
          <w:rFonts w:hint="eastAsia"/>
          <w:color w:val="auto"/>
          <w:highlight w:val="none"/>
        </w:rPr>
        <w:t>陕西省市场监督管理局</w:t>
      </w:r>
      <w:r>
        <w:rPr>
          <w:color w:val="auto"/>
          <w:highlight w:val="none"/>
        </w:rPr>
        <w:fldChar w:fldCharType="end"/>
      </w:r>
      <w:bookmarkEnd w:id="9"/>
      <w:r>
        <w:rPr>
          <w:rFonts w:hAnsi="黑体"/>
          <w:color w:val="auto"/>
          <w:highlight w:val="none"/>
        </w:rPr>
        <w:t>   </w:t>
      </w:r>
      <w:r>
        <w:rPr>
          <w:rStyle w:val="26"/>
          <w:rFonts w:hint="eastAsia"/>
          <w:color w:val="auto"/>
          <w:highlight w:val="none"/>
        </w:rPr>
        <w:t>发布</w:t>
      </w:r>
    </w:p>
    <w:p w14:paraId="51E34E98">
      <w:pPr>
        <w:rPr>
          <w:color w:val="auto"/>
          <w:highlight w:val="none"/>
        </w:rPr>
      </w:pPr>
    </w:p>
    <w:p w14:paraId="184B1123">
      <w:pPr>
        <w:rPr>
          <w:color w:val="auto"/>
          <w:highlight w:val="none"/>
        </w:rPr>
      </w:pPr>
    </w:p>
    <w:sdt>
      <w:sdtPr>
        <w:rPr>
          <w:rFonts w:ascii="黑体" w:eastAsia="黑体" w:hAnsiTheme="minorHAnsi" w:cstheme="minorBidi"/>
          <w:b w:val="0"/>
          <w:bCs w:val="0"/>
          <w:color w:val="auto"/>
          <w:spacing w:val="85"/>
          <w:kern w:val="2"/>
          <w:position w:val="3"/>
          <w:sz w:val="21"/>
          <w:szCs w:val="22"/>
          <w:highlight w:val="none"/>
          <w:lang w:val="zh-CN"/>
        </w:rPr>
        <w:id w:val="176009845"/>
        <w:docPartObj>
          <w:docPartGallery w:val="Table of Contents"/>
          <w:docPartUnique/>
        </w:docPartObj>
      </w:sdtPr>
      <w:sdtEndPr>
        <w:rPr>
          <w:rFonts w:asciiTheme="minorHAnsi" w:hAnsiTheme="minorHAnsi" w:eastAsiaTheme="minorEastAsia" w:cstheme="minorBidi"/>
          <w:b w:val="0"/>
          <w:bCs w:val="0"/>
          <w:color w:val="auto"/>
          <w:spacing w:val="85"/>
          <w:kern w:val="2"/>
          <w:position w:val="3"/>
          <w:sz w:val="21"/>
          <w:szCs w:val="22"/>
          <w:highlight w:val="none"/>
          <w:lang w:val="en-US"/>
        </w:rPr>
      </w:sdtEndPr>
      <w:sdtContent>
        <w:p w14:paraId="12DD1F1E">
          <w:pPr>
            <w:pStyle w:val="31"/>
            <w:rPr>
              <w:rFonts w:ascii="黑体" w:eastAsia="黑体" w:hAnsiTheme="minorHAnsi" w:cstheme="minorBidi"/>
              <w:b w:val="0"/>
              <w:bCs w:val="0"/>
              <w:color w:val="auto"/>
              <w:spacing w:val="85"/>
              <w:kern w:val="2"/>
              <w:position w:val="3"/>
              <w:highlight w:val="none"/>
              <w:lang w:val="zh-CN"/>
            </w:rPr>
            <w:sectPr>
              <w:headerReference r:id="rId5" w:type="first"/>
              <w:footerReference r:id="rId8" w:type="first"/>
              <w:headerReference r:id="rId3" w:type="default"/>
              <w:footerReference r:id="rId6" w:type="default"/>
              <w:headerReference r:id="rId4" w:type="even"/>
              <w:footerReference r:id="rId7" w:type="even"/>
              <w:pgSz w:w="11906" w:h="16838"/>
              <w:pgMar w:top="567" w:right="1800" w:bottom="1440" w:left="1800" w:header="851" w:footer="992" w:gutter="0"/>
              <w:pgNumType w:fmt="upperRoman" w:start="1"/>
              <w:cols w:space="0" w:num="1"/>
              <w:titlePg/>
              <w:docGrid w:type="lines" w:linePitch="312" w:charSpace="0"/>
            </w:sectPr>
          </w:pPr>
        </w:p>
        <w:p w14:paraId="47FF8C9A">
          <w:pPr>
            <w:pStyle w:val="31"/>
            <w:jc w:val="center"/>
            <w:rPr>
              <w:rFonts w:hint="default" w:eastAsia="黑体"/>
              <w:color w:val="auto"/>
              <w:highlight w:val="none"/>
              <w:lang w:val="en-US" w:eastAsia="zh-CN"/>
            </w:rPr>
          </w:pPr>
          <w:r>
            <w:rPr>
              <w:rFonts w:hint="eastAsia" w:ascii="黑体" w:hAnsi="黑体" w:eastAsia="黑体" w:cs="黑体"/>
              <w:color w:val="auto"/>
              <w:sz w:val="32"/>
              <w:szCs w:val="32"/>
              <w:highlight w:val="none"/>
              <w:lang w:val="zh-CN"/>
            </w:rPr>
            <w:t>目</w:t>
          </w:r>
          <w:r>
            <w:rPr>
              <w:rFonts w:hint="eastAsia" w:ascii="黑体" w:hAnsi="黑体" w:eastAsia="黑体" w:cs="黑体"/>
              <w:color w:val="auto"/>
              <w:sz w:val="32"/>
              <w:szCs w:val="32"/>
              <w:highlight w:val="none"/>
            </w:rPr>
            <w:t xml:space="preserve">    </w:t>
          </w:r>
          <w:r>
            <w:rPr>
              <w:rFonts w:hint="eastAsia" w:ascii="黑体" w:hAnsi="黑体" w:eastAsia="黑体" w:cs="黑体"/>
              <w:color w:val="auto"/>
              <w:sz w:val="32"/>
              <w:szCs w:val="32"/>
              <w:highlight w:val="none"/>
              <w:lang w:val="zh-CN"/>
            </w:rPr>
            <w:t>次</w:t>
          </w:r>
        </w:p>
        <w:p w14:paraId="31C1CD75">
          <w:pPr>
            <w:rPr>
              <w:color w:val="auto"/>
              <w:highlight w:val="none"/>
            </w:rPr>
          </w:pPr>
        </w:p>
        <w:p w14:paraId="3287D779">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TOC \o "1-3" \h \z \u </w:instrText>
          </w:r>
          <w:r>
            <w:rPr>
              <w:rFonts w:asciiTheme="minorEastAsia" w:hAnsiTheme="minorEastAsia"/>
              <w:color w:val="auto"/>
              <w:highlight w:val="none"/>
            </w:rPr>
            <w:fldChar w:fldCharType="separate"/>
          </w: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_Toc26510 </w:instrText>
          </w:r>
          <w:r>
            <w:rPr>
              <w:rFonts w:asciiTheme="minorEastAsia" w:hAnsiTheme="minorEastAsia"/>
              <w:color w:val="auto"/>
              <w:highlight w:val="none"/>
            </w:rPr>
            <w:fldChar w:fldCharType="separate"/>
          </w:r>
          <w:r>
            <w:rPr>
              <w:rFonts w:hint="eastAsia" w:ascii="黑体" w:hAnsi="黑体" w:eastAsia="黑体"/>
              <w:color w:val="auto"/>
              <w:szCs w:val="32"/>
              <w:highlight w:val="none"/>
            </w:rPr>
            <w:t>前    言</w:t>
          </w:r>
          <w:r>
            <w:rPr>
              <w:color w:val="auto"/>
            </w:rPr>
            <w:tab/>
          </w:r>
          <w:r>
            <w:rPr>
              <w:color w:val="auto"/>
            </w:rPr>
            <w:fldChar w:fldCharType="begin"/>
          </w:r>
          <w:r>
            <w:rPr>
              <w:color w:val="auto"/>
            </w:rPr>
            <w:instrText xml:space="preserve"> PAGEREF _Toc26510 \h </w:instrText>
          </w:r>
          <w:r>
            <w:rPr>
              <w:color w:val="auto"/>
            </w:rPr>
            <w:fldChar w:fldCharType="separate"/>
          </w:r>
          <w:r>
            <w:rPr>
              <w:color w:val="auto"/>
            </w:rPr>
            <w:t>I</w:t>
          </w:r>
          <w:r>
            <w:rPr>
              <w:color w:val="auto"/>
            </w:rPr>
            <w:fldChar w:fldCharType="end"/>
          </w:r>
          <w:r>
            <w:rPr>
              <w:rFonts w:asciiTheme="minorEastAsia" w:hAnsiTheme="minorEastAsia"/>
              <w:color w:val="auto"/>
              <w:highlight w:val="none"/>
            </w:rPr>
            <w:fldChar w:fldCharType="end"/>
          </w:r>
        </w:p>
        <w:p w14:paraId="25AF3D1E">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_Toc10359 </w:instrText>
          </w:r>
          <w:r>
            <w:rPr>
              <w:rFonts w:asciiTheme="minorEastAsia" w:hAnsiTheme="minorEastAsia"/>
              <w:color w:val="auto"/>
              <w:highlight w:val="none"/>
            </w:rPr>
            <w:fldChar w:fldCharType="separate"/>
          </w:r>
          <w:r>
            <w:rPr>
              <w:rFonts w:hint="eastAsia" w:ascii="黑体" w:hAnsi="黑体" w:eastAsia="黑体"/>
              <w:color w:val="auto"/>
              <w:szCs w:val="21"/>
              <w:highlight w:val="none"/>
            </w:rPr>
            <w:t>1 范围</w:t>
          </w:r>
          <w:r>
            <w:rPr>
              <w:color w:val="auto"/>
            </w:rPr>
            <w:tab/>
          </w:r>
          <w:r>
            <w:rPr>
              <w:color w:val="auto"/>
            </w:rPr>
            <w:fldChar w:fldCharType="begin"/>
          </w:r>
          <w:r>
            <w:rPr>
              <w:color w:val="auto"/>
            </w:rPr>
            <w:instrText xml:space="preserve"> PAGEREF _Toc10359 \h </w:instrText>
          </w:r>
          <w:r>
            <w:rPr>
              <w:color w:val="auto"/>
            </w:rPr>
            <w:fldChar w:fldCharType="separate"/>
          </w:r>
          <w:r>
            <w:rPr>
              <w:color w:val="auto"/>
            </w:rPr>
            <w:t>1</w:t>
          </w:r>
          <w:r>
            <w:rPr>
              <w:color w:val="auto"/>
            </w:rPr>
            <w:fldChar w:fldCharType="end"/>
          </w:r>
          <w:r>
            <w:rPr>
              <w:rFonts w:asciiTheme="minorEastAsia" w:hAnsiTheme="minorEastAsia"/>
              <w:color w:val="auto"/>
              <w:highlight w:val="none"/>
            </w:rPr>
            <w:fldChar w:fldCharType="end"/>
          </w:r>
        </w:p>
        <w:p w14:paraId="0E80F4A0">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_Toc26138 </w:instrText>
          </w:r>
          <w:r>
            <w:rPr>
              <w:rFonts w:asciiTheme="minorEastAsia" w:hAnsiTheme="minorEastAsia"/>
              <w:color w:val="auto"/>
              <w:highlight w:val="none"/>
            </w:rPr>
            <w:fldChar w:fldCharType="separate"/>
          </w:r>
          <w:r>
            <w:rPr>
              <w:rFonts w:hint="eastAsia" w:ascii="黑体" w:hAnsi="黑体" w:eastAsia="黑体"/>
              <w:color w:val="auto"/>
              <w:szCs w:val="21"/>
              <w:highlight w:val="none"/>
            </w:rPr>
            <w:t>2 规范性引用文件</w:t>
          </w:r>
          <w:r>
            <w:rPr>
              <w:color w:val="auto"/>
            </w:rPr>
            <w:tab/>
          </w:r>
          <w:r>
            <w:rPr>
              <w:color w:val="auto"/>
            </w:rPr>
            <w:fldChar w:fldCharType="begin"/>
          </w:r>
          <w:r>
            <w:rPr>
              <w:color w:val="auto"/>
            </w:rPr>
            <w:instrText xml:space="preserve"> PAGEREF _Toc26138 \h </w:instrText>
          </w:r>
          <w:r>
            <w:rPr>
              <w:color w:val="auto"/>
            </w:rPr>
            <w:fldChar w:fldCharType="separate"/>
          </w:r>
          <w:r>
            <w:rPr>
              <w:color w:val="auto"/>
            </w:rPr>
            <w:t>1</w:t>
          </w:r>
          <w:r>
            <w:rPr>
              <w:color w:val="auto"/>
            </w:rPr>
            <w:fldChar w:fldCharType="end"/>
          </w:r>
          <w:r>
            <w:rPr>
              <w:rFonts w:asciiTheme="minorEastAsia" w:hAnsiTheme="minorEastAsia"/>
              <w:color w:val="auto"/>
              <w:highlight w:val="none"/>
            </w:rPr>
            <w:fldChar w:fldCharType="end"/>
          </w:r>
        </w:p>
        <w:p w14:paraId="4F2E6128">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_Toc7883 </w:instrText>
          </w:r>
          <w:r>
            <w:rPr>
              <w:rFonts w:asciiTheme="minorEastAsia" w:hAnsiTheme="minorEastAsia"/>
              <w:color w:val="auto"/>
              <w:highlight w:val="none"/>
            </w:rPr>
            <w:fldChar w:fldCharType="separate"/>
          </w:r>
          <w:r>
            <w:rPr>
              <w:rFonts w:hint="eastAsia" w:ascii="黑体" w:hAnsi="黑体" w:eastAsia="黑体"/>
              <w:color w:val="auto"/>
              <w:szCs w:val="21"/>
              <w:highlight w:val="none"/>
            </w:rPr>
            <w:t>3术语和定义</w:t>
          </w:r>
          <w:r>
            <w:rPr>
              <w:color w:val="auto"/>
            </w:rPr>
            <w:tab/>
          </w:r>
          <w:r>
            <w:rPr>
              <w:color w:val="auto"/>
            </w:rPr>
            <w:fldChar w:fldCharType="begin"/>
          </w:r>
          <w:r>
            <w:rPr>
              <w:color w:val="auto"/>
            </w:rPr>
            <w:instrText xml:space="preserve"> PAGEREF _Toc7883 \h </w:instrText>
          </w:r>
          <w:r>
            <w:rPr>
              <w:color w:val="auto"/>
            </w:rPr>
            <w:fldChar w:fldCharType="separate"/>
          </w:r>
          <w:r>
            <w:rPr>
              <w:color w:val="auto"/>
            </w:rPr>
            <w:t>1</w:t>
          </w:r>
          <w:r>
            <w:rPr>
              <w:color w:val="auto"/>
            </w:rPr>
            <w:fldChar w:fldCharType="end"/>
          </w:r>
          <w:r>
            <w:rPr>
              <w:rFonts w:asciiTheme="minorEastAsia" w:hAnsiTheme="minorEastAsia"/>
              <w:color w:val="auto"/>
              <w:highlight w:val="none"/>
            </w:rPr>
            <w:fldChar w:fldCharType="end"/>
          </w:r>
        </w:p>
        <w:p w14:paraId="0090D537">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_Toc2012 </w:instrText>
          </w:r>
          <w:r>
            <w:rPr>
              <w:rFonts w:asciiTheme="minorEastAsia" w:hAnsiTheme="minorEastAsia"/>
              <w:color w:val="auto"/>
              <w:highlight w:val="none"/>
            </w:rPr>
            <w:fldChar w:fldCharType="separate"/>
          </w:r>
          <w:r>
            <w:rPr>
              <w:rFonts w:hint="eastAsia" w:ascii="黑体" w:hAnsi="黑体" w:eastAsia="黑体"/>
              <w:color w:val="auto"/>
              <w:szCs w:val="21"/>
              <w:highlight w:val="none"/>
            </w:rPr>
            <w:t xml:space="preserve">4 </w:t>
          </w:r>
          <w:r>
            <w:rPr>
              <w:rFonts w:hint="eastAsia" w:ascii="黑体" w:hAnsi="黑体" w:eastAsia="黑体"/>
              <w:color w:val="auto"/>
              <w:szCs w:val="21"/>
              <w:highlight w:val="none"/>
              <w:lang w:val="en-US" w:eastAsia="zh-CN"/>
            </w:rPr>
            <w:t>总则</w:t>
          </w:r>
          <w:r>
            <w:rPr>
              <w:color w:val="auto"/>
            </w:rPr>
            <w:tab/>
          </w:r>
          <w:r>
            <w:rPr>
              <w:color w:val="auto"/>
            </w:rPr>
            <w:fldChar w:fldCharType="begin"/>
          </w:r>
          <w:r>
            <w:rPr>
              <w:color w:val="auto"/>
            </w:rPr>
            <w:instrText xml:space="preserve"> PAGEREF _Toc2012 \h </w:instrText>
          </w:r>
          <w:r>
            <w:rPr>
              <w:color w:val="auto"/>
            </w:rPr>
            <w:fldChar w:fldCharType="separate"/>
          </w:r>
          <w:r>
            <w:rPr>
              <w:color w:val="auto"/>
            </w:rPr>
            <w:t>2</w:t>
          </w:r>
          <w:r>
            <w:rPr>
              <w:color w:val="auto"/>
            </w:rPr>
            <w:fldChar w:fldCharType="end"/>
          </w:r>
          <w:r>
            <w:rPr>
              <w:rFonts w:asciiTheme="minorEastAsia" w:hAnsiTheme="minorEastAsia"/>
              <w:color w:val="auto"/>
              <w:highlight w:val="none"/>
            </w:rPr>
            <w:fldChar w:fldCharType="end"/>
          </w:r>
        </w:p>
        <w:p w14:paraId="58EC3C52">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_Toc7020 </w:instrText>
          </w:r>
          <w:r>
            <w:rPr>
              <w:rFonts w:asciiTheme="minorEastAsia" w:hAnsiTheme="minorEastAsia"/>
              <w:color w:val="auto"/>
              <w:highlight w:val="none"/>
            </w:rPr>
            <w:fldChar w:fldCharType="separate"/>
          </w:r>
          <w:r>
            <w:rPr>
              <w:rFonts w:hint="eastAsia" w:ascii="黑体" w:hAnsi="黑体" w:eastAsia="黑体"/>
              <w:color w:val="auto"/>
              <w:szCs w:val="21"/>
              <w:highlight w:val="none"/>
            </w:rPr>
            <w:t xml:space="preserve">5 </w:t>
          </w:r>
          <w:r>
            <w:rPr>
              <w:rFonts w:hint="eastAsia" w:ascii="黑体" w:hAnsi="黑体" w:eastAsia="黑体"/>
              <w:color w:val="auto"/>
              <w:highlight w:val="none"/>
            </w:rPr>
            <w:t>场地</w:t>
          </w:r>
          <w:r>
            <w:rPr>
              <w:rFonts w:hint="eastAsia" w:ascii="黑体" w:hAnsi="黑体" w:eastAsia="黑体"/>
              <w:color w:val="auto"/>
              <w:highlight w:val="none"/>
              <w:lang w:val="en-US" w:eastAsia="zh-CN"/>
            </w:rPr>
            <w:t>和设施</w:t>
          </w:r>
          <w:r>
            <w:rPr>
              <w:color w:val="auto"/>
            </w:rPr>
            <w:tab/>
          </w:r>
          <w:r>
            <w:rPr>
              <w:color w:val="auto"/>
            </w:rPr>
            <w:fldChar w:fldCharType="begin"/>
          </w:r>
          <w:r>
            <w:rPr>
              <w:color w:val="auto"/>
            </w:rPr>
            <w:instrText xml:space="preserve"> PAGEREF _Toc7020 \h </w:instrText>
          </w:r>
          <w:r>
            <w:rPr>
              <w:color w:val="auto"/>
            </w:rPr>
            <w:fldChar w:fldCharType="separate"/>
          </w:r>
          <w:r>
            <w:rPr>
              <w:color w:val="auto"/>
            </w:rPr>
            <w:t>2</w:t>
          </w:r>
          <w:r>
            <w:rPr>
              <w:color w:val="auto"/>
            </w:rPr>
            <w:fldChar w:fldCharType="end"/>
          </w:r>
          <w:r>
            <w:rPr>
              <w:rFonts w:asciiTheme="minorEastAsia" w:hAnsiTheme="minorEastAsia"/>
              <w:color w:val="auto"/>
              <w:highlight w:val="none"/>
            </w:rPr>
            <w:fldChar w:fldCharType="end"/>
          </w:r>
        </w:p>
        <w:p w14:paraId="0EE816B0">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_Toc7140 </w:instrText>
          </w:r>
          <w:r>
            <w:rPr>
              <w:rFonts w:asciiTheme="minorEastAsia" w:hAnsiTheme="minorEastAsia"/>
              <w:color w:val="auto"/>
              <w:highlight w:val="none"/>
            </w:rPr>
            <w:fldChar w:fldCharType="separate"/>
          </w:r>
          <w:r>
            <w:rPr>
              <w:rFonts w:hint="eastAsia" w:ascii="黑体" w:hAnsi="黑体" w:eastAsia="黑体"/>
              <w:color w:val="auto"/>
              <w:highlight w:val="none"/>
              <w:lang w:val="en-US" w:eastAsia="zh-CN"/>
            </w:rPr>
            <w:t>6</w:t>
          </w:r>
          <w:r>
            <w:rPr>
              <w:rFonts w:hint="eastAsia" w:ascii="黑体" w:hAnsi="黑体" w:eastAsia="黑体"/>
              <w:color w:val="auto"/>
              <w:highlight w:val="none"/>
            </w:rPr>
            <w:t>人员</w:t>
          </w:r>
          <w:r>
            <w:rPr>
              <w:color w:val="auto"/>
            </w:rPr>
            <w:tab/>
          </w:r>
          <w:r>
            <w:rPr>
              <w:color w:val="auto"/>
            </w:rPr>
            <w:fldChar w:fldCharType="begin"/>
          </w:r>
          <w:r>
            <w:rPr>
              <w:color w:val="auto"/>
            </w:rPr>
            <w:instrText xml:space="preserve"> PAGEREF _Toc7140 \h </w:instrText>
          </w:r>
          <w:r>
            <w:rPr>
              <w:color w:val="auto"/>
            </w:rPr>
            <w:fldChar w:fldCharType="separate"/>
          </w:r>
          <w:r>
            <w:rPr>
              <w:color w:val="auto"/>
            </w:rPr>
            <w:t>2</w:t>
          </w:r>
          <w:r>
            <w:rPr>
              <w:color w:val="auto"/>
            </w:rPr>
            <w:fldChar w:fldCharType="end"/>
          </w:r>
          <w:r>
            <w:rPr>
              <w:rFonts w:asciiTheme="minorEastAsia" w:hAnsiTheme="minorEastAsia"/>
              <w:color w:val="auto"/>
              <w:highlight w:val="none"/>
            </w:rPr>
            <w:fldChar w:fldCharType="end"/>
          </w:r>
        </w:p>
        <w:p w14:paraId="0593B905">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_Toc12983 </w:instrText>
          </w:r>
          <w:r>
            <w:rPr>
              <w:rFonts w:asciiTheme="minorEastAsia" w:hAnsiTheme="minorEastAsia"/>
              <w:color w:val="auto"/>
              <w:highlight w:val="none"/>
            </w:rPr>
            <w:fldChar w:fldCharType="separate"/>
          </w:r>
          <w:r>
            <w:rPr>
              <w:rFonts w:hint="eastAsia" w:ascii="黑体" w:hAnsi="黑体" w:eastAsia="黑体"/>
              <w:color w:val="auto"/>
              <w:highlight w:val="none"/>
              <w:lang w:val="en-US" w:eastAsia="zh-CN"/>
            </w:rPr>
            <w:t>7</w:t>
          </w:r>
          <w:r>
            <w:rPr>
              <w:rFonts w:hint="eastAsia" w:ascii="黑体" w:hAnsi="黑体" w:eastAsia="黑体"/>
              <w:color w:val="auto"/>
              <w:highlight w:val="none"/>
            </w:rPr>
            <w:t>设备</w:t>
          </w:r>
          <w:r>
            <w:rPr>
              <w:color w:val="auto"/>
            </w:rPr>
            <w:tab/>
          </w:r>
          <w:r>
            <w:rPr>
              <w:color w:val="auto"/>
            </w:rPr>
            <w:fldChar w:fldCharType="begin"/>
          </w:r>
          <w:r>
            <w:rPr>
              <w:color w:val="auto"/>
            </w:rPr>
            <w:instrText xml:space="preserve"> PAGEREF _Toc12983 \h </w:instrText>
          </w:r>
          <w:r>
            <w:rPr>
              <w:color w:val="auto"/>
            </w:rPr>
            <w:fldChar w:fldCharType="separate"/>
          </w:r>
          <w:r>
            <w:rPr>
              <w:color w:val="auto"/>
            </w:rPr>
            <w:t>2</w:t>
          </w:r>
          <w:r>
            <w:rPr>
              <w:color w:val="auto"/>
            </w:rPr>
            <w:fldChar w:fldCharType="end"/>
          </w:r>
          <w:r>
            <w:rPr>
              <w:rFonts w:asciiTheme="minorEastAsia" w:hAnsiTheme="minorEastAsia"/>
              <w:color w:val="auto"/>
              <w:highlight w:val="none"/>
            </w:rPr>
            <w:fldChar w:fldCharType="end"/>
          </w:r>
        </w:p>
        <w:p w14:paraId="692D7085">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_Toc2171 </w:instrText>
          </w:r>
          <w:r>
            <w:rPr>
              <w:rFonts w:asciiTheme="minorEastAsia" w:hAnsiTheme="minorEastAsia"/>
              <w:color w:val="auto"/>
              <w:highlight w:val="none"/>
            </w:rPr>
            <w:fldChar w:fldCharType="separate"/>
          </w:r>
          <w:r>
            <w:rPr>
              <w:rFonts w:hint="eastAsia" w:ascii="黑体" w:hAnsi="黑体" w:eastAsia="黑体"/>
              <w:color w:val="auto"/>
              <w:highlight w:val="none"/>
              <w:lang w:val="en-US" w:eastAsia="zh-CN"/>
            </w:rPr>
            <w:t>8</w:t>
          </w:r>
          <w:r>
            <w:rPr>
              <w:rFonts w:hint="eastAsia" w:ascii="黑体" w:hAnsi="黑体" w:eastAsia="黑体" w:cs="Times New Roman"/>
              <w:color w:val="auto"/>
              <w:szCs w:val="21"/>
              <w:highlight w:val="none"/>
            </w:rPr>
            <w:t>快检产品</w:t>
          </w:r>
          <w:r>
            <w:rPr>
              <w:color w:val="auto"/>
            </w:rPr>
            <w:tab/>
          </w:r>
          <w:r>
            <w:rPr>
              <w:color w:val="auto"/>
            </w:rPr>
            <w:fldChar w:fldCharType="begin"/>
          </w:r>
          <w:r>
            <w:rPr>
              <w:color w:val="auto"/>
            </w:rPr>
            <w:instrText xml:space="preserve"> PAGEREF _Toc2171 \h </w:instrText>
          </w:r>
          <w:r>
            <w:rPr>
              <w:color w:val="auto"/>
            </w:rPr>
            <w:fldChar w:fldCharType="separate"/>
          </w:r>
          <w:r>
            <w:rPr>
              <w:color w:val="auto"/>
            </w:rPr>
            <w:t>3</w:t>
          </w:r>
          <w:r>
            <w:rPr>
              <w:color w:val="auto"/>
            </w:rPr>
            <w:fldChar w:fldCharType="end"/>
          </w:r>
          <w:r>
            <w:rPr>
              <w:rFonts w:asciiTheme="minorEastAsia" w:hAnsiTheme="minorEastAsia"/>
              <w:color w:val="auto"/>
              <w:highlight w:val="none"/>
            </w:rPr>
            <w:fldChar w:fldCharType="end"/>
          </w:r>
        </w:p>
        <w:p w14:paraId="7EE7D23A">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_Toc20393 </w:instrText>
          </w:r>
          <w:r>
            <w:rPr>
              <w:rFonts w:asciiTheme="minorEastAsia" w:hAnsiTheme="minorEastAsia"/>
              <w:color w:val="auto"/>
              <w:highlight w:val="none"/>
            </w:rPr>
            <w:fldChar w:fldCharType="separate"/>
          </w:r>
          <w:r>
            <w:rPr>
              <w:rFonts w:hint="eastAsia" w:ascii="黑体" w:hAnsi="黑体" w:eastAsia="黑体"/>
              <w:color w:val="auto"/>
              <w:szCs w:val="21"/>
              <w:highlight w:val="none"/>
              <w:lang w:val="en-US" w:eastAsia="zh-CN"/>
            </w:rPr>
            <w:t>9</w:t>
          </w:r>
          <w:r>
            <w:rPr>
              <w:rFonts w:hint="eastAsia" w:ascii="黑体" w:hAnsi="黑体" w:eastAsia="黑体"/>
              <w:color w:val="auto"/>
              <w:szCs w:val="21"/>
              <w:highlight w:val="none"/>
            </w:rPr>
            <w:t xml:space="preserve"> 快检工作程序</w:t>
          </w:r>
          <w:r>
            <w:rPr>
              <w:color w:val="auto"/>
            </w:rPr>
            <w:tab/>
          </w:r>
          <w:r>
            <w:rPr>
              <w:color w:val="auto"/>
            </w:rPr>
            <w:fldChar w:fldCharType="begin"/>
          </w:r>
          <w:r>
            <w:rPr>
              <w:color w:val="auto"/>
            </w:rPr>
            <w:instrText xml:space="preserve"> PAGEREF _Toc20393 \h </w:instrText>
          </w:r>
          <w:r>
            <w:rPr>
              <w:color w:val="auto"/>
            </w:rPr>
            <w:fldChar w:fldCharType="separate"/>
          </w:r>
          <w:r>
            <w:rPr>
              <w:color w:val="auto"/>
            </w:rPr>
            <w:t>3</w:t>
          </w:r>
          <w:r>
            <w:rPr>
              <w:color w:val="auto"/>
            </w:rPr>
            <w:fldChar w:fldCharType="end"/>
          </w:r>
          <w:r>
            <w:rPr>
              <w:rFonts w:asciiTheme="minorEastAsia" w:hAnsiTheme="minorEastAsia"/>
              <w:color w:val="auto"/>
              <w:highlight w:val="none"/>
            </w:rPr>
            <w:fldChar w:fldCharType="end"/>
          </w:r>
        </w:p>
        <w:p w14:paraId="5E169505">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_Toc6941 </w:instrText>
          </w:r>
          <w:r>
            <w:rPr>
              <w:rFonts w:asciiTheme="minorEastAsia" w:hAnsiTheme="minorEastAsia"/>
              <w:color w:val="auto"/>
              <w:highlight w:val="none"/>
            </w:rPr>
            <w:fldChar w:fldCharType="separate"/>
          </w:r>
          <w:r>
            <w:rPr>
              <w:rFonts w:hint="eastAsia" w:ascii="黑体" w:hAnsi="黑体" w:eastAsia="黑体"/>
              <w:color w:val="auto"/>
              <w:szCs w:val="21"/>
              <w:highlight w:val="none"/>
              <w:lang w:val="en-US" w:eastAsia="zh-CN"/>
            </w:rPr>
            <w:t>10</w:t>
          </w:r>
          <w:r>
            <w:rPr>
              <w:rFonts w:hint="eastAsia" w:ascii="黑体" w:hAnsi="黑体" w:eastAsia="黑体"/>
              <w:color w:val="auto"/>
              <w:szCs w:val="21"/>
              <w:highlight w:val="none"/>
            </w:rPr>
            <w:t>资料归档</w:t>
          </w:r>
          <w:r>
            <w:rPr>
              <w:color w:val="auto"/>
            </w:rPr>
            <w:tab/>
          </w:r>
          <w:r>
            <w:rPr>
              <w:color w:val="auto"/>
            </w:rPr>
            <w:fldChar w:fldCharType="begin"/>
          </w:r>
          <w:r>
            <w:rPr>
              <w:color w:val="auto"/>
            </w:rPr>
            <w:instrText xml:space="preserve"> PAGEREF _Toc6941 \h </w:instrText>
          </w:r>
          <w:r>
            <w:rPr>
              <w:color w:val="auto"/>
            </w:rPr>
            <w:fldChar w:fldCharType="separate"/>
          </w:r>
          <w:r>
            <w:rPr>
              <w:color w:val="auto"/>
            </w:rPr>
            <w:t>4</w:t>
          </w:r>
          <w:r>
            <w:rPr>
              <w:color w:val="auto"/>
            </w:rPr>
            <w:fldChar w:fldCharType="end"/>
          </w:r>
          <w:r>
            <w:rPr>
              <w:rFonts w:asciiTheme="minorEastAsia" w:hAnsiTheme="minorEastAsia"/>
              <w:color w:val="auto"/>
              <w:highlight w:val="none"/>
            </w:rPr>
            <w:fldChar w:fldCharType="end"/>
          </w:r>
        </w:p>
        <w:p w14:paraId="4951EAE1">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_Toc9851 </w:instrText>
          </w:r>
          <w:r>
            <w:rPr>
              <w:rFonts w:asciiTheme="minorEastAsia" w:hAnsiTheme="minorEastAsia"/>
              <w:color w:val="auto"/>
              <w:highlight w:val="none"/>
            </w:rPr>
            <w:fldChar w:fldCharType="separate"/>
          </w:r>
          <w:r>
            <w:rPr>
              <w:rFonts w:hint="eastAsia" w:ascii="黑体" w:hAnsi="黑体" w:eastAsia="黑体"/>
              <w:color w:val="auto"/>
              <w:szCs w:val="21"/>
              <w:highlight w:val="none"/>
              <w:lang w:val="en-US" w:eastAsia="zh-CN"/>
            </w:rPr>
            <w:t>11监督检查</w:t>
          </w:r>
          <w:r>
            <w:rPr>
              <w:color w:val="auto"/>
            </w:rPr>
            <w:tab/>
          </w:r>
          <w:r>
            <w:rPr>
              <w:color w:val="auto"/>
            </w:rPr>
            <w:fldChar w:fldCharType="begin"/>
          </w:r>
          <w:r>
            <w:rPr>
              <w:color w:val="auto"/>
            </w:rPr>
            <w:instrText xml:space="preserve"> PAGEREF _Toc9851 \h </w:instrText>
          </w:r>
          <w:r>
            <w:rPr>
              <w:color w:val="auto"/>
            </w:rPr>
            <w:fldChar w:fldCharType="separate"/>
          </w:r>
          <w:r>
            <w:rPr>
              <w:color w:val="auto"/>
            </w:rPr>
            <w:t>4</w:t>
          </w:r>
          <w:r>
            <w:rPr>
              <w:color w:val="auto"/>
            </w:rPr>
            <w:fldChar w:fldCharType="end"/>
          </w:r>
          <w:r>
            <w:rPr>
              <w:rFonts w:asciiTheme="minorEastAsia" w:hAnsiTheme="minorEastAsia"/>
              <w:color w:val="auto"/>
              <w:highlight w:val="none"/>
            </w:rPr>
            <w:fldChar w:fldCharType="end"/>
          </w:r>
        </w:p>
        <w:p w14:paraId="7E4B3F9E">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_Toc2337 </w:instrText>
          </w:r>
          <w:r>
            <w:rPr>
              <w:rFonts w:asciiTheme="minorEastAsia" w:hAnsiTheme="minorEastAsia"/>
              <w:color w:val="auto"/>
              <w:highlight w:val="none"/>
            </w:rPr>
            <w:fldChar w:fldCharType="separate"/>
          </w:r>
          <w:r>
            <w:rPr>
              <w:rFonts w:hint="eastAsia" w:ascii="黑体" w:hAnsi="黑体" w:eastAsia="黑体"/>
              <w:color w:val="auto"/>
              <w:szCs w:val="21"/>
              <w:highlight w:val="none"/>
            </w:rPr>
            <w:t>附录</w:t>
          </w:r>
          <w:r>
            <w:rPr>
              <w:rFonts w:ascii="黑体" w:hAnsi="黑体" w:eastAsia="黑体"/>
              <w:color w:val="auto"/>
              <w:szCs w:val="21"/>
              <w:highlight w:val="none"/>
            </w:rPr>
            <w:t>A</w:t>
          </w:r>
          <w:r>
            <w:rPr>
              <w:rFonts w:hint="eastAsia" w:ascii="黑体" w:hAnsi="黑体" w:eastAsia="黑体"/>
              <w:color w:val="auto"/>
              <w:szCs w:val="21"/>
              <w:highlight w:val="none"/>
            </w:rPr>
            <w:t>（资料性）重大活动食品快检仪器设备基础配置表</w:t>
          </w:r>
          <w:r>
            <w:rPr>
              <w:color w:val="auto"/>
            </w:rPr>
            <w:tab/>
          </w:r>
          <w:r>
            <w:rPr>
              <w:color w:val="auto"/>
            </w:rPr>
            <w:fldChar w:fldCharType="begin"/>
          </w:r>
          <w:r>
            <w:rPr>
              <w:color w:val="auto"/>
            </w:rPr>
            <w:instrText xml:space="preserve"> PAGEREF _Toc2337 \h </w:instrText>
          </w:r>
          <w:r>
            <w:rPr>
              <w:color w:val="auto"/>
            </w:rPr>
            <w:fldChar w:fldCharType="separate"/>
          </w:r>
          <w:r>
            <w:rPr>
              <w:color w:val="auto"/>
            </w:rPr>
            <w:t>5</w:t>
          </w:r>
          <w:r>
            <w:rPr>
              <w:color w:val="auto"/>
            </w:rPr>
            <w:fldChar w:fldCharType="end"/>
          </w:r>
          <w:r>
            <w:rPr>
              <w:rFonts w:asciiTheme="minorEastAsia" w:hAnsiTheme="minorEastAsia"/>
              <w:color w:val="auto"/>
              <w:highlight w:val="none"/>
            </w:rPr>
            <w:fldChar w:fldCharType="end"/>
          </w:r>
        </w:p>
        <w:p w14:paraId="1D3435B6">
          <w:pPr>
            <w:pStyle w:val="8"/>
            <w:tabs>
              <w:tab w:val="right" w:leader="dot" w:pos="8306"/>
            </w:tabs>
            <w:rPr>
              <w:color w:val="auto"/>
            </w:rPr>
          </w:pPr>
          <w:r>
            <w:rPr>
              <w:rFonts w:asciiTheme="minorEastAsia" w:hAnsiTheme="minorEastAsia"/>
              <w:color w:val="auto"/>
              <w:highlight w:val="none"/>
            </w:rPr>
            <w:fldChar w:fldCharType="begin"/>
          </w:r>
          <w:r>
            <w:rPr>
              <w:rFonts w:asciiTheme="minorEastAsia" w:hAnsiTheme="minorEastAsia"/>
              <w:color w:val="auto"/>
              <w:highlight w:val="none"/>
            </w:rPr>
            <w:instrText xml:space="preserve"> HYPERLINK \l _Toc10526 </w:instrText>
          </w:r>
          <w:r>
            <w:rPr>
              <w:rFonts w:asciiTheme="minorEastAsia" w:hAnsiTheme="minorEastAsia"/>
              <w:color w:val="auto"/>
              <w:highlight w:val="none"/>
            </w:rPr>
            <w:fldChar w:fldCharType="separate"/>
          </w:r>
          <w:r>
            <w:rPr>
              <w:rFonts w:hint="eastAsia" w:ascii="黑体" w:hAnsi="黑体" w:eastAsia="黑体" w:cs="黑体"/>
              <w:color w:val="auto"/>
              <w:highlight w:val="none"/>
              <w:lang w:val="en-US" w:eastAsia="zh-CN"/>
            </w:rPr>
            <w:t>参考文献</w:t>
          </w:r>
          <w:r>
            <w:rPr>
              <w:color w:val="auto"/>
            </w:rPr>
            <w:tab/>
          </w:r>
          <w:r>
            <w:rPr>
              <w:color w:val="auto"/>
            </w:rPr>
            <w:fldChar w:fldCharType="begin"/>
          </w:r>
          <w:r>
            <w:rPr>
              <w:color w:val="auto"/>
            </w:rPr>
            <w:instrText xml:space="preserve"> PAGEREF _Toc10526 \h </w:instrText>
          </w:r>
          <w:r>
            <w:rPr>
              <w:color w:val="auto"/>
            </w:rPr>
            <w:fldChar w:fldCharType="separate"/>
          </w:r>
          <w:r>
            <w:rPr>
              <w:color w:val="auto"/>
            </w:rPr>
            <w:t>6</w:t>
          </w:r>
          <w:r>
            <w:rPr>
              <w:color w:val="auto"/>
            </w:rPr>
            <w:fldChar w:fldCharType="end"/>
          </w:r>
          <w:r>
            <w:rPr>
              <w:rFonts w:asciiTheme="minorEastAsia" w:hAnsiTheme="minorEastAsia"/>
              <w:color w:val="auto"/>
              <w:highlight w:val="none"/>
            </w:rPr>
            <w:fldChar w:fldCharType="end"/>
          </w:r>
        </w:p>
        <w:p w14:paraId="539513CB">
          <w:pPr>
            <w:rPr>
              <w:color w:val="auto"/>
              <w:highlight w:val="none"/>
            </w:rPr>
          </w:pPr>
          <w:r>
            <w:rPr>
              <w:rFonts w:asciiTheme="minorEastAsia" w:hAnsiTheme="minorEastAsia"/>
              <w:color w:val="auto"/>
              <w:highlight w:val="none"/>
            </w:rPr>
            <w:fldChar w:fldCharType="end"/>
          </w:r>
        </w:p>
      </w:sdtContent>
    </w:sdt>
    <w:p w14:paraId="19253774">
      <w:pPr>
        <w:rPr>
          <w:color w:val="auto"/>
          <w:highlight w:val="none"/>
        </w:rPr>
      </w:pPr>
    </w:p>
    <w:p w14:paraId="43CD1569">
      <w:pPr>
        <w:rPr>
          <w:color w:val="auto"/>
          <w:highlight w:val="none"/>
        </w:rPr>
      </w:pPr>
    </w:p>
    <w:p w14:paraId="2DBB46CB">
      <w:pPr>
        <w:rPr>
          <w:color w:val="auto"/>
          <w:highlight w:val="none"/>
        </w:rPr>
      </w:pPr>
    </w:p>
    <w:p w14:paraId="0497B7EF">
      <w:pPr>
        <w:rPr>
          <w:color w:val="auto"/>
          <w:highlight w:val="none"/>
        </w:rPr>
      </w:pPr>
      <w:r>
        <w:rPr>
          <w:color w:val="auto"/>
          <w:highlight w:val="none"/>
        </w:rPr>
        <w:br w:type="page"/>
      </w:r>
    </w:p>
    <w:p w14:paraId="4B780BAA">
      <w:pPr>
        <w:bidi w:val="0"/>
        <w:rPr>
          <w:color w:val="auto"/>
        </w:rPr>
        <w:sectPr>
          <w:headerReference r:id="rId10" w:type="first"/>
          <w:footerReference r:id="rId13" w:type="first"/>
          <w:footerReference r:id="rId11" w:type="default"/>
          <w:headerReference r:id="rId9" w:type="even"/>
          <w:footerReference r:id="rId12" w:type="even"/>
          <w:pgSz w:w="11906" w:h="16838"/>
          <w:pgMar w:top="1440" w:right="1800" w:bottom="1440" w:left="1800" w:header="851" w:footer="992" w:gutter="0"/>
          <w:pgNumType w:fmt="upperRoman" w:start="1"/>
          <w:cols w:space="425" w:num="1"/>
          <w:titlePg/>
          <w:docGrid w:type="lines" w:linePitch="312" w:charSpace="0"/>
        </w:sectPr>
      </w:pPr>
    </w:p>
    <w:p w14:paraId="5764494E">
      <w:pPr>
        <w:rPr>
          <w:color w:val="auto"/>
          <w:highlight w:val="none"/>
        </w:rPr>
      </w:pPr>
    </w:p>
    <w:p w14:paraId="3D5D194A">
      <w:pPr>
        <w:pStyle w:val="2"/>
        <w:jc w:val="center"/>
        <w:rPr>
          <w:rFonts w:hint="eastAsia" w:ascii="黑体" w:hAnsi="黑体" w:eastAsia="黑体"/>
          <w:b w:val="0"/>
          <w:color w:val="auto"/>
          <w:sz w:val="32"/>
          <w:szCs w:val="32"/>
          <w:highlight w:val="none"/>
          <w:lang w:eastAsia="zh-CN"/>
        </w:rPr>
      </w:pPr>
      <w:bookmarkStart w:id="10" w:name="_Toc159872923"/>
      <w:bookmarkStart w:id="11" w:name="_Toc26510"/>
      <w:r>
        <w:rPr>
          <w:rFonts w:hint="eastAsia" w:ascii="黑体" w:hAnsi="黑体" w:eastAsia="黑体"/>
          <w:b w:val="0"/>
          <w:color w:val="auto"/>
          <w:sz w:val="32"/>
          <w:szCs w:val="32"/>
          <w:highlight w:val="none"/>
        </w:rPr>
        <w:t>前    言</w:t>
      </w:r>
      <w:bookmarkEnd w:id="10"/>
      <w:bookmarkEnd w:id="11"/>
    </w:p>
    <w:p w14:paraId="37A01190">
      <w:pPr>
        <w:spacing w:line="360" w:lineRule="auto"/>
        <w:ind w:firstLine="465"/>
        <w:rPr>
          <w:rFonts w:ascii="Times New Roman" w:hAnsi="Times New Roman" w:cs="Times New Roman"/>
          <w:color w:val="auto"/>
          <w:sz w:val="24"/>
          <w:szCs w:val="24"/>
          <w:highlight w:val="none"/>
        </w:rPr>
      </w:pPr>
    </w:p>
    <w:p w14:paraId="12CE8773">
      <w:pPr>
        <w:ind w:firstLine="465"/>
        <w:rPr>
          <w:rFonts w:hint="eastAsia" w:cs="Times New Roman" w:asciiTheme="minorEastAsia" w:hAnsiTheme="minorEastAsia"/>
          <w:color w:val="auto"/>
          <w:szCs w:val="21"/>
          <w:highlight w:val="none"/>
        </w:rPr>
      </w:pPr>
      <w:bookmarkStart w:id="12" w:name="_Toc154299845"/>
      <w:r>
        <w:rPr>
          <w:rFonts w:hint="eastAsia" w:cs="Times New Roman" w:asciiTheme="minorEastAsia" w:hAnsiTheme="minorEastAsia"/>
          <w:color w:val="auto"/>
          <w:szCs w:val="21"/>
          <w:highlight w:val="none"/>
        </w:rPr>
        <w:t>本文件按照GB/T</w:t>
      </w:r>
      <w:r>
        <w:rPr>
          <w:rFonts w:hint="eastAsia" w:cs="Times New Roman" w:asciiTheme="minorEastAsia" w:hAnsiTheme="minorEastAsia"/>
          <w:color w:val="auto"/>
          <w:szCs w:val="21"/>
          <w:highlight w:val="none"/>
          <w:lang w:val="en-US" w:eastAsia="zh-CN"/>
        </w:rPr>
        <w:t xml:space="preserve"> </w:t>
      </w:r>
      <w:r>
        <w:rPr>
          <w:rFonts w:hint="eastAsia" w:cs="Times New Roman" w:asciiTheme="minorEastAsia" w:hAnsiTheme="minorEastAsia"/>
          <w:color w:val="auto"/>
          <w:szCs w:val="21"/>
          <w:highlight w:val="none"/>
        </w:rPr>
        <w:t>1.1-2020《标准化工作导则  第1部分：标准化文件的结构和起草规则》的规定起草。</w:t>
      </w:r>
      <w:bookmarkEnd w:id="12"/>
    </w:p>
    <w:p w14:paraId="07FA10FA">
      <w:pPr>
        <w:pStyle w:val="27"/>
        <w:rPr>
          <w:rFonts w:hint="default" w:eastAsia="宋体"/>
          <w:color w:val="auto"/>
          <w:highlight w:val="none"/>
          <w:lang w:val="en-US" w:eastAsia="zh-CN"/>
        </w:rPr>
      </w:pPr>
      <w:bookmarkStart w:id="13" w:name="_Toc154299847"/>
      <w:r>
        <w:rPr>
          <w:rFonts w:hint="eastAsia"/>
          <w:color w:val="auto"/>
          <w:highlight w:val="none"/>
          <w:lang w:val="en-US" w:eastAsia="zh-CN"/>
        </w:rPr>
        <w:t>请注意本文件的某些内容可能涉及专利。本文件的发布机构不承担识别专利的责任。</w:t>
      </w:r>
    </w:p>
    <w:p w14:paraId="4B4C9180">
      <w:pPr>
        <w:pStyle w:val="27"/>
        <w:rPr>
          <w:color w:val="auto"/>
          <w:highlight w:val="none"/>
        </w:rPr>
      </w:pPr>
      <w:r>
        <w:rPr>
          <w:rFonts w:hint="eastAsia"/>
          <w:color w:val="auto"/>
          <w:highlight w:val="none"/>
        </w:rPr>
        <w:t>本文件由陕西省市场监督管理局</w:t>
      </w:r>
      <w:r>
        <w:rPr>
          <w:rFonts w:hint="eastAsia"/>
          <w:color w:val="auto"/>
          <w:highlight w:val="none"/>
          <w:lang w:val="en-US" w:eastAsia="zh-CN"/>
        </w:rPr>
        <w:t>提出并</w:t>
      </w:r>
      <w:r>
        <w:rPr>
          <w:rFonts w:hint="eastAsia"/>
          <w:color w:val="auto"/>
          <w:highlight w:val="none"/>
        </w:rPr>
        <w:t>归口。</w:t>
      </w:r>
    </w:p>
    <w:p w14:paraId="6F2B5608">
      <w:pPr>
        <w:ind w:firstLine="465"/>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本文件起草单位：西安市食品药品检验所</w:t>
      </w:r>
      <w:bookmarkEnd w:id="13"/>
      <w:r>
        <w:rPr>
          <w:rFonts w:hint="eastAsia" w:cs="Times New Roman" w:asciiTheme="minorEastAsia" w:hAnsiTheme="minorEastAsia"/>
          <w:color w:val="auto"/>
          <w:szCs w:val="21"/>
          <w:highlight w:val="none"/>
        </w:rPr>
        <w:t>、西安市质量与标准化研究院、陕西省产品质量监督检验研究院、西安市市场监督管理局雁塔区分局、西安市市场监督管理局高新区分局。</w:t>
      </w:r>
    </w:p>
    <w:p w14:paraId="6C90687D">
      <w:pPr>
        <w:ind w:firstLine="465"/>
        <w:rPr>
          <w:rFonts w:hint="eastAsia" w:cs="Times New Roman" w:asciiTheme="minorEastAsia" w:hAnsiTheme="minorEastAsia" w:eastAsiaTheme="minorEastAsia"/>
          <w:color w:val="auto"/>
          <w:szCs w:val="21"/>
          <w:highlight w:val="none"/>
          <w:lang w:eastAsia="zh-CN"/>
        </w:rPr>
      </w:pPr>
      <w:bookmarkStart w:id="14" w:name="_Toc154299848"/>
      <w:r>
        <w:rPr>
          <w:rFonts w:hint="eastAsia" w:cs="Times New Roman" w:asciiTheme="minorEastAsia" w:hAnsiTheme="minorEastAsia"/>
          <w:color w:val="auto"/>
          <w:szCs w:val="21"/>
          <w:highlight w:val="none"/>
        </w:rPr>
        <w:t>本文件主要起草人：梁肖冬、张亚锋、夏天、</w:t>
      </w:r>
      <w:r>
        <w:rPr>
          <w:rFonts w:hint="eastAsia" w:cs="Times New Roman" w:asciiTheme="minorEastAsia" w:hAnsiTheme="minorEastAsia"/>
          <w:color w:val="auto"/>
          <w:szCs w:val="21"/>
          <w:highlight w:val="none"/>
          <w:lang w:val="en-US" w:eastAsia="zh-CN"/>
        </w:rPr>
        <w:t>张耀武、</w:t>
      </w:r>
      <w:r>
        <w:rPr>
          <w:rFonts w:hint="eastAsia" w:cs="Times New Roman" w:asciiTheme="minorEastAsia" w:hAnsiTheme="minorEastAsia"/>
          <w:color w:val="auto"/>
          <w:szCs w:val="21"/>
          <w:highlight w:val="none"/>
        </w:rPr>
        <w:t>张越华、李小红、卫星华</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rPr>
        <w:t>李敏、崔迎、</w:t>
      </w:r>
      <w:r>
        <w:rPr>
          <w:rFonts w:hint="eastAsia" w:cs="Times New Roman" w:asciiTheme="minorEastAsia" w:hAnsiTheme="minorEastAsia"/>
          <w:color w:val="auto"/>
          <w:szCs w:val="21"/>
          <w:highlight w:val="none"/>
          <w:lang w:val="en-US" w:eastAsia="zh-CN"/>
        </w:rPr>
        <w:t>张少彤、</w:t>
      </w:r>
      <w:r>
        <w:rPr>
          <w:rFonts w:hint="eastAsia" w:cs="Times New Roman" w:asciiTheme="minorEastAsia" w:hAnsiTheme="minorEastAsia"/>
          <w:color w:val="auto"/>
          <w:szCs w:val="21"/>
          <w:highlight w:val="none"/>
        </w:rPr>
        <w:t>赵舰、</w:t>
      </w:r>
      <w:r>
        <w:rPr>
          <w:rFonts w:hint="eastAsia" w:cs="Times New Roman" w:asciiTheme="minorEastAsia" w:hAnsiTheme="minorEastAsia"/>
          <w:color w:val="auto"/>
          <w:szCs w:val="21"/>
          <w:highlight w:val="none"/>
          <w:lang w:val="en-US" w:eastAsia="zh-CN"/>
        </w:rPr>
        <w:t>刘欣、张美龙、惠蕙、樊成、安瑜、乔亚宁</w:t>
      </w:r>
      <w:r>
        <w:rPr>
          <w:rFonts w:hint="eastAsia" w:cs="Times New Roman" w:asciiTheme="minorEastAsia" w:hAnsiTheme="minorEastAsia"/>
          <w:color w:val="auto"/>
          <w:szCs w:val="21"/>
          <w:highlight w:val="none"/>
        </w:rPr>
        <w:t>。</w:t>
      </w:r>
      <w:bookmarkEnd w:id="14"/>
    </w:p>
    <w:p w14:paraId="7B057FB7">
      <w:pPr>
        <w:pStyle w:val="27"/>
        <w:rPr>
          <w:color w:val="auto"/>
          <w:highlight w:val="none"/>
        </w:rPr>
      </w:pPr>
      <w:r>
        <w:rPr>
          <w:rFonts w:hint="eastAsia"/>
          <w:color w:val="auto"/>
          <w:highlight w:val="none"/>
        </w:rPr>
        <w:t>本文件由</w:t>
      </w:r>
      <w:r>
        <w:rPr>
          <w:rFonts w:hint="eastAsia" w:asciiTheme="minorEastAsia" w:hAnsiTheme="minorEastAsia"/>
          <w:color w:val="auto"/>
          <w:szCs w:val="21"/>
          <w:highlight w:val="none"/>
        </w:rPr>
        <w:t>西安市食品药品检验所</w:t>
      </w:r>
      <w:r>
        <w:rPr>
          <w:rFonts w:hint="eastAsia"/>
          <w:color w:val="auto"/>
          <w:highlight w:val="none"/>
        </w:rPr>
        <w:t>负责解释。</w:t>
      </w:r>
    </w:p>
    <w:p w14:paraId="1D017682">
      <w:pPr>
        <w:pStyle w:val="27"/>
        <w:rPr>
          <w:color w:val="auto"/>
          <w:highlight w:val="none"/>
        </w:rPr>
      </w:pPr>
      <w:r>
        <w:rPr>
          <w:rFonts w:hint="eastAsia"/>
          <w:color w:val="auto"/>
          <w:highlight w:val="none"/>
        </w:rPr>
        <w:t>本文件首次发布。</w:t>
      </w:r>
    </w:p>
    <w:p w14:paraId="254B74E3">
      <w:pPr>
        <w:pStyle w:val="27"/>
        <w:ind w:left="0" w:leftChars="0" w:firstLine="0" w:firstLineChars="0"/>
        <w:rPr>
          <w:color w:val="auto"/>
          <w:highlight w:val="none"/>
        </w:rPr>
      </w:pPr>
    </w:p>
    <w:p w14:paraId="5ACFE7C7">
      <w:pPr>
        <w:pStyle w:val="27"/>
        <w:rPr>
          <w:color w:val="auto"/>
          <w:highlight w:val="none"/>
        </w:rPr>
      </w:pPr>
      <w:r>
        <w:rPr>
          <w:rFonts w:hint="eastAsia"/>
          <w:color w:val="auto"/>
          <w:highlight w:val="none"/>
        </w:rPr>
        <w:t>联系信息如下：</w:t>
      </w:r>
    </w:p>
    <w:p w14:paraId="74FBA9C9">
      <w:pPr>
        <w:pStyle w:val="27"/>
        <w:rPr>
          <w:color w:val="auto"/>
          <w:highlight w:val="none"/>
        </w:rPr>
      </w:pPr>
      <w:r>
        <w:rPr>
          <w:rFonts w:hint="eastAsia"/>
          <w:color w:val="auto"/>
          <w:highlight w:val="none"/>
        </w:rPr>
        <w:t>单位：西安市食品药品检验所</w:t>
      </w:r>
    </w:p>
    <w:p w14:paraId="75AD84D1">
      <w:pPr>
        <w:pStyle w:val="27"/>
        <w:rPr>
          <w:color w:val="auto"/>
          <w:highlight w:val="none"/>
        </w:rPr>
      </w:pPr>
      <w:r>
        <w:rPr>
          <w:rFonts w:hint="eastAsia"/>
          <w:color w:val="auto"/>
          <w:highlight w:val="none"/>
        </w:rPr>
        <w:t>电话：029-85528324</w:t>
      </w:r>
    </w:p>
    <w:p w14:paraId="1CCD4F6C">
      <w:pPr>
        <w:pStyle w:val="27"/>
        <w:rPr>
          <w:color w:val="auto"/>
          <w:highlight w:val="none"/>
        </w:rPr>
      </w:pPr>
      <w:r>
        <w:rPr>
          <w:rFonts w:hint="eastAsia"/>
          <w:color w:val="auto"/>
          <w:highlight w:val="none"/>
        </w:rPr>
        <w:t>地址：西安市长安区仓台西路889号</w:t>
      </w:r>
    </w:p>
    <w:p w14:paraId="0B6CA1B4">
      <w:pPr>
        <w:pStyle w:val="27"/>
        <w:rPr>
          <w:color w:val="auto"/>
          <w:highlight w:val="none"/>
        </w:rPr>
      </w:pPr>
      <w:r>
        <w:rPr>
          <w:rFonts w:hint="eastAsia"/>
          <w:color w:val="auto"/>
          <w:highlight w:val="none"/>
        </w:rPr>
        <w:t>邮编：710119</w:t>
      </w:r>
    </w:p>
    <w:p w14:paraId="61842418">
      <w:pPr>
        <w:rPr>
          <w:color w:val="auto"/>
          <w:highlight w:val="none"/>
        </w:rPr>
      </w:pPr>
    </w:p>
    <w:p w14:paraId="2569A548">
      <w:pPr>
        <w:rPr>
          <w:color w:val="auto"/>
          <w:highlight w:val="none"/>
        </w:rPr>
      </w:pPr>
    </w:p>
    <w:p w14:paraId="60F67899">
      <w:pPr>
        <w:rPr>
          <w:color w:val="auto"/>
          <w:highlight w:val="none"/>
        </w:rPr>
      </w:pPr>
    </w:p>
    <w:p w14:paraId="6A7D5D52">
      <w:pPr>
        <w:rPr>
          <w:color w:val="auto"/>
          <w:highlight w:val="none"/>
        </w:rPr>
      </w:pPr>
    </w:p>
    <w:p w14:paraId="66720786">
      <w:pPr>
        <w:rPr>
          <w:color w:val="auto"/>
          <w:highlight w:val="none"/>
        </w:rPr>
      </w:pPr>
    </w:p>
    <w:p w14:paraId="3F979FBC">
      <w:pPr>
        <w:rPr>
          <w:color w:val="auto"/>
          <w:highlight w:val="none"/>
        </w:rPr>
      </w:pPr>
    </w:p>
    <w:p w14:paraId="36D7B308">
      <w:pPr>
        <w:rPr>
          <w:color w:val="auto"/>
          <w:highlight w:val="none"/>
        </w:rPr>
      </w:pPr>
    </w:p>
    <w:p w14:paraId="0BFC1B8B">
      <w:pPr>
        <w:rPr>
          <w:color w:val="auto"/>
          <w:highlight w:val="none"/>
        </w:rPr>
      </w:pPr>
    </w:p>
    <w:p w14:paraId="61B94A9B">
      <w:pPr>
        <w:rPr>
          <w:color w:val="auto"/>
          <w:highlight w:val="none"/>
        </w:rPr>
      </w:pPr>
    </w:p>
    <w:p w14:paraId="1C701578">
      <w:pPr>
        <w:rPr>
          <w:color w:val="auto"/>
          <w:highlight w:val="none"/>
        </w:rPr>
      </w:pPr>
    </w:p>
    <w:p w14:paraId="12F46B6C">
      <w:pPr>
        <w:rPr>
          <w:color w:val="auto"/>
          <w:highlight w:val="none"/>
        </w:rPr>
      </w:pPr>
    </w:p>
    <w:p w14:paraId="45C9C502">
      <w:pPr>
        <w:rPr>
          <w:color w:val="auto"/>
          <w:highlight w:val="none"/>
        </w:rPr>
      </w:pPr>
    </w:p>
    <w:p w14:paraId="6897AF19">
      <w:pPr>
        <w:rPr>
          <w:color w:val="auto"/>
          <w:highlight w:val="none"/>
        </w:rPr>
        <w:sectPr>
          <w:footerReference r:id="rId16" w:type="first"/>
          <w:footerReference r:id="rId14" w:type="default"/>
          <w:footerReference r:id="rId15" w:type="even"/>
          <w:pgSz w:w="11906" w:h="16838"/>
          <w:pgMar w:top="1440" w:right="1134" w:bottom="1440" w:left="1417" w:header="851" w:footer="992" w:gutter="0"/>
          <w:pgNumType w:fmt="upperRoman" w:start="1"/>
          <w:cols w:space="0" w:num="1"/>
          <w:titlePg/>
          <w:docGrid w:type="lines" w:linePitch="312" w:charSpace="0"/>
        </w:sectPr>
      </w:pPr>
    </w:p>
    <w:p w14:paraId="33EFEDBC">
      <w:pPr>
        <w:spacing w:line="360" w:lineRule="auto"/>
        <w:jc w:val="both"/>
        <w:rPr>
          <w:rFonts w:hint="eastAsia" w:ascii="黑体" w:hAnsi="黑体" w:eastAsia="黑体" w:cs="Times New Roman"/>
          <w:color w:val="auto"/>
          <w:sz w:val="32"/>
          <w:szCs w:val="32"/>
          <w:highlight w:val="none"/>
        </w:rPr>
      </w:pPr>
      <w:bookmarkStart w:id="15" w:name="_Toc159872924"/>
    </w:p>
    <w:p w14:paraId="1493FD14">
      <w:pPr>
        <w:spacing w:line="360" w:lineRule="auto"/>
        <w:ind w:firstLine="465"/>
        <w:jc w:val="center"/>
        <w:rPr>
          <w:rFonts w:hint="eastAsia" w:ascii="黑体" w:hAnsi="黑体" w:eastAsia="黑体" w:cs="Times New Roman"/>
          <w:color w:val="auto"/>
          <w:sz w:val="32"/>
          <w:szCs w:val="32"/>
          <w:highlight w:val="none"/>
        </w:rPr>
      </w:pPr>
      <w:r>
        <w:rPr>
          <w:rFonts w:hint="eastAsia" w:ascii="黑体" w:hAnsi="黑体" w:eastAsia="黑体" w:cs="Times New Roman"/>
          <w:color w:val="auto"/>
          <w:sz w:val="32"/>
          <w:szCs w:val="32"/>
          <w:highlight w:val="none"/>
        </w:rPr>
        <w:t>重大活动食品快速检测规范</w:t>
      </w:r>
    </w:p>
    <w:p w14:paraId="0C60B286">
      <w:pPr>
        <w:rPr>
          <w:rFonts w:hint="eastAsia" w:ascii="黑体" w:hAnsi="黑体" w:eastAsia="黑体"/>
          <w:color w:val="auto"/>
          <w:sz w:val="32"/>
          <w:szCs w:val="32"/>
          <w:highlight w:val="none"/>
        </w:rPr>
      </w:pPr>
    </w:p>
    <w:p w14:paraId="74AD7261">
      <w:pPr>
        <w:keepNext w:val="0"/>
        <w:keepLines w:val="0"/>
        <w:pageBreakBefore w:val="0"/>
        <w:widowControl w:val="0"/>
        <w:kinsoku/>
        <w:wordWrap/>
        <w:overflowPunct/>
        <w:topLinePunct w:val="0"/>
        <w:autoSpaceDE/>
        <w:autoSpaceDN/>
        <w:bidi w:val="0"/>
        <w:adjustRightInd/>
        <w:snapToGrid/>
        <w:spacing w:before="312" w:beforeLines="100" w:after="312" w:afterLines="100"/>
        <w:textAlignment w:val="auto"/>
        <w:outlineLvl w:val="0"/>
        <w:rPr>
          <w:rFonts w:hint="eastAsia" w:ascii="黑体" w:hAnsi="黑体" w:eastAsia="黑体"/>
          <w:color w:val="auto"/>
          <w:sz w:val="32"/>
          <w:szCs w:val="32"/>
          <w:highlight w:val="none"/>
        </w:rPr>
      </w:pPr>
      <w:bookmarkStart w:id="16" w:name="_Toc10359"/>
      <w:r>
        <w:rPr>
          <w:rFonts w:hint="eastAsia" w:ascii="黑体" w:hAnsi="黑体" w:eastAsia="黑体"/>
          <w:color w:val="auto"/>
          <w:szCs w:val="21"/>
          <w:highlight w:val="none"/>
        </w:rPr>
        <w:t>1 范围</w:t>
      </w:r>
      <w:bookmarkEnd w:id="15"/>
      <w:bookmarkEnd w:id="16"/>
    </w:p>
    <w:p w14:paraId="3D09D9D1">
      <w:pPr>
        <w:ind w:firstLine="482"/>
        <w:rPr>
          <w:rFonts w:ascii="Times New Roman" w:hAnsi="Times New Roman" w:cs="Times New Roman"/>
          <w:color w:val="auto"/>
          <w:szCs w:val="21"/>
          <w:highlight w:val="none"/>
        </w:rPr>
      </w:pPr>
      <w:bookmarkStart w:id="17" w:name="_Toc154299852"/>
      <w:r>
        <w:rPr>
          <w:rFonts w:hint="eastAsia" w:ascii="Times New Roman" w:hAnsi="Times New Roman" w:cs="Times New Roman"/>
          <w:color w:val="auto"/>
          <w:szCs w:val="21"/>
          <w:highlight w:val="none"/>
        </w:rPr>
        <w:t>本文件规定了重大活动食品快速检测工作的总</w:t>
      </w:r>
      <w:r>
        <w:rPr>
          <w:rFonts w:hint="eastAsia" w:ascii="Times New Roman" w:hAnsi="Times New Roman" w:cs="Times New Roman"/>
          <w:color w:val="auto"/>
          <w:szCs w:val="21"/>
          <w:highlight w:val="none"/>
          <w:lang w:val="en-US" w:eastAsia="zh-CN"/>
        </w:rPr>
        <w:t>体要求</w:t>
      </w:r>
      <w:r>
        <w:rPr>
          <w:rFonts w:hint="eastAsia" w:ascii="Times New Roman" w:hAnsi="Times New Roman" w:cs="Times New Roman"/>
          <w:color w:val="auto"/>
          <w:szCs w:val="21"/>
          <w:highlight w:val="none"/>
        </w:rPr>
        <w:t>、</w:t>
      </w:r>
      <w:r>
        <w:rPr>
          <w:rFonts w:hint="eastAsia" w:ascii="Times New Roman" w:hAnsi="Times New Roman" w:cs="Times New Roman"/>
          <w:color w:val="auto"/>
          <w:szCs w:val="21"/>
          <w:highlight w:val="none"/>
          <w:lang w:val="en-US" w:eastAsia="zh-CN"/>
        </w:rPr>
        <w:t>工作要求</w:t>
      </w:r>
      <w:r>
        <w:rPr>
          <w:rFonts w:hint="eastAsia" w:ascii="Times New Roman" w:hAnsi="Times New Roman" w:cs="Times New Roman"/>
          <w:color w:val="auto"/>
          <w:szCs w:val="21"/>
          <w:highlight w:val="none"/>
        </w:rPr>
        <w:t>、快检工作程序及资料归档等内容。</w:t>
      </w:r>
      <w:bookmarkEnd w:id="17"/>
    </w:p>
    <w:p w14:paraId="3DF5F407">
      <w:pPr>
        <w:ind w:firstLine="482"/>
        <w:rPr>
          <w:rFonts w:hint="eastAsia" w:ascii="Times New Roman" w:hAnsi="Times New Roman" w:cs="Times New Roman"/>
          <w:color w:val="auto"/>
          <w:szCs w:val="21"/>
          <w:highlight w:val="none"/>
        </w:rPr>
      </w:pPr>
      <w:bookmarkStart w:id="18" w:name="_Toc154299853"/>
      <w:r>
        <w:rPr>
          <w:rFonts w:hint="eastAsia" w:ascii="Times New Roman" w:hAnsi="Times New Roman" w:cs="Times New Roman"/>
          <w:color w:val="auto"/>
          <w:szCs w:val="21"/>
          <w:highlight w:val="none"/>
        </w:rPr>
        <w:t>本文件适用于具有特定规模和影响的政治、经济、文化、体育</w:t>
      </w:r>
      <w:r>
        <w:rPr>
          <w:rFonts w:hint="eastAsia" w:ascii="Times New Roman"/>
          <w:color w:val="auto"/>
          <w:highlight w:val="none"/>
        </w:rPr>
        <w:t>等重要活动（会议）期间的</w:t>
      </w:r>
      <w:r>
        <w:rPr>
          <w:rFonts w:hint="eastAsia" w:ascii="Times New Roman" w:hAnsi="Times New Roman" w:cs="Times New Roman"/>
          <w:color w:val="auto"/>
          <w:szCs w:val="21"/>
          <w:highlight w:val="none"/>
        </w:rPr>
        <w:t>食品快速检测工作。</w:t>
      </w:r>
      <w:bookmarkEnd w:id="18"/>
    </w:p>
    <w:p w14:paraId="1F9F86DD">
      <w:pPr>
        <w:keepNext w:val="0"/>
        <w:keepLines w:val="0"/>
        <w:pageBreakBefore w:val="0"/>
        <w:widowControl w:val="0"/>
        <w:kinsoku/>
        <w:wordWrap/>
        <w:overflowPunct/>
        <w:topLinePunct w:val="0"/>
        <w:autoSpaceDE/>
        <w:autoSpaceDN/>
        <w:bidi w:val="0"/>
        <w:adjustRightInd/>
        <w:snapToGrid/>
        <w:spacing w:before="312" w:beforeLines="100" w:after="312" w:afterLines="100"/>
        <w:textAlignment w:val="auto"/>
        <w:outlineLvl w:val="0"/>
        <w:rPr>
          <w:rFonts w:hint="eastAsia" w:ascii="黑体" w:hAnsi="黑体" w:eastAsia="黑体"/>
          <w:color w:val="auto"/>
          <w:szCs w:val="21"/>
          <w:highlight w:val="none"/>
        </w:rPr>
      </w:pPr>
      <w:bookmarkStart w:id="19" w:name="_Toc26138"/>
      <w:bookmarkStart w:id="20" w:name="_Toc159872925"/>
      <w:r>
        <w:rPr>
          <w:rFonts w:hint="eastAsia" w:ascii="黑体" w:hAnsi="黑体" w:eastAsia="黑体"/>
          <w:color w:val="auto"/>
          <w:szCs w:val="21"/>
          <w:highlight w:val="none"/>
        </w:rPr>
        <w:t>2 规范性引用文件</w:t>
      </w:r>
      <w:bookmarkEnd w:id="19"/>
      <w:bookmarkEnd w:id="20"/>
    </w:p>
    <w:p w14:paraId="4949DE0D">
      <w:pPr>
        <w:ind w:firstLine="420" w:firstLineChars="200"/>
        <w:rPr>
          <w:rFonts w:ascii="Times New Roman" w:hAnsi="Times New Roman" w:cs="Times New Roman"/>
          <w:color w:val="auto"/>
          <w:szCs w:val="21"/>
          <w:highlight w:val="none"/>
        </w:rPr>
      </w:pPr>
      <w:bookmarkStart w:id="21" w:name="_Toc154299855"/>
      <w:bookmarkStart w:id="22" w:name="_Toc152684259"/>
      <w:r>
        <w:rPr>
          <w:rFonts w:hint="eastAsia" w:ascii="Times New Roman" w:hAnsi="Times New Roman" w:cs="Times New Roman"/>
          <w:color w:val="auto"/>
          <w:szCs w:val="21"/>
          <w:highlight w:val="none"/>
        </w:rPr>
        <w:t>下列文件中的内容通过文中的规范性引用而构成本文件必不可少的条款。其中，注日期的引用文件，仅该日期对应的版本适用于本文件；不注日期的引用文件，其最新版本（包括所有的修改单）适用于本文件。</w:t>
      </w:r>
      <w:bookmarkEnd w:id="21"/>
      <w:bookmarkEnd w:id="22"/>
    </w:p>
    <w:p w14:paraId="5D731CF5">
      <w:pPr>
        <w:ind w:firstLine="420" w:firstLineChars="200"/>
        <w:rPr>
          <w:rFonts w:hint="eastAsia" w:cs="Times New Roman" w:asciiTheme="minorEastAsia" w:hAnsiTheme="minorEastAsia"/>
          <w:color w:val="auto"/>
          <w:szCs w:val="21"/>
          <w:highlight w:val="none"/>
        </w:rPr>
      </w:pPr>
      <w:r>
        <w:rPr>
          <w:rFonts w:hint="eastAsia" w:cs="Times New Roman" w:asciiTheme="minorEastAsia" w:hAnsiTheme="minorEastAsia"/>
          <w:color w:val="auto"/>
          <w:szCs w:val="21"/>
          <w:highlight w:val="none"/>
        </w:rPr>
        <w:t>GB/T 29471 食品安全检测移动实验室通用技术规范</w:t>
      </w:r>
    </w:p>
    <w:p w14:paraId="357FDC9E">
      <w:pPr>
        <w:ind w:firstLine="420" w:firstLineChars="200"/>
        <w:rPr>
          <w:rFonts w:hint="default" w:cs="Times New Roman" w:asciiTheme="minorEastAsia" w:hAnsiTheme="minorEastAsia"/>
          <w:color w:val="auto"/>
          <w:szCs w:val="21"/>
          <w:highlight w:val="none"/>
          <w:lang w:val="en-US"/>
        </w:rPr>
      </w:pPr>
      <w:r>
        <w:rPr>
          <w:rFonts w:hint="eastAsia" w:cs="Times New Roman" w:asciiTheme="minorEastAsia" w:hAnsiTheme="minorEastAsia"/>
          <w:color w:val="auto"/>
          <w:szCs w:val="21"/>
          <w:lang w:val="en-US" w:eastAsia="zh-CN"/>
        </w:rPr>
        <w:t xml:space="preserve">GB/T 42233-2022 </w:t>
      </w:r>
      <w:r>
        <w:rPr>
          <w:rFonts w:hint="eastAsia" w:cs="Times New Roman" w:asciiTheme="minorEastAsia" w:hAnsiTheme="minorEastAsia"/>
          <w:color w:val="auto"/>
          <w:szCs w:val="21"/>
          <w:highlight w:val="none"/>
          <w:lang w:val="en-US" w:eastAsia="zh-CN"/>
        </w:rPr>
        <w:t>快速检测 术语与定义</w:t>
      </w:r>
    </w:p>
    <w:p w14:paraId="467FF199">
      <w:pPr>
        <w:ind w:firstLine="420" w:firstLineChars="200"/>
        <w:rPr>
          <w:rFonts w:hint="default" w:cs="Times New Roman" w:asciiTheme="minorEastAsia" w:hAnsiTheme="minorEastAsia" w:eastAsiaTheme="minorEastAsia"/>
          <w:color w:val="auto"/>
          <w:szCs w:val="21"/>
          <w:highlight w:val="none"/>
          <w:lang w:val="en-US" w:eastAsia="zh-CN"/>
        </w:rPr>
      </w:pPr>
      <w:r>
        <w:rPr>
          <w:rFonts w:hint="eastAsia" w:cs="Times New Roman" w:asciiTheme="minorEastAsia" w:hAnsiTheme="minorEastAsia"/>
          <w:color w:val="auto"/>
          <w:szCs w:val="21"/>
          <w:highlight w:val="none"/>
          <w:lang w:val="en-US" w:eastAsia="zh-CN"/>
        </w:rPr>
        <w:t>DB61/T XXXX—XXXX 重大活动食品安全保障规范 抽样检验</w:t>
      </w:r>
    </w:p>
    <w:p w14:paraId="44779889">
      <w:pPr>
        <w:ind w:firstLine="420" w:firstLineChars="200"/>
        <w:rPr>
          <w:rFonts w:hint="default" w:cs="Times New Roman" w:asciiTheme="minorEastAsia" w:hAnsiTheme="minorEastAsia"/>
          <w:color w:val="auto"/>
          <w:szCs w:val="21"/>
          <w:highlight w:val="none"/>
          <w:lang w:val="en-US"/>
        </w:rPr>
      </w:pPr>
      <w:r>
        <w:rPr>
          <w:rFonts w:hint="eastAsia" w:cs="Times New Roman" w:asciiTheme="minorEastAsia" w:hAnsiTheme="minorEastAsia"/>
          <w:color w:val="auto"/>
          <w:szCs w:val="21"/>
          <w:highlight w:val="none"/>
          <w:lang w:val="en-US" w:eastAsia="zh-CN"/>
        </w:rPr>
        <w:t xml:space="preserve">DB61/T XXXX—XXXX 食品快速检测实验室建设规范 </w:t>
      </w:r>
    </w:p>
    <w:p w14:paraId="2E062C6D">
      <w:pPr>
        <w:keepNext w:val="0"/>
        <w:keepLines w:val="0"/>
        <w:pageBreakBefore w:val="0"/>
        <w:widowControl w:val="0"/>
        <w:kinsoku/>
        <w:wordWrap/>
        <w:overflowPunct/>
        <w:topLinePunct w:val="0"/>
        <w:autoSpaceDE/>
        <w:autoSpaceDN/>
        <w:bidi w:val="0"/>
        <w:adjustRightInd/>
        <w:snapToGrid/>
        <w:spacing w:before="312" w:beforeLines="100" w:after="312" w:afterLines="100"/>
        <w:textAlignment w:val="auto"/>
        <w:outlineLvl w:val="0"/>
        <w:rPr>
          <w:rFonts w:hint="eastAsia" w:ascii="黑体" w:hAnsi="黑体" w:eastAsia="黑体"/>
          <w:color w:val="auto"/>
          <w:szCs w:val="21"/>
          <w:highlight w:val="none"/>
        </w:rPr>
      </w:pPr>
      <w:bookmarkStart w:id="23" w:name="_Toc7883"/>
      <w:r>
        <w:rPr>
          <w:rFonts w:hint="eastAsia" w:ascii="黑体" w:hAnsi="黑体" w:eastAsia="黑体"/>
          <w:color w:val="auto"/>
          <w:szCs w:val="21"/>
          <w:highlight w:val="none"/>
        </w:rPr>
        <w:t>3术语和定义</w:t>
      </w:r>
      <w:bookmarkEnd w:id="23"/>
      <w:bookmarkStart w:id="24" w:name="_Toc154299863"/>
    </w:p>
    <w:bookmarkEnd w:id="24"/>
    <w:p w14:paraId="3443715D">
      <w:pPr>
        <w:ind w:firstLine="420" w:firstLineChars="200"/>
        <w:rPr>
          <w:rFonts w:hint="eastAsia" w:ascii="黑体" w:hAnsi="黑体" w:eastAsia="黑体" w:cs="Times New Roman"/>
          <w:color w:val="auto"/>
          <w:szCs w:val="21"/>
          <w:highlight w:val="none"/>
        </w:rPr>
      </w:pPr>
      <w:r>
        <w:rPr>
          <w:rFonts w:hint="eastAsia" w:cs="Times New Roman" w:asciiTheme="minorEastAsia" w:hAnsiTheme="minorEastAsia"/>
          <w:color w:val="auto"/>
          <w:szCs w:val="21"/>
          <w:highlight w:val="none"/>
          <w:lang w:val="en-US" w:eastAsia="zh-CN"/>
        </w:rPr>
        <w:t>DB61/T XXXX—XXXX、</w:t>
      </w:r>
      <w:r>
        <w:rPr>
          <w:rFonts w:hint="eastAsia" w:cs="Times New Roman" w:asciiTheme="minorEastAsia" w:hAnsiTheme="minorEastAsia"/>
          <w:color w:val="auto"/>
          <w:szCs w:val="21"/>
          <w:lang w:val="en-US" w:eastAsia="zh-CN"/>
        </w:rPr>
        <w:t>GB/T 42233-2022</w:t>
      </w:r>
      <w:r>
        <w:rPr>
          <w:rFonts w:hint="eastAsia" w:cs="Times New Roman" w:asciiTheme="minorEastAsia" w:hAnsiTheme="minorEastAsia"/>
          <w:color w:val="auto"/>
          <w:szCs w:val="21"/>
          <w:highlight w:val="none"/>
          <w:lang w:val="en-US" w:eastAsia="zh-CN"/>
        </w:rPr>
        <w:t>所界定的以及</w:t>
      </w:r>
      <w:r>
        <w:rPr>
          <w:rFonts w:hint="eastAsia" w:ascii="Times New Roman" w:hAnsi="Times New Roman" w:cs="Times New Roman"/>
          <w:color w:val="auto"/>
          <w:szCs w:val="21"/>
          <w:highlight w:val="none"/>
        </w:rPr>
        <w:t>下列术语和定义适用于本</w:t>
      </w:r>
      <w:r>
        <w:rPr>
          <w:rFonts w:hint="eastAsia" w:ascii="Times New Roman" w:hAnsi="Times New Roman" w:cs="Times New Roman"/>
          <w:color w:val="auto"/>
          <w:szCs w:val="21"/>
          <w:highlight w:val="none"/>
          <w:lang w:val="en-US" w:eastAsia="zh-CN"/>
        </w:rPr>
        <w:t>文件</w:t>
      </w:r>
      <w:r>
        <w:rPr>
          <w:rFonts w:hint="eastAsia" w:ascii="Times New Roman" w:hAnsi="Times New Roman" w:cs="Times New Roman"/>
          <w:color w:val="auto"/>
          <w:szCs w:val="21"/>
          <w:highlight w:val="none"/>
        </w:rPr>
        <w:t>。</w:t>
      </w:r>
    </w:p>
    <w:p w14:paraId="46F1E48E">
      <w:pPr>
        <w:spacing w:before="156" w:beforeLines="50" w:after="156" w:afterLines="50"/>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3.1</w:t>
      </w:r>
    </w:p>
    <w:p w14:paraId="48DA0635">
      <w:pPr>
        <w:ind w:firstLine="403"/>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重大活动  major events</w:t>
      </w:r>
    </w:p>
    <w:p w14:paraId="0078BC10">
      <w:pPr>
        <w:spacing w:before="156" w:beforeLines="50" w:after="156" w:afterLines="50"/>
        <w:ind w:firstLine="465"/>
        <w:rPr>
          <w:rFonts w:hint="eastAsia" w:ascii="Calibri" w:hAnsi="Calibri" w:eastAsia="宋体" w:cs="Times New Roman"/>
          <w:color w:val="auto"/>
          <w:highlight w:val="none"/>
          <w:lang w:eastAsia="zh-CN"/>
        </w:rPr>
      </w:pPr>
      <w:r>
        <w:rPr>
          <w:rFonts w:hint="eastAsia" w:ascii="Calibri" w:hAnsi="Calibri" w:eastAsia="宋体" w:cs="Times New Roman"/>
          <w:color w:val="auto"/>
          <w:highlight w:val="none"/>
        </w:rPr>
        <w:t>党员代表大会、人民代表大会、政治协商会议和重要的国际会议，以及国际、全国、区域性体育比赛、大型庆典、经贸等活动。</w:t>
      </w:r>
    </w:p>
    <w:p w14:paraId="2E175FF7">
      <w:pPr>
        <w:spacing w:before="156" w:beforeLines="50" w:after="156" w:afterLines="50"/>
        <w:rPr>
          <w:rFonts w:hint="eastAsia" w:cs="Times New Roman" w:asciiTheme="minorEastAsia" w:hAnsiTheme="minorEastAsia"/>
          <w:color w:val="auto"/>
          <w:szCs w:val="21"/>
          <w:highlight w:val="none"/>
        </w:rPr>
      </w:pPr>
      <w:r>
        <w:rPr>
          <w:rFonts w:hint="eastAsia" w:ascii="黑体" w:hAnsi="黑体" w:eastAsia="黑体" w:cs="Times New Roman"/>
          <w:color w:val="auto"/>
          <w:szCs w:val="21"/>
          <w:highlight w:val="none"/>
        </w:rPr>
        <w:t>3.2</w:t>
      </w:r>
    </w:p>
    <w:p w14:paraId="7CF3B8E2">
      <w:pPr>
        <w:keepNext w:val="0"/>
        <w:keepLines w:val="0"/>
        <w:pageBreakBefore w:val="0"/>
        <w:widowControl w:val="0"/>
        <w:kinsoku/>
        <w:wordWrap/>
        <w:overflowPunct/>
        <w:topLinePunct w:val="0"/>
        <w:autoSpaceDE/>
        <w:autoSpaceDN/>
        <w:bidi w:val="0"/>
        <w:adjustRightInd/>
        <w:snapToGrid/>
        <w:spacing w:before="156" w:beforeLines="50" w:after="156" w:afterLines="50"/>
        <w:ind w:firstLine="420"/>
        <w:textAlignment w:val="auto"/>
        <w:outlineLvl w:val="9"/>
        <w:rPr>
          <w:rFonts w:hint="eastAsia" w:ascii="黑体" w:hAnsi="黑体" w:eastAsia="黑体" w:cs="Times New Roman"/>
          <w:color w:val="auto"/>
          <w:szCs w:val="21"/>
          <w:highlight w:val="none"/>
          <w:lang w:val="en-US" w:eastAsia="zh-CN"/>
        </w:rPr>
      </w:pPr>
      <w:r>
        <w:rPr>
          <w:rFonts w:hint="eastAsia" w:ascii="黑体" w:hAnsi="黑体" w:eastAsia="黑体" w:cs="Times New Roman"/>
          <w:color w:val="auto"/>
          <w:szCs w:val="21"/>
          <w:highlight w:val="none"/>
          <w:lang w:val="en-US" w:eastAsia="zh-CN"/>
        </w:rPr>
        <w:t>组织方  organizer</w:t>
      </w:r>
    </w:p>
    <w:p w14:paraId="1B7E835A">
      <w:pPr>
        <w:keepNext w:val="0"/>
        <w:keepLines w:val="0"/>
        <w:pageBreakBefore w:val="0"/>
        <w:widowControl w:val="0"/>
        <w:kinsoku/>
        <w:wordWrap/>
        <w:overflowPunct/>
        <w:topLinePunct w:val="0"/>
        <w:autoSpaceDE/>
        <w:autoSpaceDN/>
        <w:bidi w:val="0"/>
        <w:adjustRightInd/>
        <w:snapToGrid/>
        <w:ind w:firstLine="465"/>
        <w:textAlignment w:val="auto"/>
        <w:rPr>
          <w:rFonts w:hint="eastAsia" w:ascii="Calibri" w:hAnsi="Calibri" w:eastAsia="宋体" w:cs="Times New Roman"/>
          <w:color w:val="auto"/>
          <w:highlight w:val="none"/>
          <w:lang w:val="en-US" w:eastAsia="zh-CN"/>
        </w:rPr>
      </w:pPr>
      <w:r>
        <w:rPr>
          <w:rFonts w:hint="eastAsia" w:ascii="Calibri" w:hAnsi="Calibri" w:eastAsia="宋体" w:cs="Times New Roman"/>
          <w:color w:val="auto"/>
          <w:highlight w:val="none"/>
          <w:lang w:val="en-US" w:eastAsia="zh-CN"/>
        </w:rPr>
        <w:t>重大活动中组织实施抽样检验任务的政府监督管理部门。</w:t>
      </w:r>
    </w:p>
    <w:p w14:paraId="10B5A684">
      <w:pPr>
        <w:keepNext w:val="0"/>
        <w:keepLines w:val="0"/>
        <w:pageBreakBefore w:val="0"/>
        <w:widowControl w:val="0"/>
        <w:kinsoku/>
        <w:wordWrap/>
        <w:overflowPunct/>
        <w:topLinePunct w:val="0"/>
        <w:autoSpaceDE/>
        <w:autoSpaceDN/>
        <w:bidi w:val="0"/>
        <w:adjustRightInd/>
        <w:snapToGrid/>
        <w:ind w:firstLine="465"/>
        <w:textAlignment w:val="auto"/>
        <w:rPr>
          <w:rFonts w:hint="eastAsia" w:cs="Times New Roman" w:asciiTheme="minorEastAsia" w:hAnsiTheme="minorEastAsia"/>
          <w:color w:val="auto"/>
          <w:szCs w:val="21"/>
          <w:lang w:val="en-US" w:eastAsia="zh-CN"/>
        </w:rPr>
      </w:pPr>
      <w:r>
        <w:rPr>
          <w:rFonts w:hint="eastAsia" w:cs="Times New Roman" w:asciiTheme="minorEastAsia" w:hAnsiTheme="minorEastAsia"/>
          <w:color w:val="auto"/>
          <w:szCs w:val="21"/>
          <w:lang w:val="en-US" w:eastAsia="zh-CN"/>
        </w:rPr>
        <w:t>[来源：</w:t>
      </w:r>
      <w:r>
        <w:rPr>
          <w:rFonts w:hint="eastAsia" w:cs="Times New Roman" w:asciiTheme="minorEastAsia" w:hAnsiTheme="minorEastAsia"/>
          <w:color w:val="auto"/>
          <w:szCs w:val="21"/>
          <w:highlight w:val="none"/>
          <w:lang w:val="en-US" w:eastAsia="zh-CN"/>
        </w:rPr>
        <w:t>DB61/T XXXX—XXXX</w:t>
      </w:r>
      <w:r>
        <w:rPr>
          <w:rFonts w:hint="eastAsia" w:cs="Times New Roman" w:asciiTheme="minorEastAsia" w:hAnsiTheme="minorEastAsia"/>
          <w:color w:val="auto"/>
          <w:szCs w:val="21"/>
          <w:lang w:val="en-US" w:eastAsia="zh-CN"/>
        </w:rPr>
        <w:t>，3.3，有修改]</w:t>
      </w:r>
    </w:p>
    <w:p w14:paraId="1A60CAF0">
      <w:pPr>
        <w:spacing w:before="156" w:beforeLines="50" w:after="156" w:afterLines="50"/>
        <w:outlineLvl w:val="1"/>
        <w:rPr>
          <w:rFonts w:hint="eastAsia" w:ascii="黑体" w:hAnsi="黑体" w:eastAsia="黑体" w:cs="Times New Roman"/>
          <w:color w:val="auto"/>
          <w:szCs w:val="21"/>
          <w:highlight w:val="none"/>
          <w:lang w:eastAsia="zh-CN"/>
        </w:rPr>
      </w:pPr>
      <w:r>
        <w:rPr>
          <w:rFonts w:hint="eastAsia" w:ascii="黑体" w:hAnsi="黑体" w:eastAsia="黑体" w:cs="Times New Roman"/>
          <w:color w:val="auto"/>
          <w:szCs w:val="21"/>
          <w:highlight w:val="none"/>
        </w:rPr>
        <w:t>3.</w:t>
      </w:r>
      <w:r>
        <w:rPr>
          <w:rFonts w:hint="eastAsia" w:ascii="黑体" w:hAnsi="黑体" w:eastAsia="黑体" w:cs="Times New Roman"/>
          <w:color w:val="auto"/>
          <w:szCs w:val="21"/>
          <w:highlight w:val="none"/>
          <w:lang w:val="en-US" w:eastAsia="zh-CN"/>
        </w:rPr>
        <w:t>3</w:t>
      </w:r>
    </w:p>
    <w:p w14:paraId="0E561DFA">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outlineLvl w:val="1"/>
        <w:rPr>
          <w:rFonts w:hint="eastAsia" w:ascii="黑体" w:hAnsi="黑体" w:eastAsia="黑体" w:cs="Times New Roman"/>
          <w:color w:val="auto"/>
          <w:szCs w:val="21"/>
          <w:highlight w:val="none"/>
        </w:rPr>
      </w:pPr>
      <w:r>
        <w:rPr>
          <w:rFonts w:hint="eastAsia" w:ascii="黑体" w:hAnsi="黑体" w:eastAsia="黑体" w:cs="Times New Roman"/>
          <w:color w:val="auto"/>
          <w:szCs w:val="21"/>
          <w:highlight w:val="none"/>
        </w:rPr>
        <w:t>食品快速检测  food rapid detection</w:t>
      </w:r>
    </w:p>
    <w:p w14:paraId="0DB026A1">
      <w:pPr>
        <w:keepNext w:val="0"/>
        <w:keepLines w:val="0"/>
        <w:pageBreakBefore w:val="0"/>
        <w:widowControl w:val="0"/>
        <w:kinsoku/>
        <w:wordWrap/>
        <w:overflowPunct/>
        <w:topLinePunct w:val="0"/>
        <w:autoSpaceDE/>
        <w:autoSpaceDN/>
        <w:bidi w:val="0"/>
        <w:adjustRightInd/>
        <w:snapToGrid/>
        <w:spacing w:line="240" w:lineRule="auto"/>
        <w:ind w:firstLine="465"/>
        <w:textAlignment w:val="auto"/>
        <w:rPr>
          <w:rFonts w:ascii="Times New Roman" w:hAnsi="Times New Roman" w:cs="Times New Roman"/>
          <w:color w:val="auto"/>
          <w:szCs w:val="21"/>
          <w:highlight w:val="none"/>
        </w:rPr>
      </w:pPr>
      <w:r>
        <w:rPr>
          <w:rFonts w:ascii="Times New Roman" w:hAnsi="Times New Roman" w:cs="Times New Roman"/>
          <w:color w:val="auto"/>
          <w:szCs w:val="21"/>
          <w:highlight w:val="none"/>
        </w:rPr>
        <w:t>利用快速检测设备，采用国家公布的</w:t>
      </w:r>
      <w:r>
        <w:rPr>
          <w:rFonts w:hint="eastAsia" w:ascii="Times New Roman" w:hAnsi="Times New Roman" w:cs="Times New Roman"/>
          <w:color w:val="auto"/>
          <w:szCs w:val="21"/>
          <w:highlight w:val="none"/>
        </w:rPr>
        <w:t>快速检测</w:t>
      </w:r>
      <w:r>
        <w:rPr>
          <w:rFonts w:ascii="Times New Roman" w:hAnsi="Times New Roman" w:cs="Times New Roman"/>
          <w:color w:val="auto"/>
          <w:szCs w:val="21"/>
          <w:highlight w:val="none"/>
        </w:rPr>
        <w:t>方法，对食品中特定物质或指标进行定性或半定量</w:t>
      </w:r>
    </w:p>
    <w:p w14:paraId="51918DB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黑体" w:hAnsi="黑体" w:eastAsia="黑体" w:cs="Times New Roman"/>
          <w:color w:val="auto"/>
          <w:szCs w:val="21"/>
          <w:highlight w:val="none"/>
          <w:lang w:val="en-US" w:eastAsia="zh-CN"/>
        </w:rPr>
      </w:pPr>
      <w:r>
        <w:rPr>
          <w:rFonts w:ascii="Times New Roman" w:hAnsi="Times New Roman" w:cs="Times New Roman"/>
          <w:color w:val="auto"/>
          <w:szCs w:val="21"/>
          <w:highlight w:val="none"/>
        </w:rPr>
        <w:t>检测，并在较短时间内显示检测结果的</w:t>
      </w:r>
      <w:r>
        <w:rPr>
          <w:rFonts w:hint="eastAsia" w:ascii="Times New Roman" w:hAnsi="Times New Roman" w:cs="Times New Roman"/>
          <w:color w:val="auto"/>
          <w:szCs w:val="21"/>
          <w:highlight w:val="none"/>
          <w:lang w:val="en-US" w:eastAsia="zh-CN"/>
        </w:rPr>
        <w:t>过程，</w:t>
      </w:r>
      <w:r>
        <w:rPr>
          <w:rFonts w:ascii="Times New Roman" w:hAnsi="Times New Roman" w:cs="Times New Roman"/>
          <w:color w:val="auto"/>
          <w:szCs w:val="21"/>
          <w:highlight w:val="none"/>
        </w:rPr>
        <w:t>简称</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lang w:val="en-US" w:eastAsia="zh-CN"/>
        </w:rPr>
        <w:t>食品</w:t>
      </w:r>
      <w:r>
        <w:rPr>
          <w:rFonts w:ascii="Times New Roman" w:hAnsi="Times New Roman" w:cs="Times New Roman"/>
          <w:color w:val="auto"/>
          <w:szCs w:val="21"/>
          <w:highlight w:val="none"/>
        </w:rPr>
        <w:t>快检</w:t>
      </w:r>
      <w:r>
        <w:rPr>
          <w:rFonts w:hint="eastAsia" w:ascii="Times New Roman" w:hAnsi="Times New Roman" w:cs="Times New Roman"/>
          <w:color w:val="auto"/>
          <w:szCs w:val="21"/>
          <w:highlight w:val="none"/>
          <w:lang w:eastAsia="zh-CN"/>
        </w:rPr>
        <w:t>”</w:t>
      </w:r>
      <w:r>
        <w:rPr>
          <w:rFonts w:ascii="Times New Roman" w:hAnsi="Times New Roman" w:cs="Times New Roman"/>
          <w:color w:val="auto"/>
          <w:szCs w:val="21"/>
          <w:highlight w:val="none"/>
        </w:rPr>
        <w:t>。</w:t>
      </w:r>
    </w:p>
    <w:p w14:paraId="0354E2E9">
      <w:pPr>
        <w:keepNext/>
        <w:keepLines w:val="0"/>
        <w:pageBreakBefore w:val="0"/>
        <w:widowControl w:val="0"/>
        <w:kinsoku/>
        <w:wordWrap/>
        <w:overflowPunct/>
        <w:topLinePunct w:val="0"/>
        <w:autoSpaceDE/>
        <w:autoSpaceDN/>
        <w:bidi w:val="0"/>
        <w:adjustRightInd/>
        <w:snapToGrid/>
        <w:spacing w:before="156" w:beforeLines="50" w:after="156" w:afterLines="50"/>
        <w:textAlignment w:val="auto"/>
        <w:outlineLvl w:val="1"/>
        <w:rPr>
          <w:rFonts w:hint="eastAsia" w:ascii="黑体" w:hAnsi="黑体" w:eastAsia="黑体" w:cs="Times New Roman"/>
          <w:color w:val="auto"/>
          <w:szCs w:val="21"/>
          <w:highlight w:val="none"/>
          <w:lang w:val="en-US" w:eastAsia="zh-CN"/>
        </w:rPr>
      </w:pPr>
      <w:r>
        <w:rPr>
          <w:rFonts w:hint="eastAsia" w:ascii="黑体" w:hAnsi="黑体" w:eastAsia="黑体" w:cs="Times New Roman"/>
          <w:color w:val="auto"/>
          <w:szCs w:val="21"/>
          <w:highlight w:val="none"/>
          <w:lang w:val="en-US" w:eastAsia="zh-CN"/>
        </w:rPr>
        <w:t>3.4</w:t>
      </w:r>
    </w:p>
    <w:p w14:paraId="73D3A3C0">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rPr>
          <w:rFonts w:hint="default" w:ascii="黑体" w:hAnsi="黑体" w:eastAsia="黑体" w:cs="Times New Roman"/>
          <w:color w:val="auto"/>
          <w:szCs w:val="21"/>
          <w:lang w:val="en-US" w:eastAsia="zh-CN"/>
        </w:rPr>
      </w:pPr>
      <w:r>
        <w:rPr>
          <w:rFonts w:hint="eastAsia" w:ascii="黑体" w:hAnsi="黑体" w:eastAsia="黑体" w:cs="Times New Roman"/>
          <w:color w:val="auto"/>
          <w:szCs w:val="21"/>
        </w:rPr>
        <w:t>食品快速检测产品  food rapid detection product</w:t>
      </w:r>
    </w:p>
    <w:p w14:paraId="335837AD">
      <w:pPr>
        <w:keepNext w:val="0"/>
        <w:keepLines w:val="0"/>
        <w:pageBreakBefore w:val="0"/>
        <w:widowControl w:val="0"/>
        <w:kinsoku/>
        <w:wordWrap/>
        <w:overflowPunct/>
        <w:topLinePunct w:val="0"/>
        <w:autoSpaceDE/>
        <w:autoSpaceDN/>
        <w:bidi w:val="0"/>
        <w:adjustRightInd/>
        <w:snapToGrid/>
        <w:ind w:firstLine="420"/>
        <w:textAlignment w:val="auto"/>
        <w:rPr>
          <w:rFonts w:hint="eastAsia" w:cs="Times New Roman" w:asciiTheme="minorEastAsia" w:hAnsiTheme="minorEastAsia"/>
          <w:color w:val="auto"/>
          <w:szCs w:val="21"/>
          <w:lang w:val="en-US" w:eastAsia="zh-CN"/>
        </w:rPr>
      </w:pPr>
      <w:r>
        <w:rPr>
          <w:rFonts w:cs="Times New Roman" w:asciiTheme="minorEastAsia" w:hAnsiTheme="minorEastAsia"/>
          <w:color w:val="auto"/>
          <w:szCs w:val="21"/>
        </w:rPr>
        <w:t>食品快速检测方法的产品化，</w:t>
      </w:r>
      <w:r>
        <w:rPr>
          <w:rFonts w:hint="eastAsia" w:cs="Times New Roman" w:asciiTheme="minorEastAsia" w:hAnsiTheme="minorEastAsia"/>
          <w:color w:val="auto"/>
          <w:szCs w:val="21"/>
          <w:lang w:val="en-US" w:eastAsia="zh-CN"/>
        </w:rPr>
        <w:t>具有明确的应用对象、必要的检测装置、配套试剂和样品前处理方法，可在非实验室环境中使用的、携带方便的检测体系</w:t>
      </w:r>
      <w:r>
        <w:rPr>
          <w:rFonts w:hint="eastAsia" w:cs="Times New Roman" w:asciiTheme="minorEastAsia" w:hAnsiTheme="minorEastAsia"/>
          <w:color w:val="auto"/>
          <w:szCs w:val="21"/>
          <w:lang w:eastAsia="zh-CN"/>
        </w:rPr>
        <w:t>，</w:t>
      </w:r>
      <w:r>
        <w:rPr>
          <w:rFonts w:hint="eastAsia" w:cs="Times New Roman" w:asciiTheme="minorEastAsia" w:hAnsiTheme="minorEastAsia"/>
          <w:color w:val="auto"/>
          <w:szCs w:val="21"/>
          <w:lang w:val="en-US" w:eastAsia="zh-CN"/>
        </w:rPr>
        <w:t>简称“快检产品”。</w:t>
      </w:r>
    </w:p>
    <w:p w14:paraId="02853D0F">
      <w:pPr>
        <w:keepNext w:val="0"/>
        <w:keepLines w:val="0"/>
        <w:pageBreakBefore w:val="0"/>
        <w:widowControl w:val="0"/>
        <w:kinsoku/>
        <w:wordWrap/>
        <w:overflowPunct/>
        <w:topLinePunct w:val="0"/>
        <w:autoSpaceDE/>
        <w:autoSpaceDN/>
        <w:bidi w:val="0"/>
        <w:adjustRightInd/>
        <w:snapToGrid/>
        <w:ind w:firstLine="420"/>
        <w:textAlignment w:val="auto"/>
        <w:rPr>
          <w:rFonts w:hint="default" w:cs="Times New Roman" w:asciiTheme="minorEastAsia" w:hAnsiTheme="minorEastAsia"/>
          <w:color w:val="auto"/>
          <w:szCs w:val="21"/>
          <w:lang w:val="en-US" w:eastAsia="zh-CN"/>
        </w:rPr>
      </w:pPr>
      <w:r>
        <w:rPr>
          <w:rFonts w:hint="eastAsia" w:cs="Times New Roman" w:asciiTheme="minorEastAsia" w:hAnsiTheme="minorEastAsia"/>
          <w:color w:val="auto"/>
          <w:szCs w:val="21"/>
          <w:lang w:val="en-US" w:eastAsia="zh-CN"/>
        </w:rPr>
        <w:t>[来源：GB/T 42233-2022，3.2，有修改]</w:t>
      </w:r>
    </w:p>
    <w:p w14:paraId="24372BDA">
      <w:pPr>
        <w:keepNext w:val="0"/>
        <w:keepLines w:val="0"/>
        <w:pageBreakBefore w:val="0"/>
        <w:widowControl w:val="0"/>
        <w:kinsoku/>
        <w:wordWrap/>
        <w:overflowPunct/>
        <w:topLinePunct w:val="0"/>
        <w:autoSpaceDE/>
        <w:autoSpaceDN/>
        <w:bidi w:val="0"/>
        <w:adjustRightInd/>
        <w:snapToGrid/>
        <w:spacing w:before="312" w:beforeLines="100" w:after="312" w:afterLines="100"/>
        <w:textAlignment w:val="auto"/>
        <w:outlineLvl w:val="0"/>
        <w:rPr>
          <w:rFonts w:hint="eastAsia" w:ascii="黑体" w:hAnsi="黑体" w:eastAsia="黑体"/>
          <w:color w:val="auto"/>
          <w:szCs w:val="21"/>
          <w:highlight w:val="none"/>
          <w:lang w:val="en-US" w:eastAsia="zh-CN"/>
        </w:rPr>
      </w:pPr>
      <w:bookmarkStart w:id="25" w:name="_Toc2012"/>
      <w:r>
        <w:rPr>
          <w:rFonts w:hint="eastAsia" w:ascii="黑体" w:hAnsi="黑体" w:eastAsia="黑体"/>
          <w:color w:val="auto"/>
          <w:szCs w:val="21"/>
          <w:highlight w:val="none"/>
        </w:rPr>
        <w:t xml:space="preserve">4 </w:t>
      </w:r>
      <w:r>
        <w:rPr>
          <w:rFonts w:hint="eastAsia" w:ascii="黑体" w:hAnsi="黑体" w:eastAsia="黑体"/>
          <w:color w:val="auto"/>
          <w:szCs w:val="21"/>
          <w:highlight w:val="none"/>
          <w:lang w:val="en-US" w:eastAsia="zh-CN"/>
        </w:rPr>
        <w:t>总则</w:t>
      </w:r>
      <w:bookmarkEnd w:id="25"/>
    </w:p>
    <w:p w14:paraId="739A02B0">
      <w:pPr>
        <w:rPr>
          <w:rFonts w:hint="eastAsia" w:cs="Times New Roman" w:asciiTheme="minorEastAsia" w:hAnsiTheme="minorEastAsia"/>
          <w:color w:val="auto"/>
          <w:szCs w:val="21"/>
          <w:highlight w:val="none"/>
        </w:rPr>
      </w:pPr>
      <w:r>
        <w:rPr>
          <w:rFonts w:hint="eastAsia" w:ascii="黑体" w:hAnsi="黑体" w:eastAsia="黑体" w:cs="Times New Roman"/>
          <w:color w:val="auto"/>
          <w:szCs w:val="21"/>
          <w:highlight w:val="none"/>
        </w:rPr>
        <w:t>4.1</w:t>
      </w:r>
      <w:r>
        <w:rPr>
          <w:rFonts w:hint="eastAsia" w:cs="Times New Roman" w:asciiTheme="minorEastAsia" w:hAnsiTheme="minorEastAsia"/>
          <w:color w:val="auto"/>
          <w:szCs w:val="21"/>
          <w:highlight w:val="none"/>
        </w:rPr>
        <w:t>重大活动的食品快检工作应遵循严守政治纪律、服从组织安排、严谨规范检测、及时准确报告的原则。</w:t>
      </w:r>
    </w:p>
    <w:p w14:paraId="7666187D">
      <w:pPr>
        <w:rPr>
          <w:rFonts w:hint="eastAsia" w:cs="Times New Roman" w:asciiTheme="minorEastAsia" w:hAnsiTheme="minorEastAsia"/>
          <w:color w:val="auto"/>
          <w:szCs w:val="21"/>
          <w:highlight w:val="none"/>
        </w:rPr>
      </w:pPr>
      <w:r>
        <w:rPr>
          <w:rFonts w:hint="eastAsia" w:ascii="黑体" w:hAnsi="黑体" w:eastAsia="黑体" w:cs="Times New Roman"/>
          <w:color w:val="auto"/>
          <w:szCs w:val="21"/>
          <w:highlight w:val="none"/>
        </w:rPr>
        <w:t>4.2</w:t>
      </w:r>
      <w:r>
        <w:rPr>
          <w:rFonts w:hint="eastAsia" w:cs="Times New Roman" w:asciiTheme="minorEastAsia" w:hAnsiTheme="minorEastAsia"/>
          <w:color w:val="auto"/>
          <w:szCs w:val="21"/>
          <w:highlight w:val="none"/>
        </w:rPr>
        <w:t>开展</w:t>
      </w:r>
      <w:r>
        <w:rPr>
          <w:rFonts w:hint="eastAsia" w:cs="Times New Roman" w:asciiTheme="minorEastAsia" w:hAnsiTheme="minorEastAsia"/>
          <w:color w:val="auto"/>
          <w:szCs w:val="21"/>
          <w:highlight w:val="none"/>
          <w:lang w:val="en-US" w:eastAsia="zh-CN"/>
        </w:rPr>
        <w:t>食品</w:t>
      </w:r>
      <w:r>
        <w:rPr>
          <w:rFonts w:hint="eastAsia" w:cs="Times New Roman" w:asciiTheme="minorEastAsia" w:hAnsiTheme="minorEastAsia"/>
          <w:color w:val="auto"/>
          <w:szCs w:val="21"/>
          <w:highlight w:val="none"/>
        </w:rPr>
        <w:t>快检的</w:t>
      </w:r>
      <w:r>
        <w:rPr>
          <w:rFonts w:hint="eastAsia" w:cs="Times New Roman" w:asciiTheme="minorEastAsia" w:hAnsiTheme="minorEastAsia"/>
          <w:color w:val="auto"/>
          <w:szCs w:val="21"/>
          <w:highlight w:val="none"/>
          <w:lang w:val="en-US" w:eastAsia="zh-CN"/>
        </w:rPr>
        <w:t>实验室</w:t>
      </w:r>
      <w:r>
        <w:rPr>
          <w:rFonts w:hint="eastAsia" w:cs="Times New Roman" w:asciiTheme="minorEastAsia" w:hAnsiTheme="minorEastAsia"/>
          <w:color w:val="auto"/>
          <w:szCs w:val="21"/>
          <w:highlight w:val="none"/>
        </w:rPr>
        <w:t>应有确定的组织架构，具备相应的检测能力，并配备足够的检测人员、满足快检方法的环境设施和仪器设备。</w:t>
      </w:r>
    </w:p>
    <w:p w14:paraId="45C66BAC">
      <w:pPr>
        <w:rPr>
          <w:rFonts w:hint="eastAsia" w:cs="Times New Roman" w:asciiTheme="minorEastAsia" w:hAnsiTheme="minorEastAsia"/>
          <w:color w:val="auto"/>
          <w:szCs w:val="21"/>
          <w:highlight w:val="none"/>
        </w:rPr>
      </w:pPr>
      <w:r>
        <w:rPr>
          <w:rFonts w:hint="eastAsia" w:ascii="黑体" w:hAnsi="黑体" w:eastAsia="黑体" w:cs="黑体"/>
          <w:color w:val="auto"/>
          <w:szCs w:val="21"/>
          <w:highlight w:val="none"/>
        </w:rPr>
        <w:t>4.3</w:t>
      </w:r>
      <w:r>
        <w:rPr>
          <w:rFonts w:hint="eastAsia" w:cs="Times New Roman" w:asciiTheme="minorEastAsia" w:hAnsiTheme="minorEastAsia"/>
          <w:color w:val="auto"/>
          <w:szCs w:val="21"/>
          <w:highlight w:val="none"/>
        </w:rPr>
        <w:t>开展</w:t>
      </w:r>
      <w:r>
        <w:rPr>
          <w:rFonts w:hint="eastAsia" w:cs="Times New Roman" w:asciiTheme="minorEastAsia" w:hAnsiTheme="minorEastAsia"/>
          <w:color w:val="auto"/>
          <w:szCs w:val="21"/>
          <w:highlight w:val="none"/>
          <w:lang w:val="en-US" w:eastAsia="zh-CN"/>
        </w:rPr>
        <w:t>食品</w:t>
      </w:r>
      <w:r>
        <w:rPr>
          <w:rFonts w:hint="eastAsia" w:cs="Times New Roman" w:asciiTheme="minorEastAsia" w:hAnsiTheme="minorEastAsia"/>
          <w:color w:val="auto"/>
          <w:szCs w:val="21"/>
          <w:highlight w:val="none"/>
        </w:rPr>
        <w:t>快检的</w:t>
      </w:r>
      <w:r>
        <w:rPr>
          <w:rFonts w:hint="eastAsia" w:cs="Times New Roman" w:asciiTheme="minorEastAsia" w:hAnsiTheme="minorEastAsia"/>
          <w:color w:val="auto"/>
          <w:szCs w:val="21"/>
          <w:highlight w:val="none"/>
          <w:lang w:val="en-US" w:eastAsia="zh-CN"/>
        </w:rPr>
        <w:t>实验室</w:t>
      </w:r>
      <w:r>
        <w:rPr>
          <w:rFonts w:hint="eastAsia" w:cs="Times New Roman" w:asciiTheme="minorEastAsia" w:hAnsiTheme="minorEastAsia"/>
          <w:color w:val="auto"/>
          <w:szCs w:val="21"/>
          <w:highlight w:val="none"/>
        </w:rPr>
        <w:t>接到重大活动食品快检任务后，应制定相应的快检工作实施方案</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lang w:val="en-US" w:eastAsia="zh-CN"/>
        </w:rPr>
        <w:t>方案内容至少应</w:t>
      </w:r>
      <w:r>
        <w:rPr>
          <w:rFonts w:hint="eastAsia" w:cs="Times New Roman" w:asciiTheme="minorEastAsia" w:hAnsiTheme="minorEastAsia"/>
          <w:color w:val="auto"/>
          <w:szCs w:val="21"/>
          <w:highlight w:val="none"/>
        </w:rPr>
        <w:t>包括工作任务、职责分工、抽样计划</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lang w:val="en-US" w:eastAsia="zh-CN"/>
        </w:rPr>
        <w:t>样品品种、检测项目、</w:t>
      </w:r>
      <w:r>
        <w:rPr>
          <w:rFonts w:hint="eastAsia" w:cs="Times New Roman" w:asciiTheme="minorEastAsia" w:hAnsiTheme="minorEastAsia"/>
          <w:color w:val="auto"/>
          <w:szCs w:val="21"/>
          <w:highlight w:val="none"/>
        </w:rPr>
        <w:t>检测方法、数据报送等内容。</w:t>
      </w:r>
    </w:p>
    <w:p w14:paraId="19F417A0">
      <w:pPr>
        <w:rPr>
          <w:rFonts w:hint="eastAsia" w:cs="Times New Roman" w:asciiTheme="minorEastAsia" w:hAnsiTheme="minorEastAsia"/>
          <w:color w:val="auto"/>
          <w:szCs w:val="21"/>
          <w:highlight w:val="none"/>
          <w:lang w:val="en-US" w:eastAsia="zh-CN"/>
        </w:rPr>
      </w:pPr>
      <w:r>
        <w:rPr>
          <w:rFonts w:hint="eastAsia" w:ascii="黑体" w:hAnsi="黑体" w:eastAsia="黑体" w:cs="黑体"/>
          <w:color w:val="auto"/>
          <w:szCs w:val="21"/>
          <w:highlight w:val="none"/>
          <w:lang w:val="en-US" w:eastAsia="zh-CN"/>
        </w:rPr>
        <w:t>4.4</w:t>
      </w:r>
      <w:r>
        <w:rPr>
          <w:rFonts w:hint="eastAsia" w:cs="Times New Roman" w:asciiTheme="minorEastAsia" w:hAnsiTheme="minorEastAsia"/>
          <w:color w:val="auto"/>
          <w:szCs w:val="21"/>
          <w:highlight w:val="none"/>
          <w:lang w:val="en-US" w:eastAsia="zh-CN"/>
        </w:rPr>
        <w:t>根据重大活动食品安全保障工作需要，应制定重大活动食品快检工作相关制度，包括但不限于快检人员管理、仪器设备管理、快速检测工作流程、应急预案等。</w:t>
      </w:r>
    </w:p>
    <w:p w14:paraId="2CC74BA4">
      <w:pPr>
        <w:rPr>
          <w:rFonts w:hint="default" w:cs="Times New Roman" w:asciiTheme="minorEastAsia" w:hAnsiTheme="minorEastAsia"/>
          <w:color w:val="auto"/>
          <w:szCs w:val="21"/>
          <w:highlight w:val="none"/>
          <w:lang w:val="en-US" w:eastAsia="zh-CN"/>
        </w:rPr>
      </w:pPr>
      <w:r>
        <w:rPr>
          <w:rFonts w:hint="eastAsia" w:ascii="黑体" w:hAnsi="黑体" w:eastAsia="黑体" w:cs="黑体"/>
          <w:color w:val="auto"/>
          <w:szCs w:val="21"/>
          <w:highlight w:val="none"/>
          <w:lang w:val="en-US" w:eastAsia="zh-CN"/>
        </w:rPr>
        <w:t>4.5</w:t>
      </w:r>
      <w:r>
        <w:rPr>
          <w:rFonts w:hint="eastAsia" w:cs="Times New Roman" w:asciiTheme="minorEastAsia" w:hAnsiTheme="minorEastAsia"/>
          <w:color w:val="auto"/>
          <w:szCs w:val="21"/>
          <w:highlight w:val="none"/>
          <w:lang w:val="en-US" w:eastAsia="zh-CN"/>
        </w:rPr>
        <w:t>两个及以上单位组成的实验室承担食品快检任务时，任务下达单位应指定协调人员，明确每个参与人员的职责、分工。</w:t>
      </w:r>
    </w:p>
    <w:p w14:paraId="681D6D7D">
      <w:pPr>
        <w:keepNext w:val="0"/>
        <w:keepLines w:val="0"/>
        <w:pageBreakBefore w:val="0"/>
        <w:widowControl w:val="0"/>
        <w:kinsoku/>
        <w:wordWrap/>
        <w:overflowPunct/>
        <w:topLinePunct w:val="0"/>
        <w:autoSpaceDE/>
        <w:autoSpaceDN/>
        <w:bidi w:val="0"/>
        <w:adjustRightInd/>
        <w:snapToGrid/>
        <w:spacing w:before="312" w:beforeLines="100" w:after="312" w:afterLines="100"/>
        <w:textAlignment w:val="auto"/>
        <w:outlineLvl w:val="0"/>
        <w:rPr>
          <w:rFonts w:hint="default" w:ascii="黑体" w:hAnsi="黑体" w:eastAsia="黑体"/>
          <w:color w:val="auto"/>
          <w:szCs w:val="21"/>
          <w:highlight w:val="none"/>
          <w:lang w:val="en-US" w:eastAsia="zh-CN"/>
        </w:rPr>
      </w:pPr>
      <w:bookmarkStart w:id="26" w:name="_Toc7020"/>
      <w:r>
        <w:rPr>
          <w:rFonts w:hint="eastAsia" w:ascii="黑体" w:hAnsi="黑体" w:eastAsia="黑体"/>
          <w:color w:val="auto"/>
          <w:szCs w:val="21"/>
          <w:highlight w:val="none"/>
        </w:rPr>
        <w:t xml:space="preserve">5 </w:t>
      </w:r>
      <w:r>
        <w:rPr>
          <w:rFonts w:hint="eastAsia" w:ascii="黑体" w:hAnsi="黑体" w:eastAsia="黑体"/>
          <w:color w:val="auto"/>
          <w:highlight w:val="none"/>
        </w:rPr>
        <w:t>场地</w:t>
      </w:r>
      <w:r>
        <w:rPr>
          <w:rFonts w:hint="eastAsia" w:ascii="黑体" w:hAnsi="黑体" w:eastAsia="黑体"/>
          <w:color w:val="auto"/>
          <w:highlight w:val="none"/>
          <w:lang w:val="en-US" w:eastAsia="zh-CN"/>
        </w:rPr>
        <w:t>和设施</w:t>
      </w:r>
      <w:bookmarkEnd w:id="26"/>
    </w:p>
    <w:p w14:paraId="74745A10">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olor w:val="auto"/>
          <w:highlight w:val="none"/>
        </w:rPr>
      </w:pPr>
      <w:r>
        <w:rPr>
          <w:rFonts w:hint="eastAsia" w:ascii="黑体" w:hAnsi="黑体" w:eastAsia="黑体"/>
          <w:color w:val="auto"/>
          <w:highlight w:val="none"/>
        </w:rPr>
        <w:t>5.1</w:t>
      </w:r>
      <w:r>
        <w:rPr>
          <w:rFonts w:hint="eastAsia" w:asciiTheme="minorEastAsia" w:hAnsiTheme="minorEastAsia"/>
          <w:color w:val="auto"/>
          <w:highlight w:val="none"/>
        </w:rPr>
        <w:t>重大活动食品快检工作应具备独立的检测场地。</w:t>
      </w:r>
    </w:p>
    <w:p w14:paraId="2EAFFFF7">
      <w:pPr>
        <w:rPr>
          <w:rFonts w:ascii="Times New Roman" w:hAnsi="Times New Roman" w:cs="Times New Roman"/>
          <w:color w:val="auto"/>
          <w:szCs w:val="21"/>
          <w:highlight w:val="none"/>
        </w:rPr>
      </w:pPr>
      <w:r>
        <w:rPr>
          <w:rFonts w:hint="eastAsia" w:ascii="黑体" w:hAnsi="黑体" w:eastAsia="黑体"/>
          <w:color w:val="auto"/>
          <w:highlight w:val="none"/>
        </w:rPr>
        <w:t>5.</w:t>
      </w:r>
      <w:r>
        <w:rPr>
          <w:rFonts w:hint="eastAsia" w:ascii="黑体" w:hAnsi="黑体" w:eastAsia="黑体"/>
          <w:color w:val="auto"/>
          <w:highlight w:val="none"/>
          <w:lang w:val="en-US" w:eastAsia="zh-CN"/>
        </w:rPr>
        <w:t>2</w:t>
      </w:r>
      <w:r>
        <w:rPr>
          <w:rFonts w:hint="eastAsia" w:asciiTheme="minorEastAsia" w:hAnsiTheme="minorEastAsia"/>
          <w:color w:val="auto"/>
          <w:highlight w:val="none"/>
        </w:rPr>
        <w:t>重大活动组织方提供检测场地，面积应</w:t>
      </w:r>
      <w:r>
        <w:rPr>
          <w:rFonts w:hint="eastAsia" w:asciiTheme="minorEastAsia" w:hAnsiTheme="minorEastAsia"/>
          <w:color w:val="auto"/>
          <w:highlight w:val="none"/>
          <w:lang w:val="en-US" w:eastAsia="zh-CN"/>
        </w:rPr>
        <w:t>满足食品</w:t>
      </w:r>
      <w:r>
        <w:rPr>
          <w:rFonts w:hint="eastAsia" w:asciiTheme="minorEastAsia" w:hAnsiTheme="minorEastAsia"/>
          <w:color w:val="auto"/>
          <w:highlight w:val="none"/>
        </w:rPr>
        <w:t>快检工作要求</w:t>
      </w:r>
      <w:r>
        <w:rPr>
          <w:rFonts w:hint="eastAsia" w:asciiTheme="minorEastAsia" w:hAnsiTheme="minorEastAsia"/>
          <w:color w:val="auto"/>
          <w:highlight w:val="none"/>
          <w:lang w:eastAsia="zh-CN"/>
        </w:rPr>
        <w:t>。</w:t>
      </w:r>
      <w:r>
        <w:rPr>
          <w:rFonts w:hint="eastAsia" w:asciiTheme="minorEastAsia" w:hAnsiTheme="minorEastAsia"/>
          <w:color w:val="auto"/>
          <w:highlight w:val="none"/>
          <w:lang w:val="en-US" w:eastAsia="zh-CN"/>
        </w:rPr>
        <w:t>场地</w:t>
      </w:r>
      <w:r>
        <w:rPr>
          <w:rFonts w:hint="eastAsia" w:cs="Times New Roman" w:asciiTheme="minorEastAsia" w:hAnsiTheme="minorEastAsia"/>
          <w:color w:val="auto"/>
          <w:szCs w:val="21"/>
          <w:highlight w:val="none"/>
        </w:rPr>
        <w:t>应布局合理、标识清晰、基本设施完善。场地应具备上下水、供电、</w:t>
      </w:r>
      <w:r>
        <w:rPr>
          <w:rFonts w:hint="eastAsia" w:cs="Times New Roman" w:asciiTheme="minorEastAsia" w:hAnsiTheme="minorEastAsia"/>
          <w:color w:val="auto"/>
          <w:szCs w:val="21"/>
          <w:highlight w:val="none"/>
          <w:lang w:val="en-US" w:eastAsia="zh-CN"/>
        </w:rPr>
        <w:t>空调</w:t>
      </w:r>
      <w:r>
        <w:rPr>
          <w:rFonts w:hint="eastAsia" w:cs="Times New Roman" w:asciiTheme="minorEastAsia" w:hAnsiTheme="minorEastAsia"/>
          <w:color w:val="auto"/>
          <w:szCs w:val="21"/>
          <w:highlight w:val="none"/>
        </w:rPr>
        <w:t>和安全保障等基础设施，且满足能够</w:t>
      </w:r>
      <w:r>
        <w:rPr>
          <w:rFonts w:hint="eastAsia" w:ascii="Times New Roman" w:hAnsi="Times New Roman" w:cs="Times New Roman"/>
          <w:color w:val="auto"/>
          <w:szCs w:val="21"/>
          <w:highlight w:val="none"/>
        </w:rPr>
        <w:t>放置相关检测仪器设备及人员操作的条件。</w:t>
      </w:r>
      <w:r>
        <w:rPr>
          <w:rFonts w:hint="eastAsia" w:ascii="Times New Roman" w:hAnsi="Times New Roman" w:cs="Times New Roman"/>
          <w:color w:val="auto"/>
          <w:szCs w:val="21"/>
          <w:highlight w:val="none"/>
          <w:lang w:val="en-US" w:eastAsia="zh-CN"/>
        </w:rPr>
        <w:t>场地</w:t>
      </w:r>
      <w:r>
        <w:rPr>
          <w:rFonts w:hint="eastAsia" w:asciiTheme="minorEastAsia" w:hAnsiTheme="minorEastAsia"/>
          <w:color w:val="auto"/>
          <w:highlight w:val="none"/>
        </w:rPr>
        <w:t>应光线良好、有效通风，确保环境条件满足快检方法的要求</w:t>
      </w:r>
      <w:r>
        <w:rPr>
          <w:rFonts w:ascii="Times New Roman" w:hAnsi="Times New Roman" w:cs="Times New Roman"/>
          <w:color w:val="auto"/>
          <w:szCs w:val="21"/>
          <w:highlight w:val="none"/>
        </w:rPr>
        <w:t>。</w:t>
      </w:r>
    </w:p>
    <w:p w14:paraId="30FB6CCA">
      <w:pPr>
        <w:rPr>
          <w:rFonts w:hint="eastAsia" w:cs="Times New Roman" w:asciiTheme="minorEastAsia" w:hAnsiTheme="minorEastAsia"/>
          <w:color w:val="auto"/>
          <w:szCs w:val="21"/>
          <w:highlight w:val="none"/>
        </w:rPr>
      </w:pPr>
      <w:r>
        <w:rPr>
          <w:rFonts w:hint="eastAsia" w:ascii="黑体" w:hAnsi="黑体" w:eastAsia="黑体"/>
          <w:color w:val="auto"/>
          <w:highlight w:val="none"/>
        </w:rPr>
        <w:t>5.</w:t>
      </w:r>
      <w:r>
        <w:rPr>
          <w:rFonts w:hint="eastAsia" w:ascii="黑体" w:hAnsi="黑体" w:eastAsia="黑体"/>
          <w:color w:val="auto"/>
          <w:highlight w:val="none"/>
          <w:lang w:val="en-US" w:eastAsia="zh-CN"/>
        </w:rPr>
        <w:t>3</w:t>
      </w:r>
      <w:r>
        <w:rPr>
          <w:rFonts w:hint="eastAsia" w:cs="Times New Roman" w:asciiTheme="minorEastAsia" w:hAnsiTheme="minorEastAsia"/>
          <w:color w:val="auto"/>
          <w:szCs w:val="21"/>
          <w:highlight w:val="none"/>
        </w:rPr>
        <w:t>重大活动组织方无法提供固定检测场地，可采用食品快速检测移动实验室。移动实验室</w:t>
      </w:r>
      <w:r>
        <w:rPr>
          <w:rFonts w:cs="Times New Roman" w:asciiTheme="minorEastAsia" w:hAnsiTheme="minorEastAsia"/>
          <w:color w:val="auto"/>
          <w:szCs w:val="21"/>
          <w:highlight w:val="none"/>
        </w:rPr>
        <w:t>应符合</w:t>
      </w:r>
      <w:r>
        <w:rPr>
          <w:rFonts w:hint="eastAsia" w:cs="Times New Roman" w:asciiTheme="minorEastAsia" w:hAnsiTheme="minorEastAsia"/>
          <w:color w:val="auto"/>
          <w:szCs w:val="21"/>
          <w:highlight w:val="none"/>
        </w:rPr>
        <w:t>GB/T 29471</w:t>
      </w:r>
      <w:r>
        <w:rPr>
          <w:rFonts w:hint="eastAsia" w:cs="Times New Roman" w:asciiTheme="minorEastAsia" w:hAnsiTheme="minorEastAsia"/>
          <w:color w:val="auto"/>
          <w:szCs w:val="21"/>
          <w:highlight w:val="none"/>
          <w:lang w:val="en-US" w:eastAsia="zh-CN"/>
        </w:rPr>
        <w:t>及DB 61/T XXXX</w:t>
      </w:r>
      <w:r>
        <w:rPr>
          <w:rFonts w:hint="eastAsia" w:cs="Times New Roman" w:asciiTheme="minorEastAsia" w:hAnsiTheme="minorEastAsia"/>
          <w:color w:val="auto"/>
          <w:szCs w:val="21"/>
          <w:highlight w:val="none"/>
        </w:rPr>
        <w:t>的相关规定，并配备满足</w:t>
      </w:r>
      <w:r>
        <w:rPr>
          <w:rFonts w:hint="eastAsia" w:cs="Times New Roman" w:asciiTheme="minorEastAsia" w:hAnsiTheme="minorEastAsia"/>
          <w:color w:val="auto"/>
          <w:szCs w:val="21"/>
          <w:highlight w:val="none"/>
          <w:lang w:val="en-US" w:eastAsia="zh-CN"/>
        </w:rPr>
        <w:t>食品</w:t>
      </w:r>
      <w:r>
        <w:rPr>
          <w:rFonts w:hint="eastAsia" w:cs="Times New Roman" w:asciiTheme="minorEastAsia" w:hAnsiTheme="minorEastAsia"/>
          <w:color w:val="auto"/>
          <w:szCs w:val="21"/>
          <w:highlight w:val="none"/>
        </w:rPr>
        <w:t>快检要求的检测人员</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rPr>
        <w:t>仪器设备、快检产品等。仪器设备应选择结构合理、可维护性强及安全可靠的产品，且应有满足样品暂存的保温箱、车载冰箱等，宜配备食品快检箱等设备。</w:t>
      </w:r>
    </w:p>
    <w:p w14:paraId="72CD1BB7">
      <w:pPr>
        <w:rPr>
          <w:rFonts w:hint="eastAsia" w:eastAsiaTheme="minorEastAsia"/>
          <w:color w:val="auto"/>
          <w:highlight w:val="none"/>
          <w:lang w:eastAsia="zh-CN"/>
        </w:rPr>
      </w:pPr>
      <w:r>
        <w:rPr>
          <w:rFonts w:hint="eastAsia" w:ascii="黑体" w:hAnsi="黑体" w:eastAsia="黑体" w:cs="Times New Roman"/>
          <w:color w:val="auto"/>
          <w:szCs w:val="21"/>
          <w:highlight w:val="none"/>
          <w:lang w:val="en-US" w:eastAsia="zh-CN"/>
        </w:rPr>
        <w:t>5.4</w:t>
      </w:r>
      <w:r>
        <w:rPr>
          <w:rFonts w:hint="eastAsia" w:ascii="Times New Roman" w:hAnsi="Times New Roman" w:cs="Times New Roman"/>
          <w:color w:val="auto"/>
          <w:szCs w:val="21"/>
          <w:highlight w:val="none"/>
        </w:rPr>
        <w:t>检测</w:t>
      </w:r>
      <w:r>
        <w:rPr>
          <w:rFonts w:hint="eastAsia" w:ascii="Times New Roman" w:hAnsi="Times New Roman" w:cs="Times New Roman"/>
          <w:color w:val="auto"/>
          <w:szCs w:val="21"/>
          <w:highlight w:val="none"/>
          <w:lang w:val="en-US" w:eastAsia="zh-CN"/>
        </w:rPr>
        <w:t>区域</w:t>
      </w:r>
      <w:r>
        <w:rPr>
          <w:rFonts w:hint="eastAsia" w:ascii="Times New Roman" w:hAnsi="Times New Roman" w:cs="Times New Roman"/>
          <w:color w:val="auto"/>
          <w:szCs w:val="21"/>
          <w:highlight w:val="none"/>
        </w:rPr>
        <w:t>与互有影响、可能干扰检测结果的相邻区域应有效隔离</w:t>
      </w:r>
      <w:r>
        <w:rPr>
          <w:rFonts w:hint="eastAsia" w:ascii="Times New Roman" w:hAnsi="Times New Roman" w:cs="Times New Roman"/>
          <w:color w:val="auto"/>
          <w:szCs w:val="21"/>
          <w:highlight w:val="none"/>
          <w:lang w:eastAsia="zh-CN"/>
        </w:rPr>
        <w:t>，</w:t>
      </w:r>
      <w:r>
        <w:rPr>
          <w:rFonts w:hint="eastAsia" w:asciiTheme="minorEastAsia" w:hAnsiTheme="minorEastAsia"/>
          <w:color w:val="auto"/>
          <w:highlight w:val="none"/>
        </w:rPr>
        <w:t>采取措施防止交叉污染</w:t>
      </w:r>
      <w:r>
        <w:rPr>
          <w:rFonts w:hint="eastAsia" w:asciiTheme="minorEastAsia" w:hAnsiTheme="minorEastAsia"/>
          <w:color w:val="auto"/>
          <w:highlight w:val="none"/>
          <w:lang w:eastAsia="zh-CN"/>
        </w:rPr>
        <w:t>，</w:t>
      </w:r>
      <w:r>
        <w:rPr>
          <w:rFonts w:hint="eastAsia"/>
          <w:color w:val="auto"/>
          <w:highlight w:val="none"/>
        </w:rPr>
        <w:t>保持</w:t>
      </w:r>
      <w:r>
        <w:rPr>
          <w:rFonts w:hint="eastAsia"/>
          <w:color w:val="auto"/>
          <w:highlight w:val="none"/>
          <w:lang w:val="en-US" w:eastAsia="zh-CN"/>
        </w:rPr>
        <w:t>检测环境</w:t>
      </w:r>
      <w:r>
        <w:rPr>
          <w:rFonts w:hint="eastAsia"/>
          <w:color w:val="auto"/>
          <w:highlight w:val="none"/>
        </w:rPr>
        <w:t>整齐清洁</w:t>
      </w:r>
      <w:r>
        <w:rPr>
          <w:rFonts w:hint="eastAsia"/>
          <w:color w:val="auto"/>
          <w:highlight w:val="none"/>
          <w:lang w:eastAsia="zh-CN"/>
        </w:rPr>
        <w:t>。</w:t>
      </w:r>
    </w:p>
    <w:p w14:paraId="7C512AA6">
      <w:pPr>
        <w:rPr>
          <w:rFonts w:hint="default" w:cs="Times New Roman" w:asciiTheme="minorEastAsia" w:hAnsiTheme="minorEastAsia" w:eastAsiaTheme="minorEastAsia"/>
          <w:color w:val="auto"/>
          <w:szCs w:val="21"/>
          <w:highlight w:val="none"/>
          <w:lang w:val="en-US" w:eastAsia="zh-CN"/>
        </w:rPr>
      </w:pPr>
      <w:r>
        <w:rPr>
          <w:rFonts w:hint="eastAsia" w:ascii="黑体" w:hAnsi="黑体" w:eastAsia="黑体" w:cs="Times New Roman"/>
          <w:color w:val="auto"/>
          <w:szCs w:val="21"/>
          <w:highlight w:val="none"/>
          <w:lang w:val="en-US" w:eastAsia="zh-CN"/>
        </w:rPr>
        <w:t>5.5</w:t>
      </w:r>
      <w:r>
        <w:rPr>
          <w:rFonts w:hint="eastAsia" w:cs="Times New Roman" w:asciiTheme="minorEastAsia" w:hAnsiTheme="minorEastAsia"/>
          <w:color w:val="auto"/>
          <w:szCs w:val="21"/>
          <w:highlight w:val="none"/>
          <w:lang w:val="en-US" w:eastAsia="zh-CN"/>
        </w:rPr>
        <w:t>环境条件、隔离情况、废弃物处置检查确认并做好记录。</w:t>
      </w:r>
    </w:p>
    <w:p w14:paraId="388954DB">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outlineLvl w:val="0"/>
        <w:rPr>
          <w:rFonts w:hint="eastAsia" w:ascii="黑体" w:hAnsi="黑体" w:eastAsia="黑体"/>
          <w:color w:val="auto"/>
          <w:highlight w:val="none"/>
        </w:rPr>
      </w:pPr>
      <w:bookmarkStart w:id="27" w:name="_Toc7140"/>
      <w:r>
        <w:rPr>
          <w:rFonts w:hint="eastAsia" w:ascii="黑体" w:hAnsi="黑体" w:eastAsia="黑体"/>
          <w:color w:val="auto"/>
          <w:highlight w:val="none"/>
          <w:lang w:val="en-US" w:eastAsia="zh-CN"/>
        </w:rPr>
        <w:t>6</w:t>
      </w:r>
      <w:r>
        <w:rPr>
          <w:rFonts w:hint="eastAsia" w:ascii="黑体" w:hAnsi="黑体" w:eastAsia="黑体"/>
          <w:color w:val="auto"/>
          <w:highlight w:val="none"/>
        </w:rPr>
        <w:t>人员</w:t>
      </w:r>
      <w:bookmarkEnd w:id="27"/>
    </w:p>
    <w:p w14:paraId="584C7DA6">
      <w:pPr>
        <w:spacing w:before="156" w:beforeLines="50" w:after="156" w:afterLines="50"/>
        <w:rPr>
          <w:rFonts w:hint="default" w:ascii="Times New Roman" w:hAnsi="Times New Roman" w:cs="Times New Roman"/>
          <w:color w:val="auto"/>
          <w:szCs w:val="21"/>
          <w:highlight w:val="none"/>
          <w:lang w:val="en-US" w:eastAsia="zh-CN"/>
        </w:rPr>
      </w:pPr>
      <w:r>
        <w:rPr>
          <w:rFonts w:hint="eastAsia" w:ascii="Times New Roman" w:hAnsi="Times New Roman" w:cs="Times New Roman"/>
          <w:color w:val="auto"/>
          <w:szCs w:val="21"/>
          <w:highlight w:val="none"/>
          <w:lang w:val="en-US" w:eastAsia="zh-CN"/>
        </w:rPr>
        <w:t xml:space="preserve">    人员要求应符合</w:t>
      </w:r>
      <w:r>
        <w:rPr>
          <w:rFonts w:hint="eastAsia" w:cs="Times New Roman" w:asciiTheme="minorEastAsia" w:hAnsiTheme="minorEastAsia"/>
          <w:color w:val="auto"/>
          <w:szCs w:val="21"/>
          <w:highlight w:val="none"/>
          <w:lang w:val="en-US" w:eastAsia="zh-CN"/>
        </w:rPr>
        <w:t>DB61/T XXXX—XXXX《食品快速检测实验室建设规范》第5章的规定。</w:t>
      </w:r>
    </w:p>
    <w:p w14:paraId="312C18EC">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outlineLvl w:val="0"/>
        <w:rPr>
          <w:rFonts w:hint="eastAsia" w:ascii="黑体" w:hAnsi="黑体" w:eastAsia="黑体"/>
          <w:color w:val="auto"/>
          <w:highlight w:val="none"/>
        </w:rPr>
      </w:pPr>
      <w:bookmarkStart w:id="28" w:name="_Toc12983"/>
      <w:r>
        <w:rPr>
          <w:rFonts w:hint="eastAsia" w:ascii="黑体" w:hAnsi="黑体" w:eastAsia="黑体"/>
          <w:color w:val="auto"/>
          <w:highlight w:val="none"/>
          <w:lang w:val="en-US" w:eastAsia="zh-CN"/>
        </w:rPr>
        <w:t>7</w:t>
      </w:r>
      <w:r>
        <w:rPr>
          <w:rFonts w:hint="eastAsia" w:ascii="黑体" w:hAnsi="黑体" w:eastAsia="黑体"/>
          <w:color w:val="auto"/>
          <w:highlight w:val="none"/>
        </w:rPr>
        <w:t>设备</w:t>
      </w:r>
      <w:bookmarkEnd w:id="28"/>
    </w:p>
    <w:p w14:paraId="034D0DBB">
      <w:pPr>
        <w:rPr>
          <w:rFonts w:ascii="Times New Roman" w:hAnsi="Times New Roman" w:cs="Times New Roman"/>
          <w:color w:val="auto"/>
          <w:szCs w:val="21"/>
          <w:highlight w:val="none"/>
        </w:rPr>
      </w:pPr>
      <w:r>
        <w:rPr>
          <w:rFonts w:hint="eastAsia" w:ascii="黑体" w:hAnsi="黑体" w:eastAsia="黑体" w:cs="Times New Roman"/>
          <w:color w:val="auto"/>
          <w:szCs w:val="21"/>
          <w:highlight w:val="none"/>
          <w:lang w:val="en-US" w:eastAsia="zh-CN"/>
        </w:rPr>
        <w:t>7</w:t>
      </w:r>
      <w:r>
        <w:rPr>
          <w:rFonts w:hint="eastAsia" w:ascii="黑体" w:hAnsi="黑体" w:eastAsia="黑体" w:cs="Times New Roman"/>
          <w:color w:val="auto"/>
          <w:szCs w:val="21"/>
          <w:highlight w:val="none"/>
        </w:rPr>
        <w:t>.</w:t>
      </w:r>
      <w:r>
        <w:rPr>
          <w:rFonts w:hint="eastAsia" w:ascii="黑体" w:hAnsi="黑体" w:eastAsia="黑体" w:cs="Times New Roman"/>
          <w:color w:val="auto"/>
          <w:szCs w:val="21"/>
          <w:highlight w:val="none"/>
          <w:lang w:val="en-US" w:eastAsia="zh-CN"/>
        </w:rPr>
        <w:t>1</w:t>
      </w:r>
      <w:r>
        <w:rPr>
          <w:rFonts w:hint="eastAsia" w:asciiTheme="minorEastAsia" w:hAnsiTheme="minorEastAsia"/>
          <w:color w:val="auto"/>
          <w:highlight w:val="none"/>
        </w:rPr>
        <w:t>重大活动</w:t>
      </w:r>
      <w:r>
        <w:rPr>
          <w:rFonts w:hint="eastAsia" w:asciiTheme="minorEastAsia" w:hAnsiTheme="minorEastAsia"/>
          <w:color w:val="auto"/>
          <w:highlight w:val="none"/>
          <w:lang w:val="en-US" w:eastAsia="zh-CN"/>
        </w:rPr>
        <w:t>食品</w:t>
      </w:r>
      <w:r>
        <w:rPr>
          <w:rFonts w:hint="eastAsia" w:asciiTheme="minorEastAsia" w:hAnsiTheme="minorEastAsia"/>
          <w:color w:val="auto"/>
          <w:highlight w:val="none"/>
        </w:rPr>
        <w:t>快检工作应配备满足检测能力的仪器设备，</w:t>
      </w:r>
      <w:r>
        <w:rPr>
          <w:rFonts w:ascii="Times New Roman" w:hAnsi="Times New Roman" w:cs="Times New Roman"/>
          <w:color w:val="auto"/>
          <w:szCs w:val="21"/>
          <w:highlight w:val="none"/>
        </w:rPr>
        <w:t>设备选型应能满足快检</w:t>
      </w:r>
      <w:r>
        <w:rPr>
          <w:rFonts w:hint="eastAsia" w:ascii="Times New Roman" w:hAnsi="Times New Roman" w:cs="Times New Roman"/>
          <w:color w:val="auto"/>
          <w:szCs w:val="21"/>
          <w:highlight w:val="none"/>
        </w:rPr>
        <w:t>方法的</w:t>
      </w:r>
      <w:r>
        <w:rPr>
          <w:rFonts w:ascii="Times New Roman" w:hAnsi="Times New Roman" w:cs="Times New Roman"/>
          <w:color w:val="auto"/>
          <w:szCs w:val="21"/>
          <w:highlight w:val="none"/>
        </w:rPr>
        <w:t>要求。</w:t>
      </w:r>
      <w:r>
        <w:rPr>
          <w:rFonts w:hint="eastAsia" w:ascii="Times New Roman" w:hAnsi="Times New Roman" w:cs="Times New Roman"/>
          <w:color w:val="auto"/>
          <w:szCs w:val="21"/>
          <w:highlight w:val="none"/>
        </w:rPr>
        <w:t>重大活动</w:t>
      </w:r>
      <w:r>
        <w:rPr>
          <w:rFonts w:ascii="Times New Roman" w:hAnsi="Times New Roman" w:cs="Times New Roman"/>
          <w:color w:val="auto"/>
          <w:szCs w:val="21"/>
          <w:highlight w:val="none"/>
        </w:rPr>
        <w:t>食品快检</w:t>
      </w:r>
      <w:r>
        <w:rPr>
          <w:rFonts w:hint="eastAsia" w:ascii="Times New Roman" w:hAnsi="Times New Roman" w:cs="Times New Roman"/>
          <w:color w:val="auto"/>
          <w:szCs w:val="21"/>
          <w:highlight w:val="none"/>
        </w:rPr>
        <w:t>仪器设备基础</w:t>
      </w:r>
      <w:r>
        <w:rPr>
          <w:rFonts w:ascii="Times New Roman" w:hAnsi="Times New Roman" w:cs="Times New Roman"/>
          <w:color w:val="auto"/>
          <w:szCs w:val="21"/>
          <w:highlight w:val="none"/>
        </w:rPr>
        <w:t>配置</w:t>
      </w:r>
      <w:r>
        <w:rPr>
          <w:rFonts w:hint="eastAsia" w:ascii="Times New Roman" w:hAnsi="Times New Roman" w:cs="Times New Roman"/>
          <w:color w:val="auto"/>
          <w:szCs w:val="21"/>
          <w:highlight w:val="none"/>
        </w:rPr>
        <w:t>参考</w:t>
      </w:r>
      <w:r>
        <w:rPr>
          <w:rFonts w:cs="Times New Roman" w:asciiTheme="minorEastAsia" w:hAnsiTheme="minorEastAsia"/>
          <w:color w:val="auto"/>
          <w:szCs w:val="21"/>
          <w:highlight w:val="none"/>
        </w:rPr>
        <w:t>附录</w:t>
      </w:r>
      <w:r>
        <w:rPr>
          <w:rFonts w:hint="eastAsia" w:cs="Times New Roman" w:asciiTheme="minorEastAsia" w:hAnsiTheme="minorEastAsia"/>
          <w:color w:val="auto"/>
          <w:szCs w:val="21"/>
          <w:highlight w:val="none"/>
        </w:rPr>
        <w:t>A</w:t>
      </w:r>
      <w:r>
        <w:rPr>
          <w:rFonts w:ascii="Times New Roman" w:hAnsi="Times New Roman" w:cs="Times New Roman"/>
          <w:color w:val="auto"/>
          <w:szCs w:val="21"/>
          <w:highlight w:val="none"/>
        </w:rPr>
        <w:t>。</w:t>
      </w:r>
    </w:p>
    <w:p w14:paraId="46D15123">
      <w:pPr>
        <w:rPr>
          <w:rFonts w:hint="eastAsia" w:ascii="Times New Roman" w:hAnsi="Times New Roman" w:cs="Times New Roman"/>
          <w:color w:val="auto"/>
          <w:szCs w:val="21"/>
          <w:highlight w:val="none"/>
        </w:rPr>
        <w:sectPr>
          <w:headerReference r:id="rId17" w:type="default"/>
          <w:footerReference r:id="rId19" w:type="default"/>
          <w:headerReference r:id="rId18" w:type="even"/>
          <w:footerReference r:id="rId20" w:type="even"/>
          <w:pgSz w:w="11906" w:h="16838"/>
          <w:pgMar w:top="1440" w:right="1134" w:bottom="1440" w:left="1417" w:header="851" w:footer="992" w:gutter="0"/>
          <w:pgNumType w:fmt="decimal" w:start="1"/>
          <w:cols w:space="0" w:num="1"/>
          <w:docGrid w:type="lines" w:linePitch="312" w:charSpace="0"/>
        </w:sectPr>
      </w:pPr>
      <w:r>
        <w:rPr>
          <w:rFonts w:hint="eastAsia" w:ascii="黑体" w:hAnsi="黑体" w:eastAsia="黑体" w:cs="Times New Roman"/>
          <w:color w:val="auto"/>
          <w:szCs w:val="21"/>
          <w:highlight w:val="none"/>
          <w:lang w:val="en-US" w:eastAsia="zh-CN"/>
        </w:rPr>
        <w:t>7</w:t>
      </w:r>
      <w:r>
        <w:rPr>
          <w:rFonts w:hint="eastAsia" w:ascii="黑体" w:hAnsi="黑体" w:eastAsia="黑体" w:cs="Times New Roman"/>
          <w:color w:val="auto"/>
          <w:szCs w:val="21"/>
          <w:highlight w:val="none"/>
        </w:rPr>
        <w:t>.</w:t>
      </w:r>
      <w:r>
        <w:rPr>
          <w:rFonts w:hint="eastAsia" w:ascii="黑体" w:hAnsi="黑体" w:eastAsia="黑体" w:cs="Times New Roman"/>
          <w:color w:val="auto"/>
          <w:szCs w:val="21"/>
          <w:highlight w:val="none"/>
          <w:lang w:val="en-US" w:eastAsia="zh-CN"/>
        </w:rPr>
        <w:t>2</w:t>
      </w:r>
      <w:r>
        <w:rPr>
          <w:rFonts w:hint="eastAsia" w:ascii="Times New Roman" w:hAnsi="Times New Roman" w:cs="Times New Roman"/>
          <w:color w:val="auto"/>
          <w:szCs w:val="21"/>
          <w:highlight w:val="none"/>
        </w:rPr>
        <w:t>重大活动</w:t>
      </w:r>
      <w:r>
        <w:rPr>
          <w:rFonts w:ascii="Times New Roman" w:hAnsi="Times New Roman" w:cs="Times New Roman"/>
          <w:color w:val="auto"/>
          <w:szCs w:val="21"/>
          <w:highlight w:val="none"/>
        </w:rPr>
        <w:t>食品快检</w:t>
      </w:r>
      <w:r>
        <w:rPr>
          <w:rFonts w:hint="eastAsia" w:ascii="Times New Roman" w:hAnsi="Times New Roman" w:cs="Times New Roman"/>
          <w:color w:val="auto"/>
          <w:szCs w:val="21"/>
          <w:highlight w:val="none"/>
        </w:rPr>
        <w:t>仪器设备在运输和使用期间应做好防护，设备使用前</w:t>
      </w:r>
      <w:r>
        <w:rPr>
          <w:rFonts w:hint="eastAsia" w:ascii="Times New Roman" w:hAnsi="Times New Roman" w:cs="Times New Roman"/>
          <w:color w:val="auto"/>
          <w:szCs w:val="21"/>
          <w:highlight w:val="none"/>
          <w:lang w:eastAsia="zh-CN"/>
        </w:rPr>
        <w:t>、</w:t>
      </w:r>
      <w:r>
        <w:rPr>
          <w:rFonts w:hint="eastAsia" w:ascii="Times New Roman" w:hAnsi="Times New Roman" w:cs="Times New Roman"/>
          <w:color w:val="auto"/>
          <w:szCs w:val="21"/>
          <w:highlight w:val="none"/>
        </w:rPr>
        <w:t>后需进行性能确认，以保</w:t>
      </w:r>
    </w:p>
    <w:p w14:paraId="3E1473AF">
      <w:pPr>
        <w:rPr>
          <w:rFonts w:hint="eastAsia" w:ascii="Times New Roman" w:hAnsi="Times New Roman" w:cs="Times New Roman" w:eastAsiaTheme="minorEastAsia"/>
          <w:color w:val="auto"/>
          <w:szCs w:val="21"/>
          <w:highlight w:val="none"/>
          <w:lang w:eastAsia="zh-CN"/>
        </w:rPr>
      </w:pPr>
      <w:bookmarkStart w:id="37" w:name="_GoBack"/>
      <w:bookmarkEnd w:id="37"/>
      <w:r>
        <w:rPr>
          <w:rFonts w:hint="eastAsia" w:ascii="Times New Roman" w:hAnsi="Times New Roman" w:cs="Times New Roman"/>
          <w:color w:val="auto"/>
          <w:szCs w:val="21"/>
          <w:highlight w:val="none"/>
        </w:rPr>
        <w:t>证设备正常使用。</w:t>
      </w:r>
    </w:p>
    <w:p w14:paraId="31A6D59F">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outlineLvl w:val="0"/>
        <w:rPr>
          <w:rFonts w:hint="eastAsia" w:ascii="黑体" w:hAnsi="黑体" w:eastAsia="黑体" w:cs="Times New Roman"/>
          <w:color w:val="auto"/>
          <w:szCs w:val="21"/>
          <w:highlight w:val="none"/>
        </w:rPr>
      </w:pPr>
      <w:bookmarkStart w:id="29" w:name="_Toc2171"/>
      <w:r>
        <w:rPr>
          <w:rFonts w:hint="eastAsia" w:ascii="黑体" w:hAnsi="黑体" w:eastAsia="黑体"/>
          <w:color w:val="auto"/>
          <w:highlight w:val="none"/>
          <w:lang w:val="en-US" w:eastAsia="zh-CN"/>
        </w:rPr>
        <w:t>8</w:t>
      </w:r>
      <w:r>
        <w:rPr>
          <w:rFonts w:hint="eastAsia" w:ascii="黑体" w:hAnsi="黑体" w:eastAsia="黑体" w:cs="Times New Roman"/>
          <w:color w:val="auto"/>
          <w:szCs w:val="21"/>
          <w:highlight w:val="none"/>
        </w:rPr>
        <w:t>快检产品</w:t>
      </w:r>
      <w:bookmarkEnd w:id="29"/>
    </w:p>
    <w:p w14:paraId="02303261">
      <w:pPr>
        <w:keepNext w:val="0"/>
        <w:keepLines w:val="0"/>
        <w:pageBreakBefore w:val="0"/>
        <w:widowControl w:val="0"/>
        <w:kinsoku/>
        <w:wordWrap/>
        <w:overflowPunct/>
        <w:topLinePunct w:val="0"/>
        <w:autoSpaceDE/>
        <w:autoSpaceDN/>
        <w:bidi w:val="0"/>
        <w:adjustRightInd/>
        <w:snapToGrid/>
        <w:textAlignment w:val="auto"/>
        <w:rPr>
          <w:rFonts w:hint="eastAsia" w:cs="Times New Roman" w:asciiTheme="minorEastAsia" w:hAnsiTheme="minorEastAsia"/>
          <w:color w:val="auto"/>
          <w:szCs w:val="21"/>
          <w:highlight w:val="none"/>
        </w:rPr>
      </w:pPr>
      <w:r>
        <w:rPr>
          <w:rFonts w:hint="eastAsia" w:ascii="黑体" w:hAnsi="黑体" w:eastAsia="黑体" w:cs="Times New Roman"/>
          <w:color w:val="auto"/>
          <w:szCs w:val="21"/>
          <w:highlight w:val="none"/>
          <w:lang w:val="en-US" w:eastAsia="zh-CN"/>
        </w:rPr>
        <w:t>8.1</w:t>
      </w:r>
      <w:r>
        <w:rPr>
          <w:rFonts w:hint="eastAsia" w:asciiTheme="minorEastAsia" w:hAnsiTheme="minorEastAsia"/>
          <w:color w:val="auto"/>
          <w:highlight w:val="none"/>
        </w:rPr>
        <w:t>重大活动</w:t>
      </w:r>
      <w:r>
        <w:rPr>
          <w:rFonts w:hint="eastAsia" w:asciiTheme="minorEastAsia" w:hAnsiTheme="minorEastAsia"/>
          <w:color w:val="auto"/>
          <w:highlight w:val="none"/>
          <w:lang w:val="en-US" w:eastAsia="zh-CN"/>
        </w:rPr>
        <w:t>食品</w:t>
      </w:r>
      <w:r>
        <w:rPr>
          <w:rFonts w:hint="eastAsia" w:asciiTheme="minorEastAsia" w:hAnsiTheme="minorEastAsia"/>
          <w:color w:val="auto"/>
          <w:highlight w:val="none"/>
        </w:rPr>
        <w:t>快检工作应</w:t>
      </w:r>
      <w:r>
        <w:rPr>
          <w:rFonts w:hint="eastAsia" w:cs="Times New Roman" w:asciiTheme="minorEastAsia" w:hAnsiTheme="minorEastAsia"/>
          <w:color w:val="auto"/>
          <w:szCs w:val="21"/>
          <w:highlight w:val="none"/>
        </w:rPr>
        <w:t>使用符合</w:t>
      </w:r>
      <w:r>
        <w:rPr>
          <w:rFonts w:hint="eastAsia" w:cs="Times New Roman" w:asciiTheme="minorEastAsia" w:hAnsiTheme="minorEastAsia"/>
          <w:color w:val="auto"/>
          <w:szCs w:val="21"/>
          <w:highlight w:val="none"/>
          <w:lang w:eastAsia="zh-CN"/>
        </w:rPr>
        <w:t>《</w:t>
      </w:r>
      <w:r>
        <w:rPr>
          <w:rFonts w:hint="eastAsia"/>
          <w:color w:val="auto"/>
          <w:kern w:val="0"/>
          <w:szCs w:val="20"/>
          <w:highlight w:val="none"/>
        </w:rPr>
        <w:t>市场监管总局关于规范食品快速检测使用的意见</w:t>
      </w:r>
      <w:r>
        <w:rPr>
          <w:rFonts w:hint="eastAsia" w:cs="Times New Roman" w:asciiTheme="minorEastAsia" w:hAnsiTheme="minorEastAsia"/>
          <w:color w:val="auto"/>
          <w:szCs w:val="21"/>
          <w:highlight w:val="none"/>
          <w:lang w:eastAsia="zh-CN"/>
        </w:rPr>
        <w:t>》</w:t>
      </w:r>
      <w:r>
        <w:rPr>
          <w:rFonts w:hint="eastAsia"/>
          <w:color w:val="auto"/>
          <w:kern w:val="0"/>
          <w:szCs w:val="20"/>
          <w:highlight w:val="none"/>
        </w:rPr>
        <w:t>（国市监食检规〔</w:t>
      </w:r>
      <w:r>
        <w:rPr>
          <w:rFonts w:hint="eastAsia" w:asciiTheme="minorEastAsia" w:hAnsiTheme="minorEastAsia" w:cstheme="minorEastAsia"/>
          <w:color w:val="auto"/>
          <w:kern w:val="0"/>
          <w:szCs w:val="20"/>
          <w:highlight w:val="none"/>
        </w:rPr>
        <w:t>2023</w:t>
      </w:r>
      <w:r>
        <w:rPr>
          <w:rFonts w:hint="eastAsia"/>
          <w:color w:val="auto"/>
          <w:kern w:val="0"/>
          <w:szCs w:val="20"/>
          <w:highlight w:val="none"/>
        </w:rPr>
        <w:t>〕</w:t>
      </w:r>
      <w:r>
        <w:rPr>
          <w:rFonts w:hint="eastAsia" w:asciiTheme="minorEastAsia" w:hAnsiTheme="minorEastAsia" w:cstheme="minorEastAsia"/>
          <w:color w:val="auto"/>
          <w:kern w:val="0"/>
          <w:szCs w:val="20"/>
          <w:highlight w:val="none"/>
        </w:rPr>
        <w:t>1</w:t>
      </w:r>
      <w:r>
        <w:rPr>
          <w:rFonts w:hint="eastAsia"/>
          <w:color w:val="auto"/>
          <w:kern w:val="0"/>
          <w:szCs w:val="20"/>
          <w:highlight w:val="none"/>
        </w:rPr>
        <w:t>号）文件要求</w:t>
      </w:r>
      <w:r>
        <w:rPr>
          <w:rFonts w:hint="eastAsia"/>
          <w:color w:val="auto"/>
          <w:kern w:val="0"/>
          <w:szCs w:val="20"/>
          <w:highlight w:val="none"/>
          <w:lang w:val="en-US" w:eastAsia="zh-CN"/>
        </w:rPr>
        <w:t>或验证合格</w:t>
      </w:r>
      <w:r>
        <w:rPr>
          <w:rFonts w:hint="eastAsia" w:cs="Times New Roman" w:asciiTheme="minorEastAsia" w:hAnsiTheme="minorEastAsia"/>
          <w:color w:val="auto"/>
          <w:szCs w:val="21"/>
          <w:highlight w:val="none"/>
        </w:rPr>
        <w:t>的快检产品，并提供相关的符合性评价材料。</w:t>
      </w:r>
    </w:p>
    <w:p w14:paraId="685E0575">
      <w:pPr>
        <w:keepNext w:val="0"/>
        <w:keepLines w:val="0"/>
        <w:pageBreakBefore w:val="0"/>
        <w:widowControl w:val="0"/>
        <w:kinsoku/>
        <w:wordWrap/>
        <w:overflowPunct/>
        <w:topLinePunct w:val="0"/>
        <w:autoSpaceDE/>
        <w:autoSpaceDN/>
        <w:bidi w:val="0"/>
        <w:adjustRightInd/>
        <w:snapToGrid/>
        <w:textAlignment w:val="auto"/>
        <w:rPr>
          <w:rFonts w:hint="default" w:cs="Times New Roman" w:asciiTheme="minorEastAsia" w:hAnsiTheme="minorEastAsia"/>
          <w:color w:val="auto"/>
          <w:szCs w:val="21"/>
          <w:highlight w:val="none"/>
          <w:lang w:val="en-US"/>
        </w:rPr>
      </w:pPr>
      <w:r>
        <w:rPr>
          <w:rFonts w:hint="eastAsia" w:ascii="黑体" w:hAnsi="黑体" w:eastAsia="黑体" w:cs="Times New Roman"/>
          <w:color w:val="auto"/>
          <w:szCs w:val="21"/>
          <w:highlight w:val="none"/>
          <w:lang w:val="en-US" w:eastAsia="zh-CN"/>
        </w:rPr>
        <w:t>8.2</w:t>
      </w:r>
      <w:r>
        <w:rPr>
          <w:rFonts w:hint="eastAsia" w:cs="Times New Roman" w:asciiTheme="minorEastAsia" w:hAnsiTheme="minorEastAsia"/>
          <w:color w:val="auto"/>
          <w:szCs w:val="21"/>
          <w:highlight w:val="none"/>
        </w:rPr>
        <w:t>快检产品</w:t>
      </w:r>
      <w:r>
        <w:rPr>
          <w:rFonts w:hint="eastAsia" w:cs="Times New Roman" w:asciiTheme="minorEastAsia" w:hAnsiTheme="minorEastAsia"/>
          <w:color w:val="auto"/>
          <w:szCs w:val="21"/>
          <w:highlight w:val="none"/>
          <w:lang w:val="en-US" w:eastAsia="zh-CN"/>
        </w:rPr>
        <w:t>的储存、使用和质量控制要求应符合DB61/T XXXX—XXXX第7章7.2和7.3的规定。</w:t>
      </w:r>
    </w:p>
    <w:p w14:paraId="7A044B64">
      <w:pPr>
        <w:keepNext w:val="0"/>
        <w:keepLines w:val="0"/>
        <w:pageBreakBefore w:val="0"/>
        <w:widowControl w:val="0"/>
        <w:kinsoku/>
        <w:wordWrap/>
        <w:overflowPunct/>
        <w:topLinePunct w:val="0"/>
        <w:autoSpaceDE/>
        <w:autoSpaceDN/>
        <w:bidi w:val="0"/>
        <w:adjustRightInd/>
        <w:snapToGrid/>
        <w:spacing w:before="312" w:beforeLines="100" w:after="312" w:afterLines="100"/>
        <w:textAlignment w:val="auto"/>
        <w:outlineLvl w:val="0"/>
        <w:rPr>
          <w:rFonts w:hint="eastAsia" w:ascii="黑体" w:hAnsi="黑体" w:eastAsia="黑体"/>
          <w:color w:val="auto"/>
          <w:szCs w:val="21"/>
          <w:highlight w:val="none"/>
        </w:rPr>
      </w:pPr>
      <w:bookmarkStart w:id="30" w:name="_Toc20393"/>
      <w:r>
        <w:rPr>
          <w:rFonts w:hint="eastAsia" w:ascii="黑体" w:hAnsi="黑体" w:eastAsia="黑体"/>
          <w:color w:val="auto"/>
          <w:szCs w:val="21"/>
          <w:highlight w:val="none"/>
          <w:lang w:val="en-US" w:eastAsia="zh-CN"/>
        </w:rPr>
        <w:t>9</w:t>
      </w:r>
      <w:r>
        <w:rPr>
          <w:rFonts w:hint="eastAsia" w:ascii="黑体" w:hAnsi="黑体" w:eastAsia="黑体"/>
          <w:color w:val="auto"/>
          <w:szCs w:val="21"/>
          <w:highlight w:val="none"/>
        </w:rPr>
        <w:t xml:space="preserve"> 快检工作程序</w:t>
      </w:r>
      <w:bookmarkEnd w:id="30"/>
    </w:p>
    <w:p w14:paraId="11CD3F21">
      <w:pPr>
        <w:spacing w:before="156" w:beforeLines="50" w:after="156" w:afterLines="50"/>
        <w:rPr>
          <w:rFonts w:hint="eastAsia" w:ascii="黑体" w:hAnsi="黑体" w:eastAsia="黑体"/>
          <w:color w:val="auto"/>
          <w:highlight w:val="none"/>
          <w:lang w:eastAsia="zh-CN"/>
        </w:rPr>
      </w:pPr>
      <w:r>
        <w:rPr>
          <w:rFonts w:hint="eastAsia" w:ascii="黑体" w:hAnsi="黑体" w:eastAsia="黑体"/>
          <w:color w:val="auto"/>
          <w:highlight w:val="none"/>
          <w:lang w:val="en-US" w:eastAsia="zh-CN"/>
        </w:rPr>
        <w:t>9</w:t>
      </w:r>
      <w:r>
        <w:rPr>
          <w:rFonts w:hint="eastAsia" w:ascii="黑体" w:hAnsi="黑体" w:eastAsia="黑体"/>
          <w:color w:val="auto"/>
          <w:highlight w:val="none"/>
        </w:rPr>
        <w:t>.1采样</w:t>
      </w:r>
    </w:p>
    <w:p w14:paraId="09FB9BF3">
      <w:pPr>
        <w:rPr>
          <w:rFonts w:hint="eastAsia" w:hAnsi="宋体"/>
          <w:color w:val="auto"/>
          <w:highlight w:val="green"/>
          <w:u w:val="single"/>
          <w:lang w:eastAsia="zh-CN"/>
        </w:rPr>
      </w:pPr>
      <w:r>
        <w:rPr>
          <w:rFonts w:hint="eastAsia" w:ascii="黑体" w:hAnsi="黑体" w:eastAsia="黑体"/>
          <w:color w:val="auto"/>
          <w:highlight w:val="none"/>
          <w:lang w:val="en-US" w:eastAsia="zh-CN"/>
        </w:rPr>
        <w:t>9</w:t>
      </w:r>
      <w:r>
        <w:rPr>
          <w:rFonts w:hint="eastAsia" w:ascii="黑体" w:hAnsi="黑体" w:eastAsia="黑体"/>
          <w:color w:val="auto"/>
          <w:highlight w:val="none"/>
        </w:rPr>
        <w:t>.1.1</w:t>
      </w:r>
      <w:r>
        <w:rPr>
          <w:rFonts w:hint="eastAsia" w:asciiTheme="minorEastAsia" w:hAnsiTheme="minorEastAsia"/>
          <w:color w:val="auto"/>
          <w:highlight w:val="none"/>
        </w:rPr>
        <w:t>根据重大活动的食谱及供餐方案，检测的品种应覆盖所购进的、可开展</w:t>
      </w:r>
      <w:r>
        <w:rPr>
          <w:rFonts w:hint="eastAsia" w:asciiTheme="minorEastAsia" w:hAnsiTheme="minorEastAsia"/>
          <w:color w:val="auto"/>
          <w:highlight w:val="none"/>
          <w:lang w:val="en-US" w:eastAsia="zh-CN"/>
        </w:rPr>
        <w:t>食品</w:t>
      </w:r>
      <w:r>
        <w:rPr>
          <w:rFonts w:hint="eastAsia" w:asciiTheme="minorEastAsia" w:hAnsiTheme="minorEastAsia"/>
          <w:color w:val="auto"/>
          <w:highlight w:val="none"/>
        </w:rPr>
        <w:t>快检的全部食品（含食用农产品）、食品原料等</w:t>
      </w:r>
      <w:r>
        <w:rPr>
          <w:rFonts w:hint="eastAsia" w:asciiTheme="minorEastAsia" w:hAnsiTheme="minorEastAsia"/>
          <w:color w:val="auto"/>
          <w:highlight w:val="none"/>
          <w:lang w:eastAsia="zh-CN"/>
        </w:rPr>
        <w:t>。</w:t>
      </w:r>
    </w:p>
    <w:p w14:paraId="103A1929">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.1.</w:t>
      </w:r>
      <w:r>
        <w:rPr>
          <w:rFonts w:hint="eastAsia" w:ascii="黑体" w:hAnsi="黑体" w:eastAsia="黑体"/>
          <w:color w:val="auto"/>
          <w:highlight w:val="none"/>
          <w:lang w:val="en-US" w:eastAsia="zh-CN"/>
        </w:rPr>
        <w:t>2</w:t>
      </w:r>
      <w:r>
        <w:rPr>
          <w:rFonts w:hint="eastAsia" w:asciiTheme="minorEastAsia" w:hAnsiTheme="minorEastAsia"/>
          <w:color w:val="auto"/>
          <w:highlight w:val="none"/>
        </w:rPr>
        <w:t>样品采集应具有代表性和随机性，</w:t>
      </w:r>
      <w:r>
        <w:rPr>
          <w:rFonts w:hint="eastAsia" w:asciiTheme="minorEastAsia" w:hAnsiTheme="minorEastAsia"/>
          <w:highlight w:val="none"/>
        </w:rPr>
        <w:t>样品数量应满足快检方法的要求。</w:t>
      </w:r>
    </w:p>
    <w:p w14:paraId="2B809603">
      <w:pPr>
        <w:keepNext w:val="0"/>
        <w:keepLines w:val="0"/>
        <w:pageBreakBefore w:val="0"/>
        <w:widowControl w:val="0"/>
        <w:kinsoku/>
        <w:wordWrap/>
        <w:overflowPunct/>
        <w:topLinePunct w:val="0"/>
        <w:autoSpaceDE/>
        <w:autoSpaceDN/>
        <w:bidi w:val="0"/>
        <w:adjustRightInd/>
        <w:snapToGrid/>
        <w:textAlignment w:val="auto"/>
        <w:rPr>
          <w:rFonts w:hint="eastAsia" w:ascii="Times New Roman" w:hAnsi="Times New Roman" w:cs="Times New Roman"/>
          <w:color w:val="auto"/>
          <w:szCs w:val="21"/>
          <w:highlight w:val="none"/>
          <w:lang w:val="en-US" w:eastAsia="zh-CN"/>
        </w:rPr>
      </w:pPr>
      <w:r>
        <w:rPr>
          <w:rFonts w:hint="eastAsia" w:ascii="黑体" w:hAnsi="黑体" w:eastAsia="黑体"/>
          <w:color w:val="auto"/>
          <w:highlight w:val="none"/>
          <w:lang w:val="en-US" w:eastAsia="zh-CN"/>
        </w:rPr>
        <w:t>9</w:t>
      </w:r>
      <w:r>
        <w:rPr>
          <w:rFonts w:hint="eastAsia" w:ascii="黑体" w:hAnsi="黑体" w:eastAsia="黑体"/>
          <w:color w:val="auto"/>
          <w:highlight w:val="none"/>
        </w:rPr>
        <w:t>.1.</w:t>
      </w:r>
      <w:r>
        <w:rPr>
          <w:rFonts w:hint="eastAsia" w:ascii="黑体" w:hAnsi="黑体" w:eastAsia="黑体"/>
          <w:color w:val="auto"/>
          <w:highlight w:val="none"/>
          <w:lang w:val="en-US" w:eastAsia="zh-CN"/>
        </w:rPr>
        <w:t>3</w:t>
      </w:r>
      <w:r>
        <w:rPr>
          <w:rFonts w:hint="eastAsia" w:ascii="Times New Roman" w:hAnsi="Times New Roman" w:cs="Times New Roman"/>
          <w:color w:val="auto"/>
          <w:szCs w:val="21"/>
          <w:highlight w:val="none"/>
        </w:rPr>
        <w:t>现场采样人员不得少</w:t>
      </w:r>
      <w:r>
        <w:rPr>
          <w:rFonts w:hint="eastAsia" w:cs="Times New Roman" w:asciiTheme="minorEastAsia" w:hAnsiTheme="minorEastAsia"/>
          <w:color w:val="auto"/>
          <w:szCs w:val="21"/>
          <w:highlight w:val="none"/>
        </w:rPr>
        <w:t>于2人</w:t>
      </w:r>
      <w:r>
        <w:rPr>
          <w:rFonts w:hint="eastAsia" w:ascii="Times New Roman" w:hAnsi="Times New Roman" w:cs="Times New Roman"/>
          <w:color w:val="auto"/>
          <w:szCs w:val="21"/>
          <w:highlight w:val="none"/>
        </w:rPr>
        <w:t>，须有监管人员陪同。</w:t>
      </w:r>
    </w:p>
    <w:p w14:paraId="1FF61464">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color w:val="auto"/>
          <w:szCs w:val="21"/>
          <w:highlight w:val="none"/>
          <w:lang w:val="en-US" w:eastAsia="zh-CN"/>
        </w:rPr>
      </w:pPr>
      <w:r>
        <w:rPr>
          <w:rFonts w:hint="eastAsia" w:ascii="黑体" w:hAnsi="黑体" w:eastAsia="黑体" w:cs="黑体"/>
          <w:color w:val="auto"/>
          <w:szCs w:val="21"/>
          <w:highlight w:val="none"/>
          <w:lang w:val="en-US" w:eastAsia="zh-CN"/>
        </w:rPr>
        <w:t>9.1.4</w:t>
      </w:r>
      <w:r>
        <w:rPr>
          <w:rFonts w:hint="eastAsia" w:ascii="Times New Roman" w:hAnsi="Times New Roman" w:cs="Times New Roman"/>
          <w:color w:val="auto"/>
          <w:szCs w:val="21"/>
          <w:highlight w:val="none"/>
          <w:lang w:val="en-US" w:eastAsia="zh-CN"/>
        </w:rPr>
        <w:t>采样人员现场采样时应</w:t>
      </w:r>
      <w:r>
        <w:rPr>
          <w:rFonts w:hint="eastAsia" w:asciiTheme="minorEastAsia" w:hAnsiTheme="minorEastAsia" w:eastAsiaTheme="minorEastAsia" w:cstheme="minorEastAsia"/>
          <w:color w:val="auto"/>
          <w:highlight w:val="none"/>
          <w:lang w:val="en-US" w:eastAsia="zh-CN"/>
        </w:rPr>
        <w:t>佩戴口罩和手套</w:t>
      </w:r>
      <w:r>
        <w:rPr>
          <w:rFonts w:hint="eastAsia" w:asciiTheme="minorEastAsia" w:hAnsiTheme="minorEastAsia" w:cstheme="minorEastAsia"/>
          <w:color w:val="auto"/>
          <w:highlight w:val="none"/>
          <w:lang w:val="en-US" w:eastAsia="zh-CN"/>
        </w:rPr>
        <w:t>，规范穿着工作服；采集微生物检测项目的样品应采用无菌采样方式。</w:t>
      </w:r>
    </w:p>
    <w:p w14:paraId="3B40F18E">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olor w:val="auto"/>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.1.</w:t>
      </w:r>
      <w:r>
        <w:rPr>
          <w:rFonts w:hint="eastAsia" w:ascii="黑体" w:hAnsi="黑体" w:eastAsia="黑体"/>
          <w:color w:val="auto"/>
          <w:highlight w:val="none"/>
          <w:lang w:val="en-US" w:eastAsia="zh-CN"/>
        </w:rPr>
        <w:t>5</w:t>
      </w:r>
      <w:r>
        <w:rPr>
          <w:rFonts w:hint="eastAsia" w:asciiTheme="minorEastAsia" w:hAnsiTheme="minorEastAsia"/>
          <w:color w:val="auto"/>
          <w:highlight w:val="none"/>
        </w:rPr>
        <w:t>详细记录采样信息，</w:t>
      </w:r>
      <w:r>
        <w:rPr>
          <w:rFonts w:hint="eastAsia" w:cs="Times New Roman" w:asciiTheme="minorEastAsia" w:hAnsiTheme="minorEastAsia"/>
          <w:color w:val="auto"/>
          <w:szCs w:val="21"/>
          <w:highlight w:val="none"/>
        </w:rPr>
        <w:t>包括被采样单位、样品名称、数量、采样时间等信息，</w:t>
      </w:r>
      <w:r>
        <w:rPr>
          <w:rFonts w:hint="eastAsia" w:ascii="Times New Roman" w:hAnsi="Times New Roman" w:cs="Times New Roman"/>
          <w:color w:val="auto"/>
          <w:szCs w:val="21"/>
          <w:highlight w:val="none"/>
          <w:lang w:val="en-US" w:eastAsia="zh-CN"/>
        </w:rPr>
        <w:t>采样单和封条上应由监管人员、被采样单位、采样人员共同签字</w:t>
      </w:r>
      <w:r>
        <w:rPr>
          <w:rFonts w:hint="eastAsia" w:ascii="Times New Roman" w:hAnsi="Times New Roman" w:cs="Times New Roman"/>
          <w:color w:val="auto"/>
          <w:szCs w:val="21"/>
          <w:highlight w:val="none"/>
        </w:rPr>
        <w:t>或盖章确认。</w:t>
      </w:r>
    </w:p>
    <w:p w14:paraId="499D4A5F">
      <w:pPr>
        <w:keepNext w:val="0"/>
        <w:keepLines w:val="0"/>
        <w:pageBreakBefore w:val="0"/>
        <w:widowControl w:val="0"/>
        <w:kinsoku/>
        <w:wordWrap/>
        <w:overflowPunct/>
        <w:topLinePunct w:val="0"/>
        <w:autoSpaceDE/>
        <w:autoSpaceDN/>
        <w:bidi w:val="0"/>
        <w:adjustRightInd/>
        <w:snapToGrid/>
        <w:textAlignment w:val="auto"/>
        <w:rPr>
          <w:rFonts w:hint="eastAsia" w:asciiTheme="minorEastAsia" w:hAnsiTheme="minorEastAsia"/>
          <w:color w:val="auto"/>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.1.</w:t>
      </w:r>
      <w:r>
        <w:rPr>
          <w:rFonts w:hint="eastAsia" w:ascii="黑体" w:hAnsi="黑体" w:eastAsia="黑体"/>
          <w:color w:val="auto"/>
          <w:highlight w:val="none"/>
          <w:lang w:val="en-US" w:eastAsia="zh-CN"/>
        </w:rPr>
        <w:t>6</w:t>
      </w:r>
      <w:r>
        <w:rPr>
          <w:rFonts w:hint="eastAsia" w:asciiTheme="minorEastAsia" w:hAnsiTheme="minorEastAsia"/>
          <w:color w:val="auto"/>
          <w:highlight w:val="none"/>
        </w:rPr>
        <w:t>样品应标注唯一性标识，并始终确保样品</w:t>
      </w:r>
      <w:r>
        <w:rPr>
          <w:rFonts w:hint="eastAsia" w:asciiTheme="minorEastAsia" w:hAnsiTheme="minorEastAsia"/>
          <w:color w:val="auto"/>
          <w:highlight w:val="none"/>
          <w:lang w:val="en-US" w:eastAsia="zh-CN"/>
        </w:rPr>
        <w:t>在运输过程中</w:t>
      </w:r>
      <w:r>
        <w:rPr>
          <w:rFonts w:hint="eastAsia" w:asciiTheme="minorEastAsia" w:hAnsiTheme="minorEastAsia"/>
          <w:color w:val="auto"/>
          <w:highlight w:val="none"/>
        </w:rPr>
        <w:t>不被污染、变质或混淆。</w:t>
      </w:r>
    </w:p>
    <w:p w14:paraId="74E58599">
      <w:pPr>
        <w:spacing w:before="156" w:beforeLines="50" w:after="156" w:afterLines="50"/>
        <w:rPr>
          <w:rFonts w:hint="eastAsia" w:ascii="黑体" w:hAnsi="黑体" w:eastAsia="黑体"/>
          <w:color w:val="auto"/>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.2检测</w:t>
      </w:r>
    </w:p>
    <w:p w14:paraId="532EA2EC">
      <w:pPr>
        <w:spacing w:before="156" w:beforeLines="50" w:after="156" w:afterLines="50"/>
        <w:rPr>
          <w:rFonts w:hint="eastAsia" w:asciiTheme="minorEastAsia" w:hAnsiTheme="minorEastAsia"/>
          <w:color w:val="auto"/>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.2.1检测项目</w:t>
      </w:r>
    </w:p>
    <w:p w14:paraId="3F2D13E6">
      <w:pPr>
        <w:spacing w:before="156" w:beforeLines="50" w:after="156" w:afterLines="50"/>
        <w:ind w:firstLine="420" w:firstLineChars="200"/>
        <w:rPr>
          <w:rFonts w:hint="eastAsia" w:ascii="黑体" w:hAnsi="黑体" w:eastAsia="黑体"/>
          <w:color w:val="auto"/>
          <w:highlight w:val="none"/>
        </w:rPr>
      </w:pPr>
      <w:r>
        <w:rPr>
          <w:rFonts w:hint="eastAsia" w:asciiTheme="minorEastAsia" w:hAnsiTheme="minorEastAsia"/>
          <w:color w:val="auto"/>
          <w:highlight w:val="none"/>
        </w:rPr>
        <w:t>根据重大活动所采用的食材，快检的</w:t>
      </w:r>
      <w:r>
        <w:rPr>
          <w:rFonts w:hint="eastAsia"/>
          <w:color w:val="auto"/>
          <w:highlight w:val="none"/>
        </w:rPr>
        <w:t>检测项目应包括但不限于农药残留、兽药残留、禁用药物、非法添加物、重金属等风险较高的项目</w:t>
      </w:r>
      <w:r>
        <w:rPr>
          <w:rFonts w:hint="eastAsia" w:asciiTheme="minorEastAsia" w:hAnsiTheme="minorEastAsia"/>
          <w:color w:val="auto"/>
          <w:highlight w:val="none"/>
        </w:rPr>
        <w:t>。</w:t>
      </w:r>
    </w:p>
    <w:p w14:paraId="3F612211">
      <w:pPr>
        <w:spacing w:before="156" w:beforeLines="50" w:after="156" w:afterLines="50"/>
        <w:rPr>
          <w:color w:val="auto"/>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.2.2检测方法</w:t>
      </w:r>
    </w:p>
    <w:p w14:paraId="0C64B2E8">
      <w:pPr>
        <w:spacing w:before="156" w:beforeLines="50" w:after="156" w:afterLines="50"/>
        <w:ind w:firstLine="420" w:firstLineChars="200"/>
        <w:rPr>
          <w:rFonts w:hint="eastAsia" w:asciiTheme="minorEastAsia" w:hAnsiTheme="minorEastAsia"/>
          <w:color w:val="auto"/>
          <w:highlight w:val="none"/>
        </w:rPr>
      </w:pPr>
      <w:r>
        <w:rPr>
          <w:rFonts w:hint="eastAsia"/>
          <w:color w:val="auto"/>
          <w:highlight w:val="none"/>
        </w:rPr>
        <w:t>按照重大活动食品</w:t>
      </w:r>
      <w:r>
        <w:rPr>
          <w:rFonts w:hint="eastAsia"/>
          <w:color w:val="auto"/>
          <w:highlight w:val="none"/>
          <w:lang w:val="en-US" w:eastAsia="zh-CN"/>
        </w:rPr>
        <w:t>快检</w:t>
      </w:r>
      <w:r>
        <w:rPr>
          <w:rFonts w:hint="eastAsia"/>
          <w:color w:val="auto"/>
          <w:highlight w:val="none"/>
        </w:rPr>
        <w:t>工作</w:t>
      </w:r>
      <w:r>
        <w:rPr>
          <w:rFonts w:hint="eastAsia"/>
          <w:color w:val="auto"/>
          <w:highlight w:val="none"/>
          <w:lang w:val="en-US" w:eastAsia="zh-CN"/>
        </w:rPr>
        <w:t>实施方案</w:t>
      </w:r>
      <w:r>
        <w:rPr>
          <w:rFonts w:hint="eastAsia"/>
          <w:color w:val="auto"/>
          <w:highlight w:val="none"/>
        </w:rPr>
        <w:t>选择适宜的快检方法，</w:t>
      </w:r>
      <w:r>
        <w:rPr>
          <w:rFonts w:hint="eastAsia"/>
          <w:color w:val="auto"/>
          <w:highlight w:val="none"/>
          <w:lang w:val="en-US" w:eastAsia="zh-CN"/>
        </w:rPr>
        <w:t>优先</w:t>
      </w:r>
      <w:r>
        <w:rPr>
          <w:rFonts w:hint="eastAsia"/>
          <w:color w:val="auto"/>
          <w:highlight w:val="none"/>
        </w:rPr>
        <w:t>采用国家发布的快检方法或经实验室验证比对后的方法</w:t>
      </w:r>
      <w:r>
        <w:rPr>
          <w:rFonts w:hint="eastAsia"/>
          <w:color w:val="auto"/>
          <w:highlight w:val="none"/>
          <w:lang w:eastAsia="zh-CN"/>
        </w:rPr>
        <w:t>；</w:t>
      </w:r>
      <w:r>
        <w:rPr>
          <w:rFonts w:hint="eastAsia"/>
          <w:color w:val="auto"/>
          <w:highlight w:val="none"/>
        </w:rPr>
        <w:t>没有快检方法的可参考快检产品说明书进行检测</w:t>
      </w:r>
      <w:r>
        <w:rPr>
          <w:rFonts w:hint="eastAsia"/>
          <w:color w:val="auto"/>
          <w:highlight w:val="none"/>
          <w:lang w:eastAsia="zh-CN"/>
        </w:rPr>
        <w:t>，</w:t>
      </w:r>
      <w:r>
        <w:rPr>
          <w:rFonts w:hint="eastAsia"/>
          <w:color w:val="auto"/>
          <w:highlight w:val="none"/>
          <w:lang w:val="en-US" w:eastAsia="zh-CN"/>
        </w:rPr>
        <w:t>但应对方法的有效性进行确认</w:t>
      </w:r>
      <w:r>
        <w:rPr>
          <w:rFonts w:hint="eastAsia"/>
          <w:color w:val="auto"/>
          <w:highlight w:val="none"/>
        </w:rPr>
        <w:t>。</w:t>
      </w:r>
    </w:p>
    <w:p w14:paraId="0E3021C3">
      <w:pPr>
        <w:spacing w:before="156" w:beforeLines="50" w:after="156" w:afterLines="50"/>
        <w:rPr>
          <w:rFonts w:hint="eastAsia" w:ascii="黑体" w:hAnsi="黑体" w:eastAsia="黑体"/>
          <w:color w:val="auto"/>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.2.3检测要求</w:t>
      </w:r>
    </w:p>
    <w:p w14:paraId="7C494831">
      <w:pPr>
        <w:rPr>
          <w:rFonts w:hint="eastAsia" w:cs="Times New Roman" w:asciiTheme="minorEastAsia" w:hAnsiTheme="minorEastAsia"/>
          <w:color w:val="auto"/>
          <w:szCs w:val="21"/>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.2.3.</w:t>
      </w:r>
      <w:r>
        <w:rPr>
          <w:rFonts w:hint="eastAsia" w:ascii="黑体" w:hAnsi="黑体" w:eastAsia="黑体"/>
          <w:color w:val="auto"/>
          <w:highlight w:val="none"/>
          <w:lang w:val="en-US" w:eastAsia="zh-CN"/>
        </w:rPr>
        <w:t>1</w:t>
      </w:r>
      <w:r>
        <w:rPr>
          <w:rFonts w:hint="eastAsia" w:cs="Times New Roman" w:asciiTheme="minorEastAsia" w:hAnsiTheme="minorEastAsia"/>
          <w:color w:val="auto"/>
          <w:szCs w:val="21"/>
          <w:highlight w:val="none"/>
        </w:rPr>
        <w:t>检测人员应严格按照快检方法或快检产品说明书要求规范操作，在检测前应充分熟悉检测方法原理和关键操作要点，收到样品后应尽快开展</w:t>
      </w:r>
      <w:r>
        <w:rPr>
          <w:rFonts w:hint="eastAsia" w:cs="Times New Roman" w:asciiTheme="minorEastAsia" w:hAnsiTheme="minorEastAsia"/>
          <w:color w:val="auto"/>
          <w:szCs w:val="21"/>
          <w:highlight w:val="none"/>
          <w:lang w:val="en-US" w:eastAsia="zh-CN"/>
        </w:rPr>
        <w:t>检测</w:t>
      </w:r>
      <w:r>
        <w:rPr>
          <w:rFonts w:hint="eastAsia" w:cs="Times New Roman" w:asciiTheme="minorEastAsia" w:hAnsiTheme="minorEastAsia"/>
          <w:color w:val="auto"/>
          <w:szCs w:val="21"/>
          <w:highlight w:val="none"/>
        </w:rPr>
        <w:t>。</w:t>
      </w:r>
    </w:p>
    <w:p w14:paraId="1326880B">
      <w:pPr>
        <w:rPr>
          <w:rFonts w:hint="eastAsia"/>
          <w:color w:val="auto"/>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.2.3.</w:t>
      </w:r>
      <w:r>
        <w:rPr>
          <w:rFonts w:hint="eastAsia" w:ascii="黑体" w:hAnsi="黑体" w:eastAsia="黑体"/>
          <w:color w:val="auto"/>
          <w:highlight w:val="none"/>
          <w:lang w:val="en-US" w:eastAsia="zh-CN"/>
        </w:rPr>
        <w:t>2</w:t>
      </w:r>
      <w:r>
        <w:rPr>
          <w:rFonts w:hint="eastAsia"/>
          <w:color w:val="auto"/>
          <w:highlight w:val="none"/>
        </w:rPr>
        <w:t>检测环境应整齐清洁，检测过程应避免</w:t>
      </w:r>
      <w:r>
        <w:rPr>
          <w:rFonts w:hint="eastAsia"/>
          <w:color w:val="auto"/>
          <w:highlight w:val="none"/>
          <w:lang w:val="en-US" w:eastAsia="zh-CN"/>
        </w:rPr>
        <w:t>不同</w:t>
      </w:r>
      <w:r>
        <w:rPr>
          <w:rFonts w:hint="eastAsia"/>
          <w:color w:val="auto"/>
          <w:highlight w:val="none"/>
        </w:rPr>
        <w:t>样品之间的交叉污染。</w:t>
      </w:r>
    </w:p>
    <w:p w14:paraId="5C793EF8">
      <w:pPr>
        <w:rPr>
          <w:rFonts w:hint="eastAsia"/>
          <w:color w:val="auto"/>
          <w:highlight w:val="none"/>
        </w:rPr>
      </w:pPr>
      <w:r>
        <w:rPr>
          <w:rFonts w:hint="eastAsia" w:ascii="黑体" w:hAnsi="黑体" w:eastAsia="黑体"/>
          <w:color w:val="auto"/>
          <w:highlight w:val="none"/>
          <w:lang w:val="en-US" w:eastAsia="zh-CN"/>
        </w:rPr>
        <w:t>9.2.3.3</w:t>
      </w:r>
      <w:r>
        <w:rPr>
          <w:rFonts w:hint="eastAsia" w:cs="Times New Roman" w:asciiTheme="minorEastAsia" w:hAnsiTheme="minorEastAsia"/>
          <w:color w:val="auto"/>
          <w:szCs w:val="21"/>
          <w:highlight w:val="none"/>
        </w:rPr>
        <w:t>样品的取样部位、数量、制备方法和贮存条件应满足相关标准、快检方法等要求。</w:t>
      </w:r>
    </w:p>
    <w:p w14:paraId="1B2588BE">
      <w:pPr>
        <w:rPr>
          <w:rFonts w:hint="eastAsia" w:eastAsia="黑体" w:cs="Times New Roman" w:asciiTheme="minorEastAsia" w:hAnsiTheme="minorEastAsia"/>
          <w:color w:val="auto"/>
          <w:szCs w:val="21"/>
          <w:highlight w:val="none"/>
          <w:lang w:eastAsia="zh-CN"/>
        </w:rPr>
      </w:pPr>
      <w:r>
        <w:rPr>
          <w:rFonts w:hint="eastAsia" w:ascii="黑体" w:hAnsi="黑体" w:eastAsia="黑体"/>
          <w:color w:val="auto"/>
          <w:highlight w:val="none"/>
          <w:lang w:val="en-US" w:eastAsia="zh-CN"/>
        </w:rPr>
        <w:t>9.2.3.4</w:t>
      </w:r>
      <w:r>
        <w:rPr>
          <w:rFonts w:hint="eastAsia" w:asciiTheme="minorEastAsia" w:hAnsiTheme="minorEastAsia" w:cstheme="minorEastAsia"/>
          <w:color w:val="auto"/>
          <w:highlight w:val="none"/>
        </w:rPr>
        <w:t>检测人员</w:t>
      </w:r>
      <w:r>
        <w:rPr>
          <w:rFonts w:hint="eastAsia" w:cs="Times New Roman" w:asciiTheme="minorEastAsia" w:hAnsiTheme="minorEastAsia"/>
          <w:color w:val="auto"/>
          <w:szCs w:val="21"/>
          <w:highlight w:val="none"/>
        </w:rPr>
        <w:t>应及时记录检测情况及结果，并保证记录的原始性、真实性、准确性、可溯源性。</w:t>
      </w:r>
      <w:r>
        <w:rPr>
          <w:rFonts w:hint="eastAsia" w:cs="Times New Roman" w:asciiTheme="minorEastAsia" w:hAnsiTheme="minorEastAsia"/>
          <w:color w:val="auto"/>
          <w:szCs w:val="21"/>
          <w:highlight w:val="none"/>
          <w:lang w:val="en-US" w:eastAsia="zh-CN"/>
        </w:rPr>
        <w:t>记录内容应包括但不限于</w:t>
      </w:r>
      <w:r>
        <w:rPr>
          <w:rFonts w:hint="eastAsia" w:cs="Times New Roman" w:asciiTheme="minorEastAsia" w:hAnsiTheme="minorEastAsia"/>
          <w:color w:val="auto"/>
          <w:szCs w:val="21"/>
          <w:highlight w:val="none"/>
        </w:rPr>
        <w:t>样品编号、名称、检测项目、检测时间、检测人员、快检产品信息、检测结果等</w:t>
      </w:r>
      <w:r>
        <w:rPr>
          <w:rFonts w:hint="eastAsia" w:cs="Times New Roman" w:asciiTheme="minorEastAsia" w:hAnsiTheme="minorEastAsia"/>
          <w:color w:val="auto"/>
          <w:szCs w:val="21"/>
          <w:highlight w:val="none"/>
          <w:lang w:eastAsia="zh-CN"/>
        </w:rPr>
        <w:t>。</w:t>
      </w:r>
    </w:p>
    <w:p w14:paraId="41EAA31E">
      <w:pPr>
        <w:rPr>
          <w:rFonts w:hint="default" w:cs="Times New Roman" w:asciiTheme="minorEastAsia" w:hAnsiTheme="minorEastAsia"/>
          <w:color w:val="auto"/>
          <w:szCs w:val="21"/>
          <w:highlight w:val="none"/>
          <w:u w:val="none"/>
          <w:lang w:val="en-US" w:eastAsia="zh-CN"/>
        </w:rPr>
      </w:pPr>
      <w:r>
        <w:rPr>
          <w:rFonts w:hint="eastAsia" w:ascii="黑体" w:hAnsi="黑体" w:eastAsia="黑体"/>
          <w:color w:val="auto"/>
          <w:highlight w:val="none"/>
          <w:lang w:val="en-US" w:eastAsia="zh-CN"/>
        </w:rPr>
        <w:t>9.2.3.5</w:t>
      </w:r>
      <w:r>
        <w:rPr>
          <w:rFonts w:hint="eastAsia" w:cs="Times New Roman" w:asciiTheme="minorEastAsia" w:hAnsiTheme="minorEastAsia"/>
          <w:color w:val="auto"/>
          <w:szCs w:val="21"/>
          <w:highlight w:val="none"/>
          <w:lang w:val="en-US" w:eastAsia="zh-CN"/>
        </w:rPr>
        <w:t>检测过程应进行质量控制，质量控制方式包括但不限于</w:t>
      </w:r>
      <w:r>
        <w:rPr>
          <w:rFonts w:hint="eastAsia" w:cs="Times New Roman" w:asciiTheme="minorEastAsia" w:hAnsiTheme="minorEastAsia"/>
          <w:color w:val="auto"/>
          <w:szCs w:val="21"/>
          <w:highlight w:val="none"/>
          <w:u w:val="none"/>
          <w:lang w:val="en-US" w:eastAsia="zh-CN"/>
        </w:rPr>
        <w:t>人员比对、设备比对、更换试剂等。</w:t>
      </w:r>
    </w:p>
    <w:p w14:paraId="5392D834">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黑体" w:hAnsi="黑体" w:eastAsia="黑体"/>
          <w:color w:val="auto"/>
          <w:highlight w:val="none"/>
          <w:lang w:val="en-US" w:eastAsia="zh-CN"/>
        </w:rPr>
      </w:pPr>
      <w:r>
        <w:rPr>
          <w:rFonts w:hint="eastAsia" w:ascii="黑体" w:hAnsi="黑体" w:eastAsia="黑体"/>
          <w:color w:val="auto"/>
          <w:highlight w:val="none"/>
          <w:lang w:val="en-US" w:eastAsia="zh-CN"/>
        </w:rPr>
        <w:t>9</w:t>
      </w:r>
      <w:r>
        <w:rPr>
          <w:rFonts w:hint="eastAsia" w:ascii="黑体" w:hAnsi="黑体" w:eastAsia="黑体"/>
          <w:color w:val="auto"/>
          <w:highlight w:val="none"/>
        </w:rPr>
        <w:t>.</w:t>
      </w:r>
      <w:r>
        <w:rPr>
          <w:rFonts w:hint="eastAsia" w:ascii="黑体" w:hAnsi="黑体" w:eastAsia="黑体"/>
          <w:color w:val="auto"/>
          <w:highlight w:val="none"/>
          <w:lang w:val="en-US" w:eastAsia="zh-CN"/>
        </w:rPr>
        <w:t>3结果报告</w:t>
      </w:r>
    </w:p>
    <w:p w14:paraId="22637464">
      <w:pPr>
        <w:keepNext w:val="0"/>
        <w:keepLines w:val="0"/>
        <w:pageBreakBefore w:val="0"/>
        <w:widowControl w:val="0"/>
        <w:kinsoku/>
        <w:wordWrap/>
        <w:overflowPunct/>
        <w:topLinePunct w:val="0"/>
        <w:autoSpaceDE/>
        <w:autoSpaceDN/>
        <w:bidi w:val="0"/>
        <w:adjustRightInd/>
        <w:snapToGrid/>
        <w:textAlignment w:val="auto"/>
        <w:rPr>
          <w:rFonts w:hint="eastAsia" w:cs="Times New Roman" w:asciiTheme="minorEastAsia" w:hAnsiTheme="minorEastAsia"/>
          <w:color w:val="auto"/>
          <w:szCs w:val="21"/>
          <w:highlight w:val="none"/>
        </w:rPr>
      </w:pPr>
      <w:r>
        <w:rPr>
          <w:rFonts w:hint="eastAsia" w:ascii="黑体" w:hAnsi="黑体" w:eastAsia="黑体"/>
          <w:color w:val="auto"/>
          <w:highlight w:val="none"/>
          <w:lang w:val="en-US" w:eastAsia="zh-CN"/>
        </w:rPr>
        <w:t>9</w:t>
      </w:r>
      <w:r>
        <w:rPr>
          <w:rFonts w:hint="eastAsia" w:ascii="黑体" w:hAnsi="黑体" w:eastAsia="黑体"/>
          <w:color w:val="auto"/>
          <w:highlight w:val="none"/>
        </w:rPr>
        <w:t>.</w:t>
      </w:r>
      <w:r>
        <w:rPr>
          <w:rFonts w:hint="eastAsia" w:ascii="黑体" w:hAnsi="黑体" w:eastAsia="黑体"/>
          <w:color w:val="auto"/>
          <w:highlight w:val="none"/>
          <w:lang w:val="en-US" w:eastAsia="zh-CN"/>
        </w:rPr>
        <w:t>3.1</w:t>
      </w:r>
      <w:r>
        <w:rPr>
          <w:rFonts w:hint="eastAsia" w:cs="Times New Roman" w:asciiTheme="minorEastAsia" w:hAnsiTheme="minorEastAsia"/>
          <w:color w:val="auto"/>
          <w:szCs w:val="21"/>
          <w:highlight w:val="none"/>
        </w:rPr>
        <w:t>按照</w:t>
      </w:r>
      <w:r>
        <w:rPr>
          <w:rFonts w:hint="eastAsia" w:cs="Times New Roman" w:asciiTheme="minorEastAsia" w:hAnsiTheme="minorEastAsia"/>
          <w:color w:val="auto"/>
          <w:szCs w:val="21"/>
          <w:highlight w:val="none"/>
          <w:lang w:val="en-US" w:eastAsia="zh-CN"/>
        </w:rPr>
        <w:t>重大活动食品</w:t>
      </w:r>
      <w:r>
        <w:rPr>
          <w:rFonts w:hint="eastAsia" w:cs="Times New Roman" w:asciiTheme="minorEastAsia" w:hAnsiTheme="minorEastAsia"/>
          <w:color w:val="auto"/>
          <w:szCs w:val="21"/>
          <w:highlight w:val="none"/>
        </w:rPr>
        <w:t>快检工作实施方案的要求</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rPr>
        <w:t>及时向</w:t>
      </w:r>
      <w:r>
        <w:rPr>
          <w:rFonts w:hint="eastAsia" w:cs="Times New Roman" w:asciiTheme="minorEastAsia" w:hAnsiTheme="minorEastAsia"/>
          <w:color w:val="auto"/>
          <w:szCs w:val="21"/>
          <w:highlight w:val="none"/>
          <w:lang w:val="en-US" w:eastAsia="zh-CN"/>
        </w:rPr>
        <w:t>组织方</w:t>
      </w:r>
      <w:r>
        <w:rPr>
          <w:rFonts w:hint="eastAsia" w:cs="Times New Roman" w:asciiTheme="minorEastAsia" w:hAnsiTheme="minorEastAsia"/>
          <w:color w:val="auto"/>
          <w:szCs w:val="21"/>
          <w:highlight w:val="none"/>
        </w:rPr>
        <w:t>上报检测数据。</w:t>
      </w:r>
    </w:p>
    <w:p w14:paraId="058ADF0F">
      <w:pPr>
        <w:rPr>
          <w:rFonts w:hint="eastAsia" w:cs="Times New Roman" w:asciiTheme="minorEastAsia" w:hAnsiTheme="minorEastAsia"/>
          <w:color w:val="auto"/>
          <w:szCs w:val="21"/>
          <w:highlight w:val="none"/>
          <w:u w:val="none"/>
          <w:lang w:val="en-US" w:eastAsia="zh-CN"/>
        </w:rPr>
      </w:pPr>
      <w:r>
        <w:rPr>
          <w:rFonts w:hint="eastAsia" w:ascii="黑体" w:hAnsi="黑体" w:eastAsia="黑体"/>
          <w:color w:val="auto"/>
          <w:highlight w:val="none"/>
          <w:lang w:val="en-US" w:eastAsia="zh-CN"/>
        </w:rPr>
        <w:t>9</w:t>
      </w:r>
      <w:r>
        <w:rPr>
          <w:rFonts w:hint="eastAsia" w:ascii="黑体" w:hAnsi="黑体" w:eastAsia="黑体"/>
          <w:color w:val="auto"/>
          <w:highlight w:val="none"/>
        </w:rPr>
        <w:t>.</w:t>
      </w:r>
      <w:r>
        <w:rPr>
          <w:rFonts w:hint="eastAsia" w:ascii="黑体" w:hAnsi="黑体" w:eastAsia="黑体"/>
          <w:color w:val="auto"/>
          <w:highlight w:val="none"/>
          <w:lang w:val="en-US" w:eastAsia="zh-CN"/>
        </w:rPr>
        <w:t>3.2</w:t>
      </w:r>
      <w:r>
        <w:rPr>
          <w:rFonts w:hint="eastAsia" w:cs="Times New Roman" w:asciiTheme="minorEastAsia" w:hAnsiTheme="minorEastAsia"/>
          <w:color w:val="auto"/>
          <w:szCs w:val="21"/>
          <w:highlight w:val="none"/>
          <w:lang w:val="en-US" w:eastAsia="zh-CN"/>
        </w:rPr>
        <w:t>重大活动食品</w:t>
      </w:r>
      <w:r>
        <w:rPr>
          <w:rFonts w:hint="eastAsia" w:cs="Times New Roman" w:asciiTheme="minorEastAsia" w:hAnsiTheme="minorEastAsia"/>
          <w:color w:val="auto"/>
          <w:szCs w:val="21"/>
          <w:highlight w:val="none"/>
        </w:rPr>
        <w:t>快检</w:t>
      </w:r>
      <w:r>
        <w:rPr>
          <w:rFonts w:hint="eastAsia" w:cs="Times New Roman" w:asciiTheme="minorEastAsia" w:hAnsiTheme="minorEastAsia"/>
          <w:color w:val="auto"/>
          <w:szCs w:val="21"/>
          <w:highlight w:val="none"/>
          <w:lang w:val="en-US" w:eastAsia="zh-CN"/>
        </w:rPr>
        <w:t>活动</w:t>
      </w:r>
      <w:r>
        <w:rPr>
          <w:rFonts w:hint="eastAsia" w:cs="Times New Roman" w:asciiTheme="minorEastAsia" w:hAnsiTheme="minorEastAsia"/>
          <w:color w:val="auto"/>
          <w:szCs w:val="21"/>
          <w:highlight w:val="none"/>
        </w:rPr>
        <w:t>中检出可疑样品的，</w:t>
      </w:r>
      <w:r>
        <w:rPr>
          <w:rFonts w:hint="eastAsia" w:cs="Times New Roman" w:asciiTheme="minorEastAsia" w:hAnsiTheme="minorEastAsia"/>
          <w:color w:val="auto"/>
          <w:szCs w:val="21"/>
          <w:highlight w:val="none"/>
          <w:u w:val="none"/>
        </w:rPr>
        <w:t>应进行</w:t>
      </w:r>
      <w:r>
        <w:rPr>
          <w:rFonts w:hint="eastAsia" w:cs="Times New Roman" w:asciiTheme="minorEastAsia" w:hAnsiTheme="minorEastAsia"/>
          <w:color w:val="auto"/>
          <w:szCs w:val="21"/>
          <w:highlight w:val="none"/>
          <w:u w:val="none"/>
          <w:lang w:val="en-US" w:eastAsia="zh-CN"/>
        </w:rPr>
        <w:t>二次检测。</w:t>
      </w:r>
      <w:r>
        <w:rPr>
          <w:rFonts w:hint="eastAsia" w:cs="Times New Roman" w:asciiTheme="minorEastAsia" w:hAnsiTheme="minorEastAsia"/>
          <w:color w:val="auto"/>
          <w:szCs w:val="21"/>
          <w:highlight w:val="none"/>
          <w:lang w:val="en-US" w:eastAsia="zh-CN"/>
        </w:rPr>
        <w:t>二次检测应使用原样品剩余部分重新制备样品</w:t>
      </w:r>
      <w:r>
        <w:rPr>
          <w:rFonts w:hint="eastAsia" w:cs="Times New Roman" w:asciiTheme="minorEastAsia" w:hAnsiTheme="minorEastAsia"/>
          <w:color w:val="auto"/>
          <w:szCs w:val="21"/>
          <w:highlight w:val="none"/>
        </w:rPr>
        <w:t>，</w:t>
      </w:r>
      <w:r>
        <w:rPr>
          <w:rFonts w:hint="eastAsia" w:cs="Times New Roman" w:asciiTheme="minorEastAsia" w:hAnsiTheme="minorEastAsia"/>
          <w:color w:val="auto"/>
          <w:szCs w:val="21"/>
          <w:highlight w:val="none"/>
          <w:lang w:val="en-US" w:eastAsia="zh-CN"/>
        </w:rPr>
        <w:t>可采用</w:t>
      </w:r>
      <w:r>
        <w:rPr>
          <w:rFonts w:hint="eastAsia" w:cs="Times New Roman" w:asciiTheme="minorEastAsia" w:hAnsiTheme="minorEastAsia"/>
          <w:color w:val="auto"/>
          <w:szCs w:val="21"/>
          <w:highlight w:val="none"/>
          <w:u w:val="none"/>
          <w:lang w:val="en-US" w:eastAsia="zh-CN"/>
        </w:rPr>
        <w:t>人员比对、设备比对、更换试剂等质量控制方式。</w:t>
      </w:r>
    </w:p>
    <w:p w14:paraId="5C74EC14">
      <w:pPr>
        <w:rPr>
          <w:rFonts w:hint="eastAsia" w:cs="Times New Roman" w:asciiTheme="minorEastAsia" w:hAnsiTheme="minorEastAsia" w:eastAsiaTheme="minorEastAsia"/>
          <w:color w:val="auto"/>
          <w:szCs w:val="21"/>
          <w:highlight w:val="none"/>
          <w:u w:val="single"/>
          <w:lang w:eastAsia="zh-CN"/>
        </w:rPr>
      </w:pPr>
      <w:r>
        <w:rPr>
          <w:rFonts w:hint="eastAsia" w:ascii="黑体" w:hAnsi="黑体" w:eastAsia="黑体"/>
          <w:color w:val="auto"/>
          <w:highlight w:val="none"/>
          <w:lang w:val="en-US" w:eastAsia="zh-CN"/>
        </w:rPr>
        <w:t>9.3.3</w:t>
      </w:r>
      <w:r>
        <w:rPr>
          <w:rFonts w:hint="eastAsia" w:cs="Times New Roman" w:asciiTheme="minorEastAsia" w:hAnsiTheme="minorEastAsia"/>
          <w:color w:val="auto"/>
          <w:szCs w:val="21"/>
          <w:highlight w:val="none"/>
          <w:lang w:val="en-US" w:eastAsia="zh-CN"/>
        </w:rPr>
        <w:t>二次检测结果与初次检测结果一致的，</w:t>
      </w:r>
      <w:r>
        <w:rPr>
          <w:rFonts w:hint="eastAsia" w:cs="Times New Roman" w:asciiTheme="minorEastAsia" w:hAnsiTheme="minorEastAsia"/>
          <w:color w:val="auto"/>
          <w:szCs w:val="21"/>
          <w:highlight w:val="none"/>
        </w:rPr>
        <w:t>应立即上报</w:t>
      </w:r>
      <w:r>
        <w:rPr>
          <w:rFonts w:hint="eastAsia" w:cs="Times New Roman" w:asciiTheme="minorEastAsia" w:hAnsiTheme="minorEastAsia"/>
          <w:color w:val="auto"/>
          <w:szCs w:val="21"/>
          <w:highlight w:val="none"/>
          <w:lang w:val="en-US" w:eastAsia="zh-CN"/>
        </w:rPr>
        <w:t>组织方</w:t>
      </w:r>
      <w:r>
        <w:rPr>
          <w:rFonts w:hint="eastAsia" w:cs="Times New Roman" w:asciiTheme="minorEastAsia" w:hAnsiTheme="minorEastAsia"/>
          <w:color w:val="auto"/>
          <w:szCs w:val="21"/>
          <w:highlight w:val="none"/>
        </w:rPr>
        <w:t>，采取控制措施，停止使用并封存</w:t>
      </w:r>
      <w:r>
        <w:rPr>
          <w:rFonts w:hint="eastAsia" w:cs="Times New Roman" w:asciiTheme="minorEastAsia" w:hAnsiTheme="minorEastAsia"/>
          <w:color w:val="auto"/>
          <w:szCs w:val="21"/>
          <w:highlight w:val="none"/>
          <w:lang w:eastAsia="zh-CN"/>
        </w:rPr>
        <w:t>；</w:t>
      </w:r>
      <w:r>
        <w:rPr>
          <w:rFonts w:hint="eastAsia" w:cs="Times New Roman" w:asciiTheme="minorEastAsia" w:hAnsiTheme="minorEastAsia"/>
          <w:color w:val="auto"/>
          <w:szCs w:val="21"/>
          <w:highlight w:val="none"/>
          <w:lang w:val="en-US" w:eastAsia="zh-CN"/>
        </w:rPr>
        <w:t>二次检测结果与初次检测结果不一致的，应核查问题产生的原因，及时纠正。</w:t>
      </w:r>
    </w:p>
    <w:p w14:paraId="6688EBFF">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黑体" w:hAnsi="黑体" w:eastAsia="黑体" w:cs="Times New Roman"/>
          <w:b w:val="0"/>
          <w:bCs w:val="0"/>
          <w:color w:val="auto"/>
          <w:szCs w:val="21"/>
          <w:highlight w:val="none"/>
          <w:lang w:val="en-US" w:eastAsia="zh-CN"/>
        </w:rPr>
      </w:pPr>
      <w:r>
        <w:rPr>
          <w:rFonts w:hint="eastAsia" w:ascii="黑体" w:hAnsi="黑体" w:eastAsia="黑体"/>
          <w:color w:val="auto"/>
          <w:highlight w:val="none"/>
          <w:lang w:val="en-US" w:eastAsia="zh-CN"/>
        </w:rPr>
        <w:t>9.4</w:t>
      </w:r>
      <w:r>
        <w:rPr>
          <w:rFonts w:hint="eastAsia" w:ascii="黑体" w:hAnsi="黑体" w:eastAsia="黑体" w:cs="Times New Roman"/>
          <w:b w:val="0"/>
          <w:bCs w:val="0"/>
          <w:color w:val="auto"/>
          <w:szCs w:val="21"/>
          <w:highlight w:val="none"/>
          <w:lang w:val="en-US" w:eastAsia="zh-CN"/>
        </w:rPr>
        <w:t>废弃物处理</w:t>
      </w:r>
    </w:p>
    <w:p w14:paraId="673E9558">
      <w:pPr>
        <w:keepNext w:val="0"/>
        <w:keepLines w:val="0"/>
        <w:pageBreakBefore w:val="0"/>
        <w:widowControl w:val="0"/>
        <w:kinsoku/>
        <w:wordWrap/>
        <w:overflowPunct/>
        <w:topLinePunct w:val="0"/>
        <w:autoSpaceDE/>
        <w:autoSpaceDN/>
        <w:bidi w:val="0"/>
        <w:adjustRightInd/>
        <w:snapToGrid/>
        <w:spacing w:before="157" w:beforeLines="50" w:after="157" w:afterLines="50"/>
        <w:ind w:firstLine="420" w:firstLineChars="200"/>
        <w:textAlignment w:val="auto"/>
        <w:rPr>
          <w:rFonts w:hint="default" w:ascii="黑体" w:hAnsi="黑体" w:eastAsia="黑体" w:cs="Times New Roman"/>
          <w:b w:val="0"/>
          <w:bCs w:val="0"/>
          <w:color w:val="auto"/>
          <w:szCs w:val="21"/>
          <w:highlight w:val="none"/>
          <w:lang w:val="en-US" w:eastAsia="zh-CN"/>
        </w:rPr>
      </w:pPr>
      <w:r>
        <w:rPr>
          <w:rFonts w:hint="eastAsia" w:cs="Times New Roman" w:asciiTheme="minorEastAsia" w:hAnsiTheme="minorEastAsia"/>
          <w:color w:val="auto"/>
          <w:szCs w:val="21"/>
          <w:highlight w:val="none"/>
        </w:rPr>
        <w:t>检测过程中产生的废弃物</w:t>
      </w:r>
      <w:r>
        <w:rPr>
          <w:rFonts w:hint="eastAsia" w:cs="Times New Roman" w:asciiTheme="minorEastAsia" w:hAnsiTheme="minorEastAsia"/>
          <w:color w:val="auto"/>
          <w:szCs w:val="21"/>
          <w:highlight w:val="none"/>
          <w:lang w:val="en-US" w:eastAsia="zh-CN"/>
        </w:rPr>
        <w:t>应回收统一交</w:t>
      </w:r>
      <w:r>
        <w:rPr>
          <w:rFonts w:hint="eastAsia" w:cs="Times New Roman" w:asciiTheme="minorEastAsia" w:hAnsiTheme="minorEastAsia"/>
          <w:color w:val="auto"/>
          <w:szCs w:val="21"/>
          <w:highlight w:val="none"/>
        </w:rPr>
        <w:t>由专业机构处理，并做好处置记录。</w:t>
      </w:r>
    </w:p>
    <w:p w14:paraId="0C91AD9C">
      <w:pPr>
        <w:keepNext w:val="0"/>
        <w:keepLines w:val="0"/>
        <w:pageBreakBefore w:val="0"/>
        <w:widowControl w:val="0"/>
        <w:kinsoku/>
        <w:wordWrap/>
        <w:overflowPunct/>
        <w:topLinePunct w:val="0"/>
        <w:autoSpaceDE/>
        <w:autoSpaceDN/>
        <w:bidi w:val="0"/>
        <w:adjustRightInd/>
        <w:snapToGrid/>
        <w:spacing w:before="312" w:beforeLines="100" w:after="312" w:afterLines="100"/>
        <w:textAlignment w:val="auto"/>
        <w:outlineLvl w:val="0"/>
        <w:rPr>
          <w:rFonts w:hint="eastAsia" w:ascii="黑体" w:hAnsi="黑体" w:eastAsia="黑体"/>
          <w:color w:val="auto"/>
          <w:szCs w:val="21"/>
          <w:highlight w:val="none"/>
        </w:rPr>
      </w:pPr>
      <w:bookmarkStart w:id="31" w:name="_Toc6941"/>
      <w:r>
        <w:rPr>
          <w:rFonts w:hint="eastAsia" w:ascii="黑体" w:hAnsi="黑体" w:eastAsia="黑体"/>
          <w:color w:val="auto"/>
          <w:szCs w:val="21"/>
          <w:highlight w:val="none"/>
          <w:lang w:val="en-US" w:eastAsia="zh-CN"/>
        </w:rPr>
        <w:t>10</w:t>
      </w:r>
      <w:r>
        <w:rPr>
          <w:rFonts w:hint="eastAsia" w:ascii="黑体" w:hAnsi="黑体" w:eastAsia="黑体"/>
          <w:color w:val="auto"/>
          <w:szCs w:val="21"/>
          <w:highlight w:val="none"/>
        </w:rPr>
        <w:t>资料归档</w:t>
      </w:r>
      <w:bookmarkEnd w:id="31"/>
    </w:p>
    <w:p w14:paraId="4BBDF431">
      <w:pPr>
        <w:ind w:firstLine="405"/>
        <w:rPr>
          <w:rFonts w:hint="eastAsia" w:asciiTheme="minorEastAsia" w:hAnsiTheme="minorEastAsia"/>
          <w:color w:val="auto"/>
          <w:highlight w:val="none"/>
        </w:rPr>
      </w:pPr>
      <w:r>
        <w:rPr>
          <w:rFonts w:hint="eastAsia" w:asciiTheme="minorEastAsia" w:hAnsiTheme="minorEastAsia"/>
          <w:color w:val="auto"/>
          <w:highlight w:val="none"/>
        </w:rPr>
        <w:t>重大活动结束后10个工作日内，应将活动期间的食品快速检测相关记录和资料统一归档保存。</w:t>
      </w:r>
    </w:p>
    <w:p w14:paraId="514DD052">
      <w:pPr>
        <w:keepNext w:val="0"/>
        <w:keepLines w:val="0"/>
        <w:pageBreakBefore w:val="0"/>
        <w:widowControl w:val="0"/>
        <w:kinsoku/>
        <w:wordWrap/>
        <w:overflowPunct/>
        <w:topLinePunct w:val="0"/>
        <w:autoSpaceDE/>
        <w:autoSpaceDN/>
        <w:bidi w:val="0"/>
        <w:adjustRightInd/>
        <w:snapToGrid/>
        <w:spacing w:before="313" w:beforeLines="100" w:after="313" w:afterLines="100"/>
        <w:textAlignment w:val="auto"/>
        <w:outlineLvl w:val="0"/>
        <w:rPr>
          <w:rFonts w:hint="default" w:asciiTheme="minorEastAsia" w:hAnsiTheme="minorEastAsia"/>
          <w:color w:val="auto"/>
          <w:highlight w:val="none"/>
          <w:lang w:val="en-US"/>
        </w:rPr>
      </w:pPr>
      <w:bookmarkStart w:id="32" w:name="_Toc9851"/>
      <w:r>
        <w:rPr>
          <w:rFonts w:hint="eastAsia" w:ascii="黑体" w:hAnsi="黑体" w:eastAsia="黑体"/>
          <w:color w:val="auto"/>
          <w:szCs w:val="21"/>
          <w:highlight w:val="none"/>
          <w:lang w:val="en-US" w:eastAsia="zh-CN"/>
        </w:rPr>
        <w:t>11监督检查</w:t>
      </w:r>
      <w:bookmarkEnd w:id="32"/>
    </w:p>
    <w:p w14:paraId="714BA1F8">
      <w:pPr>
        <w:widowControl/>
        <w:ind w:firstLine="420" w:firstLineChars="200"/>
        <w:jc w:val="left"/>
        <w:rPr>
          <w:rFonts w:hint="default" w:cs="Times New Roman" w:asciiTheme="minorEastAsia" w:hAnsiTheme="minorEastAsia"/>
          <w:color w:val="auto"/>
          <w:szCs w:val="21"/>
          <w:highlight w:val="none"/>
          <w:lang w:val="en-US" w:eastAsia="zh-CN"/>
        </w:rPr>
      </w:pPr>
      <w:r>
        <w:rPr>
          <w:rFonts w:hint="eastAsia" w:cs="Times New Roman" w:asciiTheme="minorEastAsia" w:hAnsiTheme="minorEastAsia"/>
          <w:color w:val="auto"/>
          <w:szCs w:val="21"/>
          <w:highlight w:val="none"/>
          <w:lang w:val="en-US" w:eastAsia="zh-CN"/>
        </w:rPr>
        <w:t>采用监督检查的方式，应保留重大活动食品快检场地设施、设备档案、人员考核培训档案、工作制度、快检产品、原始记录等文件资料，核查重大活动食品快速检测的场地设施、设备、人员、快检产品和检测流程等方面的规范性、符合性。</w:t>
      </w:r>
    </w:p>
    <w:p w14:paraId="0E84F40C">
      <w:pPr>
        <w:rPr>
          <w:rFonts w:hint="eastAsia" w:ascii="黑体" w:hAnsi="黑体" w:eastAsia="黑体"/>
          <w:color w:val="auto"/>
          <w:sz w:val="21"/>
          <w:szCs w:val="21"/>
          <w:highlight w:val="none"/>
        </w:rPr>
      </w:pPr>
      <w:r>
        <w:rPr>
          <w:rFonts w:asciiTheme="minorEastAsia" w:hAnsiTheme="minorEastAsia"/>
          <w:color w:val="auto"/>
          <w:highlight w:val="none"/>
        </w:rPr>
        <w:br w:type="page"/>
      </w:r>
      <w:bookmarkStart w:id="33" w:name="_Toc160440602"/>
      <w:bookmarkStart w:id="34" w:name="_Toc2337"/>
    </w:p>
    <w:p w14:paraId="53E40D38">
      <w:pPr>
        <w:keepNext w:val="0"/>
        <w:keepLines w:val="0"/>
        <w:pageBreakBefore w:val="0"/>
        <w:widowControl w:val="0"/>
        <w:kinsoku/>
        <w:wordWrap/>
        <w:overflowPunct/>
        <w:topLinePunct w:val="0"/>
        <w:autoSpaceDE/>
        <w:autoSpaceDN/>
        <w:bidi w:val="0"/>
        <w:adjustRightInd/>
        <w:snapToGrid/>
        <w:jc w:val="both"/>
        <w:textAlignment w:val="auto"/>
        <w:outlineLvl w:val="0"/>
        <w:rPr>
          <w:rFonts w:hint="eastAsia" w:ascii="黑体" w:hAnsi="黑体" w:eastAsia="黑体"/>
          <w:color w:val="auto"/>
          <w:spacing w:val="20"/>
          <w:sz w:val="21"/>
          <w:szCs w:val="21"/>
          <w:highlight w:val="none"/>
        </w:rPr>
        <w:sectPr>
          <w:footerReference r:id="rId21" w:type="default"/>
          <w:footerReference r:id="rId22" w:type="even"/>
          <w:pgSz w:w="11906" w:h="16838"/>
          <w:pgMar w:top="1440" w:right="1134" w:bottom="1440" w:left="1417" w:header="851" w:footer="992" w:gutter="0"/>
          <w:pgNumType w:fmt="decimal"/>
          <w:cols w:space="0" w:num="1"/>
          <w:docGrid w:type="lines" w:linePitch="312" w:charSpace="0"/>
        </w:sectPr>
      </w:pPr>
    </w:p>
    <w:p w14:paraId="156383A7">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黑体" w:hAnsi="黑体" w:eastAsia="黑体"/>
          <w:color w:val="auto"/>
          <w:spacing w:val="20"/>
          <w:sz w:val="21"/>
          <w:szCs w:val="21"/>
          <w:highlight w:val="none"/>
        </w:rPr>
      </w:pPr>
    </w:p>
    <w:p w14:paraId="62153222">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黑体" w:hAnsi="黑体" w:eastAsia="黑体"/>
          <w:color w:val="auto"/>
          <w:spacing w:val="20"/>
          <w:sz w:val="21"/>
          <w:szCs w:val="21"/>
          <w:highlight w:val="none"/>
        </w:rPr>
      </w:pPr>
    </w:p>
    <w:p w14:paraId="449DA539">
      <w:pPr>
        <w:keepNext w:val="0"/>
        <w:keepLines w:val="0"/>
        <w:pageBreakBefore w:val="0"/>
        <w:widowControl w:val="0"/>
        <w:kinsoku/>
        <w:wordWrap/>
        <w:overflowPunct/>
        <w:topLinePunct w:val="0"/>
        <w:autoSpaceDE/>
        <w:autoSpaceDN/>
        <w:bidi w:val="0"/>
        <w:adjustRightInd/>
        <w:snapToGrid/>
        <w:jc w:val="center"/>
        <w:textAlignment w:val="auto"/>
        <w:outlineLvl w:val="0"/>
        <w:rPr>
          <w:rFonts w:ascii="黑体" w:hAnsi="黑体" w:eastAsia="黑体"/>
          <w:color w:val="auto"/>
          <w:spacing w:val="20"/>
          <w:sz w:val="21"/>
          <w:szCs w:val="21"/>
          <w:highlight w:val="none"/>
        </w:rPr>
      </w:pPr>
      <w:r>
        <w:rPr>
          <w:rFonts w:hint="eastAsia" w:ascii="黑体" w:hAnsi="黑体" w:eastAsia="黑体"/>
          <w:color w:val="auto"/>
          <w:spacing w:val="20"/>
          <w:sz w:val="21"/>
          <w:szCs w:val="21"/>
          <w:highlight w:val="none"/>
        </w:rPr>
        <w:t>附录</w:t>
      </w:r>
      <w:r>
        <w:rPr>
          <w:rFonts w:ascii="黑体" w:hAnsi="黑体" w:eastAsia="黑体"/>
          <w:color w:val="auto"/>
          <w:spacing w:val="20"/>
          <w:sz w:val="21"/>
          <w:szCs w:val="21"/>
          <w:highlight w:val="none"/>
        </w:rPr>
        <w:t>A</w:t>
      </w:r>
    </w:p>
    <w:p w14:paraId="305B8B36">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黑体" w:hAnsi="黑体" w:eastAsia="黑体"/>
          <w:color w:val="auto"/>
          <w:sz w:val="21"/>
          <w:szCs w:val="21"/>
          <w:highlight w:val="none"/>
        </w:rPr>
      </w:pPr>
      <w:r>
        <w:rPr>
          <w:rFonts w:hint="eastAsia" w:ascii="黑体" w:hAnsi="黑体" w:eastAsia="黑体"/>
          <w:color w:val="auto"/>
          <w:sz w:val="21"/>
          <w:szCs w:val="21"/>
          <w:highlight w:val="none"/>
        </w:rPr>
        <w:t>（资料性）</w:t>
      </w:r>
    </w:p>
    <w:p w14:paraId="106A9F7B">
      <w:pPr>
        <w:keepNext w:val="0"/>
        <w:keepLines w:val="0"/>
        <w:pageBreakBefore w:val="0"/>
        <w:widowControl w:val="0"/>
        <w:kinsoku/>
        <w:wordWrap/>
        <w:overflowPunct/>
        <w:topLinePunct w:val="0"/>
        <w:autoSpaceDE/>
        <w:autoSpaceDN/>
        <w:bidi w:val="0"/>
        <w:adjustRightInd/>
        <w:snapToGrid/>
        <w:jc w:val="center"/>
        <w:textAlignment w:val="auto"/>
        <w:outlineLvl w:val="0"/>
        <w:rPr>
          <w:rFonts w:hint="eastAsia" w:ascii="黑体" w:hAnsi="黑体" w:eastAsia="黑体"/>
          <w:color w:val="auto"/>
          <w:sz w:val="18"/>
          <w:szCs w:val="18"/>
          <w:highlight w:val="none"/>
        </w:rPr>
      </w:pPr>
      <w:r>
        <w:rPr>
          <w:rFonts w:hint="eastAsia" w:ascii="黑体" w:hAnsi="黑体" w:eastAsia="黑体"/>
          <w:color w:val="auto"/>
          <w:sz w:val="21"/>
          <w:szCs w:val="21"/>
          <w:highlight w:val="none"/>
        </w:rPr>
        <w:t>重大活动食品快检仪器设备基础配置表</w:t>
      </w:r>
      <w:bookmarkEnd w:id="33"/>
      <w:bookmarkEnd w:id="34"/>
    </w:p>
    <w:tbl>
      <w:tblPr>
        <w:tblStyle w:val="10"/>
        <w:tblW w:w="86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00"/>
        <w:gridCol w:w="675"/>
        <w:gridCol w:w="2212"/>
        <w:gridCol w:w="4165"/>
      </w:tblGrid>
      <w:tr w14:paraId="4D7CE7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Align w:val="center"/>
          </w:tcPr>
          <w:p w14:paraId="6574DA4B">
            <w:pPr>
              <w:spacing w:line="360" w:lineRule="auto"/>
              <w:jc w:val="center"/>
              <w:rPr>
                <w:rFonts w:ascii="Times New Roman" w:hAnsi="Times New Roman" w:eastAsia="宋体" w:cs="Times New Roman"/>
                <w:color w:val="auto"/>
                <w:kern w:val="0"/>
                <w:sz w:val="18"/>
                <w:szCs w:val="18"/>
                <w:highlight w:val="none"/>
              </w:rPr>
            </w:pPr>
            <w:r>
              <w:rPr>
                <w:rFonts w:hint="eastAsia" w:ascii="Times New Roman" w:hAnsi="Times New Roman" w:eastAsia="宋体" w:cs="Times New Roman"/>
                <w:color w:val="auto"/>
                <w:kern w:val="0"/>
                <w:sz w:val="18"/>
                <w:szCs w:val="18"/>
                <w:highlight w:val="none"/>
              </w:rPr>
              <w:t>类别</w:t>
            </w:r>
          </w:p>
        </w:tc>
        <w:tc>
          <w:tcPr>
            <w:tcW w:w="675" w:type="dxa"/>
            <w:vAlign w:val="center"/>
          </w:tcPr>
          <w:p w14:paraId="4EE75A51">
            <w:pPr>
              <w:spacing w:line="360" w:lineRule="auto"/>
              <w:jc w:val="center"/>
              <w:rPr>
                <w:rFonts w:ascii="Times New Roman" w:hAnsi="Times New Roman" w:eastAsia="宋体" w:cs="Times New Roman"/>
                <w:color w:val="auto"/>
                <w:kern w:val="0"/>
                <w:sz w:val="18"/>
                <w:szCs w:val="18"/>
                <w:highlight w:val="none"/>
              </w:rPr>
            </w:pPr>
            <w:r>
              <w:rPr>
                <w:rFonts w:hint="eastAsia" w:ascii="Times New Roman" w:hAnsi="Times New Roman" w:eastAsia="宋体" w:cs="Times New Roman"/>
                <w:color w:val="auto"/>
                <w:kern w:val="0"/>
                <w:sz w:val="18"/>
                <w:szCs w:val="18"/>
                <w:highlight w:val="none"/>
              </w:rPr>
              <w:t>序号</w:t>
            </w:r>
          </w:p>
        </w:tc>
        <w:tc>
          <w:tcPr>
            <w:tcW w:w="2212" w:type="dxa"/>
            <w:vAlign w:val="center"/>
          </w:tcPr>
          <w:p w14:paraId="1C80C4EC">
            <w:pPr>
              <w:spacing w:line="360" w:lineRule="auto"/>
              <w:jc w:val="center"/>
              <w:rPr>
                <w:rFonts w:ascii="Times New Roman" w:hAnsi="Times New Roman" w:eastAsia="宋体" w:cs="Times New Roman"/>
                <w:color w:val="auto"/>
                <w:kern w:val="0"/>
                <w:sz w:val="18"/>
                <w:szCs w:val="18"/>
                <w:highlight w:val="none"/>
              </w:rPr>
            </w:pPr>
            <w:r>
              <w:rPr>
                <w:rFonts w:hint="eastAsia" w:ascii="Times New Roman" w:hAnsi="Times New Roman" w:eastAsia="宋体" w:cs="Times New Roman"/>
                <w:color w:val="auto"/>
                <w:kern w:val="0"/>
                <w:sz w:val="18"/>
                <w:szCs w:val="18"/>
                <w:highlight w:val="none"/>
              </w:rPr>
              <w:t>设备名称</w:t>
            </w:r>
          </w:p>
        </w:tc>
        <w:tc>
          <w:tcPr>
            <w:tcW w:w="4165" w:type="dxa"/>
            <w:vAlign w:val="center"/>
          </w:tcPr>
          <w:p w14:paraId="130F5001">
            <w:pPr>
              <w:spacing w:line="360" w:lineRule="auto"/>
              <w:jc w:val="center"/>
              <w:rPr>
                <w:rFonts w:ascii="Times New Roman" w:hAnsi="Times New Roman" w:eastAsia="宋体" w:cs="Times New Roman"/>
                <w:color w:val="auto"/>
                <w:kern w:val="0"/>
                <w:sz w:val="18"/>
                <w:szCs w:val="18"/>
                <w:highlight w:val="none"/>
              </w:rPr>
            </w:pPr>
            <w:r>
              <w:rPr>
                <w:rFonts w:hint="eastAsia" w:ascii="Times New Roman" w:hAnsi="Times New Roman" w:eastAsia="宋体" w:cs="Times New Roman"/>
                <w:color w:val="auto"/>
                <w:kern w:val="0"/>
                <w:sz w:val="18"/>
                <w:szCs w:val="18"/>
                <w:highlight w:val="none"/>
              </w:rPr>
              <w:t>主要功能或参数</w:t>
            </w:r>
          </w:p>
        </w:tc>
      </w:tr>
      <w:tr w14:paraId="2946C0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restart"/>
            <w:vAlign w:val="center"/>
          </w:tcPr>
          <w:p w14:paraId="4BD05287">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基础设备</w:t>
            </w:r>
          </w:p>
        </w:tc>
        <w:tc>
          <w:tcPr>
            <w:tcW w:w="675" w:type="dxa"/>
            <w:vAlign w:val="center"/>
          </w:tcPr>
          <w:p w14:paraId="11FAE2DB">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w:t>
            </w:r>
          </w:p>
        </w:tc>
        <w:tc>
          <w:tcPr>
            <w:tcW w:w="2212" w:type="dxa"/>
            <w:vAlign w:val="center"/>
          </w:tcPr>
          <w:p w14:paraId="60DDAEEB">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电子天平</w:t>
            </w:r>
          </w:p>
        </w:tc>
        <w:tc>
          <w:tcPr>
            <w:tcW w:w="4165" w:type="dxa"/>
            <w:vAlign w:val="center"/>
          </w:tcPr>
          <w:p w14:paraId="338C5286">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用于样品称量，精度0.01g</w:t>
            </w:r>
          </w:p>
        </w:tc>
      </w:tr>
      <w:tr w14:paraId="4EAD3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1A5DC9C4">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1B121E46">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2</w:t>
            </w:r>
          </w:p>
        </w:tc>
        <w:tc>
          <w:tcPr>
            <w:tcW w:w="2212" w:type="dxa"/>
            <w:vAlign w:val="center"/>
          </w:tcPr>
          <w:p w14:paraId="21203481">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移液器</w:t>
            </w:r>
          </w:p>
        </w:tc>
        <w:tc>
          <w:tcPr>
            <w:tcW w:w="4165" w:type="dxa"/>
            <w:vAlign w:val="center"/>
          </w:tcPr>
          <w:p w14:paraId="6B8B00DE">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用于液体试剂移取，量程10μL-100μL，100μL -1000μL，1mL-5mL</w:t>
            </w:r>
          </w:p>
        </w:tc>
      </w:tr>
      <w:tr w14:paraId="65D37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65AAAE39">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5FEAA8DB">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3</w:t>
            </w:r>
          </w:p>
        </w:tc>
        <w:tc>
          <w:tcPr>
            <w:tcW w:w="2212" w:type="dxa"/>
            <w:vAlign w:val="center"/>
          </w:tcPr>
          <w:p w14:paraId="485CC5D4">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食品采样箱</w:t>
            </w:r>
          </w:p>
        </w:tc>
        <w:tc>
          <w:tcPr>
            <w:tcW w:w="4165" w:type="dxa"/>
            <w:vAlign w:val="center"/>
          </w:tcPr>
          <w:p w14:paraId="2A1E41EA">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用于采样和保存</w:t>
            </w:r>
          </w:p>
        </w:tc>
      </w:tr>
      <w:tr w14:paraId="7D3DF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7C8B7E78">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0E7FC3BF">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4</w:t>
            </w:r>
          </w:p>
        </w:tc>
        <w:tc>
          <w:tcPr>
            <w:tcW w:w="2212" w:type="dxa"/>
            <w:vAlign w:val="center"/>
          </w:tcPr>
          <w:p w14:paraId="56853D7E">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冰箱</w:t>
            </w:r>
          </w:p>
        </w:tc>
        <w:tc>
          <w:tcPr>
            <w:tcW w:w="4165" w:type="dxa"/>
            <w:vAlign w:val="center"/>
          </w:tcPr>
          <w:p w14:paraId="5094F313">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用于试剂或样品的保存，冷藏、冷冻两用</w:t>
            </w:r>
          </w:p>
        </w:tc>
      </w:tr>
      <w:tr w14:paraId="36EB75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restart"/>
            <w:vAlign w:val="center"/>
          </w:tcPr>
          <w:p w14:paraId="4CBCCA0A">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前处理设备</w:t>
            </w:r>
          </w:p>
        </w:tc>
        <w:tc>
          <w:tcPr>
            <w:tcW w:w="675" w:type="dxa"/>
            <w:vAlign w:val="center"/>
          </w:tcPr>
          <w:p w14:paraId="019FD1F4">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5</w:t>
            </w:r>
          </w:p>
        </w:tc>
        <w:tc>
          <w:tcPr>
            <w:tcW w:w="2212" w:type="dxa"/>
            <w:shd w:val="clear" w:color="auto" w:fill="auto"/>
            <w:vAlign w:val="center"/>
          </w:tcPr>
          <w:p w14:paraId="6B463BD4">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恒温水浴锅</w:t>
            </w:r>
          </w:p>
        </w:tc>
        <w:tc>
          <w:tcPr>
            <w:tcW w:w="4165" w:type="dxa"/>
            <w:shd w:val="clear" w:color="auto" w:fill="auto"/>
            <w:vAlign w:val="center"/>
          </w:tcPr>
          <w:p w14:paraId="00722B15">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用于样品的恒温加热处理</w:t>
            </w:r>
          </w:p>
        </w:tc>
      </w:tr>
      <w:tr w14:paraId="6C94F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0203FA24">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6D9FF079">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6</w:t>
            </w:r>
          </w:p>
        </w:tc>
        <w:tc>
          <w:tcPr>
            <w:tcW w:w="2212" w:type="dxa"/>
            <w:shd w:val="clear" w:color="auto" w:fill="auto"/>
            <w:vAlign w:val="center"/>
          </w:tcPr>
          <w:p w14:paraId="2BD9310C">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粉碎机</w:t>
            </w:r>
          </w:p>
        </w:tc>
        <w:tc>
          <w:tcPr>
            <w:tcW w:w="4165" w:type="dxa"/>
            <w:shd w:val="clear" w:color="auto" w:fill="auto"/>
            <w:vAlign w:val="center"/>
          </w:tcPr>
          <w:p w14:paraId="463B50BB">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用于样品的粉碎、均质</w:t>
            </w:r>
          </w:p>
        </w:tc>
      </w:tr>
      <w:tr w14:paraId="2CBCC1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600" w:type="dxa"/>
            <w:vMerge w:val="continue"/>
            <w:vAlign w:val="center"/>
          </w:tcPr>
          <w:p w14:paraId="2A156137">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113F3667">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7</w:t>
            </w:r>
          </w:p>
        </w:tc>
        <w:tc>
          <w:tcPr>
            <w:tcW w:w="2212" w:type="dxa"/>
            <w:shd w:val="clear" w:color="auto" w:fill="auto"/>
            <w:vAlign w:val="center"/>
          </w:tcPr>
          <w:p w14:paraId="4116C278">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离心机</w:t>
            </w:r>
          </w:p>
        </w:tc>
        <w:tc>
          <w:tcPr>
            <w:tcW w:w="4165" w:type="dxa"/>
            <w:shd w:val="clear" w:color="auto" w:fill="auto"/>
            <w:vAlign w:val="center"/>
          </w:tcPr>
          <w:p w14:paraId="212F4026">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用于样品的提取分离</w:t>
            </w:r>
          </w:p>
        </w:tc>
      </w:tr>
      <w:tr w14:paraId="7E20B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60537C54">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7DD59766">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8</w:t>
            </w:r>
          </w:p>
        </w:tc>
        <w:tc>
          <w:tcPr>
            <w:tcW w:w="2212" w:type="dxa"/>
            <w:shd w:val="clear" w:color="auto" w:fill="auto"/>
            <w:vAlign w:val="center"/>
          </w:tcPr>
          <w:p w14:paraId="061E320C">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涡旋混合器</w:t>
            </w:r>
          </w:p>
        </w:tc>
        <w:tc>
          <w:tcPr>
            <w:tcW w:w="4165" w:type="dxa"/>
            <w:shd w:val="clear" w:color="auto" w:fill="auto"/>
            <w:vAlign w:val="center"/>
          </w:tcPr>
          <w:p w14:paraId="4F72B1ED">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用于样品混匀</w:t>
            </w:r>
          </w:p>
        </w:tc>
      </w:tr>
      <w:tr w14:paraId="4C3ED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489D9017">
            <w:pPr>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5FAD92C0">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9</w:t>
            </w:r>
          </w:p>
        </w:tc>
        <w:tc>
          <w:tcPr>
            <w:tcW w:w="2212" w:type="dxa"/>
            <w:shd w:val="clear" w:color="auto" w:fill="auto"/>
            <w:vAlign w:val="center"/>
          </w:tcPr>
          <w:p w14:paraId="20E3CC22">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样品浓缩仪</w:t>
            </w:r>
          </w:p>
        </w:tc>
        <w:tc>
          <w:tcPr>
            <w:tcW w:w="4165" w:type="dxa"/>
            <w:shd w:val="clear" w:color="auto" w:fill="auto"/>
            <w:vAlign w:val="center"/>
          </w:tcPr>
          <w:p w14:paraId="5E1AFBE8">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用于样品的浓缩处理</w:t>
            </w:r>
          </w:p>
        </w:tc>
      </w:tr>
      <w:tr w14:paraId="73AD1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22FEF107">
            <w:pPr>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29715915">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10</w:t>
            </w:r>
          </w:p>
        </w:tc>
        <w:tc>
          <w:tcPr>
            <w:tcW w:w="2212" w:type="dxa"/>
            <w:shd w:val="clear" w:color="auto" w:fill="auto"/>
            <w:vAlign w:val="center"/>
          </w:tcPr>
          <w:p w14:paraId="7C7355AA">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固相萃取仪</w:t>
            </w:r>
          </w:p>
        </w:tc>
        <w:tc>
          <w:tcPr>
            <w:tcW w:w="4165" w:type="dxa"/>
            <w:shd w:val="clear" w:color="auto" w:fill="auto"/>
            <w:vAlign w:val="center"/>
          </w:tcPr>
          <w:p w14:paraId="6FAA4F32">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用于样品的萃取浓缩</w:t>
            </w:r>
          </w:p>
        </w:tc>
      </w:tr>
      <w:tr w14:paraId="66315F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restart"/>
            <w:vAlign w:val="center"/>
          </w:tcPr>
          <w:p w14:paraId="521E6501">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检测设备</w:t>
            </w:r>
          </w:p>
        </w:tc>
        <w:tc>
          <w:tcPr>
            <w:tcW w:w="675" w:type="dxa"/>
            <w:vAlign w:val="center"/>
          </w:tcPr>
          <w:p w14:paraId="7315B64B">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11</w:t>
            </w:r>
          </w:p>
        </w:tc>
        <w:tc>
          <w:tcPr>
            <w:tcW w:w="2212" w:type="dxa"/>
            <w:shd w:val="clear" w:color="auto" w:fill="auto"/>
            <w:vAlign w:val="center"/>
          </w:tcPr>
          <w:p w14:paraId="22FF60C5">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农药残留快速检测仪</w:t>
            </w:r>
          </w:p>
        </w:tc>
        <w:tc>
          <w:tcPr>
            <w:tcW w:w="4165" w:type="dxa"/>
            <w:shd w:val="clear" w:color="auto" w:fill="auto"/>
            <w:vAlign w:val="center"/>
          </w:tcPr>
          <w:p w14:paraId="3A30336B">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用于农药残留检测</w:t>
            </w:r>
          </w:p>
        </w:tc>
      </w:tr>
      <w:tr w14:paraId="721DA0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0F1BEF07">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3DAD9830">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12</w:t>
            </w:r>
          </w:p>
        </w:tc>
        <w:tc>
          <w:tcPr>
            <w:tcW w:w="2212" w:type="dxa"/>
            <w:shd w:val="clear" w:color="auto" w:fill="auto"/>
            <w:vAlign w:val="center"/>
          </w:tcPr>
          <w:p w14:paraId="47B44F91">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胶体金读数仪</w:t>
            </w:r>
          </w:p>
        </w:tc>
        <w:tc>
          <w:tcPr>
            <w:tcW w:w="4165" w:type="dxa"/>
            <w:shd w:val="clear" w:color="auto" w:fill="auto"/>
            <w:vAlign w:val="center"/>
          </w:tcPr>
          <w:p w14:paraId="6B5D3741">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用于胶体金卡结果判读</w:t>
            </w:r>
          </w:p>
        </w:tc>
      </w:tr>
      <w:tr w14:paraId="6D3AF4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75AA6550">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24FDA520">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13</w:t>
            </w:r>
          </w:p>
        </w:tc>
        <w:tc>
          <w:tcPr>
            <w:tcW w:w="2212" w:type="dxa"/>
            <w:shd w:val="clear" w:color="auto" w:fill="auto"/>
            <w:vAlign w:val="center"/>
          </w:tcPr>
          <w:p w14:paraId="31B4883B">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便携式拉曼光谱仪</w:t>
            </w:r>
          </w:p>
        </w:tc>
        <w:tc>
          <w:tcPr>
            <w:tcW w:w="4165" w:type="dxa"/>
            <w:shd w:val="clear" w:color="auto" w:fill="auto"/>
            <w:vAlign w:val="center"/>
          </w:tcPr>
          <w:p w14:paraId="75DAFD79">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用于样品拉曼光谱扫描</w:t>
            </w:r>
          </w:p>
        </w:tc>
      </w:tr>
      <w:tr w14:paraId="46FA0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09B29D7A">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24500EB0">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14</w:t>
            </w:r>
          </w:p>
        </w:tc>
        <w:tc>
          <w:tcPr>
            <w:tcW w:w="2212" w:type="dxa"/>
            <w:shd w:val="clear" w:color="auto" w:fill="auto"/>
            <w:vAlign w:val="center"/>
          </w:tcPr>
          <w:p w14:paraId="2E5046B6">
            <w:pPr>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重金属检测仪</w:t>
            </w:r>
          </w:p>
        </w:tc>
        <w:tc>
          <w:tcPr>
            <w:tcW w:w="4165" w:type="dxa"/>
            <w:shd w:val="clear" w:color="auto" w:fill="auto"/>
            <w:vAlign w:val="center"/>
          </w:tcPr>
          <w:p w14:paraId="58B5869D">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用于食品中重金属的检测</w:t>
            </w:r>
          </w:p>
        </w:tc>
      </w:tr>
      <w:tr w14:paraId="3AAED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020559F5">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2258B584">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15</w:t>
            </w:r>
          </w:p>
        </w:tc>
        <w:tc>
          <w:tcPr>
            <w:tcW w:w="2212" w:type="dxa"/>
            <w:shd w:val="clear" w:color="auto" w:fill="auto"/>
            <w:vAlign w:val="center"/>
          </w:tcPr>
          <w:p w14:paraId="4038548F">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荧光速测仪</w:t>
            </w:r>
          </w:p>
        </w:tc>
        <w:tc>
          <w:tcPr>
            <w:tcW w:w="4165" w:type="dxa"/>
            <w:shd w:val="clear" w:color="auto" w:fill="auto"/>
            <w:vAlign w:val="center"/>
          </w:tcPr>
          <w:p w14:paraId="4C10C6FE">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用于测定免疫试纸条的荧光强度</w:t>
            </w:r>
          </w:p>
        </w:tc>
      </w:tr>
      <w:tr w14:paraId="51CD0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61943779">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0E20F992">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16</w:t>
            </w:r>
          </w:p>
        </w:tc>
        <w:tc>
          <w:tcPr>
            <w:tcW w:w="2212" w:type="dxa"/>
            <w:shd w:val="clear" w:color="auto" w:fill="auto"/>
            <w:vAlign w:val="center"/>
          </w:tcPr>
          <w:p w14:paraId="22131D00">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ATP表面洁净度检测仪</w:t>
            </w:r>
          </w:p>
        </w:tc>
        <w:tc>
          <w:tcPr>
            <w:tcW w:w="4165" w:type="dxa"/>
            <w:shd w:val="clear" w:color="auto" w:fill="auto"/>
            <w:vAlign w:val="center"/>
          </w:tcPr>
          <w:p w14:paraId="524C3D00">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用于洁净度测定</w:t>
            </w:r>
          </w:p>
        </w:tc>
      </w:tr>
      <w:tr w14:paraId="275B5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4148FFE6">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288DEB67">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17</w:t>
            </w:r>
          </w:p>
        </w:tc>
        <w:tc>
          <w:tcPr>
            <w:tcW w:w="2212" w:type="dxa"/>
            <w:shd w:val="clear" w:color="auto" w:fill="auto"/>
            <w:vAlign w:val="center"/>
          </w:tcPr>
          <w:p w14:paraId="678CA7E1">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肉类水分速测仪</w:t>
            </w:r>
          </w:p>
        </w:tc>
        <w:tc>
          <w:tcPr>
            <w:tcW w:w="4165" w:type="dxa"/>
            <w:shd w:val="clear" w:color="auto" w:fill="auto"/>
            <w:vAlign w:val="center"/>
          </w:tcPr>
          <w:p w14:paraId="1A115E4C">
            <w:pPr>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用于肉类水分含量测定</w:t>
            </w:r>
          </w:p>
        </w:tc>
      </w:tr>
      <w:tr w14:paraId="58A7A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754883DF">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79F805BC">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18</w:t>
            </w:r>
          </w:p>
        </w:tc>
        <w:tc>
          <w:tcPr>
            <w:tcW w:w="2212" w:type="dxa"/>
            <w:shd w:val="clear" w:color="auto" w:fill="auto"/>
            <w:vAlign w:val="center"/>
          </w:tcPr>
          <w:p w14:paraId="3B00E3B9">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食用油品质检测仪</w:t>
            </w:r>
          </w:p>
        </w:tc>
        <w:tc>
          <w:tcPr>
            <w:tcW w:w="4165" w:type="dxa"/>
            <w:shd w:val="clear" w:color="auto" w:fill="auto"/>
            <w:vAlign w:val="center"/>
          </w:tcPr>
          <w:p w14:paraId="2C2D15BD">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用于食用油极性组分测定</w:t>
            </w:r>
          </w:p>
        </w:tc>
      </w:tr>
      <w:tr w14:paraId="5D43D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restart"/>
            <w:vAlign w:val="center"/>
          </w:tcPr>
          <w:p w14:paraId="3378D33E">
            <w:pPr>
              <w:spacing w:line="360" w:lineRule="auto"/>
              <w:jc w:val="center"/>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移动快检室</w:t>
            </w:r>
          </w:p>
        </w:tc>
        <w:tc>
          <w:tcPr>
            <w:tcW w:w="675" w:type="dxa"/>
            <w:vAlign w:val="center"/>
          </w:tcPr>
          <w:p w14:paraId="3D4CAD77">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19</w:t>
            </w:r>
          </w:p>
        </w:tc>
        <w:tc>
          <w:tcPr>
            <w:tcW w:w="2212" w:type="dxa"/>
            <w:shd w:val="clear" w:color="auto" w:fill="auto"/>
            <w:vAlign w:val="center"/>
          </w:tcPr>
          <w:p w14:paraId="41A7940F">
            <w:pPr>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车载冰箱</w:t>
            </w:r>
          </w:p>
        </w:tc>
        <w:tc>
          <w:tcPr>
            <w:tcW w:w="4165" w:type="dxa"/>
            <w:shd w:val="clear" w:color="auto" w:fill="auto"/>
            <w:vAlign w:val="center"/>
          </w:tcPr>
          <w:p w14:paraId="54E7D785">
            <w:pPr>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用于移动快检室样品和试剂的保存，冷藏、冷冻</w:t>
            </w:r>
          </w:p>
        </w:tc>
      </w:tr>
      <w:tr w14:paraId="44780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0F491466">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01A03E70">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20</w:t>
            </w:r>
          </w:p>
        </w:tc>
        <w:tc>
          <w:tcPr>
            <w:tcW w:w="2212" w:type="dxa"/>
            <w:shd w:val="clear" w:color="auto" w:fill="auto"/>
            <w:vAlign w:val="center"/>
          </w:tcPr>
          <w:p w14:paraId="7B87F6B2">
            <w:pPr>
              <w:spacing w:line="360" w:lineRule="auto"/>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保温箱</w:t>
            </w:r>
          </w:p>
        </w:tc>
        <w:tc>
          <w:tcPr>
            <w:tcW w:w="4165" w:type="dxa"/>
            <w:shd w:val="clear" w:color="auto" w:fill="auto"/>
            <w:vAlign w:val="center"/>
          </w:tcPr>
          <w:p w14:paraId="2A100AB8">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用于样品暂存</w:t>
            </w:r>
          </w:p>
        </w:tc>
      </w:tr>
      <w:tr w14:paraId="3D4F7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00" w:type="dxa"/>
            <w:vMerge w:val="continue"/>
            <w:vAlign w:val="center"/>
          </w:tcPr>
          <w:p w14:paraId="4B45B35A">
            <w:pPr>
              <w:spacing w:line="360" w:lineRule="auto"/>
              <w:jc w:val="center"/>
              <w:rPr>
                <w:rFonts w:hint="eastAsia" w:eastAsia="宋体" w:cs="Times New Roman" w:asciiTheme="minorEastAsia" w:hAnsiTheme="minorEastAsia"/>
                <w:color w:val="auto"/>
                <w:kern w:val="0"/>
                <w:sz w:val="18"/>
                <w:szCs w:val="18"/>
                <w:highlight w:val="none"/>
              </w:rPr>
            </w:pPr>
          </w:p>
        </w:tc>
        <w:tc>
          <w:tcPr>
            <w:tcW w:w="675" w:type="dxa"/>
            <w:vAlign w:val="center"/>
          </w:tcPr>
          <w:p w14:paraId="4BFE5E95">
            <w:pPr>
              <w:spacing w:line="360" w:lineRule="auto"/>
              <w:jc w:val="center"/>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21</w:t>
            </w:r>
          </w:p>
        </w:tc>
        <w:tc>
          <w:tcPr>
            <w:tcW w:w="2212" w:type="dxa"/>
            <w:shd w:val="clear" w:color="auto" w:fill="auto"/>
            <w:vAlign w:val="center"/>
          </w:tcPr>
          <w:p w14:paraId="787F60A1">
            <w:pPr>
              <w:spacing w:line="360" w:lineRule="auto"/>
              <w:jc w:val="left"/>
              <w:rPr>
                <w:rFonts w:hint="eastAsia" w:eastAsia="宋体" w:cs="Times New Roman" w:asciiTheme="minorEastAsia" w:hAnsiTheme="minorEastAsia"/>
                <w:color w:val="auto"/>
                <w:kern w:val="0"/>
                <w:sz w:val="18"/>
                <w:szCs w:val="18"/>
                <w:highlight w:val="none"/>
              </w:rPr>
            </w:pPr>
            <w:r>
              <w:rPr>
                <w:rFonts w:eastAsia="宋体" w:cs="Times New Roman" w:asciiTheme="minorEastAsia" w:hAnsiTheme="minorEastAsia"/>
                <w:color w:val="auto"/>
                <w:kern w:val="0"/>
                <w:sz w:val="18"/>
                <w:szCs w:val="18"/>
                <w:highlight w:val="none"/>
              </w:rPr>
              <w:t>食品快检箱</w:t>
            </w:r>
          </w:p>
        </w:tc>
        <w:tc>
          <w:tcPr>
            <w:tcW w:w="4165" w:type="dxa"/>
            <w:shd w:val="clear" w:color="auto" w:fill="auto"/>
            <w:vAlign w:val="center"/>
          </w:tcPr>
          <w:p w14:paraId="49AAECE9">
            <w:pPr>
              <w:spacing w:line="360" w:lineRule="auto"/>
              <w:jc w:val="left"/>
              <w:rPr>
                <w:rFonts w:hint="eastAsia" w:eastAsia="宋体" w:cs="Times New Roman" w:asciiTheme="minorEastAsia" w:hAnsiTheme="minorEastAsia"/>
                <w:color w:val="auto"/>
                <w:kern w:val="0"/>
                <w:sz w:val="18"/>
                <w:szCs w:val="18"/>
                <w:highlight w:val="none"/>
              </w:rPr>
            </w:pPr>
            <w:r>
              <w:rPr>
                <w:rFonts w:hint="eastAsia" w:eastAsia="宋体" w:cs="Times New Roman" w:asciiTheme="minorEastAsia" w:hAnsiTheme="minorEastAsia"/>
                <w:color w:val="auto"/>
                <w:kern w:val="0"/>
                <w:sz w:val="18"/>
                <w:szCs w:val="18"/>
                <w:highlight w:val="none"/>
              </w:rPr>
              <w:t>用于农残、兽残、重金属、非法添加物等快速检测</w:t>
            </w:r>
          </w:p>
        </w:tc>
      </w:tr>
    </w:tbl>
    <w:p w14:paraId="2D0F7195">
      <w:pPr>
        <w:rPr>
          <w:rFonts w:hint="eastAsia" w:ascii="黑体" w:hAnsi="黑体" w:eastAsia="黑体"/>
          <w:color w:val="auto"/>
          <w:highlight w:val="none"/>
        </w:rPr>
      </w:pPr>
    </w:p>
    <w:p w14:paraId="44853B6B">
      <w:pPr>
        <w:rPr>
          <w:rFonts w:hint="eastAsia" w:ascii="黑体" w:hAnsi="黑体" w:eastAsia="黑体"/>
          <w:color w:val="auto"/>
          <w:highlight w:val="none"/>
        </w:rPr>
      </w:pPr>
    </w:p>
    <w:p w14:paraId="5630BAAD">
      <w:pPr>
        <w:rPr>
          <w:rFonts w:hint="eastAsia" w:ascii="黑体" w:hAnsi="黑体" w:eastAsia="黑体" w:cs="黑体"/>
          <w:color w:val="auto"/>
          <w:highlight w:val="none"/>
          <w:lang w:val="en-US" w:eastAsia="zh-CN"/>
        </w:rPr>
      </w:pPr>
      <w:bookmarkStart w:id="35" w:name="BookMark8"/>
      <w:r>
        <w:rPr>
          <w:color w:val="auto"/>
          <w:highlight w:val="none"/>
        </w:rPr>
        <w:br w:type="page"/>
      </w:r>
      <w:bookmarkStart w:id="36" w:name="_Toc10526"/>
    </w:p>
    <w:p w14:paraId="399BFE7D">
      <w:pPr>
        <w:keepNext w:val="0"/>
        <w:keepLines w:val="0"/>
        <w:pageBreakBefore w:val="0"/>
        <w:widowControl/>
        <w:kinsoku/>
        <w:wordWrap/>
        <w:overflowPunct/>
        <w:topLinePunct w:val="0"/>
        <w:autoSpaceDE/>
        <w:autoSpaceDN/>
        <w:bidi w:val="0"/>
        <w:adjustRightInd/>
        <w:snapToGrid/>
        <w:jc w:val="center"/>
        <w:textAlignment w:val="auto"/>
        <w:outlineLvl w:val="0"/>
        <w:rPr>
          <w:rFonts w:hint="eastAsia" w:ascii="黑体" w:hAnsi="黑体" w:eastAsia="黑体" w:cs="黑体"/>
          <w:color w:val="auto"/>
          <w:highlight w:val="none"/>
          <w:lang w:val="en-US" w:eastAsia="zh-CN"/>
        </w:rPr>
        <w:sectPr>
          <w:footerReference r:id="rId23" w:type="default"/>
          <w:footerReference r:id="rId24" w:type="even"/>
          <w:pgSz w:w="11906" w:h="16838"/>
          <w:pgMar w:top="1440" w:right="1134" w:bottom="1440" w:left="1417" w:header="851" w:footer="992" w:gutter="0"/>
          <w:pgNumType w:fmt="decimal"/>
          <w:cols w:space="0" w:num="1"/>
          <w:docGrid w:type="lines" w:linePitch="312" w:charSpace="0"/>
        </w:sectPr>
      </w:pPr>
    </w:p>
    <w:p w14:paraId="1DB9588A">
      <w:pPr>
        <w:keepNext w:val="0"/>
        <w:keepLines w:val="0"/>
        <w:pageBreakBefore w:val="0"/>
        <w:widowControl/>
        <w:kinsoku/>
        <w:wordWrap/>
        <w:overflowPunct/>
        <w:topLinePunct w:val="0"/>
        <w:autoSpaceDE/>
        <w:autoSpaceDN/>
        <w:bidi w:val="0"/>
        <w:adjustRightInd/>
        <w:snapToGrid/>
        <w:jc w:val="center"/>
        <w:textAlignment w:val="auto"/>
        <w:outlineLvl w:val="0"/>
        <w:rPr>
          <w:rFonts w:hint="eastAsia" w:ascii="黑体" w:hAnsi="黑体" w:eastAsia="黑体" w:cs="黑体"/>
          <w:color w:val="auto"/>
          <w:highlight w:val="none"/>
          <w:lang w:val="en-US" w:eastAsia="zh-CN"/>
        </w:rPr>
      </w:pPr>
    </w:p>
    <w:p w14:paraId="4D3B52CA">
      <w:pPr>
        <w:keepNext w:val="0"/>
        <w:keepLines w:val="0"/>
        <w:pageBreakBefore w:val="0"/>
        <w:widowControl/>
        <w:kinsoku/>
        <w:wordWrap/>
        <w:overflowPunct/>
        <w:topLinePunct w:val="0"/>
        <w:autoSpaceDE/>
        <w:autoSpaceDN/>
        <w:bidi w:val="0"/>
        <w:adjustRightInd/>
        <w:snapToGrid/>
        <w:jc w:val="center"/>
        <w:textAlignment w:val="auto"/>
        <w:outlineLvl w:val="0"/>
        <w:rPr>
          <w:rFonts w:hint="eastAsia" w:ascii="黑体" w:hAnsi="黑体" w:eastAsia="黑体" w:cs="黑体"/>
          <w:color w:val="auto"/>
          <w:highlight w:val="none"/>
          <w:lang w:val="en-US" w:eastAsia="zh-CN"/>
        </w:rPr>
      </w:pPr>
    </w:p>
    <w:p w14:paraId="0C454067">
      <w:pPr>
        <w:keepNext w:val="0"/>
        <w:keepLines w:val="0"/>
        <w:pageBreakBefore w:val="0"/>
        <w:widowControl/>
        <w:kinsoku/>
        <w:wordWrap/>
        <w:overflowPunct/>
        <w:topLinePunct w:val="0"/>
        <w:autoSpaceDE/>
        <w:autoSpaceDN/>
        <w:bidi w:val="0"/>
        <w:adjustRightInd/>
        <w:snapToGrid/>
        <w:jc w:val="center"/>
        <w:textAlignment w:val="auto"/>
        <w:outlineLvl w:val="0"/>
        <w:rPr>
          <w:rFonts w:hint="eastAsia" w:ascii="黑体" w:hAnsi="黑体" w:eastAsia="黑体" w:cs="黑体"/>
          <w:color w:val="auto"/>
          <w:highlight w:val="none"/>
          <w:lang w:val="en-US" w:eastAsia="zh-CN"/>
        </w:rPr>
      </w:pPr>
      <w:r>
        <w:rPr>
          <w:rFonts w:hint="eastAsia" w:ascii="黑体" w:hAnsi="黑体" w:eastAsia="黑体" w:cs="黑体"/>
          <w:color w:val="auto"/>
          <w:highlight w:val="none"/>
          <w:lang w:val="en-US" w:eastAsia="zh-CN"/>
        </w:rPr>
        <w:t>参考文献</w:t>
      </w:r>
      <w:bookmarkEnd w:id="36"/>
    </w:p>
    <w:p w14:paraId="47F974AB">
      <w:pPr>
        <w:keepNext w:val="0"/>
        <w:keepLines w:val="0"/>
        <w:pageBreakBefore w:val="0"/>
        <w:widowControl/>
        <w:kinsoku/>
        <w:wordWrap/>
        <w:overflowPunct/>
        <w:topLinePunct w:val="0"/>
        <w:autoSpaceDE/>
        <w:autoSpaceDN/>
        <w:bidi w:val="0"/>
        <w:adjustRightInd/>
        <w:snapToGrid/>
        <w:jc w:val="center"/>
        <w:textAlignment w:val="auto"/>
        <w:outlineLvl w:val="0"/>
        <w:rPr>
          <w:rFonts w:hint="eastAsia" w:ascii="黑体" w:hAnsi="黑体" w:eastAsia="黑体" w:cs="黑体"/>
          <w:color w:val="auto"/>
          <w:highlight w:val="none"/>
          <w:lang w:val="en-US" w:eastAsia="zh-CN"/>
        </w:rPr>
      </w:pPr>
    </w:p>
    <w:p w14:paraId="0B4A24AB">
      <w:pPr>
        <w:rPr>
          <w:rFonts w:hint="eastAsia" w:cs="Times New Roman" w:asciiTheme="minorEastAsia" w:hAnsiTheme="minorEastAsia"/>
          <w:color w:val="auto"/>
          <w:szCs w:val="21"/>
          <w:highlight w:val="none"/>
        </w:rPr>
      </w:pPr>
      <w:r>
        <w:rPr>
          <w:rFonts w:hint="eastAsia"/>
          <w:color w:val="auto"/>
          <w:kern w:val="0"/>
          <w:szCs w:val="20"/>
          <w:highlight w:val="none"/>
          <w:lang w:val="en-US" w:eastAsia="zh-CN"/>
        </w:rPr>
        <w:t xml:space="preserve">[1] </w:t>
      </w:r>
      <w:r>
        <w:rPr>
          <w:rFonts w:hint="eastAsia"/>
          <w:color w:val="auto"/>
          <w:kern w:val="0"/>
          <w:szCs w:val="20"/>
          <w:highlight w:val="none"/>
        </w:rPr>
        <w:t>市场监管总局关于规范食品快速检测使用的意见（国市监食检规〔</w:t>
      </w:r>
      <w:r>
        <w:rPr>
          <w:rFonts w:hint="eastAsia" w:asciiTheme="minorEastAsia" w:hAnsiTheme="minorEastAsia" w:cstheme="minorEastAsia"/>
          <w:color w:val="auto"/>
          <w:kern w:val="0"/>
          <w:szCs w:val="20"/>
          <w:highlight w:val="none"/>
        </w:rPr>
        <w:t>2023</w:t>
      </w:r>
      <w:r>
        <w:rPr>
          <w:rFonts w:hint="eastAsia"/>
          <w:color w:val="auto"/>
          <w:kern w:val="0"/>
          <w:szCs w:val="20"/>
          <w:highlight w:val="none"/>
        </w:rPr>
        <w:t>〕</w:t>
      </w:r>
      <w:r>
        <w:rPr>
          <w:rFonts w:hint="eastAsia" w:asciiTheme="minorEastAsia" w:hAnsiTheme="minorEastAsia" w:cstheme="minorEastAsia"/>
          <w:color w:val="auto"/>
          <w:kern w:val="0"/>
          <w:szCs w:val="20"/>
          <w:highlight w:val="none"/>
        </w:rPr>
        <w:t>1</w:t>
      </w:r>
      <w:r>
        <w:rPr>
          <w:rFonts w:hint="eastAsia"/>
          <w:color w:val="auto"/>
          <w:kern w:val="0"/>
          <w:szCs w:val="20"/>
          <w:highlight w:val="none"/>
        </w:rPr>
        <w:t>号）</w:t>
      </w:r>
    </w:p>
    <w:p w14:paraId="78DA9B3E">
      <w:pPr>
        <w:jc w:val="both"/>
        <w:rPr>
          <w:color w:val="auto"/>
          <w:highlight w:val="none"/>
        </w:rPr>
      </w:pPr>
      <w:r>
        <w:rPr>
          <w:rFonts w:hint="eastAsia"/>
          <w:color w:val="auto"/>
          <w:kern w:val="0"/>
          <w:szCs w:val="20"/>
          <w:highlight w:val="none"/>
          <w:lang w:val="en-US" w:eastAsia="zh-CN"/>
        </w:rPr>
        <w:t xml:space="preserve">[2] </w:t>
      </w:r>
      <w:r>
        <w:rPr>
          <w:rFonts w:hint="eastAsia"/>
          <w:color w:val="auto"/>
          <w:kern w:val="0"/>
          <w:szCs w:val="20"/>
          <w:highlight w:val="none"/>
        </w:rPr>
        <w:t>陕西省重大活动食品安全监督管理工作实施细则（试行）（陕市监发〔</w:t>
      </w:r>
      <w:r>
        <w:rPr>
          <w:rFonts w:hint="eastAsia" w:asciiTheme="minorEastAsia" w:hAnsiTheme="minorEastAsia" w:cstheme="minorEastAsia"/>
          <w:color w:val="auto"/>
          <w:kern w:val="0"/>
          <w:szCs w:val="20"/>
          <w:highlight w:val="none"/>
        </w:rPr>
        <w:t>2023</w:t>
      </w:r>
      <w:r>
        <w:rPr>
          <w:rFonts w:hint="eastAsia"/>
          <w:color w:val="auto"/>
          <w:kern w:val="0"/>
          <w:szCs w:val="20"/>
          <w:highlight w:val="none"/>
        </w:rPr>
        <w:t>〕</w:t>
      </w:r>
      <w:r>
        <w:rPr>
          <w:rFonts w:hint="eastAsia" w:asciiTheme="minorEastAsia" w:hAnsiTheme="minorEastAsia" w:cstheme="minorEastAsia"/>
          <w:color w:val="auto"/>
          <w:kern w:val="0"/>
          <w:szCs w:val="20"/>
          <w:highlight w:val="none"/>
        </w:rPr>
        <w:t>608</w:t>
      </w:r>
      <w:r>
        <w:rPr>
          <w:rFonts w:hint="eastAsia"/>
          <w:color w:val="auto"/>
          <w:kern w:val="0"/>
          <w:szCs w:val="20"/>
          <w:highlight w:val="none"/>
        </w:rPr>
        <w:t>号）</w:t>
      </w:r>
    </w:p>
    <w:p w14:paraId="244D7863">
      <w:pPr>
        <w:jc w:val="center"/>
        <w:rPr>
          <w:color w:val="auto"/>
          <w:highlight w:val="none"/>
        </w:rPr>
      </w:pPr>
    </w:p>
    <w:p w14:paraId="53E96FDA">
      <w:pPr>
        <w:jc w:val="center"/>
        <w:rPr>
          <w:color w:val="auto"/>
          <w:highlight w:val="none"/>
        </w:rPr>
      </w:pPr>
    </w:p>
    <w:p w14:paraId="625AEF25">
      <w:pPr>
        <w:jc w:val="center"/>
        <w:rPr>
          <w:color w:val="auto"/>
          <w:highlight w:val="none"/>
        </w:rPr>
      </w:pPr>
    </w:p>
    <w:p w14:paraId="46454CFD">
      <w:pPr>
        <w:jc w:val="center"/>
        <w:rPr>
          <w:rFonts w:hint="eastAsia" w:ascii="黑体" w:hAnsi="黑体" w:eastAsia="黑体"/>
          <w:color w:val="auto"/>
          <w:highlight w:val="none"/>
        </w:rPr>
      </w:pPr>
      <w:r>
        <w:rPr>
          <w:color w:val="auto"/>
          <w:highlight w:val="none"/>
        </w:rPr>
        <w:drawing>
          <wp:inline distT="0" distB="0" distL="0" distR="0">
            <wp:extent cx="1485265" cy="314325"/>
            <wp:effectExtent l="0" t="0" r="635" b="9525"/>
            <wp:docPr id="7" name="图片 2"/>
            <wp:cNvGraphicFramePr/>
            <a:graphic xmlns:a="http://schemas.openxmlformats.org/drawingml/2006/main">
              <a:graphicData uri="http://schemas.openxmlformats.org/drawingml/2006/picture">
                <pic:pic xmlns:pic="http://schemas.openxmlformats.org/drawingml/2006/picture">
                  <pic:nvPicPr>
                    <pic:cNvPr id="7" name="图片 2"/>
                    <pic:cNvPicPr>
                      <a:picLocks noChangeArrowheads="1"/>
                    </pic:cNvPicPr>
                  </pic:nvPicPr>
                  <pic:blipFill>
                    <a:blip r:embed="rId28"/>
                    <a:srcRect/>
                    <a:stretch>
                      <a:fillRect/>
                    </a:stretch>
                  </pic:blipFill>
                  <pic:spPr>
                    <a:xfrm>
                      <a:off x="0" y="0"/>
                      <a:ext cx="1485265" cy="314325"/>
                    </a:xfrm>
                    <a:prstGeom prst="rect">
                      <a:avLst/>
                    </a:prstGeom>
                    <a:noFill/>
                    <a:ln w="9525" cmpd="sng">
                      <a:noFill/>
                      <a:miter lim="800000"/>
                      <a:headEnd/>
                      <a:tailEnd/>
                    </a:ln>
                  </pic:spPr>
                </pic:pic>
              </a:graphicData>
            </a:graphic>
          </wp:inline>
        </w:drawing>
      </w:r>
      <w:bookmarkEnd w:id="35"/>
    </w:p>
    <w:sectPr>
      <w:footerReference r:id="rId25" w:type="default"/>
      <w:footerReference r:id="rId26" w:type="even"/>
      <w:pgSz w:w="11906" w:h="16838"/>
      <w:pgMar w:top="1440" w:right="1134" w:bottom="1440" w:left="1417" w:header="851" w:footer="992" w:gutter="0"/>
      <w:pgNumType w:fmt="decimal"/>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MS Mincho">
    <w:altName w:val="Yu Gothic UI"/>
    <w:panose1 w:val="02020609040205080304"/>
    <w:charset w:val="80"/>
    <w:family w:val="modern"/>
    <w:pitch w:val="default"/>
    <w:sig w:usb0="00000000" w:usb1="00000000" w:usb2="08000012" w:usb3="00000000" w:csb0="0002009F"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309DEB">
    <w:pPr>
      <w:pStyle w:val="6"/>
      <w:jc w:val="righ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8E30C7">
    <w:pPr>
      <w:pStyle w:val="6"/>
      <w:jc w:val="right"/>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5DD54D">
                          <w:pPr>
                            <w:pStyle w:val="6"/>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615DD54D">
                    <w:pPr>
                      <w:pStyle w:val="6"/>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47AA32">
    <w:pPr>
      <w:pStyle w:val="6"/>
      <w:jc w:val="right"/>
    </w:pPr>
    <w:r>
      <w:rPr>
        <w:sz w:val="18"/>
      </w:rPr>
      <mc:AlternateContent>
        <mc:Choice Requires="wps">
          <w:drawing>
            <wp:anchor distT="0" distB="0" distL="114300" distR="114300" simplePos="0" relativeHeight="25167052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57D8DA">
                          <w:pPr>
                            <w:pStyle w:val="6"/>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OH7cf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QBJJGqj4&#10;/bev999/3v/4gmAPBNpqO4a4hYZIt7tSOwju9y1set67yjT+Hxgh8APW3UFetnOI+kPpIE0jcFHw&#10;9QvAD4/HtbHuFVMN8kaGDdSvlZVs5tZ1oX2Iv02qggvR1lBItM3w8PQsag8cPAAupI+FLABjb3W1&#10;+TSKRtfpdZoEyWB4HSRRngfTYpYEwyI+P8tP89ksjz97vDgZ17wsmfT39X0SJ8+rw75XugofOsUq&#10;wUsP51OyZrWcCYM2BPq0aH9eYUj+QVj4OI3WDayeUIoHSXQ1GAXFMD0PkiI5C0bnURpE8ehqNIyS&#10;UZIXjynNuWT/TumR+g+SJmNfsAO3pSD0w1+p+XSO1ECBvnCh78Ou37zldssdSOTNpSrvoDeN6p63&#10;1bTgcOmcWHdLDLxn6DmYeO4GPpVQ0Cdqb2FUK/PxT/s+HsoLXoy2MB8yLGEcYiReS3h+AOh6w/TG&#10;sjfkupkpKGQMk1TT1oQDxonerIxq3sMYnPo7wEUkhZsy7Hpz5roZBWOUsum0DVprw1d1dwCGhyZu&#10;Lhea+mvaFtLTtYP30D6ToyogpV/A+GhF3Y86P58ertuo43if/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E4ftx90CAAAmBgAADgAAAAAAAAABACAAAAAfAQAAZHJzL2Uyb0RvYy54bWxQSwUG&#10;AAAAAAYABgBZAQAAbgYAAAAA&#10;">
              <v:fill on="f" focussize="0,0"/>
              <v:stroke on="f" weight="0.5pt"/>
              <v:imagedata o:title=""/>
              <o:lock v:ext="edit" aspectratio="f"/>
              <v:textbox inset="0mm,0mm,0mm,0mm" style="mso-fit-shape-to-text:t;">
                <w:txbxContent>
                  <w:p w14:paraId="7E57D8DA">
                    <w:pPr>
                      <w:pStyle w:val="6"/>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29D9BF">
    <w:pPr>
      <w:pStyle w:val="6"/>
      <w:jc w:val="center"/>
    </w:pPr>
    <w:r>
      <w:rPr>
        <w:sz w:val="18"/>
      </w:rPr>
      <mc:AlternateContent>
        <mc:Choice Requires="wps">
          <w:drawing>
            <wp:anchor distT="0" distB="0" distL="114300" distR="114300" simplePos="0" relativeHeight="25167155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DE262ED">
                          <w:pPr>
                            <w:pStyle w:val="6"/>
                          </w:pPr>
                          <w:r>
                            <w:fldChar w:fldCharType="begin"/>
                          </w:r>
                          <w:r>
                            <w:instrText xml:space="preserve"> PAGE  \* MERGEFORMAT </w:instrText>
                          </w:r>
                          <w:r>
                            <w:fldChar w:fldCharType="separate"/>
                          </w:r>
                          <w:r>
                            <w:t>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14:paraId="4DE262ED">
                    <w:pPr>
                      <w:pStyle w:val="6"/>
                    </w:pPr>
                    <w:r>
                      <w:fldChar w:fldCharType="begin"/>
                    </w:r>
                    <w:r>
                      <w:instrText xml:space="preserve"> PAGE  \* MERGEFORMAT </w:instrText>
                    </w:r>
                    <w:r>
                      <w:fldChar w:fldCharType="separate"/>
                    </w:r>
                    <w:r>
                      <w:t>I</w:t>
                    </w:r>
                    <w:r>
                      <w:fldChar w:fldCharType="end"/>
                    </w:r>
                  </w:p>
                </w:txbxContent>
              </v:textbox>
            </v:shape>
          </w:pict>
        </mc:Fallback>
      </mc:AlternateContent>
    </w:r>
    <w:r>
      <w:rPr>
        <w:sz w:val="18"/>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EB4C55">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3BEB4C55">
                    <w:pPr>
                      <w:pStyle w:val="6"/>
                    </w:pP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46A6D2">
    <w:pPr>
      <w:pStyle w:val="6"/>
      <w:jc w:val="right"/>
    </w:pPr>
    <w:r>
      <w:rPr>
        <w:sz w:val="18"/>
      </w:rPr>
      <mc:AlternateContent>
        <mc:Choice Requires="wps">
          <w:drawing>
            <wp:anchor distT="0" distB="0" distL="114300" distR="114300" simplePos="0" relativeHeight="25167257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116415B">
                          <w:pPr>
                            <w:pStyle w:val="6"/>
                          </w:pPr>
                          <w:r>
                            <w:fldChar w:fldCharType="begin"/>
                          </w:r>
                          <w:r>
                            <w:instrText xml:space="preserve"> PAGE  \* MERGEFORMAT </w:instrText>
                          </w:r>
                          <w:r>
                            <w:fldChar w:fldCharType="separate"/>
                          </w:r>
                          <w:r>
                            <w:t>IV</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4Ej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B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v/gSN0CAAAmBgAADgAAAAAAAAABACAAAAAfAQAAZHJzL2Uyb0RvYy54bWxQSwUG&#10;AAAAAAYABgBZAQAAbgYAAAAA&#10;">
              <v:fill on="f" focussize="0,0"/>
              <v:stroke on="f" weight="0.5pt"/>
              <v:imagedata o:title=""/>
              <o:lock v:ext="edit" aspectratio="f"/>
              <v:textbox inset="0mm,0mm,0mm,0mm" style="mso-fit-shape-to-text:t;">
                <w:txbxContent>
                  <w:p w14:paraId="4116415B">
                    <w:pPr>
                      <w:pStyle w:val="6"/>
                    </w:pPr>
                    <w:r>
                      <w:fldChar w:fldCharType="begin"/>
                    </w:r>
                    <w:r>
                      <w:instrText xml:space="preserve"> PAGE  \* MERGEFORMAT </w:instrText>
                    </w:r>
                    <w:r>
                      <w:fldChar w:fldCharType="separate"/>
                    </w:r>
                    <w:r>
                      <w:t>IV</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046A1">
    <w:pPr>
      <w:pStyle w:val="6"/>
      <w:jc w:val="right"/>
    </w:pPr>
    <w:r>
      <w:rPr>
        <w:sz w:val="18"/>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AD72C7">
                          <w:pPr>
                            <w:pStyle w:val="6"/>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b9VVSdYAAAAJ&#10;AQAADwAAAGRycy9kb3ducmV2LnhtbE2PMU/DMBSEdyT+g/WQ2Fo7DZQoxKlERRiRaBgY3fiRBOzn&#10;yHbT8O9xJxhPd7r7rtot1rAZfRgdScjWAhhS5/RIvYT3tlkVwEJUpJVxhBJ+MMCuvr6qVKndmd5w&#10;PsSepRIKpZIwxDiVnIduQKvC2k1Iyft03qqYpO+59uqcyq3hGyG23KqR0sKgJtwP2H0fTlbCvmlb&#10;P2Pw5gNfmvzr9ekOnxcpb28y8Qgs4hL/wnDBT+hQJ6ajO5EOzEhYZfn2IWUlpEsX/z7LgR0lbIpC&#10;AK8r/v9B/QtQSwMEFAAAAAgAh07iQMDApX4yAgAAYwQAAA4AAABkcnMvZTJvRG9jLnhtbK1US44T&#10;MRDdI3EHy3vSSUaMoiidUZgoCCliRhoQa8ftTlvyT7aT7nAAuAErNuw5V84xz/3JoIHFLNi4y67y&#10;K79XVb24abQiR+GDtCank9GYEmG4LaTZ5/Tzp82bGSUhMlMwZY3I6UkEerN8/WpRu7mY2sqqQngC&#10;EBPmtctpFaObZ1ngldAsjKwTBs7Ses0itn6fFZ7VQNcqm47H11ltfeG85SIEnK47J+0R/UsAbVlK&#10;LtaWH7QwsUP1QrEISqGSLtBl+9qyFDzelWUQkaicgmlsVySBvUtrtlyw+d4zV0neP4G95AnPOGkm&#10;DZJeoNYsMnLw8i8oLbm3wZZxxK3OOiKtImAxGT/T5qFiTrRcIHVwF9HD/4PlH4/3nsgip1eQxDCN&#10;ip9/fD///H3+9Y3gDALVLswR9+AQGZt3tkHbDOcBh4l3U3qdvmBE4AfW6SKvaCLh6dJsOpuN4eLw&#10;DRvgZ0/XnQ/xvbCaJCOnHvVrZWXHbYhd6BCSshm7kUq1NVSG1Dm9vno7bi9cPABXBjkSie6xyYrN&#10;rumZ7WxxAjFvu94Ijm8kkm9ZiPfMoxnwYIxLvMNSKosktrcoqaz/+q/zFI8awUtJjebKqcEsUaI+&#10;GNQOgHEw/GDsBsMc9K1Ft04who63Ji74qAaz9FZ/wQytUg64mOHIlNM4mLexa3DMIBerVRt0cF7u&#10;q+4COs+xuDUPjqc0ScjgVocIMVuNk0CdKr1u6L22Sv2cpOb+c99GPf0blo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Bv1VVJ1gAAAAkBAAAPAAAAAAAAAAEAIAAAACIAAABkcnMvZG93bnJldi54bWxQ&#10;SwECFAAUAAAACACHTuJAwMClfjICAABjBAAADgAAAAAAAAABACAAAAAlAQAAZHJzL2Uyb0RvYy54&#10;bWxQSwUGAAAAAAYABgBZAQAAyQUAAAAA&#10;">
              <v:fill on="f" focussize="0,0"/>
              <v:stroke on="f" weight="0.5pt"/>
              <v:imagedata o:title=""/>
              <o:lock v:ext="edit" aspectratio="f"/>
              <v:textbox inset="0mm,0mm,0mm,0mm" style="mso-fit-shape-to-text:t;">
                <w:txbxContent>
                  <w:p w14:paraId="5AAD72C7">
                    <w:pPr>
                      <w:pStyle w:val="6"/>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83E44">
    <w:pPr>
      <w:pStyle w:val="6"/>
    </w:pPr>
    <w:r>
      <w:rPr>
        <w:sz w:val="18"/>
      </w:rPr>
      <mc:AlternateContent>
        <mc:Choice Requires="wps">
          <w:drawing>
            <wp:anchor distT="0" distB="0" distL="114300" distR="114300" simplePos="0" relativeHeight="251668480" behindDoc="0" locked="0" layoutInCell="1" allowOverlap="1">
              <wp:simplePos x="0" y="0"/>
              <wp:positionH relativeFrom="margin">
                <wp:align>outside</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E21718">
                          <w:pPr>
                            <w:pStyle w:val="6"/>
                          </w:pPr>
                          <w:r>
                            <w:fldChar w:fldCharType="begin"/>
                          </w:r>
                          <w:r>
                            <w:instrText xml:space="preserve"> PAGE  \* MERGEFORMAT </w:instrText>
                          </w:r>
                          <w:r>
                            <w:fldChar w:fldCharType="separate"/>
                          </w:r>
                          <w:r>
                            <w:t>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00E21718">
                    <w:pPr>
                      <w:pStyle w:val="6"/>
                    </w:pPr>
                    <w:r>
                      <w:fldChar w:fldCharType="begin"/>
                    </w:r>
                    <w:r>
                      <w:instrText xml:space="preserve"> PAGE  \* MERGEFORMAT </w:instrText>
                    </w:r>
                    <w:r>
                      <w:fldChar w:fldCharType="separate"/>
                    </w:r>
                    <w:r>
                      <w:t>II</w:t>
                    </w:r>
                    <w:r>
                      <w:fldChar w:fldCharType="end"/>
                    </w:r>
                  </w:p>
                </w:txbxContent>
              </v:textbox>
            </v:shape>
          </w:pict>
        </mc:Fallback>
      </mc:AlternateContent>
    </w:r>
    <w:r>
      <w:rPr>
        <w:rFonts w:hint="default"/>
        <w:sz w:val="18"/>
        <w:lang w:val="en-US"/>
      </w:rPr>
      <mc:AlternateContent>
        <mc:Choice Requires="wps">
          <w:drawing>
            <wp:anchor distT="0" distB="0" distL="114300" distR="114300" simplePos="0" relativeHeight="251667456" behindDoc="0" locked="0" layoutInCell="1" allowOverlap="1">
              <wp:simplePos x="0" y="0"/>
              <wp:positionH relativeFrom="margin">
                <wp:align>right</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89D5FF">
                          <w:pPr>
                            <w:pStyle w:val="6"/>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0C89D5FF">
                    <w:pPr>
                      <w:pStyle w:val="6"/>
                    </w:pPr>
                  </w:p>
                </w:txbxContent>
              </v:textbox>
            </v:shape>
          </w:pict>
        </mc:Fallback>
      </mc:AlternateContent>
    </w:r>
  </w:p>
  <w:p w14:paraId="0F722EE2">
    <w:pPr>
      <w:pStyle w:val="6"/>
      <w:jc w:val="right"/>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F5620">
    <w:pPr>
      <w:pStyle w:val="6"/>
      <w:jc w:val="right"/>
    </w:pPr>
    <w:r>
      <w:rPr>
        <w:sz w:val="18"/>
      </w:rPr>
      <mc:AlternateContent>
        <mc:Choice Requires="wps">
          <w:drawing>
            <wp:anchor distT="0" distB="0" distL="114300" distR="114300" simplePos="0" relativeHeight="25166950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65CDDB">
                          <w:pPr>
                            <w:pStyle w:val="6"/>
                          </w:pPr>
                          <w:r>
                            <w:fldChar w:fldCharType="begin"/>
                          </w:r>
                          <w:r>
                            <w:instrText xml:space="preserve"> PAGE  \* MERGEFORMAT </w:instrText>
                          </w:r>
                          <w:r>
                            <w:fldChar w:fldCharType="separate"/>
                          </w:r>
                          <w:r>
                            <w:t>III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5165CDDB">
                    <w:pPr>
                      <w:pStyle w:val="6"/>
                    </w:pPr>
                    <w:r>
                      <w:fldChar w:fldCharType="begin"/>
                    </w:r>
                    <w:r>
                      <w:instrText xml:space="preserve"> PAGE  \* MERGEFORMAT </w:instrText>
                    </w:r>
                    <w:r>
                      <w:fldChar w:fldCharType="separate"/>
                    </w:r>
                    <w:r>
                      <w:t>III</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CAD30">
    <w:pPr>
      <w:pStyle w:val="6"/>
      <w:jc w:val="right"/>
    </w:pPr>
    <w:r>
      <w:rPr>
        <w:sz w:val="18"/>
      </w:rPr>
      <mc:AlternateContent>
        <mc:Choice Requires="wps">
          <w:drawing>
            <wp:anchor distT="0" distB="0" distL="114300" distR="114300" simplePos="0" relativeHeight="25167360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48A94B">
                          <w:pPr>
                            <w:pStyle w:val="6"/>
                          </w:pPr>
                          <w:r>
                            <w:fldChar w:fldCharType="begin"/>
                          </w:r>
                          <w:r>
                            <w:instrText xml:space="preserve"> PAGE  \* MERGEFORMAT </w:instrText>
                          </w:r>
                          <w:r>
                            <w:fldChar w:fldCharType="separate"/>
                          </w:r>
                          <w:r>
                            <w:t>VI</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A3uL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SV0wilGgrRQ&#10;8ftvX++//7z/8QXBHgi0VWYMcQsFkXZ3JXcQ3O8b2HS8d5Vu3T8wQuAHee8O8rKdRdQdSgdpGoGL&#10;gq9fAH54PK60sa+YbJEzMqyhfl5Wspkb24X2Ie42IYuGc19DLtA2w8PTs8gfOHgAnAsXC1kAxt7q&#10;avNpFI2u0+s0CZLB8DpIojwPpsUsCYZFfH6Wn+azWR5/dnhxMq6bsmTC3df3SZw8rw77XukqfOgU&#10;I3lTOjiXktGr5YxrtCHQp4X/OYUh+Qdh4eM0vBtYPaEUD5LoajAKimF6HiRFchaMzqM0iOLR1WgY&#10;JaMkLx5TmjeC/TulR+o/SJqMXcEO3Jac0A9/pebSOVIDBfrCha4Pu35zlt0tdyCRM5eyvIPe1LJ7&#10;3kbRooFL58TYW6LhPUPPwcSzN/CpuIQ+kXsLo1rqj3/ad/FQXvBitIX5kGEB4xAj/lrA8wNA2xu6&#10;N5a9IdbtTEIhY5ikinoTDmjLe7PSsn0PY3Dq7gAXERRuyrDtzZntZhSMUcqmUx+0VrpZ1d0BGB6K&#10;2LlYKOqu8S2kpmsL78E/k6MqIKVbwPjwou5HnZtPD9c+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jA3uLeAgAAJgYAAA4AAAAAAAAAAQAgAAAAHwEAAGRycy9lMm9Eb2MueG1sUEsF&#10;BgAAAAAGAAYAWQEAAG8GAAAAAA==&#10;">
              <v:fill on="f" focussize="0,0"/>
              <v:stroke on="f" weight="0.5pt"/>
              <v:imagedata o:title=""/>
              <o:lock v:ext="edit" aspectratio="f"/>
              <v:textbox inset="0mm,0mm,0mm,0mm" style="mso-fit-shape-to-text:t;">
                <w:txbxContent>
                  <w:p w14:paraId="5448A94B">
                    <w:pPr>
                      <w:pStyle w:val="6"/>
                    </w:pPr>
                    <w:r>
                      <w:fldChar w:fldCharType="begin"/>
                    </w:r>
                    <w:r>
                      <w:instrText xml:space="preserve"> PAGE  \* MERGEFORMAT </w:instrText>
                    </w:r>
                    <w:r>
                      <w:fldChar w:fldCharType="separate"/>
                    </w:r>
                    <w:r>
                      <w:t>VI</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001931"/>
    </w:sdtPr>
    <w:sdtContent>
      <w:p w14:paraId="52E1BBF9">
        <w:pPr>
          <w:pStyle w:val="6"/>
        </w:pPr>
        <w:r>
          <w:fldChar w:fldCharType="begin"/>
        </w:r>
        <w:r>
          <w:instrText xml:space="preserve"> PAGE   \* MERGEFORMAT </w:instrText>
        </w:r>
        <w:r>
          <w:fldChar w:fldCharType="separate"/>
        </w:r>
        <w:r>
          <w:rPr>
            <w:lang w:val="zh-CN"/>
          </w:rPr>
          <w:t>II</w:t>
        </w:r>
        <w:r>
          <w:rPr>
            <w:lang w:val="zh-CN"/>
          </w:rPr>
          <w:fldChar w:fldCharType="end"/>
        </w:r>
      </w:p>
    </w:sdtContent>
  </w:sdt>
  <w:p w14:paraId="38F52D9A">
    <w:pPr>
      <w:pStyle w:val="6"/>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4001923"/>
      <w:showingPlcHdr/>
    </w:sdtPr>
    <w:sdtContent>
      <w:p w14:paraId="5FC3AA86">
        <w:pPr>
          <w:pStyle w:val="6"/>
          <w:jc w:val="right"/>
        </w:pPr>
        <w:r>
          <w:rPr>
            <w:rFonts w:hint="eastAsia"/>
          </w:rPr>
          <w:t xml:space="preserve">     </w:t>
        </w:r>
      </w:p>
    </w:sdtContent>
  </w:sdt>
  <w:p w14:paraId="7071C2CC">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2AAC5">
    <w:pPr>
      <w:pStyle w:val="6"/>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0423"/>
    </w:sdtPr>
    <w:sdtContent>
      <w:p w14:paraId="2425083F">
        <w:pPr>
          <w:pStyle w:val="6"/>
        </w:pPr>
        <w:r>
          <w:fldChar w:fldCharType="begin"/>
        </w:r>
        <w:r>
          <w:instrText xml:space="preserve"> PAGE   \* MERGEFORMAT </w:instrText>
        </w:r>
        <w:r>
          <w:fldChar w:fldCharType="separate"/>
        </w:r>
        <w:r>
          <w:rPr>
            <w:lang w:val="zh-CN"/>
          </w:rPr>
          <w:t>II</w:t>
        </w:r>
        <w:r>
          <w:rPr>
            <w:lang w:val="zh-CN"/>
          </w:rPr>
          <w:fldChar w:fldCharType="end"/>
        </w:r>
      </w:p>
    </w:sdtContent>
  </w:sdt>
  <w:p w14:paraId="3BBA3174">
    <w:pPr>
      <w:pStyle w:val="6"/>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D34C6F">
    <w:pPr>
      <w:pStyle w:val="6"/>
      <w:jc w:val="right"/>
    </w:pPr>
    <w:r>
      <w:rPr>
        <w:rFonts w:hint="eastAsia"/>
      </w:rPr>
      <w:t>Ⅰ</w:t>
    </w:r>
    <w:sdt>
      <w:sdtPr>
        <w:id w:val="147480895"/>
        <w:showingPlcHdr/>
      </w:sdtPr>
      <w:sdtContent>
        <w:r>
          <w:rPr>
            <w:rFonts w:hint="eastAsia"/>
          </w:rPr>
          <w:t xml:space="preserve">     </w:t>
        </w:r>
      </w:sdtContent>
    </w:sdt>
  </w:p>
  <w:p w14:paraId="2528250E">
    <w:pPr>
      <w:pStyle w:val="6"/>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7A1FDE">
    <w:pPr>
      <w:pStyle w:val="6"/>
      <w:jc w:val="right"/>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83358"/>
    </w:sdtPr>
    <w:sdtContent>
      <w:p w14:paraId="0CCBAD0C">
        <w:pPr>
          <w:pStyle w:val="6"/>
        </w:pPr>
        <w:r>
          <w:fldChar w:fldCharType="begin"/>
        </w:r>
        <w:r>
          <w:instrText xml:space="preserve"> PAGE   \* MERGEFORMAT </w:instrText>
        </w:r>
        <w:r>
          <w:fldChar w:fldCharType="separate"/>
        </w:r>
        <w:r>
          <w:rPr>
            <w:lang w:val="zh-CN"/>
          </w:rPr>
          <w:t>II</w:t>
        </w:r>
        <w:r>
          <w:rPr>
            <w:lang w:val="zh-CN"/>
          </w:rPr>
          <w:fldChar w:fldCharType="end"/>
        </w:r>
      </w:p>
    </w:sdtContent>
  </w:sdt>
  <w:p w14:paraId="7CBA674B">
    <w:pPr>
      <w:pStyle w:val="6"/>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71825"/>
    </w:sdtPr>
    <w:sdtContent>
      <w:p w14:paraId="717DB7AA">
        <w:pPr>
          <w:pStyle w:val="6"/>
          <w:jc w:val="left"/>
        </w:pPr>
        <w:r>
          <w:t>Ⅱ</w:t>
        </w:r>
      </w:p>
    </w:sdtContent>
  </w:sdt>
  <w:p w14:paraId="7EFBDC01">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AFC4A2">
    <w:pPr>
      <w:jc w:val="right"/>
      <w:rPr>
        <w:rFonts w:hint="eastAsia" w:ascii="黑体" w:hAnsi="黑体" w:eastAsia="黑体"/>
      </w:rPr>
    </w:pPr>
    <w:r>
      <w:rPr>
        <w:rFonts w:ascii="黑体" w:hAnsi="黑体" w:eastAsia="黑体"/>
      </w:rPr>
      <w:t>DB</w:t>
    </w:r>
    <w:r>
      <w:rPr>
        <w:rFonts w:hint="eastAsia" w:ascii="黑体" w:hAnsi="黑体" w:eastAsia="黑体"/>
      </w:rPr>
      <w:t>61</w:t>
    </w:r>
    <w:r>
      <w:rPr>
        <w:rFonts w:ascii="黑体" w:hAnsi="黑体" w:eastAsia="黑体"/>
      </w:rPr>
      <w:t>/</w:t>
    </w:r>
    <w:r>
      <w:rPr>
        <w:rFonts w:hint="eastAsia" w:ascii="黑体" w:hAnsi="黑体" w:eastAsia="黑体"/>
      </w:rPr>
      <w:t>T</w:t>
    </w:r>
    <w:r>
      <w:rPr>
        <w:rFonts w:ascii="黑体" w:hAnsi="黑体" w:eastAsia="黑体"/>
      </w:rPr>
      <w:t xml:space="preserve"> XX</w:t>
    </w:r>
    <w:r>
      <w:rPr>
        <w:rFonts w:hint="eastAsia" w:ascii="黑体" w:hAnsi="黑体" w:eastAsia="黑体"/>
        <w:lang w:val="en-US" w:eastAsia="zh-CN"/>
      </w:rPr>
      <w:t>X</w:t>
    </w:r>
    <w:r>
      <w:rPr>
        <w:rFonts w:ascii="黑体" w:hAnsi="黑体" w:eastAsia="黑体"/>
      </w:rPr>
      <w:t>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6FE3D3">
    <w:r>
      <w:t>DB</w:t>
    </w:r>
    <w:r>
      <w:rPr>
        <w:rFonts w:hint="eastAsia"/>
      </w:rPr>
      <w:t>61</w:t>
    </w:r>
    <w:r>
      <w:t>/</w:t>
    </w:r>
    <w:r>
      <w:rPr>
        <w:rFonts w:hint="eastAsia"/>
      </w:rPr>
      <w:t>T</w:t>
    </w:r>
    <w:r>
      <w:t xml:space="preserve"> 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5F86BE">
    <w:pPr>
      <w:pStyle w:val="7"/>
      <w:pBdr>
        <w:bottom w:val="none" w:color="auto" w:sz="0" w:space="1"/>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243C5">
    <w:r>
      <w:t>DB</w:t>
    </w:r>
    <w:r>
      <w:rPr>
        <w:rFonts w:hint="eastAsia"/>
      </w:rPr>
      <w:t>61</w:t>
    </w:r>
    <w:r>
      <w:t>/</w:t>
    </w:r>
    <w:r>
      <w:rPr>
        <w:rFonts w:hint="eastAsia"/>
      </w:rPr>
      <w:t>T</w:t>
    </w:r>
    <w:r>
      <w:t xml:space="preserve"> XXX—XXXX</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524148">
    <w:pPr>
      <w:jc w:val="right"/>
      <w:rPr>
        <w:rFonts w:hint="eastAsia" w:ascii="黑体" w:hAnsi="黑体" w:eastAsia="黑体" w:cs="黑体"/>
      </w:rPr>
    </w:pPr>
    <w:r>
      <w:rPr>
        <w:rFonts w:hint="eastAsia" w:ascii="黑体" w:hAnsi="黑体" w:eastAsia="黑体" w:cs="黑体"/>
      </w:rPr>
      <w:t>DB 61/</w:t>
    </w:r>
    <w:r>
      <w:rPr>
        <w:rFonts w:hint="eastAsia" w:ascii="黑体" w:hAnsi="黑体" w:eastAsia="黑体" w:cs="黑体"/>
        <w:lang w:val="en-US" w:eastAsia="zh-CN"/>
      </w:rPr>
      <w:t>T</w:t>
    </w:r>
    <w:r>
      <w:rPr>
        <w:rFonts w:hint="eastAsia" w:ascii="黑体" w:hAnsi="黑体" w:eastAsia="黑体" w:cs="黑体"/>
      </w:rPr>
      <w:t xml:space="preserve"> X</w:t>
    </w:r>
    <w:r>
      <w:rPr>
        <w:rFonts w:hint="eastAsia" w:ascii="黑体" w:hAnsi="黑体" w:eastAsia="黑体" w:cs="黑体"/>
        <w:lang w:val="en-US" w:eastAsia="zh-CN"/>
      </w:rPr>
      <w:t>X</w:t>
    </w:r>
    <w:r>
      <w:rPr>
        <w:rFonts w:hint="eastAsia" w:ascii="黑体" w:hAnsi="黑体" w:eastAsia="黑体" w:cs="黑体"/>
      </w:rPr>
      <w:t>XX-XXXX</w:t>
    </w:r>
  </w:p>
  <w:p w14:paraId="4B9F11CA">
    <w:pPr>
      <w:pStyle w:val="7"/>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FD29F5">
    <w:pPr>
      <w:pStyle w:val="7"/>
      <w:pBdr>
        <w:bottom w:val="none" w:color="auto" w:sz="0" w:space="1"/>
      </w:pBdr>
      <w:jc w:val="right"/>
    </w:pPr>
    <w:r>
      <w:rPr>
        <w:rFonts w:hint="eastAsia" w:ascii="黑体" w:hAnsi="黑体" w:eastAsia="黑体" w:cs="黑体"/>
      </w:rPr>
      <w:t>DB 61/</w:t>
    </w:r>
    <w:r>
      <w:rPr>
        <w:rFonts w:hint="eastAsia" w:ascii="黑体" w:hAnsi="黑体" w:eastAsia="黑体" w:cs="黑体"/>
        <w:lang w:val="en-US" w:eastAsia="zh-CN"/>
      </w:rPr>
      <w:t>T</w:t>
    </w:r>
    <w:r>
      <w:rPr>
        <w:rFonts w:hint="eastAsia" w:ascii="黑体" w:hAnsi="黑体" w:eastAsia="黑体" w:cs="黑体"/>
      </w:rPr>
      <w:t xml:space="preserve"> XX</w:t>
    </w:r>
    <w:r>
      <w:rPr>
        <w:rFonts w:hint="eastAsia" w:ascii="黑体" w:hAnsi="黑体" w:eastAsia="黑体" w:cs="黑体"/>
        <w:lang w:val="en-US" w:eastAsia="zh-CN"/>
      </w:rPr>
      <w:t>X</w:t>
    </w:r>
    <w:r>
      <w:rPr>
        <w:rFonts w:hint="eastAsia" w:ascii="黑体" w:hAnsi="黑体" w:eastAsia="黑体" w:cs="黑体"/>
      </w:rPr>
      <w:t>X-XXXX</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798240">
    <w:pPr>
      <w:pStyle w:val="7"/>
      <w:pBdr>
        <w:bottom w:val="none" w:color="auto" w:sz="0" w:space="1"/>
      </w:pBdr>
      <w:jc w:val="left"/>
    </w:pPr>
    <w:r>
      <w:rPr>
        <w:rFonts w:hint="eastAsia" w:ascii="黑体" w:hAnsi="黑体" w:eastAsia="黑体" w:cs="黑体"/>
      </w:rPr>
      <w:t>DB 61/</w:t>
    </w:r>
    <w:r>
      <w:rPr>
        <w:rFonts w:hint="eastAsia" w:ascii="黑体" w:hAnsi="黑体" w:eastAsia="黑体" w:cs="黑体"/>
        <w:lang w:val="en-US" w:eastAsia="zh-CN"/>
      </w:rPr>
      <w:t>T</w:t>
    </w:r>
    <w:r>
      <w:rPr>
        <w:rFonts w:hint="eastAsia" w:ascii="黑体" w:hAnsi="黑体" w:eastAsia="黑体" w:cs="黑体"/>
      </w:rPr>
      <w:t xml:space="preserve"> X</w:t>
    </w:r>
    <w:r>
      <w:rPr>
        <w:rFonts w:hint="eastAsia" w:ascii="黑体" w:hAnsi="黑体" w:eastAsia="黑体" w:cs="黑体"/>
        <w:lang w:val="en-US" w:eastAsia="zh-CN"/>
      </w:rPr>
      <w:t>X</w:t>
    </w:r>
    <w:r>
      <w:rPr>
        <w:rFonts w:hint="eastAsia" w:ascii="黑体" w:hAnsi="黑体" w:eastAsia="黑体" w:cs="黑体"/>
      </w:rPr>
      <w:t>XX-XXXX</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U5NWYzZWFkYzY2ZGU4YjAzNGViYzA0ZjVkYzAyODgifQ=="/>
  </w:docVars>
  <w:rsids>
    <w:rsidRoot w:val="00F2608E"/>
    <w:rsid w:val="00000A01"/>
    <w:rsid w:val="00040988"/>
    <w:rsid w:val="0010785C"/>
    <w:rsid w:val="001371C8"/>
    <w:rsid w:val="00156FBF"/>
    <w:rsid w:val="001C73DD"/>
    <w:rsid w:val="002055CB"/>
    <w:rsid w:val="002211FC"/>
    <w:rsid w:val="00221815"/>
    <w:rsid w:val="0022264E"/>
    <w:rsid w:val="002228AE"/>
    <w:rsid w:val="00222D3A"/>
    <w:rsid w:val="002307E0"/>
    <w:rsid w:val="002335AB"/>
    <w:rsid w:val="00277F58"/>
    <w:rsid w:val="00287164"/>
    <w:rsid w:val="002C0F1A"/>
    <w:rsid w:val="002D24C7"/>
    <w:rsid w:val="002D2B0D"/>
    <w:rsid w:val="002D7AA6"/>
    <w:rsid w:val="002E1BBF"/>
    <w:rsid w:val="002E24DE"/>
    <w:rsid w:val="002E4B0F"/>
    <w:rsid w:val="002E75A8"/>
    <w:rsid w:val="002F04B7"/>
    <w:rsid w:val="00352994"/>
    <w:rsid w:val="00374354"/>
    <w:rsid w:val="003B5110"/>
    <w:rsid w:val="003B7187"/>
    <w:rsid w:val="003C13F1"/>
    <w:rsid w:val="003C18E1"/>
    <w:rsid w:val="003C4675"/>
    <w:rsid w:val="003D364D"/>
    <w:rsid w:val="003E3225"/>
    <w:rsid w:val="003F3013"/>
    <w:rsid w:val="003F7C93"/>
    <w:rsid w:val="00403583"/>
    <w:rsid w:val="00403895"/>
    <w:rsid w:val="00456058"/>
    <w:rsid w:val="004874BC"/>
    <w:rsid w:val="00494FFB"/>
    <w:rsid w:val="004B2C8F"/>
    <w:rsid w:val="0054128B"/>
    <w:rsid w:val="0055028C"/>
    <w:rsid w:val="00554A92"/>
    <w:rsid w:val="0057294F"/>
    <w:rsid w:val="005779E8"/>
    <w:rsid w:val="00593490"/>
    <w:rsid w:val="00595722"/>
    <w:rsid w:val="00596D7C"/>
    <w:rsid w:val="005A4689"/>
    <w:rsid w:val="005B6AB2"/>
    <w:rsid w:val="005D7350"/>
    <w:rsid w:val="005E1DED"/>
    <w:rsid w:val="005E797F"/>
    <w:rsid w:val="0060742B"/>
    <w:rsid w:val="00614425"/>
    <w:rsid w:val="00621ACE"/>
    <w:rsid w:val="00644B8F"/>
    <w:rsid w:val="00654672"/>
    <w:rsid w:val="00666D46"/>
    <w:rsid w:val="0066745C"/>
    <w:rsid w:val="00670A0F"/>
    <w:rsid w:val="0067152C"/>
    <w:rsid w:val="00677431"/>
    <w:rsid w:val="00691AA0"/>
    <w:rsid w:val="006A490D"/>
    <w:rsid w:val="00706305"/>
    <w:rsid w:val="00712987"/>
    <w:rsid w:val="00712B58"/>
    <w:rsid w:val="0072288D"/>
    <w:rsid w:val="00724552"/>
    <w:rsid w:val="00733D56"/>
    <w:rsid w:val="00770743"/>
    <w:rsid w:val="00773767"/>
    <w:rsid w:val="00790256"/>
    <w:rsid w:val="007A748C"/>
    <w:rsid w:val="007C69FD"/>
    <w:rsid w:val="007E319B"/>
    <w:rsid w:val="00805400"/>
    <w:rsid w:val="00815D0D"/>
    <w:rsid w:val="008177BB"/>
    <w:rsid w:val="00865566"/>
    <w:rsid w:val="00867F79"/>
    <w:rsid w:val="00881581"/>
    <w:rsid w:val="00881D88"/>
    <w:rsid w:val="008931FE"/>
    <w:rsid w:val="008A604C"/>
    <w:rsid w:val="008C3C17"/>
    <w:rsid w:val="008D6EA7"/>
    <w:rsid w:val="00901E97"/>
    <w:rsid w:val="009357A1"/>
    <w:rsid w:val="00946413"/>
    <w:rsid w:val="009D5F1D"/>
    <w:rsid w:val="009E3BF5"/>
    <w:rsid w:val="00A10948"/>
    <w:rsid w:val="00A14954"/>
    <w:rsid w:val="00A47AD8"/>
    <w:rsid w:val="00A53ECC"/>
    <w:rsid w:val="00A76D33"/>
    <w:rsid w:val="00A852A5"/>
    <w:rsid w:val="00AA17EF"/>
    <w:rsid w:val="00AA1801"/>
    <w:rsid w:val="00AB2A9C"/>
    <w:rsid w:val="00AC7226"/>
    <w:rsid w:val="00AD730E"/>
    <w:rsid w:val="00AE031A"/>
    <w:rsid w:val="00AE6501"/>
    <w:rsid w:val="00AF2430"/>
    <w:rsid w:val="00B01ADB"/>
    <w:rsid w:val="00B06BC7"/>
    <w:rsid w:val="00B148F7"/>
    <w:rsid w:val="00B1637E"/>
    <w:rsid w:val="00B31780"/>
    <w:rsid w:val="00B35DD7"/>
    <w:rsid w:val="00B47985"/>
    <w:rsid w:val="00B51E6E"/>
    <w:rsid w:val="00B7296D"/>
    <w:rsid w:val="00B95882"/>
    <w:rsid w:val="00BA461B"/>
    <w:rsid w:val="00BA7D37"/>
    <w:rsid w:val="00BB29D5"/>
    <w:rsid w:val="00BD65CE"/>
    <w:rsid w:val="00C13492"/>
    <w:rsid w:val="00C14C4F"/>
    <w:rsid w:val="00C278BF"/>
    <w:rsid w:val="00C27A2E"/>
    <w:rsid w:val="00C27C81"/>
    <w:rsid w:val="00C323CD"/>
    <w:rsid w:val="00C33D73"/>
    <w:rsid w:val="00C4208A"/>
    <w:rsid w:val="00C473E2"/>
    <w:rsid w:val="00C56549"/>
    <w:rsid w:val="00C6786C"/>
    <w:rsid w:val="00C72C19"/>
    <w:rsid w:val="00C831D3"/>
    <w:rsid w:val="00C83DE8"/>
    <w:rsid w:val="00CA35B3"/>
    <w:rsid w:val="00CC3818"/>
    <w:rsid w:val="00CC65DB"/>
    <w:rsid w:val="00D03590"/>
    <w:rsid w:val="00D40E52"/>
    <w:rsid w:val="00D5540B"/>
    <w:rsid w:val="00D55BD9"/>
    <w:rsid w:val="00DD4713"/>
    <w:rsid w:val="00DE601D"/>
    <w:rsid w:val="00DE7DAB"/>
    <w:rsid w:val="00E16A45"/>
    <w:rsid w:val="00E16BEB"/>
    <w:rsid w:val="00E34B24"/>
    <w:rsid w:val="00E640D6"/>
    <w:rsid w:val="00E66310"/>
    <w:rsid w:val="00E76D69"/>
    <w:rsid w:val="00E77218"/>
    <w:rsid w:val="00E8202E"/>
    <w:rsid w:val="00E91844"/>
    <w:rsid w:val="00E97752"/>
    <w:rsid w:val="00EB423B"/>
    <w:rsid w:val="00ED4004"/>
    <w:rsid w:val="00EF59BB"/>
    <w:rsid w:val="00EF7F11"/>
    <w:rsid w:val="00F031C9"/>
    <w:rsid w:val="00F158DE"/>
    <w:rsid w:val="00F2218F"/>
    <w:rsid w:val="00F22AC5"/>
    <w:rsid w:val="00F2608E"/>
    <w:rsid w:val="00F538D5"/>
    <w:rsid w:val="00F6447C"/>
    <w:rsid w:val="00F747AD"/>
    <w:rsid w:val="00F937B1"/>
    <w:rsid w:val="00FD76A5"/>
    <w:rsid w:val="00FF66E1"/>
    <w:rsid w:val="01222E90"/>
    <w:rsid w:val="01986AC5"/>
    <w:rsid w:val="019B53E2"/>
    <w:rsid w:val="01B131C5"/>
    <w:rsid w:val="01E227B8"/>
    <w:rsid w:val="021F4265"/>
    <w:rsid w:val="022C0730"/>
    <w:rsid w:val="0241242E"/>
    <w:rsid w:val="025832D3"/>
    <w:rsid w:val="027D71DE"/>
    <w:rsid w:val="02881E0B"/>
    <w:rsid w:val="029562D6"/>
    <w:rsid w:val="02A14C7A"/>
    <w:rsid w:val="030C44E3"/>
    <w:rsid w:val="030F42DA"/>
    <w:rsid w:val="042652DF"/>
    <w:rsid w:val="04425FE9"/>
    <w:rsid w:val="04BA55F0"/>
    <w:rsid w:val="053E0EA6"/>
    <w:rsid w:val="05597A8E"/>
    <w:rsid w:val="05742D3F"/>
    <w:rsid w:val="05897ED1"/>
    <w:rsid w:val="059B0668"/>
    <w:rsid w:val="060E0879"/>
    <w:rsid w:val="061F2A86"/>
    <w:rsid w:val="0648416A"/>
    <w:rsid w:val="065D7086"/>
    <w:rsid w:val="068E19BA"/>
    <w:rsid w:val="06EE2458"/>
    <w:rsid w:val="06FA704F"/>
    <w:rsid w:val="07481B68"/>
    <w:rsid w:val="07691ADF"/>
    <w:rsid w:val="07830DF3"/>
    <w:rsid w:val="079A613C"/>
    <w:rsid w:val="07C5140B"/>
    <w:rsid w:val="07D77390"/>
    <w:rsid w:val="07FB6BDB"/>
    <w:rsid w:val="083B68AD"/>
    <w:rsid w:val="083F43CF"/>
    <w:rsid w:val="08435BA4"/>
    <w:rsid w:val="08564DAC"/>
    <w:rsid w:val="08986B20"/>
    <w:rsid w:val="08B17BE1"/>
    <w:rsid w:val="092D370C"/>
    <w:rsid w:val="0969226A"/>
    <w:rsid w:val="0A410AF1"/>
    <w:rsid w:val="0A4C7BC2"/>
    <w:rsid w:val="0AD41965"/>
    <w:rsid w:val="0AD57BB7"/>
    <w:rsid w:val="0AE21CC1"/>
    <w:rsid w:val="0B037BB6"/>
    <w:rsid w:val="0B2428ED"/>
    <w:rsid w:val="0B3A5C6C"/>
    <w:rsid w:val="0B452498"/>
    <w:rsid w:val="0B7F2247"/>
    <w:rsid w:val="0B875F8C"/>
    <w:rsid w:val="0B9C3BE2"/>
    <w:rsid w:val="0BE1277B"/>
    <w:rsid w:val="0BF47C70"/>
    <w:rsid w:val="0C8906B1"/>
    <w:rsid w:val="0CAA5073"/>
    <w:rsid w:val="0CB8153E"/>
    <w:rsid w:val="0CC9374C"/>
    <w:rsid w:val="0D0B5B12"/>
    <w:rsid w:val="0D6900C6"/>
    <w:rsid w:val="0D8E04F1"/>
    <w:rsid w:val="0D9E6986"/>
    <w:rsid w:val="0DA27AF9"/>
    <w:rsid w:val="0DC67C8B"/>
    <w:rsid w:val="0DE325EB"/>
    <w:rsid w:val="0DE57C4C"/>
    <w:rsid w:val="0E004C9B"/>
    <w:rsid w:val="0E3C1CFB"/>
    <w:rsid w:val="0E3C3E8F"/>
    <w:rsid w:val="0EA53D44"/>
    <w:rsid w:val="0EC0292C"/>
    <w:rsid w:val="0ECA5559"/>
    <w:rsid w:val="0F384769"/>
    <w:rsid w:val="0F435649"/>
    <w:rsid w:val="0F5D63CD"/>
    <w:rsid w:val="0F816A81"/>
    <w:rsid w:val="0FA22032"/>
    <w:rsid w:val="0FB12275"/>
    <w:rsid w:val="10036F74"/>
    <w:rsid w:val="102B2027"/>
    <w:rsid w:val="103A04BC"/>
    <w:rsid w:val="104A4BA3"/>
    <w:rsid w:val="10AB3168"/>
    <w:rsid w:val="1102547E"/>
    <w:rsid w:val="113F63F8"/>
    <w:rsid w:val="1182036D"/>
    <w:rsid w:val="11AB1672"/>
    <w:rsid w:val="11F1104F"/>
    <w:rsid w:val="123258EF"/>
    <w:rsid w:val="124F64A1"/>
    <w:rsid w:val="131A1C0C"/>
    <w:rsid w:val="13280AA0"/>
    <w:rsid w:val="132A4818"/>
    <w:rsid w:val="1340228E"/>
    <w:rsid w:val="1360648C"/>
    <w:rsid w:val="139F6FB4"/>
    <w:rsid w:val="13EE5846"/>
    <w:rsid w:val="14117786"/>
    <w:rsid w:val="143376FC"/>
    <w:rsid w:val="1461426A"/>
    <w:rsid w:val="14B720DC"/>
    <w:rsid w:val="14D233B9"/>
    <w:rsid w:val="15121B6A"/>
    <w:rsid w:val="15192D96"/>
    <w:rsid w:val="15245AE4"/>
    <w:rsid w:val="156A1844"/>
    <w:rsid w:val="16051F90"/>
    <w:rsid w:val="16390B2A"/>
    <w:rsid w:val="163A71AE"/>
    <w:rsid w:val="163A7468"/>
    <w:rsid w:val="1645340A"/>
    <w:rsid w:val="164B51D1"/>
    <w:rsid w:val="16E178E4"/>
    <w:rsid w:val="16F14126"/>
    <w:rsid w:val="170032A8"/>
    <w:rsid w:val="172872C1"/>
    <w:rsid w:val="17377504"/>
    <w:rsid w:val="175C3095"/>
    <w:rsid w:val="17601558"/>
    <w:rsid w:val="176877CB"/>
    <w:rsid w:val="176B795D"/>
    <w:rsid w:val="17D1569D"/>
    <w:rsid w:val="17E1036D"/>
    <w:rsid w:val="18137F71"/>
    <w:rsid w:val="1834563E"/>
    <w:rsid w:val="185A16FC"/>
    <w:rsid w:val="186D372E"/>
    <w:rsid w:val="18A618E4"/>
    <w:rsid w:val="18AC5CCF"/>
    <w:rsid w:val="1934019F"/>
    <w:rsid w:val="19502AFF"/>
    <w:rsid w:val="195C76F5"/>
    <w:rsid w:val="198D3D53"/>
    <w:rsid w:val="198F1879"/>
    <w:rsid w:val="19E020D4"/>
    <w:rsid w:val="1A0062D3"/>
    <w:rsid w:val="1A18186E"/>
    <w:rsid w:val="1A495ECC"/>
    <w:rsid w:val="1A891E4B"/>
    <w:rsid w:val="1AD25EC1"/>
    <w:rsid w:val="1AE87493"/>
    <w:rsid w:val="1B0167A6"/>
    <w:rsid w:val="1B4031CA"/>
    <w:rsid w:val="1B682381"/>
    <w:rsid w:val="1B9211AC"/>
    <w:rsid w:val="1BDE6861"/>
    <w:rsid w:val="1C0948DA"/>
    <w:rsid w:val="1C246B7F"/>
    <w:rsid w:val="1CB271F0"/>
    <w:rsid w:val="1CB624CC"/>
    <w:rsid w:val="1D434E54"/>
    <w:rsid w:val="1D7414B2"/>
    <w:rsid w:val="1D9B1E76"/>
    <w:rsid w:val="1DA914DB"/>
    <w:rsid w:val="1DB7314C"/>
    <w:rsid w:val="1DCA7323"/>
    <w:rsid w:val="1DD12460"/>
    <w:rsid w:val="1DF23A87"/>
    <w:rsid w:val="1DFE6FCD"/>
    <w:rsid w:val="1E6D0217"/>
    <w:rsid w:val="1EA336D1"/>
    <w:rsid w:val="1ED9705D"/>
    <w:rsid w:val="1EF83A1C"/>
    <w:rsid w:val="1F376A06"/>
    <w:rsid w:val="1F3A4035"/>
    <w:rsid w:val="1F417171"/>
    <w:rsid w:val="1F52137F"/>
    <w:rsid w:val="1F5F1CED"/>
    <w:rsid w:val="1F934C75"/>
    <w:rsid w:val="1FB77434"/>
    <w:rsid w:val="205B4263"/>
    <w:rsid w:val="205D3AA7"/>
    <w:rsid w:val="20726366"/>
    <w:rsid w:val="207B6CDA"/>
    <w:rsid w:val="20A53730"/>
    <w:rsid w:val="20CF69FF"/>
    <w:rsid w:val="20FE3064"/>
    <w:rsid w:val="210F504D"/>
    <w:rsid w:val="212263A4"/>
    <w:rsid w:val="21380A48"/>
    <w:rsid w:val="21AD4F92"/>
    <w:rsid w:val="21B300CF"/>
    <w:rsid w:val="21B36CE1"/>
    <w:rsid w:val="21D82194"/>
    <w:rsid w:val="22680EB9"/>
    <w:rsid w:val="229E2B2D"/>
    <w:rsid w:val="22AC349C"/>
    <w:rsid w:val="22C75BE0"/>
    <w:rsid w:val="22E57C45"/>
    <w:rsid w:val="22E83DA8"/>
    <w:rsid w:val="22F64717"/>
    <w:rsid w:val="230A1F70"/>
    <w:rsid w:val="23611AE3"/>
    <w:rsid w:val="238B30B1"/>
    <w:rsid w:val="23CD5478"/>
    <w:rsid w:val="24107A5A"/>
    <w:rsid w:val="24134F71"/>
    <w:rsid w:val="24417C14"/>
    <w:rsid w:val="24480FA2"/>
    <w:rsid w:val="244B45EE"/>
    <w:rsid w:val="24581F1C"/>
    <w:rsid w:val="246B6A3F"/>
    <w:rsid w:val="249441E7"/>
    <w:rsid w:val="249C1DC3"/>
    <w:rsid w:val="24FD7FDE"/>
    <w:rsid w:val="25090731"/>
    <w:rsid w:val="25145328"/>
    <w:rsid w:val="253B0B07"/>
    <w:rsid w:val="254215B0"/>
    <w:rsid w:val="25551BC9"/>
    <w:rsid w:val="25627E42"/>
    <w:rsid w:val="256C2A6E"/>
    <w:rsid w:val="25710085"/>
    <w:rsid w:val="257E6F17"/>
    <w:rsid w:val="258E6E89"/>
    <w:rsid w:val="25AC730F"/>
    <w:rsid w:val="25C44658"/>
    <w:rsid w:val="25D24BC8"/>
    <w:rsid w:val="25F72C80"/>
    <w:rsid w:val="26451C3D"/>
    <w:rsid w:val="269F2477"/>
    <w:rsid w:val="26D11C55"/>
    <w:rsid w:val="270F17A0"/>
    <w:rsid w:val="27135897"/>
    <w:rsid w:val="2725381D"/>
    <w:rsid w:val="27547C5E"/>
    <w:rsid w:val="27837B39"/>
    <w:rsid w:val="2799203C"/>
    <w:rsid w:val="27A608BD"/>
    <w:rsid w:val="27A62743"/>
    <w:rsid w:val="27CC1EEA"/>
    <w:rsid w:val="27D019DA"/>
    <w:rsid w:val="27DF73D0"/>
    <w:rsid w:val="2815563F"/>
    <w:rsid w:val="28180C8B"/>
    <w:rsid w:val="28237D5C"/>
    <w:rsid w:val="28665E9B"/>
    <w:rsid w:val="28885E11"/>
    <w:rsid w:val="28951D33"/>
    <w:rsid w:val="28A51128"/>
    <w:rsid w:val="28A80261"/>
    <w:rsid w:val="28C606E7"/>
    <w:rsid w:val="28DF17A9"/>
    <w:rsid w:val="292F2731"/>
    <w:rsid w:val="29422464"/>
    <w:rsid w:val="294521D2"/>
    <w:rsid w:val="295208DC"/>
    <w:rsid w:val="296543A4"/>
    <w:rsid w:val="29755A4F"/>
    <w:rsid w:val="297D16EE"/>
    <w:rsid w:val="2987431B"/>
    <w:rsid w:val="29A9603F"/>
    <w:rsid w:val="2A2953D2"/>
    <w:rsid w:val="2AAD6003"/>
    <w:rsid w:val="2AB078A1"/>
    <w:rsid w:val="2ABE5B1A"/>
    <w:rsid w:val="2AD16BB3"/>
    <w:rsid w:val="2B51698E"/>
    <w:rsid w:val="2B54647E"/>
    <w:rsid w:val="2B6C5E66"/>
    <w:rsid w:val="2B7D7783"/>
    <w:rsid w:val="2B990335"/>
    <w:rsid w:val="2BB41121"/>
    <w:rsid w:val="2BBB64FD"/>
    <w:rsid w:val="2C103050"/>
    <w:rsid w:val="2C155C0E"/>
    <w:rsid w:val="2C46226B"/>
    <w:rsid w:val="2C622E1D"/>
    <w:rsid w:val="2C732934"/>
    <w:rsid w:val="2C815051"/>
    <w:rsid w:val="2C970D19"/>
    <w:rsid w:val="2C9A25F8"/>
    <w:rsid w:val="2CCF1853"/>
    <w:rsid w:val="2D4A1CDA"/>
    <w:rsid w:val="2DE758BA"/>
    <w:rsid w:val="2E020414"/>
    <w:rsid w:val="2E5F25B9"/>
    <w:rsid w:val="2E8E1CA7"/>
    <w:rsid w:val="2EA662CD"/>
    <w:rsid w:val="2EE10029"/>
    <w:rsid w:val="2F184D64"/>
    <w:rsid w:val="2F2443BA"/>
    <w:rsid w:val="2F5C102C"/>
    <w:rsid w:val="2F854E58"/>
    <w:rsid w:val="2F974B8C"/>
    <w:rsid w:val="2FF344B8"/>
    <w:rsid w:val="2FF80C51"/>
    <w:rsid w:val="303B5E5F"/>
    <w:rsid w:val="30963095"/>
    <w:rsid w:val="30E42053"/>
    <w:rsid w:val="30EB1633"/>
    <w:rsid w:val="3159659D"/>
    <w:rsid w:val="316B2774"/>
    <w:rsid w:val="3179279B"/>
    <w:rsid w:val="31896B98"/>
    <w:rsid w:val="318D08BC"/>
    <w:rsid w:val="31921AAF"/>
    <w:rsid w:val="31C854D0"/>
    <w:rsid w:val="31DB5204"/>
    <w:rsid w:val="31EC5663"/>
    <w:rsid w:val="321C75CA"/>
    <w:rsid w:val="322261F2"/>
    <w:rsid w:val="32250B75"/>
    <w:rsid w:val="32D57EA5"/>
    <w:rsid w:val="32E60304"/>
    <w:rsid w:val="331210F9"/>
    <w:rsid w:val="3328091C"/>
    <w:rsid w:val="33896EE1"/>
    <w:rsid w:val="33DB598F"/>
    <w:rsid w:val="340D7625"/>
    <w:rsid w:val="346239BA"/>
    <w:rsid w:val="34733B1A"/>
    <w:rsid w:val="348C0A37"/>
    <w:rsid w:val="34A44BE9"/>
    <w:rsid w:val="34AC732B"/>
    <w:rsid w:val="34B276E0"/>
    <w:rsid w:val="34E844B6"/>
    <w:rsid w:val="35284C04"/>
    <w:rsid w:val="35526022"/>
    <w:rsid w:val="355A6D87"/>
    <w:rsid w:val="355C281A"/>
    <w:rsid w:val="35725E7F"/>
    <w:rsid w:val="35B53FBD"/>
    <w:rsid w:val="35C506A4"/>
    <w:rsid w:val="35E87EEF"/>
    <w:rsid w:val="36192AEB"/>
    <w:rsid w:val="36537A55"/>
    <w:rsid w:val="36BE50F4"/>
    <w:rsid w:val="36C50230"/>
    <w:rsid w:val="36FD3E6E"/>
    <w:rsid w:val="37515F68"/>
    <w:rsid w:val="376D5966"/>
    <w:rsid w:val="377834F5"/>
    <w:rsid w:val="377F4883"/>
    <w:rsid w:val="379245B6"/>
    <w:rsid w:val="37B54749"/>
    <w:rsid w:val="37DE77FC"/>
    <w:rsid w:val="37EB016A"/>
    <w:rsid w:val="384B29B7"/>
    <w:rsid w:val="38D97FC3"/>
    <w:rsid w:val="393A3A01"/>
    <w:rsid w:val="399860B8"/>
    <w:rsid w:val="39A53AE6"/>
    <w:rsid w:val="39DF3CFF"/>
    <w:rsid w:val="39E3559D"/>
    <w:rsid w:val="3A30455A"/>
    <w:rsid w:val="3A655D4A"/>
    <w:rsid w:val="3A6C5593"/>
    <w:rsid w:val="3A933F70"/>
    <w:rsid w:val="3AA7481D"/>
    <w:rsid w:val="3AB962FE"/>
    <w:rsid w:val="3B566601"/>
    <w:rsid w:val="3B5878C5"/>
    <w:rsid w:val="3B660234"/>
    <w:rsid w:val="3B781D15"/>
    <w:rsid w:val="3BB54D17"/>
    <w:rsid w:val="3BE15B0C"/>
    <w:rsid w:val="3C2B4FD9"/>
    <w:rsid w:val="3C495460"/>
    <w:rsid w:val="3C5F6A31"/>
    <w:rsid w:val="3CB054DF"/>
    <w:rsid w:val="3CBB3C9F"/>
    <w:rsid w:val="3CD70CBD"/>
    <w:rsid w:val="3CE024D8"/>
    <w:rsid w:val="3CE60F00"/>
    <w:rsid w:val="3D51281E"/>
    <w:rsid w:val="3D5D7415"/>
    <w:rsid w:val="3DA45043"/>
    <w:rsid w:val="3DE418E4"/>
    <w:rsid w:val="3E2241BA"/>
    <w:rsid w:val="3E6719B9"/>
    <w:rsid w:val="3E7A5DA4"/>
    <w:rsid w:val="3EAE391C"/>
    <w:rsid w:val="3EDE27D7"/>
    <w:rsid w:val="3F033FEC"/>
    <w:rsid w:val="3F584337"/>
    <w:rsid w:val="3F656A54"/>
    <w:rsid w:val="3F823162"/>
    <w:rsid w:val="3FB928FC"/>
    <w:rsid w:val="3FC75019"/>
    <w:rsid w:val="3FEB6F5A"/>
    <w:rsid w:val="4006197F"/>
    <w:rsid w:val="400766C0"/>
    <w:rsid w:val="40152228"/>
    <w:rsid w:val="401A1C87"/>
    <w:rsid w:val="40503261"/>
    <w:rsid w:val="40B52091"/>
    <w:rsid w:val="40BE641C"/>
    <w:rsid w:val="40DC2D46"/>
    <w:rsid w:val="40EE65D6"/>
    <w:rsid w:val="40FA31CC"/>
    <w:rsid w:val="41391F47"/>
    <w:rsid w:val="414A5F02"/>
    <w:rsid w:val="41586871"/>
    <w:rsid w:val="41602803"/>
    <w:rsid w:val="41831414"/>
    <w:rsid w:val="418551D9"/>
    <w:rsid w:val="41AD023F"/>
    <w:rsid w:val="41B31CF9"/>
    <w:rsid w:val="41FA16D6"/>
    <w:rsid w:val="4258464E"/>
    <w:rsid w:val="426B4382"/>
    <w:rsid w:val="42723962"/>
    <w:rsid w:val="42865C05"/>
    <w:rsid w:val="42AA5161"/>
    <w:rsid w:val="42AD2375"/>
    <w:rsid w:val="42D261AF"/>
    <w:rsid w:val="42E859D2"/>
    <w:rsid w:val="42FC147E"/>
    <w:rsid w:val="431866C7"/>
    <w:rsid w:val="431E13F4"/>
    <w:rsid w:val="437159C8"/>
    <w:rsid w:val="4392593E"/>
    <w:rsid w:val="43BB4E95"/>
    <w:rsid w:val="43C315F1"/>
    <w:rsid w:val="43C755E8"/>
    <w:rsid w:val="43D146B8"/>
    <w:rsid w:val="43F32881"/>
    <w:rsid w:val="44290050"/>
    <w:rsid w:val="442B201A"/>
    <w:rsid w:val="4436276D"/>
    <w:rsid w:val="445175A7"/>
    <w:rsid w:val="449F6565"/>
    <w:rsid w:val="44C10289"/>
    <w:rsid w:val="450B59A8"/>
    <w:rsid w:val="459736E0"/>
    <w:rsid w:val="45A831F7"/>
    <w:rsid w:val="45B44912"/>
    <w:rsid w:val="45F91CA4"/>
    <w:rsid w:val="46004DE1"/>
    <w:rsid w:val="462F55E2"/>
    <w:rsid w:val="4670640B"/>
    <w:rsid w:val="468616FB"/>
    <w:rsid w:val="468A0B4E"/>
    <w:rsid w:val="46F30DEA"/>
    <w:rsid w:val="470B6133"/>
    <w:rsid w:val="47125833"/>
    <w:rsid w:val="472B40E0"/>
    <w:rsid w:val="473867FC"/>
    <w:rsid w:val="474D4056"/>
    <w:rsid w:val="475C073D"/>
    <w:rsid w:val="476475F1"/>
    <w:rsid w:val="476A2E5A"/>
    <w:rsid w:val="47774AFF"/>
    <w:rsid w:val="47C307BC"/>
    <w:rsid w:val="47CF0F0F"/>
    <w:rsid w:val="47D14C87"/>
    <w:rsid w:val="47E26E94"/>
    <w:rsid w:val="48012B0B"/>
    <w:rsid w:val="481B4154"/>
    <w:rsid w:val="48671159"/>
    <w:rsid w:val="48703717"/>
    <w:rsid w:val="487171B8"/>
    <w:rsid w:val="487D76BB"/>
    <w:rsid w:val="48B3438D"/>
    <w:rsid w:val="49092B40"/>
    <w:rsid w:val="49836455"/>
    <w:rsid w:val="49A563CB"/>
    <w:rsid w:val="49B22896"/>
    <w:rsid w:val="49C8030C"/>
    <w:rsid w:val="49FB4493"/>
    <w:rsid w:val="4A562C5D"/>
    <w:rsid w:val="4A6B7768"/>
    <w:rsid w:val="4AE271AB"/>
    <w:rsid w:val="4B074E64"/>
    <w:rsid w:val="4B257098"/>
    <w:rsid w:val="4B410375"/>
    <w:rsid w:val="4B4F7604"/>
    <w:rsid w:val="4B9D473F"/>
    <w:rsid w:val="4BC6087B"/>
    <w:rsid w:val="4BCD1C09"/>
    <w:rsid w:val="4BD0603D"/>
    <w:rsid w:val="4C41429B"/>
    <w:rsid w:val="4C92075D"/>
    <w:rsid w:val="4CE511D4"/>
    <w:rsid w:val="4CE8728E"/>
    <w:rsid w:val="4D3B2BA3"/>
    <w:rsid w:val="4D4E28D6"/>
    <w:rsid w:val="4DFC0584"/>
    <w:rsid w:val="4E0716EC"/>
    <w:rsid w:val="4E4B5067"/>
    <w:rsid w:val="4EB6433D"/>
    <w:rsid w:val="4EB90223"/>
    <w:rsid w:val="4ED137BE"/>
    <w:rsid w:val="4F440434"/>
    <w:rsid w:val="4F6463E1"/>
    <w:rsid w:val="4F820A5A"/>
    <w:rsid w:val="50746AF7"/>
    <w:rsid w:val="50850D04"/>
    <w:rsid w:val="50942CF5"/>
    <w:rsid w:val="50C01D3C"/>
    <w:rsid w:val="50D47596"/>
    <w:rsid w:val="50F6750C"/>
    <w:rsid w:val="512E4EF8"/>
    <w:rsid w:val="5153670D"/>
    <w:rsid w:val="519A258E"/>
    <w:rsid w:val="51C23892"/>
    <w:rsid w:val="51C97A41"/>
    <w:rsid w:val="5233653E"/>
    <w:rsid w:val="5277467D"/>
    <w:rsid w:val="52936357"/>
    <w:rsid w:val="52994D0A"/>
    <w:rsid w:val="530A54F1"/>
    <w:rsid w:val="53206AC2"/>
    <w:rsid w:val="532D1ACF"/>
    <w:rsid w:val="534E507F"/>
    <w:rsid w:val="53600514"/>
    <w:rsid w:val="53933BBA"/>
    <w:rsid w:val="53C80ABF"/>
    <w:rsid w:val="53CF61FE"/>
    <w:rsid w:val="540B7D0D"/>
    <w:rsid w:val="54332825"/>
    <w:rsid w:val="54A51975"/>
    <w:rsid w:val="54B313EE"/>
    <w:rsid w:val="54B73456"/>
    <w:rsid w:val="550946FB"/>
    <w:rsid w:val="554967A4"/>
    <w:rsid w:val="559D089E"/>
    <w:rsid w:val="55F765B3"/>
    <w:rsid w:val="56222B52"/>
    <w:rsid w:val="56494582"/>
    <w:rsid w:val="56503404"/>
    <w:rsid w:val="56701B0F"/>
    <w:rsid w:val="56925D1B"/>
    <w:rsid w:val="569C06CC"/>
    <w:rsid w:val="56DA167E"/>
    <w:rsid w:val="56E237B3"/>
    <w:rsid w:val="56E878F7"/>
    <w:rsid w:val="56F24C1A"/>
    <w:rsid w:val="570B2105"/>
    <w:rsid w:val="572172AD"/>
    <w:rsid w:val="574D153C"/>
    <w:rsid w:val="57544F8D"/>
    <w:rsid w:val="57662666"/>
    <w:rsid w:val="57B55DAB"/>
    <w:rsid w:val="57F4051E"/>
    <w:rsid w:val="581E66C8"/>
    <w:rsid w:val="588F362C"/>
    <w:rsid w:val="58BF6D7E"/>
    <w:rsid w:val="58C61EBA"/>
    <w:rsid w:val="58E862D4"/>
    <w:rsid w:val="59017396"/>
    <w:rsid w:val="597A4A53"/>
    <w:rsid w:val="59C3464B"/>
    <w:rsid w:val="5A1530F9"/>
    <w:rsid w:val="5A642634"/>
    <w:rsid w:val="5A81253D"/>
    <w:rsid w:val="5A951B44"/>
    <w:rsid w:val="5A9907CF"/>
    <w:rsid w:val="5AA224B3"/>
    <w:rsid w:val="5B8B4C4D"/>
    <w:rsid w:val="5B9C6F02"/>
    <w:rsid w:val="5BCD78CC"/>
    <w:rsid w:val="5BE11727"/>
    <w:rsid w:val="5CB4258F"/>
    <w:rsid w:val="5CF85E51"/>
    <w:rsid w:val="5D1A01BF"/>
    <w:rsid w:val="5D2418A5"/>
    <w:rsid w:val="5D301FF8"/>
    <w:rsid w:val="5D655B27"/>
    <w:rsid w:val="5D934D9D"/>
    <w:rsid w:val="5D9768FF"/>
    <w:rsid w:val="5DBF512A"/>
    <w:rsid w:val="5DDB246E"/>
    <w:rsid w:val="5DE27796"/>
    <w:rsid w:val="5E512226"/>
    <w:rsid w:val="5E563CE0"/>
    <w:rsid w:val="5E652175"/>
    <w:rsid w:val="5E8A398A"/>
    <w:rsid w:val="5EB629D1"/>
    <w:rsid w:val="5F3E456A"/>
    <w:rsid w:val="5FAA6092"/>
    <w:rsid w:val="5FFD0B20"/>
    <w:rsid w:val="606C1599"/>
    <w:rsid w:val="60CA4511"/>
    <w:rsid w:val="60CF1453"/>
    <w:rsid w:val="60F17CF0"/>
    <w:rsid w:val="615C160D"/>
    <w:rsid w:val="616E6854"/>
    <w:rsid w:val="61A15272"/>
    <w:rsid w:val="61AB1483"/>
    <w:rsid w:val="61DE2022"/>
    <w:rsid w:val="62683FE2"/>
    <w:rsid w:val="626A0681"/>
    <w:rsid w:val="627B3D15"/>
    <w:rsid w:val="628C1A8A"/>
    <w:rsid w:val="63147CC6"/>
    <w:rsid w:val="63185EE8"/>
    <w:rsid w:val="632717A7"/>
    <w:rsid w:val="633345F0"/>
    <w:rsid w:val="633F2F95"/>
    <w:rsid w:val="63483C91"/>
    <w:rsid w:val="63B079EF"/>
    <w:rsid w:val="64E9663D"/>
    <w:rsid w:val="64FA30D7"/>
    <w:rsid w:val="65143FAD"/>
    <w:rsid w:val="651E46E2"/>
    <w:rsid w:val="65353DCC"/>
    <w:rsid w:val="653E102A"/>
    <w:rsid w:val="65646CE3"/>
    <w:rsid w:val="65960856"/>
    <w:rsid w:val="65A6554D"/>
    <w:rsid w:val="65DC4ACB"/>
    <w:rsid w:val="65EC0A86"/>
    <w:rsid w:val="66064EB1"/>
    <w:rsid w:val="669B4986"/>
    <w:rsid w:val="66A03D4A"/>
    <w:rsid w:val="66DA7368"/>
    <w:rsid w:val="66DE4873"/>
    <w:rsid w:val="66EC3434"/>
    <w:rsid w:val="66ED50A5"/>
    <w:rsid w:val="671958AB"/>
    <w:rsid w:val="672B57FB"/>
    <w:rsid w:val="6780592A"/>
    <w:rsid w:val="67A612BE"/>
    <w:rsid w:val="67C9107F"/>
    <w:rsid w:val="67D85766"/>
    <w:rsid w:val="6811450F"/>
    <w:rsid w:val="681C38A5"/>
    <w:rsid w:val="682D5AB2"/>
    <w:rsid w:val="68354966"/>
    <w:rsid w:val="68386205"/>
    <w:rsid w:val="683E1A6D"/>
    <w:rsid w:val="686D2352"/>
    <w:rsid w:val="687E630D"/>
    <w:rsid w:val="68911021"/>
    <w:rsid w:val="689E42BA"/>
    <w:rsid w:val="68A240D7"/>
    <w:rsid w:val="68A53635"/>
    <w:rsid w:val="694E29D2"/>
    <w:rsid w:val="694F1A58"/>
    <w:rsid w:val="69E50BCD"/>
    <w:rsid w:val="69F10D61"/>
    <w:rsid w:val="6A0632C2"/>
    <w:rsid w:val="6A350C4E"/>
    <w:rsid w:val="6A374FD4"/>
    <w:rsid w:val="6A4D41E9"/>
    <w:rsid w:val="6AB4102B"/>
    <w:rsid w:val="6AE54422"/>
    <w:rsid w:val="6AF60610"/>
    <w:rsid w:val="6B080C62"/>
    <w:rsid w:val="6B567513"/>
    <w:rsid w:val="6B625A72"/>
    <w:rsid w:val="6B7306A0"/>
    <w:rsid w:val="6B822F1F"/>
    <w:rsid w:val="6B9320D0"/>
    <w:rsid w:val="6BA30382"/>
    <w:rsid w:val="6BB81B36"/>
    <w:rsid w:val="6BD6020E"/>
    <w:rsid w:val="6BFD579B"/>
    <w:rsid w:val="6C7041BF"/>
    <w:rsid w:val="6C88775B"/>
    <w:rsid w:val="6CF971D7"/>
    <w:rsid w:val="6D2031F1"/>
    <w:rsid w:val="6D21195D"/>
    <w:rsid w:val="6D237483"/>
    <w:rsid w:val="6D2D3E5E"/>
    <w:rsid w:val="6D392803"/>
    <w:rsid w:val="6D592EA5"/>
    <w:rsid w:val="6DA14328"/>
    <w:rsid w:val="6DCA78FF"/>
    <w:rsid w:val="6E1F40EF"/>
    <w:rsid w:val="6E4E0D57"/>
    <w:rsid w:val="6E6D0752"/>
    <w:rsid w:val="6ED70525"/>
    <w:rsid w:val="6F094457"/>
    <w:rsid w:val="6F196D90"/>
    <w:rsid w:val="6F3E170F"/>
    <w:rsid w:val="6F5C198F"/>
    <w:rsid w:val="6F793783"/>
    <w:rsid w:val="6FAD6F71"/>
    <w:rsid w:val="6FD131C7"/>
    <w:rsid w:val="6FEA4288"/>
    <w:rsid w:val="6FF46EB5"/>
    <w:rsid w:val="70076BE8"/>
    <w:rsid w:val="704A2F79"/>
    <w:rsid w:val="705A7660"/>
    <w:rsid w:val="70862203"/>
    <w:rsid w:val="70946460"/>
    <w:rsid w:val="70F76C5D"/>
    <w:rsid w:val="70FC24C5"/>
    <w:rsid w:val="714F4CEB"/>
    <w:rsid w:val="715C2F64"/>
    <w:rsid w:val="716167B9"/>
    <w:rsid w:val="717F6C52"/>
    <w:rsid w:val="71834994"/>
    <w:rsid w:val="71E84AE1"/>
    <w:rsid w:val="71EF5B86"/>
    <w:rsid w:val="71F4319C"/>
    <w:rsid w:val="71FE472C"/>
    <w:rsid w:val="72021D5D"/>
    <w:rsid w:val="724203AC"/>
    <w:rsid w:val="725F0F5E"/>
    <w:rsid w:val="734E4B2E"/>
    <w:rsid w:val="736507F6"/>
    <w:rsid w:val="73A62BBC"/>
    <w:rsid w:val="73AD3F4B"/>
    <w:rsid w:val="73C372CA"/>
    <w:rsid w:val="744A79EB"/>
    <w:rsid w:val="746A3BEA"/>
    <w:rsid w:val="74CA4688"/>
    <w:rsid w:val="74E829AF"/>
    <w:rsid w:val="750C4CA1"/>
    <w:rsid w:val="75157FF9"/>
    <w:rsid w:val="7524023C"/>
    <w:rsid w:val="756679EC"/>
    <w:rsid w:val="759F178F"/>
    <w:rsid w:val="75CB06B8"/>
    <w:rsid w:val="75EB3E6D"/>
    <w:rsid w:val="75F93477"/>
    <w:rsid w:val="76374D04"/>
    <w:rsid w:val="76515061"/>
    <w:rsid w:val="767D1253"/>
    <w:rsid w:val="76966F18"/>
    <w:rsid w:val="76C53359"/>
    <w:rsid w:val="76D8704C"/>
    <w:rsid w:val="76DD7B09"/>
    <w:rsid w:val="76EE0B02"/>
    <w:rsid w:val="76FB1881"/>
    <w:rsid w:val="770C71DA"/>
    <w:rsid w:val="771A5453"/>
    <w:rsid w:val="771B3544"/>
    <w:rsid w:val="7735563A"/>
    <w:rsid w:val="776D084F"/>
    <w:rsid w:val="77752FD1"/>
    <w:rsid w:val="77901BB9"/>
    <w:rsid w:val="77A967D7"/>
    <w:rsid w:val="781E0F73"/>
    <w:rsid w:val="78670B6C"/>
    <w:rsid w:val="787768D5"/>
    <w:rsid w:val="78852DA0"/>
    <w:rsid w:val="7896221C"/>
    <w:rsid w:val="78DB6E64"/>
    <w:rsid w:val="78FD6DDA"/>
    <w:rsid w:val="79075EAB"/>
    <w:rsid w:val="79876FEC"/>
    <w:rsid w:val="799C2A97"/>
    <w:rsid w:val="79EA1A55"/>
    <w:rsid w:val="7A4E3666"/>
    <w:rsid w:val="7A634533"/>
    <w:rsid w:val="7A7B08FF"/>
    <w:rsid w:val="7A835A05"/>
    <w:rsid w:val="7AAC0AB8"/>
    <w:rsid w:val="7AAD2A82"/>
    <w:rsid w:val="7AB756AF"/>
    <w:rsid w:val="7AC34054"/>
    <w:rsid w:val="7AD7007D"/>
    <w:rsid w:val="7B564EC8"/>
    <w:rsid w:val="7B5B0730"/>
    <w:rsid w:val="7BAB1AAD"/>
    <w:rsid w:val="7BC97448"/>
    <w:rsid w:val="7C244DFF"/>
    <w:rsid w:val="7C574A54"/>
    <w:rsid w:val="7C605FFE"/>
    <w:rsid w:val="7C6768FF"/>
    <w:rsid w:val="7C8617DD"/>
    <w:rsid w:val="7C8E41ED"/>
    <w:rsid w:val="7CA12173"/>
    <w:rsid w:val="7CE107C1"/>
    <w:rsid w:val="7D052701"/>
    <w:rsid w:val="7D0E5A5A"/>
    <w:rsid w:val="7D1152FE"/>
    <w:rsid w:val="7D1E37C3"/>
    <w:rsid w:val="7D2C4132"/>
    <w:rsid w:val="7D692C90"/>
    <w:rsid w:val="7D741635"/>
    <w:rsid w:val="7D7F5021"/>
    <w:rsid w:val="7DAA5057"/>
    <w:rsid w:val="7DE62533"/>
    <w:rsid w:val="7E4159BB"/>
    <w:rsid w:val="7E53749D"/>
    <w:rsid w:val="7E6E42D6"/>
    <w:rsid w:val="7EB45827"/>
    <w:rsid w:val="7EF944E8"/>
    <w:rsid w:val="7F0E0B96"/>
    <w:rsid w:val="7F5931D8"/>
    <w:rsid w:val="7F645E05"/>
    <w:rsid w:val="7FB4040F"/>
    <w:rsid w:val="7FD6038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33"/>
    <w:semiHidden/>
    <w:unhideWhenUsed/>
    <w:qFormat/>
    <w:uiPriority w:val="99"/>
    <w:rPr>
      <w:rFonts w:ascii="宋体" w:eastAsia="宋体"/>
      <w:sz w:val="18"/>
      <w:szCs w:val="18"/>
    </w:rPr>
  </w:style>
  <w:style w:type="paragraph" w:styleId="4">
    <w:name w:val="Date"/>
    <w:basedOn w:val="1"/>
    <w:next w:val="1"/>
    <w:link w:val="29"/>
    <w:semiHidden/>
    <w:unhideWhenUsed/>
    <w:qFormat/>
    <w:uiPriority w:val="99"/>
    <w:pPr>
      <w:ind w:left="100" w:leftChars="2500"/>
    </w:pPr>
  </w:style>
  <w:style w:type="paragraph" w:styleId="5">
    <w:name w:val="Balloon Text"/>
    <w:basedOn w:val="1"/>
    <w:link w:val="32"/>
    <w:semiHidden/>
    <w:unhideWhenUsed/>
    <w:qFormat/>
    <w:uiPriority w:val="99"/>
    <w:rPr>
      <w:sz w:val="18"/>
      <w:szCs w:val="18"/>
    </w:rPr>
  </w:style>
  <w:style w:type="paragraph" w:styleId="6">
    <w:name w:val="footer"/>
    <w:basedOn w:val="1"/>
    <w:link w:val="14"/>
    <w:unhideWhenUsed/>
    <w:qFormat/>
    <w:uiPriority w:val="99"/>
    <w:pPr>
      <w:tabs>
        <w:tab w:val="center" w:pos="4153"/>
        <w:tab w:val="right" w:pos="8306"/>
      </w:tabs>
      <w:snapToGrid w:val="0"/>
      <w:jc w:val="left"/>
    </w:pPr>
    <w:rPr>
      <w:sz w:val="18"/>
      <w:szCs w:val="18"/>
    </w:rPr>
  </w:style>
  <w:style w:type="paragraph" w:styleId="7">
    <w:name w:val="header"/>
    <w:basedOn w:val="1"/>
    <w:link w:val="13"/>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oc 1"/>
    <w:basedOn w:val="1"/>
    <w:next w:val="1"/>
    <w:autoRedefine/>
    <w:unhideWhenUsed/>
    <w:qFormat/>
    <w:uiPriority w:val="39"/>
  </w:style>
  <w:style w:type="table" w:styleId="10">
    <w:name w:val="Table Grid"/>
    <w:basedOn w:val="9"/>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unhideWhenUsed/>
    <w:qFormat/>
    <w:uiPriority w:val="99"/>
    <w:rPr>
      <w:color w:val="0000FF" w:themeColor="hyperlink"/>
      <w:u w:val="single"/>
      <w14:textFill>
        <w14:solidFill>
          <w14:schemeClr w14:val="hlink"/>
        </w14:solidFill>
      </w14:textFill>
    </w:rPr>
  </w:style>
  <w:style w:type="character" w:customStyle="1" w:styleId="13">
    <w:name w:val="页眉 字符"/>
    <w:basedOn w:val="11"/>
    <w:link w:val="7"/>
    <w:semiHidden/>
    <w:qFormat/>
    <w:uiPriority w:val="99"/>
    <w:rPr>
      <w:sz w:val="18"/>
      <w:szCs w:val="18"/>
    </w:rPr>
  </w:style>
  <w:style w:type="character" w:customStyle="1" w:styleId="14">
    <w:name w:val="页脚 字符"/>
    <w:basedOn w:val="11"/>
    <w:link w:val="6"/>
    <w:qFormat/>
    <w:uiPriority w:val="99"/>
    <w:rPr>
      <w:sz w:val="18"/>
      <w:szCs w:val="18"/>
    </w:rPr>
  </w:style>
  <w:style w:type="paragraph" w:customStyle="1" w:styleId="15">
    <w:name w:val="文献分类号"/>
    <w:qFormat/>
    <w:uiPriority w:val="0"/>
    <w:pPr>
      <w:framePr w:hSpace="180" w:vSpace="180" w:wrap="around" w:vAnchor="margin" w:hAnchor="margin" w:y="1" w:anchorLock="1"/>
      <w:widowControl w:val="0"/>
      <w:textAlignment w:val="center"/>
    </w:pPr>
    <w:rPr>
      <w:rFonts w:ascii="黑体" w:hAnsi="Times New Roman" w:eastAsia="黑体" w:cs="Times New Roman"/>
      <w:sz w:val="21"/>
      <w:szCs w:val="21"/>
      <w:lang w:val="en-US" w:eastAsia="zh-CN" w:bidi="ar-SA"/>
    </w:rPr>
  </w:style>
  <w:style w:type="paragraph" w:customStyle="1" w:styleId="16">
    <w:name w:val="其他标准称谓"/>
    <w:next w:val="1"/>
    <w:qFormat/>
    <w:uiPriority w:val="0"/>
    <w:pPr>
      <w:framePr w:hSpace="181" w:vSpace="181" w:wrap="around" w:vAnchor="page" w:hAnchor="page" w:x="1419" w:y="2286" w:anchorLock="1"/>
      <w:spacing w:line="0" w:lineRule="atLeast"/>
      <w:jc w:val="distribute"/>
    </w:pPr>
    <w:rPr>
      <w:rFonts w:ascii="黑体" w:hAnsi="宋体" w:eastAsia="黑体" w:cs="Times New Roman"/>
      <w:spacing w:val="-40"/>
      <w:sz w:val="48"/>
      <w:szCs w:val="52"/>
      <w:lang w:val="en-US" w:eastAsia="zh-CN" w:bidi="ar-SA"/>
    </w:rPr>
  </w:style>
  <w:style w:type="paragraph" w:customStyle="1" w:styleId="1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rFonts w:ascii="Times New Roman" w:hAnsi="Times New Roman" w:eastAsia="宋体" w:cs="Times New Roman"/>
      <w:b/>
      <w:w w:val="130"/>
      <w:kern w:val="0"/>
      <w:sz w:val="96"/>
      <w:szCs w:val="96"/>
    </w:rPr>
  </w:style>
  <w:style w:type="paragraph" w:customStyle="1" w:styleId="1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1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20">
    <w:name w:val="封面标准文稿编辑信息"/>
    <w:basedOn w:val="21"/>
    <w:qFormat/>
    <w:uiPriority w:val="0"/>
    <w:pPr>
      <w:framePr w:wrap="around"/>
      <w:spacing w:before="180" w:line="180" w:lineRule="exact"/>
    </w:pPr>
    <w:rPr>
      <w:sz w:val="21"/>
    </w:rPr>
  </w:style>
  <w:style w:type="paragraph" w:customStyle="1" w:styleId="21">
    <w:name w:val="封面标准文稿类别"/>
    <w:basedOn w:val="22"/>
    <w:qFormat/>
    <w:uiPriority w:val="0"/>
    <w:pPr>
      <w:framePr w:wrap="around"/>
      <w:spacing w:after="160" w:line="240" w:lineRule="auto"/>
    </w:pPr>
    <w:rPr>
      <w:sz w:val="24"/>
    </w:rPr>
  </w:style>
  <w:style w:type="paragraph" w:customStyle="1" w:styleId="22">
    <w:name w:val="封面一致性程度标识"/>
    <w:basedOn w:val="1"/>
    <w:qFormat/>
    <w:uiPriority w:val="0"/>
    <w:pPr>
      <w:framePr w:w="9639" w:h="6917" w:hRule="exact" w:wrap="around" w:vAnchor="page" w:hAnchor="page" w:xAlign="center" w:y="6408" w:anchorLock="1"/>
      <w:spacing w:before="440" w:line="400" w:lineRule="exact"/>
      <w:jc w:val="center"/>
      <w:textAlignment w:val="center"/>
    </w:pPr>
    <w:rPr>
      <w:rFonts w:ascii="宋体" w:hAnsi="Times New Roman" w:eastAsia="宋体" w:cs="Times New Roman"/>
      <w:kern w:val="0"/>
      <w:sz w:val="28"/>
      <w:szCs w:val="28"/>
    </w:rPr>
  </w:style>
  <w:style w:type="paragraph" w:customStyle="1" w:styleId="23">
    <w:name w:val="其他实施日期"/>
    <w:basedOn w:val="1"/>
    <w:qFormat/>
    <w:uiPriority w:val="0"/>
    <w:pPr>
      <w:framePr w:w="3997" w:h="471" w:hRule="exact" w:vSpace="181" w:wrap="around" w:vAnchor="page" w:hAnchor="page" w:x="7089" w:y="14097" w:anchorLock="1"/>
      <w:widowControl/>
      <w:jc w:val="right"/>
    </w:pPr>
    <w:rPr>
      <w:rFonts w:ascii="Times New Roman" w:hAnsi="Times New Roman" w:eastAsia="黑体" w:cs="Times New Roman"/>
      <w:kern w:val="0"/>
      <w:sz w:val="28"/>
      <w:szCs w:val="20"/>
    </w:rPr>
  </w:style>
  <w:style w:type="paragraph" w:customStyle="1" w:styleId="24">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cs="Times New Roman"/>
      <w:kern w:val="0"/>
      <w:sz w:val="28"/>
      <w:szCs w:val="20"/>
    </w:rPr>
  </w:style>
  <w:style w:type="paragraph" w:customStyle="1" w:styleId="25">
    <w:name w:val="其他发布部门"/>
    <w:basedOn w:val="1"/>
    <w:qFormat/>
    <w:uiPriority w:val="0"/>
    <w:pPr>
      <w:framePr w:w="7938" w:h="1134" w:hRule="exact" w:hSpace="125" w:vSpace="181" w:wrap="around" w:vAnchor="page" w:hAnchor="page" w:x="2150" w:y="15310" w:anchorLock="1"/>
      <w:widowControl/>
      <w:spacing w:line="0" w:lineRule="atLeast"/>
      <w:jc w:val="center"/>
    </w:pPr>
    <w:rPr>
      <w:rFonts w:ascii="黑体" w:hAnsi="Times New Roman" w:eastAsia="黑体" w:cs="Times New Roman"/>
      <w:spacing w:val="20"/>
      <w:w w:val="135"/>
      <w:kern w:val="0"/>
      <w:sz w:val="28"/>
      <w:szCs w:val="20"/>
    </w:rPr>
  </w:style>
  <w:style w:type="character" w:customStyle="1" w:styleId="26">
    <w:name w:val="发布"/>
    <w:qFormat/>
    <w:uiPriority w:val="0"/>
    <w:rPr>
      <w:rFonts w:ascii="黑体" w:eastAsia="黑体"/>
      <w:spacing w:val="85"/>
      <w:w w:val="100"/>
      <w:position w:val="3"/>
      <w:sz w:val="28"/>
      <w:szCs w:val="28"/>
    </w:rPr>
  </w:style>
  <w:style w:type="paragraph" w:customStyle="1" w:styleId="27">
    <w:name w:val="段"/>
    <w:link w:val="28"/>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8">
    <w:name w:val="段 Char"/>
    <w:link w:val="27"/>
    <w:qFormat/>
    <w:uiPriority w:val="0"/>
    <w:rPr>
      <w:rFonts w:ascii="宋体" w:hAnsi="Times New Roman" w:eastAsia="宋体" w:cs="Times New Roman"/>
      <w:kern w:val="0"/>
      <w:szCs w:val="20"/>
    </w:rPr>
  </w:style>
  <w:style w:type="character" w:customStyle="1" w:styleId="29">
    <w:name w:val="日期 字符"/>
    <w:basedOn w:val="11"/>
    <w:link w:val="4"/>
    <w:semiHidden/>
    <w:qFormat/>
    <w:uiPriority w:val="99"/>
  </w:style>
  <w:style w:type="character" w:customStyle="1" w:styleId="30">
    <w:name w:val="标题 1 字符"/>
    <w:basedOn w:val="11"/>
    <w:link w:val="2"/>
    <w:qFormat/>
    <w:uiPriority w:val="9"/>
    <w:rPr>
      <w:b/>
      <w:bCs/>
      <w:kern w:val="44"/>
      <w:sz w:val="44"/>
      <w:szCs w:val="44"/>
    </w:rPr>
  </w:style>
  <w:style w:type="paragraph" w:customStyle="1" w:styleId="31">
    <w:name w:val="TOC 标题1"/>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2">
    <w:name w:val="批注框文本 字符"/>
    <w:basedOn w:val="11"/>
    <w:link w:val="5"/>
    <w:semiHidden/>
    <w:qFormat/>
    <w:uiPriority w:val="99"/>
    <w:rPr>
      <w:sz w:val="18"/>
      <w:szCs w:val="18"/>
    </w:rPr>
  </w:style>
  <w:style w:type="character" w:customStyle="1" w:styleId="33">
    <w:name w:val="文档结构图 字符"/>
    <w:basedOn w:val="11"/>
    <w:link w:val="3"/>
    <w:semiHidden/>
    <w:qFormat/>
    <w:uiPriority w:val="99"/>
    <w:rPr>
      <w:rFonts w:ascii="宋体"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0" Type="http://schemas.openxmlformats.org/officeDocument/2006/relationships/fontTable" Target="fontTable.xml"/><Relationship Id="rId3" Type="http://schemas.openxmlformats.org/officeDocument/2006/relationships/header" Target="header1.xml"/><Relationship Id="rId29" Type="http://schemas.openxmlformats.org/officeDocument/2006/relationships/customXml" Target="../customXml/item1.xml"/><Relationship Id="rId28" Type="http://schemas.openxmlformats.org/officeDocument/2006/relationships/image" Target="media/image1.jpeg"/><Relationship Id="rId27" Type="http://schemas.openxmlformats.org/officeDocument/2006/relationships/theme" Target="theme/theme1.xml"/><Relationship Id="rId26" Type="http://schemas.openxmlformats.org/officeDocument/2006/relationships/footer" Target="footer17.xml"/><Relationship Id="rId25" Type="http://schemas.openxmlformats.org/officeDocument/2006/relationships/footer" Target="footer16.xml"/><Relationship Id="rId24" Type="http://schemas.openxmlformats.org/officeDocument/2006/relationships/footer" Target="footer15.xml"/><Relationship Id="rId23" Type="http://schemas.openxmlformats.org/officeDocument/2006/relationships/footer" Target="footer14.xml"/><Relationship Id="rId22" Type="http://schemas.openxmlformats.org/officeDocument/2006/relationships/footer" Target="footer13.xml"/><Relationship Id="rId21" Type="http://schemas.openxmlformats.org/officeDocument/2006/relationships/footer" Target="footer12.xml"/><Relationship Id="rId20" Type="http://schemas.openxmlformats.org/officeDocument/2006/relationships/footer" Target="footer11.xml"/><Relationship Id="rId2" Type="http://schemas.openxmlformats.org/officeDocument/2006/relationships/settings" Target="settings.xml"/><Relationship Id="rId19" Type="http://schemas.openxmlformats.org/officeDocument/2006/relationships/footer" Target="footer10.xml"/><Relationship Id="rId18" Type="http://schemas.openxmlformats.org/officeDocument/2006/relationships/header" Target="header7.xml"/><Relationship Id="rId17" Type="http://schemas.openxmlformats.org/officeDocument/2006/relationships/header" Target="header6.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484</Words>
  <Characters>615</Characters>
  <Lines>31</Lines>
  <Paragraphs>8</Paragraphs>
  <TotalTime>3</TotalTime>
  <ScaleCrop>false</ScaleCrop>
  <LinksUpToDate>false</LinksUpToDate>
  <CharactersWithSpaces>692</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2024-03-29T02:36:00Z</dcterms:created>
  <dc:creator>1</dc:creator>
  <cp:lastModifiedBy>WPS_1559733158</cp:lastModifiedBy>
  <cp:lastPrinted>2025-06-18T07:54:00Z</cp:lastPrinted>
  <dcterms:modified xsi:type="dcterms:W3CDTF">2025-06-25T04:35:34Z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A7A5CF9730C340CD8E7AA8F7F2792975_13</vt:lpwstr>
  </property>
  <property fmtid="{D5CDD505-2E9C-101B-9397-08002B2CF9AE}" pid="4" name="KSOTemplateDocerSaveRecord">
    <vt:lpwstr>eyJoZGlkIjoiMjQ1NzVjODVmYzYzZWJhNTM1NTE3YTIzNDAyOTBkZjIiLCJ1c2VySWQiOiI1NzE4NTYzNTcifQ==</vt:lpwstr>
  </property>
</Properties>
</file>