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063F88EE">
          <w:pPr>
            <w:pStyle w:val="19"/>
            <w:ind w:firstLine="480"/>
            <w:jc w:val="both"/>
            <w:rPr>
              <w:b/>
              <w:bCs/>
              <w:color w:val="000000" w:themeColor="text1"/>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4E74D140">
          <w:pPr>
            <w:ind w:firstLine="480"/>
          </w:pPr>
          <w:r>
            <w:rPr>
              <w:rFonts w:asciiTheme="minorHAnsi" w:hAnsiTheme="minorHAnsi" w:eastAsiaTheme="minorHAnsi"/>
              <w:b/>
              <w:bCs/>
              <w:lang w:val="zh-CN"/>
            </w:rPr>
            <w:fldChar w:fldCharType="end"/>
          </w:r>
        </w:p>
      </w:sdtContent>
    </w:sdt>
    <w:p w14:paraId="728C6654">
      <w:pPr>
        <w:widowControl/>
        <w:spacing w:line="240" w:lineRule="auto"/>
        <w:ind w:firstLine="0" w:firstLineChars="0"/>
      </w:pPr>
    </w:p>
    <w:p w14:paraId="0F3E9BCE">
      <w:pPr>
        <w:pStyle w:val="34"/>
        <w:framePr w:wrap="around"/>
        <w:ind w:firstLine="480"/>
        <w:jc w:val="both"/>
      </w:pPr>
      <w:r>
        <w:br w:type="page"/>
      </w:r>
      <w:bookmarkStart w:id="3" w:name="_Hlk135297964"/>
      <w:bookmarkStart w:id="4" w:name="_Hlk107418431"/>
      <w:r>
        <w:rPr>
          <w:rFonts w:ascii="Times New Roman" w:eastAsia="宋体"/>
        </w:rPr>
        <w:t>ICS 01.120</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82C8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6FEBE7E7">
            <w:pPr>
              <w:pStyle w:val="34"/>
              <w:framePr w:wrap="around"/>
              <w:ind w:firstLine="420" w:firstLineChars="200"/>
              <w:jc w:val="both"/>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19050</wp:posOffset>
                      </wp:positionV>
                      <wp:extent cx="866775" cy="198120"/>
                      <wp:effectExtent l="0" t="0" r="1905"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4144;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Fmh&#10;M9UAAAAIAQAADwAAAAAAAAABACAAAAAiAAAAZHJzL2Rvd25yZXYueG1sUEsBAhQAFAAAAAgAh07i&#10;QFRCcyElAgAAOwQAAA4AAAAAAAAAAQAgAAAAJAEAAGRycy9lMm9Eb2MueG1sUEsFBgAAAAAGAAYA&#10;WQEAALsFAAAAAA==&#10;">
                      <v:fill on="t" focussize="0,0"/>
                      <v:stroke on="f"/>
                      <v:imagedata o:title=""/>
                      <o:lock v:ext="edit" aspectratio="f"/>
                    </v:rect>
                  </w:pict>
                </mc:Fallback>
              </mc:AlternateContent>
            </w:r>
            <w:r>
              <w:rPr>
                <w:rFonts w:hint="eastAsia"/>
              </w:rPr>
              <w:t>C</w:t>
            </w:r>
            <w:r>
              <w:t xml:space="preserve">CS A 00 </w:t>
            </w:r>
          </w:p>
        </w:tc>
      </w:tr>
      <w:bookmarkEnd w:id="3"/>
    </w:tbl>
    <w:p w14:paraId="6E44EB36">
      <w:pPr>
        <w:pStyle w:val="31"/>
        <w:framePr w:wrap="around"/>
        <w:ind w:firstLine="480"/>
      </w:pPr>
      <w:r>
        <w:t>DB61</w:t>
      </w:r>
    </w:p>
    <w:p w14:paraId="650073BF">
      <w:pPr>
        <w:pStyle w:val="24"/>
        <w:framePr w:wrap="around"/>
        <w:ind w:firstLine="480"/>
        <w:rPr>
          <w:rFonts w:ascii="Times New Roman"/>
        </w:rPr>
      </w:pPr>
      <w:bookmarkStart w:id="5" w:name="_Hlk135835474"/>
      <w:r>
        <w:rPr>
          <w:rFonts w:ascii="Times New Roman"/>
        </w:rPr>
        <w:t>DB 61/T  XX-2024</w:t>
      </w:r>
    </w:p>
    <w:bookmarkEnd w:id="5"/>
    <w:p w14:paraId="5D654D69">
      <w:pPr>
        <w:pStyle w:val="26"/>
        <w:framePr w:wrap="around"/>
        <w:ind w:right="210" w:firstLine="480"/>
        <w:jc w:val="both"/>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486D9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1257ABFC">
            <w:pPr>
              <w:pStyle w:val="26"/>
              <w:framePr w:wrap="around"/>
              <w:ind w:firstLine="480"/>
              <w:jc w:val="both"/>
            </w:pPr>
          </w:p>
        </w:tc>
      </w:tr>
    </w:tbl>
    <w:p w14:paraId="2F99F06C">
      <w:pPr>
        <w:pStyle w:val="24"/>
        <w:framePr w:wrap="around"/>
        <w:ind w:firstLine="480"/>
        <w:jc w:val="both"/>
      </w:pPr>
    </w:p>
    <w:p w14:paraId="3FA924FE">
      <w:pPr>
        <w:pStyle w:val="24"/>
        <w:framePr w:wrap="around"/>
        <w:ind w:firstLine="480"/>
        <w:jc w:val="both"/>
      </w:pPr>
    </w:p>
    <w:p w14:paraId="56FD023C">
      <w:pPr>
        <w:framePr w:w="9991" w:h="6917" w:hRule="exact" w:wrap="around" w:vAnchor="page" w:hAnchor="page" w:x="1171" w:y="6331" w:anchorLock="1"/>
        <w:spacing w:line="440" w:lineRule="exact"/>
        <w:ind w:firstLine="0" w:firstLineChars="0"/>
        <w:jc w:val="center"/>
        <w:rPr>
          <w:rFonts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434B8918">
      <w:pPr>
        <w:framePr w:w="9991" w:h="6917" w:hRule="exact" w:wrap="around" w:vAnchor="page" w:hAnchor="page" w:x="1171" w:y="6331" w:anchorLock="1"/>
        <w:spacing w:line="440" w:lineRule="exact"/>
        <w:ind w:firstLine="0" w:firstLineChars="0"/>
        <w:jc w:val="center"/>
        <w:rPr>
          <w:rFonts w:ascii="宋体" w:hAnsi="宋体" w:eastAsia="宋体" w:cs="黑体"/>
          <w:color w:val="000000"/>
          <w:sz w:val="32"/>
          <w:szCs w:val="32"/>
        </w:rPr>
      </w:pPr>
      <w:r>
        <w:rPr>
          <w:rFonts w:hint="eastAsia" w:ascii="宋体" w:hAnsi="宋体" w:eastAsia="宋体" w:cs="黑体"/>
          <w:color w:val="000000"/>
          <w:sz w:val="32"/>
          <w:szCs w:val="32"/>
        </w:rPr>
        <w:t>第</w:t>
      </w:r>
      <w:r>
        <w:rPr>
          <w:rFonts w:ascii="宋体" w:hAnsi="宋体" w:eastAsia="宋体" w:cs="黑体"/>
          <w:color w:val="000000"/>
          <w:sz w:val="32"/>
          <w:szCs w:val="32"/>
        </w:rPr>
        <w:t>7</w:t>
      </w:r>
      <w:r>
        <w:rPr>
          <w:rFonts w:hint="eastAsia" w:ascii="宋体" w:hAnsi="宋体" w:eastAsia="宋体" w:cs="黑体"/>
          <w:color w:val="000000"/>
          <w:sz w:val="32"/>
          <w:szCs w:val="32"/>
        </w:rPr>
        <w:t>部分：层架式栽培食用菌塑料大棚</w:t>
      </w:r>
    </w:p>
    <w:p w14:paraId="43D73AA1">
      <w:pPr>
        <w:framePr w:w="9991" w:h="6917" w:hRule="exact" w:wrap="around" w:vAnchor="page" w:hAnchor="page" w:x="1171" w:y="6331" w:anchorLock="1"/>
        <w:widowControl/>
        <w:shd w:val="clear" w:color="auto" w:fill="FDFDFD"/>
        <w:spacing w:line="440" w:lineRule="exact"/>
        <w:ind w:firstLine="0" w:firstLineChars="0"/>
        <w:jc w:val="center"/>
        <w:rPr>
          <w:rStyle w:val="37"/>
          <w:rFonts w:eastAsia="宋体" w:cs="Times New Roman"/>
          <w:kern w:val="0"/>
          <w:szCs w:val="24"/>
        </w:rPr>
      </w:pPr>
      <w:r>
        <w:rPr>
          <w:rStyle w:val="37"/>
          <w:rFonts w:eastAsia="宋体" w:cs="Times New Roman"/>
          <w:kern w:val="0"/>
          <w:szCs w:val="24"/>
        </w:rPr>
        <w:t xml:space="preserve">Part 1: </w:t>
      </w:r>
      <w:r>
        <w:rPr>
          <w:rStyle w:val="37"/>
          <w:rFonts w:hint="eastAsia" w:eastAsia="宋体" w:cs="Times New Roman"/>
          <w:kern w:val="0"/>
          <w:szCs w:val="24"/>
        </w:rPr>
        <w:t>P</w:t>
      </w:r>
      <w:r>
        <w:rPr>
          <w:rStyle w:val="37"/>
          <w:rFonts w:eastAsia="宋体" w:cs="Times New Roman"/>
          <w:kern w:val="0"/>
          <w:szCs w:val="24"/>
        </w:rPr>
        <w:t xml:space="preserve">lastic </w:t>
      </w:r>
      <w:r>
        <w:rPr>
          <w:rStyle w:val="37"/>
          <w:rFonts w:hint="eastAsia" w:eastAsia="宋体" w:cs="Times New Roman"/>
          <w:kern w:val="0"/>
          <w:szCs w:val="24"/>
        </w:rPr>
        <w:t>greenhouse</w:t>
      </w:r>
      <w:r>
        <w:rPr>
          <w:rStyle w:val="37"/>
          <w:rFonts w:eastAsia="宋体" w:cs="Times New Roman"/>
          <w:kern w:val="0"/>
          <w:szCs w:val="24"/>
        </w:rPr>
        <w:t xml:space="preserve"> for edible fungi </w:t>
      </w:r>
      <w:r>
        <w:rPr>
          <w:rStyle w:val="37"/>
          <w:rFonts w:hint="eastAsia" w:eastAsia="宋体" w:cs="Times New Roman"/>
          <w:kern w:val="0"/>
          <w:szCs w:val="24"/>
        </w:rPr>
        <w:t>culti</w:t>
      </w:r>
      <w:r>
        <w:rPr>
          <w:rStyle w:val="37"/>
          <w:rFonts w:eastAsia="宋体" w:cs="Times New Roman"/>
          <w:kern w:val="0"/>
          <w:szCs w:val="24"/>
        </w:rPr>
        <w:t xml:space="preserve">vated in layer frame type </w:t>
      </w:r>
    </w:p>
    <w:p w14:paraId="32F11552">
      <w:pPr>
        <w:pStyle w:val="27"/>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323B2740">
      <w:pPr>
        <w:pStyle w:val="27"/>
        <w:framePr w:w="9991" w:wrap="around" w:x="1171" w:y="6331"/>
        <w:ind w:firstLine="480"/>
        <w:jc w:val="both"/>
        <w:rPr>
          <w:color w:val="000000"/>
        </w:rPr>
      </w:pPr>
      <w:bookmarkStart w:id="63" w:name="_GoBack"/>
      <w:bookmarkEnd w:id="63"/>
    </w:p>
    <w:p w14:paraId="65CBB4AB">
      <w:pPr>
        <w:pStyle w:val="28"/>
        <w:framePr w:w="9991" w:wrap="around" w:x="1171" w:y="6331"/>
        <w:ind w:firstLine="480"/>
        <w:jc w:val="both"/>
        <w:rPr>
          <w:color w:val="000000"/>
        </w:rPr>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4B85B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52DEE1B5">
            <w:pPr>
              <w:pStyle w:val="29"/>
              <w:framePr w:w="9991" w:wrap="around" w:x="1171" w:y="6331"/>
              <w:ind w:firstLine="480"/>
              <w:jc w:val="both"/>
              <w:rPr>
                <w:color w:val="000000"/>
              </w:rPr>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39f3&#10;4NcAAAALAQAADwAAAAAAAAABACAAAAAiAAAAZHJzL2Rvd25yZXYueG1sUEsBAhQAFAAAAAgAh07i&#10;QO+SVEEjAgAAPQQAAA4AAAAAAAAAAQAgAAAAJgEAAGRycy9lMm9Eb2MueG1sUEsFBgAAAAAGAAYA&#10;WQEAALsFAAAAAA==&#10;">
                      <v:fill on="t" focussize="0,0"/>
                      <v:stroke on="f"/>
                      <v:imagedata o:title=""/>
                      <o:lock v:ext="edit" aspectratio="f"/>
                      <w10:anchorlock/>
                    </v:rect>
                  </w:pict>
                </mc:Fallback>
              </mc:AlternateContent>
            </w:r>
          </w:p>
        </w:tc>
      </w:tr>
      <w:tr w14:paraId="30996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62FA1F8E">
            <w:pPr>
              <w:pStyle w:val="30"/>
              <w:framePr w:w="9991" w:wrap="around" w:x="1171" w:y="6331"/>
              <w:ind w:firstLine="480"/>
              <w:jc w:val="both"/>
              <w:rPr>
                <w:color w:val="000000"/>
              </w:rPr>
            </w:pPr>
          </w:p>
        </w:tc>
      </w:tr>
    </w:tbl>
    <w:p w14:paraId="08BF8EFD">
      <w:pPr>
        <w:pStyle w:val="35"/>
        <w:framePr w:wrap="around"/>
        <w:ind w:firstLine="480"/>
        <w:jc w:val="both"/>
        <w:rPr>
          <w:color w:val="000000"/>
        </w:rPr>
      </w:pPr>
      <w:r>
        <w:rPr>
          <w:rFonts w:hint="eastAsia" w:ascii="黑体"/>
          <w:color w:val="000000"/>
        </w:rPr>
        <w:t>20</w:t>
      </w:r>
      <w:r>
        <w:rPr>
          <w:rFonts w:ascii="黑体"/>
          <w:color w:val="000000"/>
        </w:rPr>
        <w:t>24-XX</w:t>
      </w:r>
      <w:r>
        <w:rPr>
          <w:rFonts w:hint="eastAsia" w:ascii="黑体"/>
          <w:color w:val="000000"/>
        </w:rPr>
        <w:t>- XX</w:t>
      </w:r>
      <w:r>
        <w:rPr>
          <w:rFonts w:hint="eastAsia"/>
          <w:color w:val="000000"/>
        </w:rPr>
        <w:t>发布</w:t>
      </w:r>
      <w: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9251315</wp:posOffset>
                </wp:positionV>
                <wp:extent cx="6120130" cy="0"/>
                <wp:effectExtent l="0" t="4445" r="0" b="508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0.05pt;margin-top:728.45pt;height:0pt;width:481.9pt;mso-position-vertical-relative:page;z-index:251660288;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y0v89cAAAALAQAADwAAAAAAAAABACAAAAAiAAAAZHJzL2Rvd25yZXYueG1sUEsBAhQAFAAA&#10;AAgAh07iQD/IDjfwAQAAwQMAAA4AAAAAAAAAAQAgAAAAJgEAAGRycy9lMm9Eb2MueG1sUEsFBgAA&#10;AAAGAAYAWQEAAIgFAAAAAA==&#10;">
                <v:fill on="f" focussize="0,0"/>
                <v:stroke color="#000000" joinstyle="round"/>
                <v:imagedata o:title=""/>
                <o:lock v:ext="edit" aspectratio="f"/>
                <w10:anchorlock/>
              </v:line>
            </w:pict>
          </mc:Fallback>
        </mc:AlternateContent>
      </w:r>
    </w:p>
    <w:p w14:paraId="37DD2B12">
      <w:pPr>
        <w:pStyle w:val="36"/>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XX-XX</w:t>
      </w:r>
      <w:r>
        <w:rPr>
          <w:rFonts w:hint="eastAsia"/>
          <w:color w:val="000000"/>
        </w:rPr>
        <w:t>实施</w:t>
      </w:r>
    </w:p>
    <w:p w14:paraId="3ACA1CFE">
      <w:pPr>
        <w:pStyle w:val="33"/>
        <w:framePr w:wrap="around"/>
        <w:ind w:firstLine="480"/>
        <w:jc w:val="both"/>
        <w:rPr>
          <w:color w:val="000000"/>
        </w:rPr>
      </w:pPr>
      <w:r>
        <mc:AlternateContent>
          <mc:Choice Requires="wps">
            <w:drawing>
              <wp:anchor distT="0" distB="0" distL="114300" distR="114300" simplePos="0" relativeHeight="251665408"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107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Xu1tkAAAANAQAADwAAAAAAAAABACAAAAAiAAAAZHJzL2Rvd25yZXYueG1sUEsBAhQAFAAAAAgA&#10;h07iQLiWVCokAgAAPAQAAA4AAAAAAAAAAQAgAAAAKAEAAGRycy9lMm9Eb2MueG1sUEsFBgAAAAAG&#10;AAYAWQEAAL4FAAAAAA==&#10;">
                <v:fill on="t" focussize="0,0"/>
                <v:stroke on="f"/>
                <v:imagedata o:title=""/>
                <o:lock v:ext="edit" aspectratio="f"/>
              </v:rect>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209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38mKEdoAAAAPAQAADwAAAAAAAAABACAAAAAiAAAAZHJzL2Rvd25yZXYueG1sUEsBAhQAFAAA&#10;AAgAh07iQOn1do0mAgAAPQQAAA4AAAAAAAAAAQAgAAAAKQEAAGRycy9lMm9Eb2MueG1sUEsFBgAA&#10;AAAGAAYAWQEAAMEFAAAAAA==&#10;">
                <v:fill on="t" focussize="0,0"/>
                <v:stroke on="f"/>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接连接符 2"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lcPaAvEBAADB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S3kqb9+x8on1Qb8V1PtlOElDk829Hbcwrc5jOwv48OfN7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7JZGg2AAAAA8BAAAPAAAAAAAAAAEAIAAAACIAAABkcnMvZG93bnJldi54bWxQSwECFAAU&#10;AAAACACHTuJAlcPaAvEBAADBAwAADgAAAAAAAAABACAAAAAnAQAAZHJzL2Uyb0RvYy54bWxQSwUG&#10;AAAAAAYABgBZAQAAigU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5"/>
          <w:rFonts w:hint="eastAsia"/>
          <w:color w:val="000000"/>
        </w:rPr>
        <w:t>发布</w:t>
      </w:r>
    </w:p>
    <w:bookmarkEnd w:id="1"/>
    <w:p w14:paraId="76C712BD">
      <w:pPr>
        <w:pStyle w:val="32"/>
        <w:framePr w:wrap="around"/>
        <w:ind w:firstLine="480"/>
      </w:pPr>
      <w:bookmarkStart w:id="7" w:name="_Toc135467123"/>
      <w:bookmarkStart w:id="8" w:name="_Toc135467172"/>
      <w:r>
        <w:rPr>
          <w:rFonts w:hint="eastAsia"/>
        </w:rPr>
        <w:t>陕西省地方标准</w:t>
      </w:r>
    </w:p>
    <w:p w14:paraId="4E26CE07">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6432" behindDoc="0" locked="0" layoutInCell="1" allowOverlap="1">
                <wp:simplePos x="0" y="0"/>
                <wp:positionH relativeFrom="column">
                  <wp:posOffset>185420</wp:posOffset>
                </wp:positionH>
                <wp:positionV relativeFrom="paragraph">
                  <wp:posOffset>8240395</wp:posOffset>
                </wp:positionV>
                <wp:extent cx="6000750" cy="12700"/>
                <wp:effectExtent l="0" t="4445" r="3810" b="5715"/>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1" o:spid="_x0000_s1026" o:spt="20" style="position:absolute;left:0pt;margin-left:14.6pt;margin-top:648.85pt;height:1pt;width:472.5pt;z-index:251666432;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2e7+dcAAAAMAQAADwAAAAAAAAABACAAAAAiAAAAZHJzL2Rvd25yZXYueG1sUEsBAhQAFAAA&#10;AAgAh07iQF4tbvzwAQAAywMAAA4AAAAAAAAAAQAgAAAAJgEAAGRycy9lMm9Eb2MueG1sUEsFBgAA&#10;AAAGAAYAWQEAAIgFAAAAAA==&#10;">
                <v:fill on="f" focussize="0,0"/>
                <v:stroke weight="0.5pt" color="#0000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1BAB5A3">
          <w:pPr>
            <w:pStyle w:val="19"/>
            <w:ind w:firstLine="480"/>
            <w:jc w:val="center"/>
          </w:pPr>
          <w:r>
            <w:rPr>
              <w:rFonts w:ascii="黑体" w:hAnsi="黑体" w:eastAsia="黑体"/>
              <w:color w:val="000000" w:themeColor="text1"/>
              <w:lang w:val="zh-CN"/>
            </w:rPr>
            <w:t>目录</w:t>
          </w:r>
          <w:r>
            <w:fldChar w:fldCharType="begin"/>
          </w:r>
          <w:r>
            <w:instrText xml:space="preserve"> TOC \o "1-3" \h \z \u </w:instrText>
          </w:r>
          <w:r>
            <w:fldChar w:fldCharType="separate"/>
          </w:r>
        </w:p>
        <w:p w14:paraId="32D718EA">
          <w:pPr>
            <w:pStyle w:val="8"/>
            <w:rPr>
              <w:rFonts w:ascii="宋体" w:hAnsi="宋体" w:eastAsia="宋体"/>
              <w:sz w:val="21"/>
            </w:rPr>
          </w:pPr>
          <w:r>
            <w:fldChar w:fldCharType="begin"/>
          </w:r>
          <w:r>
            <w:instrText xml:space="preserve"> HYPERLINK \l "_Toc187586213" </w:instrText>
          </w:r>
          <w:r>
            <w:fldChar w:fldCharType="separate"/>
          </w:r>
          <w:r>
            <w:rPr>
              <w:rStyle w:val="14"/>
              <w:rFonts w:ascii="宋体" w:hAnsi="宋体" w:eastAsia="宋体"/>
            </w:rPr>
            <w:t>前言</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_Toc187586213 \h </w:instrText>
          </w:r>
          <w:r>
            <w:rPr>
              <w:rFonts w:ascii="宋体" w:hAnsi="宋体" w:eastAsia="宋体"/>
            </w:rPr>
            <w:fldChar w:fldCharType="separate"/>
          </w:r>
          <w:r>
            <w:rPr>
              <w:rFonts w:ascii="宋体" w:hAnsi="宋体" w:eastAsia="宋体"/>
            </w:rPr>
            <w:t>I</w:t>
          </w:r>
          <w:r>
            <w:rPr>
              <w:rFonts w:ascii="宋体" w:hAnsi="宋体" w:eastAsia="宋体"/>
            </w:rPr>
            <w:fldChar w:fldCharType="end"/>
          </w:r>
          <w:r>
            <w:rPr>
              <w:rFonts w:ascii="宋体" w:hAnsi="宋体" w:eastAsia="宋体"/>
            </w:rPr>
            <w:fldChar w:fldCharType="end"/>
          </w:r>
        </w:p>
        <w:p w14:paraId="00E395AA">
          <w:pPr>
            <w:pStyle w:val="8"/>
            <w:rPr>
              <w:rFonts w:ascii="宋体" w:hAnsi="宋体" w:eastAsia="宋体"/>
              <w:sz w:val="21"/>
            </w:rPr>
          </w:pPr>
          <w:r>
            <w:fldChar w:fldCharType="begin"/>
          </w:r>
          <w:r>
            <w:instrText xml:space="preserve"> HYPERLINK \l "_Toc187586214" </w:instrText>
          </w:r>
          <w:r>
            <w:fldChar w:fldCharType="separate"/>
          </w:r>
          <w:r>
            <w:rPr>
              <w:rStyle w:val="14"/>
              <w:rFonts w:ascii="宋体" w:hAnsi="宋体" w:eastAsia="宋体"/>
            </w:rPr>
            <w:t>1    范围</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_Toc187586214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rPr>
            <w:fldChar w:fldCharType="end"/>
          </w:r>
        </w:p>
        <w:p w14:paraId="35F14744">
          <w:pPr>
            <w:pStyle w:val="8"/>
            <w:rPr>
              <w:rFonts w:ascii="宋体" w:hAnsi="宋体" w:eastAsia="宋体"/>
              <w:sz w:val="21"/>
            </w:rPr>
          </w:pPr>
          <w:r>
            <w:fldChar w:fldCharType="begin"/>
          </w:r>
          <w:r>
            <w:instrText xml:space="preserve"> HYPERLINK \l "_Toc187586215" </w:instrText>
          </w:r>
          <w:r>
            <w:fldChar w:fldCharType="separate"/>
          </w:r>
          <w:r>
            <w:rPr>
              <w:rStyle w:val="14"/>
              <w:rFonts w:ascii="宋体" w:hAnsi="宋体" w:eastAsia="宋体"/>
            </w:rPr>
            <w:t>2    规范性引用文件</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_Toc187586215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rPr>
            <w:fldChar w:fldCharType="end"/>
          </w:r>
        </w:p>
        <w:p w14:paraId="0447D180">
          <w:pPr>
            <w:pStyle w:val="8"/>
            <w:rPr>
              <w:rFonts w:ascii="宋体" w:hAnsi="宋体" w:eastAsia="宋体"/>
              <w:sz w:val="21"/>
            </w:rPr>
          </w:pPr>
          <w:r>
            <w:fldChar w:fldCharType="begin"/>
          </w:r>
          <w:r>
            <w:instrText xml:space="preserve"> HYPERLINK \l "_Toc187586216" </w:instrText>
          </w:r>
          <w:r>
            <w:fldChar w:fldCharType="separate"/>
          </w:r>
          <w:r>
            <w:rPr>
              <w:rStyle w:val="14"/>
              <w:rFonts w:ascii="宋体" w:hAnsi="宋体" w:eastAsia="宋体"/>
            </w:rPr>
            <w:t>3    术语和定义</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_Toc187586216 \h </w:instrText>
          </w:r>
          <w:r>
            <w:rPr>
              <w:rFonts w:ascii="宋体" w:hAnsi="宋体" w:eastAsia="宋体"/>
            </w:rPr>
            <w:fldChar w:fldCharType="separate"/>
          </w:r>
          <w:r>
            <w:rPr>
              <w:rFonts w:ascii="宋体" w:hAnsi="宋体" w:eastAsia="宋体"/>
            </w:rPr>
            <w:t>1</w:t>
          </w:r>
          <w:r>
            <w:rPr>
              <w:rFonts w:ascii="宋体" w:hAnsi="宋体" w:eastAsia="宋体"/>
            </w:rPr>
            <w:fldChar w:fldCharType="end"/>
          </w:r>
          <w:r>
            <w:rPr>
              <w:rFonts w:ascii="宋体" w:hAnsi="宋体" w:eastAsia="宋体"/>
            </w:rPr>
            <w:fldChar w:fldCharType="end"/>
          </w:r>
        </w:p>
        <w:p w14:paraId="523CD99D">
          <w:pPr>
            <w:pStyle w:val="8"/>
            <w:rPr>
              <w:rFonts w:ascii="宋体" w:hAnsi="宋体" w:eastAsia="宋体"/>
              <w:sz w:val="21"/>
            </w:rPr>
          </w:pPr>
          <w:r>
            <w:fldChar w:fldCharType="begin"/>
          </w:r>
          <w:r>
            <w:instrText xml:space="preserve"> HYPERLINK \l "_Toc187586217" </w:instrText>
          </w:r>
          <w:r>
            <w:fldChar w:fldCharType="separate"/>
          </w:r>
          <w:r>
            <w:rPr>
              <w:rStyle w:val="14"/>
              <w:rFonts w:ascii="宋体" w:hAnsi="宋体" w:eastAsia="宋体"/>
            </w:rPr>
            <w:t>4    选址与布局</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_Toc187586217 \h </w:instrText>
          </w:r>
          <w:r>
            <w:rPr>
              <w:rFonts w:ascii="宋体" w:hAnsi="宋体" w:eastAsia="宋体"/>
            </w:rPr>
            <w:fldChar w:fldCharType="separate"/>
          </w:r>
          <w:r>
            <w:rPr>
              <w:rFonts w:ascii="宋体" w:hAnsi="宋体" w:eastAsia="宋体"/>
            </w:rPr>
            <w:t>2</w:t>
          </w:r>
          <w:r>
            <w:rPr>
              <w:rFonts w:ascii="宋体" w:hAnsi="宋体" w:eastAsia="宋体"/>
            </w:rPr>
            <w:fldChar w:fldCharType="end"/>
          </w:r>
          <w:r>
            <w:rPr>
              <w:rFonts w:ascii="宋体" w:hAnsi="宋体" w:eastAsia="宋体"/>
            </w:rPr>
            <w:fldChar w:fldCharType="end"/>
          </w:r>
        </w:p>
        <w:p w14:paraId="03754C22">
          <w:pPr>
            <w:pStyle w:val="8"/>
            <w:rPr>
              <w:rFonts w:ascii="宋体" w:hAnsi="宋体" w:eastAsia="宋体"/>
              <w:sz w:val="21"/>
            </w:rPr>
          </w:pPr>
          <w:r>
            <w:fldChar w:fldCharType="begin"/>
          </w:r>
          <w:r>
            <w:instrText xml:space="preserve"> HYPERLINK \l "_Toc187586218" </w:instrText>
          </w:r>
          <w:r>
            <w:fldChar w:fldCharType="separate"/>
          </w:r>
          <w:r>
            <w:rPr>
              <w:rStyle w:val="14"/>
              <w:rFonts w:ascii="宋体" w:hAnsi="宋体" w:eastAsia="宋体"/>
            </w:rPr>
            <w:t>5    结构与宜机化要求</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_Toc187586218 \h </w:instrText>
          </w:r>
          <w:r>
            <w:rPr>
              <w:rFonts w:ascii="宋体" w:hAnsi="宋体" w:eastAsia="宋体"/>
            </w:rPr>
            <w:fldChar w:fldCharType="separate"/>
          </w:r>
          <w:r>
            <w:rPr>
              <w:rFonts w:ascii="宋体" w:hAnsi="宋体" w:eastAsia="宋体"/>
            </w:rPr>
            <w:t>2</w:t>
          </w:r>
          <w:r>
            <w:rPr>
              <w:rFonts w:ascii="宋体" w:hAnsi="宋体" w:eastAsia="宋体"/>
            </w:rPr>
            <w:fldChar w:fldCharType="end"/>
          </w:r>
          <w:r>
            <w:rPr>
              <w:rFonts w:ascii="宋体" w:hAnsi="宋体" w:eastAsia="宋体"/>
            </w:rPr>
            <w:fldChar w:fldCharType="end"/>
          </w:r>
        </w:p>
        <w:p w14:paraId="45F65DA3">
          <w:pPr>
            <w:pStyle w:val="8"/>
            <w:rPr>
              <w:rFonts w:ascii="宋体" w:hAnsi="宋体" w:eastAsia="宋体"/>
              <w:sz w:val="21"/>
            </w:rPr>
          </w:pPr>
          <w:r>
            <w:fldChar w:fldCharType="begin"/>
          </w:r>
          <w:r>
            <w:instrText xml:space="preserve"> HYPERLINK \l "_Toc187586219" </w:instrText>
          </w:r>
          <w:r>
            <w:fldChar w:fldCharType="separate"/>
          </w:r>
          <w:r>
            <w:rPr>
              <w:rStyle w:val="14"/>
              <w:rFonts w:ascii="宋体" w:hAnsi="宋体" w:eastAsia="宋体"/>
            </w:rPr>
            <w:t>6    材料要求</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_Toc187586219 \h </w:instrText>
          </w:r>
          <w:r>
            <w:rPr>
              <w:rFonts w:ascii="宋体" w:hAnsi="宋体" w:eastAsia="宋体"/>
            </w:rPr>
            <w:fldChar w:fldCharType="separate"/>
          </w:r>
          <w:r>
            <w:rPr>
              <w:rFonts w:ascii="宋体" w:hAnsi="宋体" w:eastAsia="宋体"/>
            </w:rPr>
            <w:t>4</w:t>
          </w:r>
          <w:r>
            <w:rPr>
              <w:rFonts w:ascii="宋体" w:hAnsi="宋体" w:eastAsia="宋体"/>
            </w:rPr>
            <w:fldChar w:fldCharType="end"/>
          </w:r>
          <w:r>
            <w:rPr>
              <w:rFonts w:ascii="宋体" w:hAnsi="宋体" w:eastAsia="宋体"/>
            </w:rPr>
            <w:fldChar w:fldCharType="end"/>
          </w:r>
        </w:p>
        <w:p w14:paraId="17731347">
          <w:pPr>
            <w:pStyle w:val="8"/>
            <w:rPr>
              <w:rFonts w:ascii="宋体" w:hAnsi="宋体" w:eastAsia="宋体"/>
              <w:sz w:val="21"/>
            </w:rPr>
          </w:pPr>
          <w:r>
            <w:fldChar w:fldCharType="begin"/>
          </w:r>
          <w:r>
            <w:instrText xml:space="preserve"> HYPERLINK \l "_Toc187586220" </w:instrText>
          </w:r>
          <w:r>
            <w:fldChar w:fldCharType="separate"/>
          </w:r>
          <w:r>
            <w:rPr>
              <w:rStyle w:val="14"/>
              <w:rFonts w:ascii="宋体" w:hAnsi="宋体" w:eastAsia="宋体"/>
            </w:rPr>
            <w:t>7    施工安装</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_Toc187586220 \h </w:instrText>
          </w:r>
          <w:r>
            <w:rPr>
              <w:rFonts w:ascii="宋体" w:hAnsi="宋体" w:eastAsia="宋体"/>
            </w:rPr>
            <w:fldChar w:fldCharType="separate"/>
          </w:r>
          <w:r>
            <w:rPr>
              <w:rFonts w:ascii="宋体" w:hAnsi="宋体" w:eastAsia="宋体"/>
            </w:rPr>
            <w:t>5</w:t>
          </w:r>
          <w:r>
            <w:rPr>
              <w:rFonts w:ascii="宋体" w:hAnsi="宋体" w:eastAsia="宋体"/>
            </w:rPr>
            <w:fldChar w:fldCharType="end"/>
          </w:r>
          <w:r>
            <w:rPr>
              <w:rFonts w:ascii="宋体" w:hAnsi="宋体" w:eastAsia="宋体"/>
            </w:rPr>
            <w:fldChar w:fldCharType="end"/>
          </w:r>
        </w:p>
        <w:p w14:paraId="34B75533">
          <w:pPr>
            <w:pStyle w:val="8"/>
            <w:rPr>
              <w:rFonts w:ascii="宋体" w:hAnsi="宋体" w:eastAsia="宋体"/>
              <w:sz w:val="21"/>
            </w:rPr>
          </w:pPr>
          <w:r>
            <w:fldChar w:fldCharType="begin"/>
          </w:r>
          <w:r>
            <w:instrText xml:space="preserve"> HYPERLINK \l "_Toc187586221" </w:instrText>
          </w:r>
          <w:r>
            <w:fldChar w:fldCharType="separate"/>
          </w:r>
          <w:r>
            <w:rPr>
              <w:rStyle w:val="14"/>
              <w:rFonts w:ascii="宋体" w:hAnsi="宋体" w:eastAsia="宋体"/>
            </w:rPr>
            <w:t>8    验收</w:t>
          </w:r>
          <w:r>
            <w:rPr>
              <w:rFonts w:ascii="宋体" w:hAnsi="宋体" w:eastAsia="宋体"/>
            </w:rPr>
            <w:tab/>
          </w:r>
          <w:r>
            <w:rPr>
              <w:rFonts w:ascii="宋体" w:hAnsi="宋体" w:eastAsia="宋体"/>
            </w:rPr>
            <w:fldChar w:fldCharType="begin"/>
          </w:r>
          <w:r>
            <w:rPr>
              <w:rFonts w:ascii="宋体" w:hAnsi="宋体" w:eastAsia="宋体"/>
            </w:rPr>
            <w:instrText xml:space="preserve"> PAGEREF _Toc187586221 \h </w:instrText>
          </w:r>
          <w:r>
            <w:rPr>
              <w:rFonts w:ascii="宋体" w:hAnsi="宋体" w:eastAsia="宋体"/>
            </w:rPr>
            <w:fldChar w:fldCharType="separate"/>
          </w:r>
          <w:r>
            <w:rPr>
              <w:rFonts w:ascii="宋体" w:hAnsi="宋体" w:eastAsia="宋体"/>
            </w:rPr>
            <w:t>7</w:t>
          </w:r>
          <w:r>
            <w:rPr>
              <w:rFonts w:ascii="宋体" w:hAnsi="宋体" w:eastAsia="宋体"/>
            </w:rPr>
            <w:fldChar w:fldCharType="end"/>
          </w:r>
          <w:r>
            <w:rPr>
              <w:rFonts w:ascii="宋体" w:hAnsi="宋体" w:eastAsia="宋体"/>
            </w:rPr>
            <w:fldChar w:fldCharType="end"/>
          </w:r>
        </w:p>
        <w:p w14:paraId="784C4729">
          <w:pPr>
            <w:ind w:firstLine="480"/>
          </w:pPr>
          <w:r>
            <w:rPr>
              <w:b/>
              <w:bCs/>
              <w:lang w:val="zh-CN"/>
            </w:rPr>
            <w:fldChar w:fldCharType="end"/>
          </w:r>
        </w:p>
      </w:sdtContent>
    </w:sdt>
    <w:p w14:paraId="2152F498">
      <w:pPr>
        <w:widowControl/>
        <w:spacing w:line="240" w:lineRule="auto"/>
        <w:ind w:firstLine="0" w:firstLineChars="0"/>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r>
        <w:br w:type="page"/>
      </w:r>
    </w:p>
    <w:p w14:paraId="067E3913">
      <w:pPr>
        <w:pStyle w:val="17"/>
        <w:numPr>
          <w:ilvl w:val="0"/>
          <w:numId w:val="0"/>
        </w:numPr>
        <w:tabs>
          <w:tab w:val="center" w:pos="4100"/>
          <w:tab w:val="right" w:pos="8306"/>
          <w:tab w:val="clear" w:pos="315"/>
        </w:tabs>
        <w:spacing w:before="0"/>
        <w:ind w:left="318" w:hanging="318"/>
        <w:rPr>
          <w:rFonts w:ascii="Times New Roman" w:cstheme="minorBidi"/>
          <w:kern w:val="2"/>
          <w:szCs w:val="32"/>
        </w:rPr>
      </w:pPr>
      <w:bookmarkStart w:id="9" w:name="_Toc187586213"/>
      <w:bookmarkStart w:id="10" w:name="_Hlk112401914"/>
      <w:bookmarkStart w:id="11" w:name="_Hlk135297854"/>
      <w:r>
        <w:rPr>
          <w:rFonts w:hint="eastAsia"/>
        </w:rPr>
        <w:t>前</w:t>
      </w:r>
      <w:r>
        <w:rPr>
          <w:rFonts w:hint="eastAsia" w:ascii="Times New Roman" w:cstheme="minorBidi"/>
          <w:kern w:val="2"/>
          <w:szCs w:val="32"/>
        </w:rPr>
        <w:t>言</w:t>
      </w:r>
      <w:bookmarkEnd w:id="9"/>
    </w:p>
    <w:bookmarkEnd w:id="10"/>
    <w:p w14:paraId="336036D0">
      <w:pPr>
        <w:pStyle w:val="41"/>
        <w:spacing w:line="440" w:lineRule="exact"/>
        <w:ind w:firstLine="420"/>
        <w:rPr>
          <w:sz w:val="21"/>
          <w:szCs w:val="22"/>
        </w:rPr>
      </w:pPr>
      <w:bookmarkStart w:id="12" w:name="_Hlk135297182"/>
      <w:r>
        <w:rPr>
          <w:rFonts w:hint="eastAsia"/>
          <w:sz w:val="21"/>
          <w:szCs w:val="22"/>
        </w:rPr>
        <w:t>本文件按照GB/T 1.1—2020《标准化工作导则第1部分：标准化文件的结构和起草规则》的规定起草。</w:t>
      </w:r>
    </w:p>
    <w:p w14:paraId="0D23AA26">
      <w:pPr>
        <w:pStyle w:val="41"/>
        <w:spacing w:line="440" w:lineRule="exact"/>
        <w:ind w:firstLine="420"/>
        <w:rPr>
          <w:sz w:val="21"/>
          <w:szCs w:val="22"/>
        </w:rPr>
      </w:pPr>
      <w:r>
        <w:rPr>
          <w:rFonts w:hint="eastAsia"/>
          <w:sz w:val="21"/>
          <w:szCs w:val="22"/>
        </w:rPr>
        <w:t>DB61/T XX《园艺作物专用棚建造技术规范》分为14个部分：</w:t>
      </w:r>
    </w:p>
    <w:p w14:paraId="2C432C74">
      <w:pPr>
        <w:pStyle w:val="41"/>
        <w:spacing w:line="440" w:lineRule="exact"/>
        <w:ind w:firstLine="420"/>
        <w:rPr>
          <w:sz w:val="21"/>
          <w:szCs w:val="22"/>
        </w:rPr>
      </w:pPr>
      <w:r>
        <w:rPr>
          <w:rFonts w:hint="eastAsia"/>
          <w:sz w:val="21"/>
          <w:szCs w:val="22"/>
        </w:rPr>
        <w:t>——第1部分：矮化乔木果树日光温室</w:t>
      </w:r>
    </w:p>
    <w:p w14:paraId="280D1DE8">
      <w:pPr>
        <w:pStyle w:val="41"/>
        <w:spacing w:line="440" w:lineRule="exact"/>
        <w:ind w:firstLine="420"/>
        <w:rPr>
          <w:sz w:val="21"/>
          <w:szCs w:val="22"/>
        </w:rPr>
      </w:pPr>
      <w:r>
        <w:rPr>
          <w:rFonts w:hint="eastAsia"/>
          <w:sz w:val="21"/>
          <w:szCs w:val="22"/>
        </w:rPr>
        <w:t>——第2部分：矮化乔木果树三连栋日光温室</w:t>
      </w:r>
    </w:p>
    <w:p w14:paraId="1A4116DD">
      <w:pPr>
        <w:pStyle w:val="41"/>
        <w:spacing w:line="440" w:lineRule="exact"/>
        <w:ind w:firstLine="420"/>
        <w:rPr>
          <w:sz w:val="21"/>
          <w:szCs w:val="22"/>
        </w:rPr>
      </w:pPr>
      <w:r>
        <w:rPr>
          <w:rFonts w:hint="eastAsia"/>
          <w:sz w:val="21"/>
          <w:szCs w:val="22"/>
        </w:rPr>
        <w:t>——第3部分：矮化乔木果树土墙日光温室</w:t>
      </w:r>
    </w:p>
    <w:p w14:paraId="4E16DDFF">
      <w:pPr>
        <w:pStyle w:val="41"/>
        <w:spacing w:line="440" w:lineRule="exact"/>
        <w:ind w:firstLine="420"/>
        <w:rPr>
          <w:sz w:val="21"/>
          <w:szCs w:val="22"/>
        </w:rPr>
      </w:pPr>
      <w:r>
        <w:rPr>
          <w:rFonts w:hint="eastAsia"/>
          <w:sz w:val="21"/>
          <w:szCs w:val="22"/>
        </w:rPr>
        <w:t>——第4部分：藤本果树日光温室</w:t>
      </w:r>
    </w:p>
    <w:p w14:paraId="5E4F64F0">
      <w:pPr>
        <w:pStyle w:val="41"/>
        <w:spacing w:line="440" w:lineRule="exact"/>
        <w:ind w:firstLine="420"/>
        <w:rPr>
          <w:sz w:val="21"/>
          <w:szCs w:val="22"/>
        </w:rPr>
      </w:pPr>
      <w:r>
        <w:rPr>
          <w:rFonts w:hint="eastAsia"/>
          <w:sz w:val="21"/>
          <w:szCs w:val="22"/>
        </w:rPr>
        <w:t>——第5部分：藤本果树三连栋日光温室</w:t>
      </w:r>
    </w:p>
    <w:p w14:paraId="26E03B35">
      <w:pPr>
        <w:pStyle w:val="41"/>
        <w:spacing w:line="440" w:lineRule="exact"/>
        <w:ind w:firstLine="420"/>
        <w:rPr>
          <w:sz w:val="21"/>
          <w:szCs w:val="22"/>
        </w:rPr>
      </w:pPr>
      <w:r>
        <w:rPr>
          <w:rFonts w:hint="eastAsia"/>
          <w:sz w:val="21"/>
          <w:szCs w:val="22"/>
        </w:rPr>
        <w:t>——第6部分：藤本果树土墙日光温室</w:t>
      </w:r>
    </w:p>
    <w:p w14:paraId="034C28F0">
      <w:pPr>
        <w:pStyle w:val="41"/>
        <w:spacing w:line="440" w:lineRule="exact"/>
        <w:ind w:firstLine="422"/>
        <w:rPr>
          <w:b/>
          <w:sz w:val="21"/>
          <w:szCs w:val="22"/>
        </w:rPr>
      </w:pPr>
      <w:r>
        <w:rPr>
          <w:rFonts w:hint="eastAsia"/>
          <w:b/>
          <w:sz w:val="21"/>
          <w:szCs w:val="22"/>
        </w:rPr>
        <w:t>——第7部分：层架式栽培食用菌塑料大棚</w:t>
      </w:r>
    </w:p>
    <w:p w14:paraId="1BCB3A02">
      <w:pPr>
        <w:pStyle w:val="41"/>
        <w:spacing w:line="440" w:lineRule="exact"/>
        <w:ind w:firstLine="420"/>
        <w:rPr>
          <w:sz w:val="21"/>
          <w:szCs w:val="22"/>
        </w:rPr>
      </w:pPr>
      <w:r>
        <w:rPr>
          <w:rFonts w:hint="eastAsia"/>
          <w:sz w:val="21"/>
          <w:szCs w:val="22"/>
        </w:rPr>
        <w:t>——第8部分：地上栽培食用菌塑料大棚</w:t>
      </w:r>
    </w:p>
    <w:p w14:paraId="5E7D28C2">
      <w:pPr>
        <w:pStyle w:val="41"/>
        <w:spacing w:line="440" w:lineRule="exact"/>
        <w:ind w:firstLine="420"/>
        <w:rPr>
          <w:sz w:val="21"/>
          <w:szCs w:val="22"/>
        </w:rPr>
      </w:pPr>
      <w:r>
        <w:rPr>
          <w:rFonts w:hint="eastAsia"/>
          <w:sz w:val="21"/>
          <w:szCs w:val="22"/>
        </w:rPr>
        <w:t>——第9部分：吊袋式栽培食用菌塑料大棚</w:t>
      </w:r>
    </w:p>
    <w:p w14:paraId="029176A4">
      <w:pPr>
        <w:pStyle w:val="41"/>
        <w:spacing w:line="440" w:lineRule="exact"/>
        <w:ind w:firstLine="420"/>
        <w:rPr>
          <w:bCs/>
          <w:sz w:val="21"/>
          <w:szCs w:val="22"/>
        </w:rPr>
      </w:pPr>
      <w:r>
        <w:rPr>
          <w:rFonts w:hint="eastAsia"/>
          <w:bCs/>
          <w:sz w:val="21"/>
          <w:szCs w:val="22"/>
        </w:rPr>
        <w:t>——第10部分：14/16米大跨度土墙温室</w:t>
      </w:r>
    </w:p>
    <w:p w14:paraId="21813517">
      <w:pPr>
        <w:pStyle w:val="41"/>
        <w:spacing w:line="440" w:lineRule="exact"/>
        <w:ind w:firstLine="420"/>
        <w:rPr>
          <w:sz w:val="21"/>
          <w:szCs w:val="22"/>
        </w:rPr>
      </w:pPr>
      <w:r>
        <w:rPr>
          <w:rFonts w:hint="eastAsia"/>
          <w:sz w:val="21"/>
          <w:szCs w:val="22"/>
        </w:rPr>
        <w:t>——第11部分：14/16米大跨度柔性墙体温室</w:t>
      </w:r>
    </w:p>
    <w:p w14:paraId="74DE8015">
      <w:pPr>
        <w:pStyle w:val="41"/>
        <w:spacing w:line="440" w:lineRule="exact"/>
        <w:ind w:firstLine="420"/>
        <w:rPr>
          <w:sz w:val="21"/>
          <w:szCs w:val="22"/>
        </w:rPr>
      </w:pPr>
      <w:r>
        <w:rPr>
          <w:rFonts w:hint="eastAsia"/>
          <w:sz w:val="21"/>
          <w:szCs w:val="22"/>
        </w:rPr>
        <w:t>——第12部分：单/双层大跨度非对称保温大棚</w:t>
      </w:r>
    </w:p>
    <w:p w14:paraId="16E49679">
      <w:pPr>
        <w:pStyle w:val="41"/>
        <w:spacing w:line="440" w:lineRule="exact"/>
        <w:ind w:firstLine="420"/>
        <w:rPr>
          <w:sz w:val="21"/>
          <w:szCs w:val="22"/>
        </w:rPr>
      </w:pPr>
      <w:r>
        <w:rPr>
          <w:rFonts w:hint="eastAsia"/>
          <w:sz w:val="21"/>
          <w:szCs w:val="22"/>
        </w:rPr>
        <w:t>——第13部分：大跨度对称保温大棚</w:t>
      </w:r>
    </w:p>
    <w:p w14:paraId="5A6D68B6">
      <w:pPr>
        <w:pStyle w:val="41"/>
        <w:spacing w:line="440" w:lineRule="exact"/>
        <w:ind w:firstLine="420"/>
        <w:rPr>
          <w:sz w:val="21"/>
          <w:szCs w:val="22"/>
        </w:rPr>
      </w:pPr>
      <w:r>
        <w:rPr>
          <w:rFonts w:hint="eastAsia"/>
          <w:sz w:val="21"/>
          <w:szCs w:val="22"/>
        </w:rPr>
        <w:t>——第14部分：大跨度非对称非等高保温大棚</w:t>
      </w:r>
    </w:p>
    <w:p w14:paraId="3256F645">
      <w:pPr>
        <w:pStyle w:val="41"/>
        <w:spacing w:line="440" w:lineRule="exact"/>
        <w:ind w:firstLine="420"/>
        <w:rPr>
          <w:sz w:val="21"/>
          <w:szCs w:val="22"/>
        </w:rPr>
      </w:pPr>
      <w:r>
        <w:rPr>
          <w:rFonts w:hint="eastAsia"/>
          <w:sz w:val="21"/>
          <w:szCs w:val="22"/>
        </w:rPr>
        <w:t>本部分为DB61/T XX的第7部分。</w:t>
      </w:r>
    </w:p>
    <w:p w14:paraId="4D327AF9">
      <w:pPr>
        <w:pStyle w:val="41"/>
        <w:spacing w:line="440" w:lineRule="exact"/>
        <w:ind w:firstLine="420"/>
        <w:rPr>
          <w:sz w:val="21"/>
          <w:szCs w:val="22"/>
        </w:rPr>
      </w:pPr>
      <w:r>
        <w:rPr>
          <w:rFonts w:hint="eastAsia"/>
          <w:sz w:val="21"/>
          <w:szCs w:val="22"/>
        </w:rPr>
        <w:t>由文件由西北农林科技大学提出。</w:t>
      </w:r>
    </w:p>
    <w:p w14:paraId="24A48E5B">
      <w:pPr>
        <w:pStyle w:val="41"/>
        <w:spacing w:line="440" w:lineRule="exact"/>
        <w:ind w:firstLine="420"/>
        <w:rPr>
          <w:sz w:val="21"/>
          <w:szCs w:val="22"/>
        </w:rPr>
      </w:pPr>
      <w:r>
        <w:rPr>
          <w:rFonts w:hint="eastAsia"/>
          <w:sz w:val="21"/>
          <w:szCs w:val="22"/>
        </w:rPr>
        <w:t>本文件由陕西省农业农村厅归口。</w:t>
      </w:r>
    </w:p>
    <w:p w14:paraId="57F6021D">
      <w:pPr>
        <w:pStyle w:val="41"/>
        <w:spacing w:line="440" w:lineRule="exact"/>
        <w:ind w:firstLine="420"/>
        <w:rPr>
          <w:sz w:val="21"/>
          <w:szCs w:val="22"/>
        </w:rPr>
      </w:pPr>
      <w:bookmarkStart w:id="13" w:name="_Hlk160720952"/>
      <w:bookmarkStart w:id="14" w:name="_Hlk160721087"/>
      <w:r>
        <w:rPr>
          <w:rFonts w:hint="eastAsia"/>
          <w:sz w:val="21"/>
          <w:szCs w:val="22"/>
        </w:rPr>
        <w:t>本文件起草单位：西北农林科技大学、陕西省园艺技术工作站、陕西天耕农业规划设计股份有限公司、杨凌职业技术学院。</w:t>
      </w:r>
    </w:p>
    <w:p w14:paraId="13BBF033">
      <w:pPr>
        <w:pStyle w:val="41"/>
        <w:spacing w:line="440" w:lineRule="exact"/>
        <w:ind w:firstLine="420"/>
        <w:rPr>
          <w:sz w:val="21"/>
          <w:szCs w:val="22"/>
        </w:rPr>
      </w:pPr>
      <w:r>
        <w:rPr>
          <w:rFonts w:hint="eastAsia"/>
          <w:sz w:val="21"/>
          <w:szCs w:val="22"/>
        </w:rPr>
        <w:t>本文件主要起草人：</w:t>
      </w:r>
      <w:bookmarkEnd w:id="13"/>
      <w:r>
        <w:rPr>
          <w:rFonts w:hint="eastAsia"/>
          <w:sz w:val="21"/>
          <w:szCs w:val="22"/>
        </w:rPr>
        <w:t>李建明，王周平，孙国涛，张伟兵，曹晏飞，秦源泽，李帅，王金兴，戴文婧，付帅。</w:t>
      </w:r>
    </w:p>
    <w:p w14:paraId="2BFA89F4">
      <w:pPr>
        <w:pStyle w:val="41"/>
        <w:spacing w:line="440" w:lineRule="exact"/>
        <w:ind w:firstLine="420"/>
        <w:rPr>
          <w:sz w:val="21"/>
          <w:szCs w:val="22"/>
        </w:rPr>
      </w:pPr>
      <w:r>
        <w:rPr>
          <w:rFonts w:hint="eastAsia"/>
          <w:sz w:val="21"/>
          <w:szCs w:val="22"/>
        </w:rPr>
        <w:t>本文件由西北农林科技大学负责解释。</w:t>
      </w:r>
    </w:p>
    <w:p w14:paraId="458B1CAC">
      <w:pPr>
        <w:pStyle w:val="41"/>
        <w:spacing w:line="440" w:lineRule="exact"/>
        <w:ind w:firstLine="420"/>
        <w:rPr>
          <w:sz w:val="21"/>
          <w:szCs w:val="22"/>
        </w:rPr>
      </w:pPr>
      <w:r>
        <w:rPr>
          <w:rFonts w:hint="eastAsia"/>
          <w:sz w:val="21"/>
          <w:szCs w:val="22"/>
        </w:rPr>
        <w:t>本文件首次发布。</w:t>
      </w:r>
    </w:p>
    <w:bookmarkEnd w:id="14"/>
    <w:p w14:paraId="04D7D3D2">
      <w:pPr>
        <w:ind w:firstLine="643" w:firstLineChars="201"/>
        <w:rPr>
          <w:rFonts w:eastAsia="黑体"/>
          <w:sz w:val="32"/>
          <w:szCs w:val="32"/>
        </w:rPr>
      </w:pPr>
    </w:p>
    <w:bookmarkEnd w:id="11"/>
    <w:bookmarkEnd w:id="12"/>
    <w:p w14:paraId="66E5D0E4">
      <w:pPr>
        <w:widowControl/>
        <w:spacing w:line="240" w:lineRule="auto"/>
        <w:ind w:firstLine="640"/>
        <w:rPr>
          <w:rFonts w:eastAsia="黑体"/>
          <w:sz w:val="32"/>
          <w:szCs w:val="32"/>
        </w:rPr>
        <w:sectPr>
          <w:footerReference r:id="rId17" w:type="default"/>
          <w:pgSz w:w="11906" w:h="16838"/>
          <w:pgMar w:top="1440" w:right="1800" w:bottom="1440" w:left="1800" w:header="851" w:footer="992" w:gutter="0"/>
          <w:pgNumType w:fmt="upperRoman" w:start="1"/>
          <w:cols w:space="425" w:num="1"/>
          <w:docGrid w:type="lines" w:linePitch="326" w:charSpace="0"/>
        </w:sectPr>
      </w:pPr>
      <w:bookmarkStart w:id="15" w:name="_Toc131354823"/>
      <w:bookmarkStart w:id="16" w:name="_Toc131342946"/>
    </w:p>
    <w:p w14:paraId="198B9E1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1C3D6580">
      <w:pPr>
        <w:widowControl/>
        <w:spacing w:line="240" w:lineRule="auto"/>
        <w:ind w:firstLine="640"/>
        <w:jc w:val="center"/>
        <w:rPr>
          <w:rFonts w:eastAsia="黑体"/>
          <w:sz w:val="32"/>
          <w:szCs w:val="32"/>
        </w:rPr>
      </w:pPr>
      <w:r>
        <w:rPr>
          <w:rFonts w:hint="eastAsia" w:eastAsia="黑体"/>
          <w:sz w:val="32"/>
          <w:szCs w:val="32"/>
        </w:rPr>
        <w:t>第</w:t>
      </w:r>
      <w:r>
        <w:rPr>
          <w:rFonts w:eastAsia="黑体"/>
          <w:sz w:val="32"/>
          <w:szCs w:val="32"/>
        </w:rPr>
        <w:t>7</w:t>
      </w:r>
      <w:r>
        <w:rPr>
          <w:rFonts w:hint="eastAsia" w:eastAsia="黑体"/>
          <w:sz w:val="32"/>
          <w:szCs w:val="32"/>
        </w:rPr>
        <w:t>部分：</w:t>
      </w:r>
      <w:bookmarkEnd w:id="15"/>
      <w:bookmarkEnd w:id="16"/>
      <w:r>
        <w:rPr>
          <w:rFonts w:hint="eastAsia" w:eastAsia="黑体"/>
          <w:sz w:val="32"/>
          <w:szCs w:val="32"/>
        </w:rPr>
        <w:t>层架式栽培食用菌塑料大棚</w:t>
      </w:r>
    </w:p>
    <w:p w14:paraId="7A6BA45B">
      <w:pPr>
        <w:spacing w:before="312" w:beforeLines="100" w:after="312" w:afterLines="100" w:line="240" w:lineRule="auto"/>
        <w:ind w:firstLine="0" w:firstLineChars="0"/>
        <w:outlineLvl w:val="0"/>
        <w:rPr>
          <w:rFonts w:ascii="宋体" w:hAnsi="宋体"/>
          <w:sz w:val="20"/>
          <w:szCs w:val="21"/>
        </w:rPr>
      </w:pPr>
      <w:bookmarkStart w:id="17" w:name="_Toc187586214"/>
      <w:r>
        <w:rPr>
          <w:rFonts w:eastAsia="黑体"/>
          <w:sz w:val="21"/>
          <w:szCs w:val="21"/>
        </w:rPr>
        <w:t>1</w:t>
      </w:r>
      <w:r>
        <w:rPr>
          <w:rFonts w:hint="eastAsia" w:eastAsia="黑体"/>
          <w:sz w:val="21"/>
          <w:szCs w:val="21"/>
        </w:rPr>
        <w:t>范围</w:t>
      </w:r>
      <w:bookmarkEnd w:id="17"/>
    </w:p>
    <w:p w14:paraId="0E8D347E">
      <w:pPr>
        <w:pStyle w:val="41"/>
        <w:spacing w:line="440" w:lineRule="exact"/>
        <w:ind w:firstLine="420"/>
        <w:rPr>
          <w:sz w:val="21"/>
          <w:szCs w:val="22"/>
        </w:rPr>
      </w:pPr>
      <w:bookmarkStart w:id="18" w:name="_Hlk135297143"/>
      <w:r>
        <w:rPr>
          <w:rFonts w:hint="eastAsia"/>
          <w:sz w:val="21"/>
          <w:szCs w:val="22"/>
        </w:rPr>
        <w:t>本文件规定了层架式栽培食用菌塑料大棚的术语和定义、场地选择、设计参数、材料等内容。</w:t>
      </w:r>
    </w:p>
    <w:p w14:paraId="5A237BF2">
      <w:pPr>
        <w:pStyle w:val="41"/>
        <w:spacing w:line="440" w:lineRule="exact"/>
        <w:ind w:firstLine="420"/>
        <w:rPr>
          <w:sz w:val="21"/>
          <w:szCs w:val="22"/>
        </w:rPr>
      </w:pPr>
      <w:r>
        <w:rPr>
          <w:rFonts w:hint="eastAsia"/>
          <w:sz w:val="21"/>
          <w:szCs w:val="22"/>
        </w:rPr>
        <w:t>本文件适用于陕西地区（北纬31.70°～39.59°），同纬度地区的塑料大棚的建造可参考使用。</w:t>
      </w:r>
    </w:p>
    <w:bookmarkEnd w:id="18"/>
    <w:p w14:paraId="1E56D945">
      <w:pPr>
        <w:spacing w:before="312" w:beforeLines="100" w:after="312" w:afterLines="100" w:line="240" w:lineRule="auto"/>
        <w:ind w:firstLine="0" w:firstLineChars="0"/>
        <w:outlineLvl w:val="0"/>
        <w:rPr>
          <w:rFonts w:eastAsia="黑体"/>
          <w:sz w:val="21"/>
          <w:szCs w:val="21"/>
        </w:rPr>
      </w:pPr>
      <w:bookmarkStart w:id="19" w:name="_Toc187586215"/>
      <w:r>
        <w:rPr>
          <w:rFonts w:eastAsia="黑体"/>
          <w:sz w:val="21"/>
          <w:szCs w:val="21"/>
        </w:rPr>
        <w:t>2</w:t>
      </w:r>
      <w:r>
        <w:rPr>
          <w:rFonts w:hint="eastAsia" w:eastAsia="黑体"/>
          <w:sz w:val="21"/>
          <w:szCs w:val="21"/>
        </w:rPr>
        <w:t>规范性引用文件</w:t>
      </w:r>
      <w:bookmarkEnd w:id="19"/>
    </w:p>
    <w:p w14:paraId="04D9E431">
      <w:pPr>
        <w:pStyle w:val="41"/>
        <w:spacing w:line="440" w:lineRule="exact"/>
        <w:ind w:firstLine="420"/>
        <w:rPr>
          <w:sz w:val="21"/>
          <w:szCs w:val="22"/>
        </w:rPr>
      </w:pPr>
      <w:bookmarkStart w:id="20"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0"/>
    <w:p w14:paraId="3613E127">
      <w:pPr>
        <w:pStyle w:val="41"/>
        <w:spacing w:line="440" w:lineRule="exact"/>
        <w:ind w:firstLine="420"/>
        <w:rPr>
          <w:sz w:val="21"/>
          <w:szCs w:val="22"/>
        </w:rPr>
      </w:pPr>
      <w:bookmarkStart w:id="21" w:name="_Hlk138883133"/>
      <w:r>
        <w:rPr>
          <w:rFonts w:hint="eastAsia"/>
          <w:sz w:val="21"/>
          <w:szCs w:val="22"/>
        </w:rPr>
        <w:t>GB/T 23393 设施园艺工程术语</w:t>
      </w:r>
    </w:p>
    <w:p w14:paraId="33B1553C">
      <w:pPr>
        <w:pStyle w:val="41"/>
        <w:spacing w:line="440" w:lineRule="exact"/>
        <w:ind w:firstLine="420"/>
        <w:rPr>
          <w:sz w:val="21"/>
          <w:szCs w:val="22"/>
        </w:rPr>
      </w:pPr>
      <w:r>
        <w:rPr>
          <w:rFonts w:hint="eastAsia"/>
          <w:sz w:val="21"/>
          <w:szCs w:val="22"/>
        </w:rPr>
        <w:t>GB/T 51424农业温室结构设计标准</w:t>
      </w:r>
    </w:p>
    <w:p w14:paraId="351F9DE3">
      <w:pPr>
        <w:pStyle w:val="41"/>
        <w:spacing w:line="440" w:lineRule="exact"/>
        <w:ind w:firstLine="420"/>
        <w:rPr>
          <w:sz w:val="21"/>
          <w:szCs w:val="22"/>
        </w:rPr>
      </w:pPr>
      <w:r>
        <w:rPr>
          <w:rFonts w:hint="eastAsia"/>
          <w:sz w:val="21"/>
          <w:szCs w:val="22"/>
        </w:rPr>
        <w:t>GB/T 51183 农业温室结构荷载规范</w:t>
      </w:r>
    </w:p>
    <w:p w14:paraId="18F8E50F">
      <w:pPr>
        <w:pStyle w:val="41"/>
        <w:spacing w:line="440" w:lineRule="exact"/>
        <w:ind w:firstLine="420"/>
        <w:rPr>
          <w:sz w:val="21"/>
          <w:szCs w:val="22"/>
        </w:rPr>
      </w:pPr>
      <w:r>
        <w:rPr>
          <w:rFonts w:hint="eastAsia"/>
          <w:sz w:val="21"/>
          <w:szCs w:val="22"/>
        </w:rPr>
        <w:t>GB/T 700 碳素结构钢</w:t>
      </w:r>
    </w:p>
    <w:p w14:paraId="1F7830E4">
      <w:pPr>
        <w:pStyle w:val="41"/>
        <w:spacing w:line="440" w:lineRule="exact"/>
        <w:ind w:firstLine="420"/>
        <w:rPr>
          <w:sz w:val="21"/>
          <w:szCs w:val="22"/>
        </w:rPr>
      </w:pPr>
      <w:r>
        <w:rPr>
          <w:rFonts w:hint="eastAsia"/>
          <w:sz w:val="21"/>
          <w:szCs w:val="22"/>
        </w:rPr>
        <w:t>GB/T 13912金属覆盖层钢铁制件热浸镀锌层技术要求及试验方法</w:t>
      </w:r>
    </w:p>
    <w:p w14:paraId="60F85665">
      <w:pPr>
        <w:pStyle w:val="41"/>
        <w:spacing w:line="440" w:lineRule="exact"/>
        <w:ind w:firstLine="420"/>
        <w:rPr>
          <w:sz w:val="21"/>
          <w:szCs w:val="22"/>
        </w:rPr>
      </w:pPr>
      <w:r>
        <w:rPr>
          <w:rFonts w:hint="eastAsia"/>
          <w:sz w:val="21"/>
          <w:szCs w:val="22"/>
        </w:rPr>
        <w:t>GB/T 19791 温室防虫网设计安装规范</w:t>
      </w:r>
    </w:p>
    <w:p w14:paraId="32174A0B">
      <w:pPr>
        <w:pStyle w:val="41"/>
        <w:spacing w:line="440" w:lineRule="exact"/>
        <w:ind w:firstLine="420"/>
        <w:rPr>
          <w:sz w:val="21"/>
          <w:szCs w:val="22"/>
        </w:rPr>
      </w:pPr>
      <w:r>
        <w:rPr>
          <w:rFonts w:hint="eastAsia"/>
          <w:sz w:val="21"/>
          <w:szCs w:val="22"/>
        </w:rPr>
        <w:t>GB/T 51057种植塑料大棚工程技术规范</w:t>
      </w:r>
    </w:p>
    <w:p w14:paraId="42804A4F">
      <w:pPr>
        <w:pStyle w:val="41"/>
        <w:spacing w:line="440" w:lineRule="exact"/>
        <w:ind w:firstLine="420"/>
        <w:rPr>
          <w:sz w:val="21"/>
          <w:szCs w:val="22"/>
        </w:rPr>
      </w:pPr>
      <w:r>
        <w:rPr>
          <w:rFonts w:hint="eastAsia"/>
          <w:sz w:val="21"/>
          <w:szCs w:val="22"/>
        </w:rPr>
        <w:t>GB 50205钢结构工程施工质量验收规范</w:t>
      </w:r>
    </w:p>
    <w:p w14:paraId="4EAF8906">
      <w:pPr>
        <w:pStyle w:val="41"/>
        <w:spacing w:line="440" w:lineRule="exact"/>
        <w:ind w:firstLine="420"/>
        <w:rPr>
          <w:sz w:val="21"/>
          <w:szCs w:val="22"/>
        </w:rPr>
      </w:pPr>
      <w:r>
        <w:rPr>
          <w:rFonts w:hint="eastAsia"/>
          <w:sz w:val="21"/>
          <w:szCs w:val="22"/>
        </w:rPr>
        <w:t>JB/T 13080设施农业装备温室用固膜卡槽、卡簧</w:t>
      </w:r>
    </w:p>
    <w:p w14:paraId="3F287A3B">
      <w:pPr>
        <w:pStyle w:val="41"/>
        <w:spacing w:line="440" w:lineRule="exact"/>
        <w:ind w:firstLine="420"/>
        <w:rPr>
          <w:sz w:val="21"/>
          <w:szCs w:val="22"/>
        </w:rPr>
      </w:pPr>
      <w:r>
        <w:rPr>
          <w:rFonts w:hint="eastAsia"/>
          <w:sz w:val="21"/>
          <w:szCs w:val="22"/>
        </w:rPr>
        <w:t>NY/T 1966温室覆盖材料安装与验收规范塑料薄膜</w:t>
      </w:r>
    </w:p>
    <w:p w14:paraId="0EE5F51D">
      <w:pPr>
        <w:pStyle w:val="41"/>
        <w:spacing w:line="440" w:lineRule="exact"/>
        <w:ind w:firstLine="420"/>
        <w:rPr>
          <w:sz w:val="21"/>
          <w:szCs w:val="22"/>
        </w:rPr>
      </w:pPr>
      <w:r>
        <w:rPr>
          <w:rFonts w:hint="eastAsia"/>
          <w:sz w:val="21"/>
          <w:szCs w:val="22"/>
        </w:rPr>
        <w:t>NY/T 1420温室工程质量验收通则</w:t>
      </w:r>
    </w:p>
    <w:bookmarkEnd w:id="21"/>
    <w:p w14:paraId="26F91E8C">
      <w:pPr>
        <w:tabs>
          <w:tab w:val="left" w:pos="2003"/>
        </w:tabs>
        <w:spacing w:before="312" w:beforeLines="100" w:after="312" w:afterLines="100" w:line="240" w:lineRule="auto"/>
        <w:ind w:firstLine="0" w:firstLineChars="0"/>
        <w:outlineLvl w:val="0"/>
        <w:rPr>
          <w:rFonts w:eastAsia="黑体"/>
          <w:sz w:val="21"/>
          <w:szCs w:val="21"/>
        </w:rPr>
      </w:pPr>
      <w:bookmarkStart w:id="22" w:name="_Toc187586216"/>
      <w:bookmarkStart w:id="23" w:name="_Hlk107430330"/>
      <w:r>
        <w:rPr>
          <w:rFonts w:hint="eastAsia" w:eastAsia="黑体"/>
          <w:sz w:val="21"/>
          <w:szCs w:val="21"/>
        </w:rPr>
        <w:t>3</w:t>
      </w:r>
      <w:bookmarkStart w:id="24" w:name="_Hlk131344352"/>
      <w:r>
        <w:rPr>
          <w:rFonts w:eastAsia="黑体"/>
          <w:sz w:val="21"/>
          <w:szCs w:val="21"/>
        </w:rPr>
        <w:t>术语和定义</w:t>
      </w:r>
      <w:bookmarkEnd w:id="22"/>
      <w:bookmarkEnd w:id="24"/>
      <w:r>
        <w:rPr>
          <w:rFonts w:eastAsia="黑体"/>
          <w:sz w:val="21"/>
          <w:szCs w:val="21"/>
        </w:rPr>
        <w:tab/>
      </w:r>
    </w:p>
    <w:p w14:paraId="3E159F80">
      <w:pPr>
        <w:pStyle w:val="41"/>
        <w:spacing w:line="440" w:lineRule="exact"/>
        <w:ind w:firstLine="420"/>
        <w:rPr>
          <w:sz w:val="21"/>
          <w:szCs w:val="22"/>
        </w:rPr>
      </w:pPr>
      <w:r>
        <w:rPr>
          <w:rFonts w:hint="eastAsia"/>
          <w:sz w:val="21"/>
          <w:szCs w:val="22"/>
        </w:rPr>
        <w:t>GB/T 23393界定的以及下列术语和定义适用于本文件。</w:t>
      </w:r>
    </w:p>
    <w:p w14:paraId="5E94C5A5">
      <w:pPr>
        <w:pStyle w:val="41"/>
        <w:spacing w:before="312" w:beforeLines="100" w:after="312" w:afterLines="100" w:line="240" w:lineRule="auto"/>
        <w:ind w:firstLine="0" w:firstLineChars="0"/>
        <w:rPr>
          <w:rFonts w:ascii="黑体" w:hAnsi="黑体" w:eastAsia="黑体"/>
          <w:sz w:val="21"/>
          <w:szCs w:val="22"/>
        </w:rPr>
      </w:pPr>
      <w:r>
        <w:rPr>
          <w:rFonts w:ascii="黑体" w:hAnsi="黑体" w:eastAsia="黑体"/>
          <w:sz w:val="21"/>
          <w:szCs w:val="22"/>
        </w:rPr>
        <w:t>3.1</w:t>
      </w:r>
      <w:bookmarkStart w:id="25" w:name="_Hlk107499915"/>
      <w:bookmarkStart w:id="26" w:name="_Hlk107500099"/>
      <w:bookmarkStart w:id="27" w:name="_Hlk138836809"/>
    </w:p>
    <w:bookmarkEnd w:id="25"/>
    <w:bookmarkEnd w:id="26"/>
    <w:bookmarkEnd w:id="27"/>
    <w:p w14:paraId="0C6F241C">
      <w:pPr>
        <w:pStyle w:val="41"/>
        <w:spacing w:line="440" w:lineRule="exact"/>
        <w:ind w:firstLine="420"/>
        <w:rPr>
          <w:sz w:val="21"/>
          <w:szCs w:val="21"/>
        </w:rPr>
      </w:pPr>
      <w:bookmarkStart w:id="28" w:name="_Hlk107647246"/>
      <w:bookmarkStart w:id="29" w:name="_Hlk135836984"/>
      <w:r>
        <w:rPr>
          <w:rFonts w:hint="eastAsia" w:ascii="黑体" w:hAnsi="黑体" w:eastAsia="黑体"/>
          <w:sz w:val="21"/>
          <w:szCs w:val="21"/>
        </w:rPr>
        <w:t>层架式栽培食用菌塑料大棚</w:t>
      </w:r>
      <w:r>
        <w:rPr>
          <w:sz w:val="21"/>
          <w:szCs w:val="21"/>
        </w:rPr>
        <w:t xml:space="preserve">Plastic greenhouse for edible fungi </w:t>
      </w:r>
      <w:r>
        <w:rPr>
          <w:rFonts w:hint="eastAsia"/>
          <w:sz w:val="21"/>
          <w:szCs w:val="21"/>
        </w:rPr>
        <w:t>cul</w:t>
      </w:r>
      <w:r>
        <w:rPr>
          <w:sz w:val="21"/>
          <w:szCs w:val="21"/>
        </w:rPr>
        <w:t>tivated in layer frame type</w:t>
      </w:r>
    </w:p>
    <w:p w14:paraId="1EC8FF7F">
      <w:pPr>
        <w:pStyle w:val="41"/>
        <w:spacing w:line="440" w:lineRule="exact"/>
        <w:ind w:firstLine="420"/>
        <w:rPr>
          <w:sz w:val="21"/>
          <w:szCs w:val="21"/>
        </w:rPr>
      </w:pPr>
      <w:r>
        <w:rPr>
          <w:rFonts w:hint="eastAsia"/>
          <w:sz w:val="21"/>
          <w:szCs w:val="21"/>
        </w:rPr>
        <w:t>一种专门为食用菌栽培设计的单跨塑料大棚，屋面采用对称性钢骨架结构，大棚内部搭建多层栽培架，将食用菌的种植空间垂直分布，使用不透光塑料薄膜作为覆盖材料，具有良好的遮阴性和保温性。</w:t>
      </w:r>
    </w:p>
    <w:bookmarkEnd w:id="28"/>
    <w:p w14:paraId="1FFE5CE4">
      <w:pPr>
        <w:pStyle w:val="41"/>
        <w:spacing w:before="312" w:beforeLines="100" w:after="312" w:afterLines="100" w:line="240" w:lineRule="auto"/>
        <w:ind w:firstLine="0" w:firstLineChars="0"/>
        <w:rPr>
          <w:rFonts w:ascii="黑体" w:hAnsi="黑体" w:eastAsia="黑体"/>
          <w:sz w:val="21"/>
          <w:szCs w:val="22"/>
        </w:rPr>
      </w:pPr>
      <w:r>
        <w:rPr>
          <w:rFonts w:ascii="黑体" w:hAnsi="黑体" w:eastAsia="黑体"/>
          <w:sz w:val="21"/>
          <w:szCs w:val="22"/>
        </w:rPr>
        <w:t xml:space="preserve">3.2 </w:t>
      </w:r>
    </w:p>
    <w:p w14:paraId="7C3E61AE">
      <w:pPr>
        <w:pStyle w:val="41"/>
        <w:spacing w:line="440" w:lineRule="exact"/>
        <w:ind w:firstLine="420"/>
        <w:rPr>
          <w:rFonts w:ascii="黑体" w:hAnsi="黑体" w:eastAsia="黑体"/>
          <w:sz w:val="21"/>
          <w:szCs w:val="22"/>
        </w:rPr>
      </w:pPr>
      <w:r>
        <w:rPr>
          <w:rFonts w:hint="eastAsia" w:ascii="黑体" w:hAnsi="黑体" w:eastAsia="黑体"/>
          <w:sz w:val="21"/>
          <w:szCs w:val="22"/>
        </w:rPr>
        <w:t>层架式栽培</w:t>
      </w:r>
      <w:r>
        <w:rPr>
          <w:rFonts w:hint="eastAsia" w:eastAsia="黑体" w:cs="Times New Roman"/>
          <w:sz w:val="21"/>
          <w:szCs w:val="22"/>
        </w:rPr>
        <w:t>L</w:t>
      </w:r>
      <w:r>
        <w:rPr>
          <w:rFonts w:eastAsia="黑体" w:cs="Times New Roman"/>
          <w:sz w:val="21"/>
          <w:szCs w:val="22"/>
        </w:rPr>
        <w:t xml:space="preserve">ayer frame cultivation </w:t>
      </w:r>
    </w:p>
    <w:p w14:paraId="00363BAA">
      <w:pPr>
        <w:pStyle w:val="41"/>
        <w:spacing w:line="440" w:lineRule="exact"/>
        <w:ind w:firstLine="420"/>
        <w:rPr>
          <w:sz w:val="21"/>
          <w:szCs w:val="21"/>
        </w:rPr>
      </w:pPr>
      <w:r>
        <w:rPr>
          <w:rFonts w:hint="eastAsia"/>
          <w:sz w:val="21"/>
          <w:szCs w:val="21"/>
        </w:rPr>
        <w:t>通过构建由多个水平或垂直栽培层组成的层架结构，用于支持食用菌种植基质，充分利用立体空间进行食用菌栽培，适合高密度、大规模的食用菌生产。</w:t>
      </w:r>
    </w:p>
    <w:bookmarkEnd w:id="29"/>
    <w:p w14:paraId="3B9B8827">
      <w:pPr>
        <w:spacing w:before="312" w:beforeLines="100" w:after="312" w:afterLines="100" w:line="240" w:lineRule="auto"/>
        <w:ind w:firstLine="0" w:firstLineChars="0"/>
        <w:outlineLvl w:val="0"/>
        <w:rPr>
          <w:rFonts w:eastAsia="黑体"/>
          <w:sz w:val="21"/>
          <w:szCs w:val="21"/>
        </w:rPr>
      </w:pPr>
      <w:bookmarkStart w:id="30" w:name="_Toc187586217"/>
      <w:r>
        <w:rPr>
          <w:rFonts w:eastAsia="黑体"/>
          <w:sz w:val="21"/>
          <w:szCs w:val="21"/>
        </w:rPr>
        <w:t>4</w:t>
      </w:r>
      <w:bookmarkEnd w:id="23"/>
      <w:r>
        <w:rPr>
          <w:rFonts w:hint="eastAsia" w:eastAsia="黑体"/>
          <w:sz w:val="21"/>
          <w:szCs w:val="21"/>
        </w:rPr>
        <w:t>选址与布局</w:t>
      </w:r>
      <w:bookmarkEnd w:id="30"/>
    </w:p>
    <w:p w14:paraId="58C31E21">
      <w:pPr>
        <w:pStyle w:val="41"/>
        <w:spacing w:before="312" w:beforeLines="100" w:after="312" w:afterLines="100" w:line="440" w:lineRule="exact"/>
        <w:ind w:firstLine="0" w:firstLineChars="0"/>
        <w:rPr>
          <w:rFonts w:ascii="黑体" w:hAnsi="黑体" w:eastAsia="黑体"/>
          <w:sz w:val="21"/>
          <w:szCs w:val="22"/>
        </w:rPr>
      </w:pPr>
      <w:bookmarkStart w:id="31" w:name="_Hlk109386934"/>
      <w:bookmarkStart w:id="32" w:name="_Hlk108877077"/>
      <w:r>
        <w:rPr>
          <w:rFonts w:hint="eastAsia" w:ascii="黑体" w:hAnsi="黑体" w:eastAsia="黑体"/>
          <w:sz w:val="21"/>
          <w:szCs w:val="22"/>
        </w:rPr>
        <w:t>4.1    选址</w:t>
      </w:r>
    </w:p>
    <w:p w14:paraId="5067B7AC">
      <w:pPr>
        <w:pStyle w:val="41"/>
        <w:spacing w:line="440" w:lineRule="exact"/>
        <w:ind w:firstLine="0" w:firstLineChars="0"/>
        <w:rPr>
          <w:sz w:val="21"/>
          <w:szCs w:val="22"/>
        </w:rPr>
      </w:pPr>
      <w:r>
        <w:rPr>
          <w:rFonts w:hint="eastAsia"/>
          <w:sz w:val="21"/>
          <w:szCs w:val="22"/>
        </w:rPr>
        <w:t>4.1.1    建造场地宜选择地势较高，有可靠的水源和电源、排水通畅、交通便利、采光条件好的平整地块。</w:t>
      </w:r>
    </w:p>
    <w:p w14:paraId="35FE199A">
      <w:pPr>
        <w:pStyle w:val="41"/>
        <w:spacing w:line="440" w:lineRule="exact"/>
        <w:ind w:firstLine="0" w:firstLineChars="0"/>
        <w:rPr>
          <w:sz w:val="21"/>
          <w:szCs w:val="22"/>
        </w:rPr>
      </w:pPr>
      <w:r>
        <w:rPr>
          <w:rFonts w:hint="eastAsia"/>
          <w:sz w:val="21"/>
          <w:szCs w:val="22"/>
        </w:rPr>
        <w:t>4.1.2    场地选择应符合国土空间规划、农业发展规划；食用菌塑料大棚及辅助设施用地应符合设施农业用地管理有关规定。</w:t>
      </w:r>
    </w:p>
    <w:p w14:paraId="7028F3CC">
      <w:pPr>
        <w:pStyle w:val="41"/>
        <w:spacing w:line="440" w:lineRule="exact"/>
        <w:ind w:firstLine="0" w:firstLineChars="0"/>
        <w:rPr>
          <w:sz w:val="21"/>
          <w:szCs w:val="22"/>
        </w:rPr>
      </w:pPr>
      <w:r>
        <w:rPr>
          <w:rFonts w:hint="eastAsia"/>
          <w:sz w:val="21"/>
          <w:szCs w:val="22"/>
        </w:rPr>
        <w:t>4.1.3    在电力走廊附近建设食用菌塑料大棚时，大棚与架空电力边导线之间的安全距离为：10 kV及以上电压等级电路不得小于10 m，10 kV以下不得小于5 m。</w:t>
      </w:r>
    </w:p>
    <w:p w14:paraId="6E1DC48E">
      <w:pPr>
        <w:pStyle w:val="41"/>
        <w:spacing w:before="312" w:beforeLines="100" w:after="312" w:afterLines="100" w:line="440" w:lineRule="exact"/>
        <w:ind w:firstLine="0" w:firstLineChars="0"/>
        <w:rPr>
          <w:rFonts w:ascii="黑体" w:hAnsi="黑体" w:eastAsia="黑体"/>
          <w:sz w:val="21"/>
          <w:szCs w:val="22"/>
        </w:rPr>
      </w:pPr>
      <w:r>
        <w:rPr>
          <w:rFonts w:hint="eastAsia" w:ascii="黑体" w:hAnsi="黑体" w:eastAsia="黑体"/>
          <w:sz w:val="21"/>
          <w:szCs w:val="22"/>
        </w:rPr>
        <w:t>4.2   布局</w:t>
      </w:r>
    </w:p>
    <w:p w14:paraId="070A67B6">
      <w:pPr>
        <w:pStyle w:val="41"/>
        <w:spacing w:line="440" w:lineRule="exact"/>
        <w:ind w:firstLine="0" w:firstLineChars="0"/>
        <w:rPr>
          <w:sz w:val="21"/>
          <w:szCs w:val="22"/>
        </w:rPr>
      </w:pPr>
      <w:r>
        <w:rPr>
          <w:rFonts w:hint="eastAsia"/>
          <w:sz w:val="21"/>
          <w:szCs w:val="22"/>
        </w:rPr>
        <w:t>4.2.1   多栋大棚布局时宜成排成列，横向、纵向宜对齐。</w:t>
      </w:r>
    </w:p>
    <w:p w14:paraId="353968CA">
      <w:pPr>
        <w:pStyle w:val="41"/>
        <w:spacing w:line="440" w:lineRule="exact"/>
        <w:ind w:firstLine="0" w:firstLineChars="0"/>
        <w:rPr>
          <w:sz w:val="21"/>
          <w:szCs w:val="22"/>
        </w:rPr>
      </w:pPr>
      <w:r>
        <w:rPr>
          <w:rFonts w:hint="eastAsia"/>
          <w:sz w:val="21"/>
          <w:szCs w:val="22"/>
        </w:rPr>
        <w:t>4.2.2    相邻两栋食用菌塑料大棚间距，跨度方向宜为1.5 m～2.0 m，长度方向应不小于4.0 m。</w:t>
      </w:r>
    </w:p>
    <w:p w14:paraId="7675E5A5">
      <w:pPr>
        <w:pStyle w:val="41"/>
        <w:spacing w:line="440" w:lineRule="exact"/>
        <w:ind w:firstLine="0" w:firstLineChars="0"/>
        <w:rPr>
          <w:sz w:val="21"/>
          <w:szCs w:val="22"/>
        </w:rPr>
      </w:pPr>
      <w:r>
        <w:rPr>
          <w:rFonts w:hint="eastAsia"/>
          <w:sz w:val="21"/>
          <w:szCs w:val="22"/>
        </w:rPr>
        <w:t>4.2.3    园区道路宽度应满足车辆运输要求，便于农业机械行走。</w:t>
      </w:r>
    </w:p>
    <w:p w14:paraId="23F7EA19">
      <w:pPr>
        <w:pStyle w:val="41"/>
        <w:spacing w:line="440" w:lineRule="exact"/>
        <w:ind w:firstLine="0" w:firstLineChars="0"/>
        <w:rPr>
          <w:sz w:val="21"/>
          <w:szCs w:val="22"/>
        </w:rPr>
      </w:pPr>
      <w:r>
        <w:rPr>
          <w:rFonts w:hint="eastAsia"/>
          <w:sz w:val="21"/>
          <w:szCs w:val="22"/>
        </w:rPr>
        <w:t>4.2.4    食用菌塑料大棚两侧应设置排水沟，主干道两侧设置排水道，确保排水顺畅。有条件的可修建集雨池。</w:t>
      </w:r>
    </w:p>
    <w:bookmarkEnd w:id="31"/>
    <w:bookmarkEnd w:id="32"/>
    <w:p w14:paraId="78DC7DFF">
      <w:pPr>
        <w:spacing w:before="312" w:beforeLines="100" w:after="312" w:afterLines="100" w:line="240" w:lineRule="auto"/>
        <w:ind w:firstLine="0" w:firstLineChars="0"/>
        <w:outlineLvl w:val="0"/>
        <w:rPr>
          <w:rFonts w:eastAsia="黑体"/>
          <w:sz w:val="21"/>
          <w:szCs w:val="21"/>
        </w:rPr>
      </w:pPr>
      <w:bookmarkStart w:id="33" w:name="_Toc187586218"/>
      <w:r>
        <w:rPr>
          <w:rFonts w:eastAsia="黑体"/>
          <w:sz w:val="21"/>
          <w:szCs w:val="21"/>
        </w:rPr>
        <w:t>5</w:t>
      </w:r>
      <w:bookmarkStart w:id="34" w:name="_Hlk131344396"/>
      <w:r>
        <w:rPr>
          <w:rFonts w:hint="eastAsia" w:eastAsia="黑体"/>
          <w:sz w:val="21"/>
          <w:szCs w:val="21"/>
        </w:rPr>
        <w:t>结构</w:t>
      </w:r>
      <w:bookmarkEnd w:id="34"/>
      <w:r>
        <w:rPr>
          <w:rFonts w:hint="eastAsia" w:eastAsia="黑体"/>
          <w:sz w:val="21"/>
          <w:szCs w:val="21"/>
        </w:rPr>
        <w:t>与宜机化要求</w:t>
      </w:r>
      <w:bookmarkEnd w:id="33"/>
    </w:p>
    <w:p w14:paraId="3DDA9354">
      <w:pPr>
        <w:spacing w:before="312" w:beforeLines="100" w:after="312" w:afterLines="100" w:line="440" w:lineRule="exact"/>
        <w:ind w:firstLine="0" w:firstLineChars="0"/>
        <w:rPr>
          <w:rFonts w:ascii="黑体" w:hAnsi="黑体" w:eastAsia="黑体"/>
          <w:bCs/>
          <w:sz w:val="21"/>
          <w:szCs w:val="21"/>
        </w:rPr>
      </w:pPr>
      <w:bookmarkStart w:id="35" w:name="_Hlk135771182"/>
      <w:r>
        <w:rPr>
          <w:rFonts w:ascii="黑体" w:hAnsi="黑体" w:eastAsia="黑体"/>
          <w:bCs/>
          <w:sz w:val="21"/>
          <w:szCs w:val="21"/>
        </w:rPr>
        <w:t>5</w:t>
      </w:r>
      <w:r>
        <w:rPr>
          <w:rFonts w:hint="eastAsia" w:ascii="黑体" w:hAnsi="黑体" w:eastAsia="黑体"/>
          <w:bCs/>
          <w:sz w:val="21"/>
          <w:szCs w:val="21"/>
        </w:rPr>
        <w:t>.1 规格尺寸</w:t>
      </w:r>
    </w:p>
    <w:bookmarkEnd w:id="35"/>
    <w:p w14:paraId="0552C261">
      <w:pPr>
        <w:pStyle w:val="41"/>
        <w:ind w:firstLine="420"/>
        <w:rPr>
          <w:sz w:val="21"/>
          <w:szCs w:val="22"/>
        </w:rPr>
      </w:pPr>
      <w:bookmarkStart w:id="36" w:name="_Hlk135771331"/>
      <w:r>
        <w:rPr>
          <w:rFonts w:hint="eastAsia"/>
          <w:sz w:val="21"/>
          <w:szCs w:val="21"/>
        </w:rPr>
        <w:t>层架式栽培</w:t>
      </w:r>
      <w:r>
        <w:rPr>
          <w:rFonts w:hint="eastAsia"/>
          <w:sz w:val="21"/>
          <w:szCs w:val="22"/>
        </w:rPr>
        <w:t>食用菌塑料大棚跨度、脊高、肩高、长度、立柱间距、拱杆间距和纵向系杆数量等可按照表1确定。</w:t>
      </w:r>
      <w:bookmarkEnd w:id="36"/>
      <w:bookmarkStart w:id="37" w:name="_Hlk135771394"/>
      <w:r>
        <w:rPr>
          <w:rFonts w:hint="eastAsia"/>
          <w:sz w:val="21"/>
          <w:szCs w:val="22"/>
        </w:rPr>
        <w:t>层架式栽培食用菌塑料大棚剖面形状见附录A，侧面形状见附录B。</w:t>
      </w:r>
    </w:p>
    <w:p w14:paraId="52F7B3F1">
      <w:pPr>
        <w:pStyle w:val="41"/>
        <w:ind w:firstLine="0" w:firstLineChars="0"/>
        <w:jc w:val="center"/>
        <w:rPr>
          <w:sz w:val="21"/>
          <w:szCs w:val="22"/>
        </w:rPr>
      </w:pPr>
      <w:r>
        <w:rPr>
          <w:sz w:val="21"/>
          <w:szCs w:val="22"/>
        </w:rPr>
        <w:t>表</w:t>
      </w:r>
      <w:r>
        <w:rPr>
          <w:rFonts w:hint="eastAsia"/>
          <w:sz w:val="21"/>
          <w:szCs w:val="22"/>
        </w:rPr>
        <w:t>1   层架式栽培食用菌塑料大棚</w:t>
      </w:r>
      <w:r>
        <w:rPr>
          <w:sz w:val="21"/>
          <w:szCs w:val="22"/>
        </w:rPr>
        <w:t>基本参数</w:t>
      </w:r>
      <w:r>
        <w:rPr>
          <w:rFonts w:hint="eastAsia"/>
          <w:sz w:val="21"/>
          <w:szCs w:val="22"/>
        </w:rPr>
        <w:t>推荐值</w:t>
      </w:r>
    </w:p>
    <w:tbl>
      <w:tblPr>
        <w:tblStyle w:val="11"/>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297"/>
        <w:gridCol w:w="1038"/>
        <w:gridCol w:w="1038"/>
        <w:gridCol w:w="1038"/>
        <w:gridCol w:w="1038"/>
        <w:gridCol w:w="1038"/>
        <w:gridCol w:w="1035"/>
      </w:tblGrid>
      <w:tr w14:paraId="2E902DA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03BF00F1">
            <w:pPr>
              <w:pStyle w:val="41"/>
              <w:ind w:firstLine="0" w:firstLineChars="0"/>
              <w:jc w:val="center"/>
              <w:rPr>
                <w:sz w:val="21"/>
                <w:szCs w:val="21"/>
              </w:rPr>
            </w:pPr>
            <w:r>
              <w:rPr>
                <w:rStyle w:val="39"/>
                <w:sz w:val="21"/>
                <w:szCs w:val="21"/>
              </w:rPr>
              <w:t>项目</w:t>
            </w:r>
          </w:p>
        </w:tc>
        <w:tc>
          <w:tcPr>
            <w:tcW w:w="3652" w:type="pct"/>
            <w:gridSpan w:val="6"/>
            <w:vAlign w:val="center"/>
          </w:tcPr>
          <w:p w14:paraId="5193CF9A">
            <w:pPr>
              <w:pStyle w:val="41"/>
              <w:ind w:firstLine="0" w:firstLineChars="0"/>
              <w:jc w:val="center"/>
              <w:rPr>
                <w:rStyle w:val="39"/>
                <w:sz w:val="21"/>
                <w:szCs w:val="21"/>
              </w:rPr>
            </w:pPr>
            <w:r>
              <w:rPr>
                <w:rStyle w:val="39"/>
                <w:sz w:val="21"/>
                <w:szCs w:val="21"/>
              </w:rPr>
              <w:t>设计值</w:t>
            </w:r>
          </w:p>
        </w:tc>
      </w:tr>
      <w:tr w14:paraId="357748E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C34FA72">
            <w:pPr>
              <w:pStyle w:val="41"/>
              <w:ind w:firstLine="0" w:firstLineChars="0"/>
              <w:jc w:val="center"/>
              <w:rPr>
                <w:rStyle w:val="39"/>
                <w:sz w:val="21"/>
                <w:szCs w:val="21"/>
              </w:rPr>
            </w:pPr>
            <w:r>
              <w:rPr>
                <w:rStyle w:val="39"/>
                <w:rFonts w:hint="eastAsia"/>
                <w:sz w:val="21"/>
                <w:szCs w:val="21"/>
              </w:rPr>
              <w:t>层架宽度</w:t>
            </w:r>
            <w:r>
              <w:rPr>
                <w:rStyle w:val="39"/>
                <w:sz w:val="21"/>
                <w:szCs w:val="21"/>
              </w:rPr>
              <w:t>（m）</w:t>
            </w:r>
          </w:p>
        </w:tc>
        <w:tc>
          <w:tcPr>
            <w:tcW w:w="1218" w:type="pct"/>
            <w:gridSpan w:val="2"/>
            <w:vAlign w:val="center"/>
          </w:tcPr>
          <w:p w14:paraId="4778D4E2">
            <w:pPr>
              <w:pStyle w:val="41"/>
              <w:ind w:firstLine="0" w:firstLineChars="0"/>
              <w:jc w:val="center"/>
              <w:rPr>
                <w:rStyle w:val="39"/>
                <w:sz w:val="21"/>
                <w:szCs w:val="21"/>
              </w:rPr>
            </w:pPr>
            <w:r>
              <w:rPr>
                <w:rStyle w:val="39"/>
                <w:sz w:val="21"/>
                <w:szCs w:val="21"/>
              </w:rPr>
              <w:t>0.3</w:t>
            </w:r>
          </w:p>
        </w:tc>
        <w:tc>
          <w:tcPr>
            <w:tcW w:w="1218" w:type="pct"/>
            <w:gridSpan w:val="2"/>
            <w:vAlign w:val="center"/>
          </w:tcPr>
          <w:p w14:paraId="018BCA7B">
            <w:pPr>
              <w:pStyle w:val="41"/>
              <w:ind w:firstLine="0" w:firstLineChars="0"/>
              <w:jc w:val="center"/>
              <w:rPr>
                <w:rStyle w:val="39"/>
                <w:sz w:val="21"/>
                <w:szCs w:val="21"/>
              </w:rPr>
            </w:pPr>
            <w:r>
              <w:rPr>
                <w:rStyle w:val="39"/>
                <w:sz w:val="21"/>
                <w:szCs w:val="21"/>
              </w:rPr>
              <w:t>0.4</w:t>
            </w:r>
          </w:p>
        </w:tc>
        <w:tc>
          <w:tcPr>
            <w:tcW w:w="1216" w:type="pct"/>
            <w:gridSpan w:val="2"/>
            <w:vAlign w:val="center"/>
          </w:tcPr>
          <w:p w14:paraId="6AE38522">
            <w:pPr>
              <w:pStyle w:val="41"/>
              <w:ind w:firstLine="0" w:firstLineChars="0"/>
              <w:jc w:val="center"/>
              <w:rPr>
                <w:rStyle w:val="39"/>
                <w:sz w:val="21"/>
                <w:szCs w:val="21"/>
              </w:rPr>
            </w:pPr>
            <w:r>
              <w:rPr>
                <w:rStyle w:val="39"/>
                <w:sz w:val="21"/>
                <w:szCs w:val="21"/>
              </w:rPr>
              <w:t>0.5</w:t>
            </w:r>
          </w:p>
        </w:tc>
      </w:tr>
      <w:tr w14:paraId="7AACC0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3C340242">
            <w:pPr>
              <w:pStyle w:val="41"/>
              <w:ind w:firstLine="0" w:firstLineChars="0"/>
              <w:jc w:val="center"/>
              <w:rPr>
                <w:rStyle w:val="39"/>
                <w:sz w:val="21"/>
                <w:szCs w:val="21"/>
              </w:rPr>
            </w:pPr>
            <w:r>
              <w:rPr>
                <w:rStyle w:val="39"/>
                <w:rFonts w:hint="eastAsia"/>
                <w:sz w:val="21"/>
                <w:szCs w:val="21"/>
              </w:rPr>
              <w:t>层架行间距（m）</w:t>
            </w:r>
          </w:p>
        </w:tc>
        <w:tc>
          <w:tcPr>
            <w:tcW w:w="3652" w:type="pct"/>
            <w:gridSpan w:val="6"/>
            <w:vAlign w:val="center"/>
          </w:tcPr>
          <w:p w14:paraId="324776FE">
            <w:pPr>
              <w:pStyle w:val="41"/>
              <w:ind w:firstLine="0" w:firstLineChars="0"/>
              <w:jc w:val="center"/>
              <w:rPr>
                <w:rStyle w:val="39"/>
                <w:sz w:val="21"/>
                <w:szCs w:val="21"/>
              </w:rPr>
            </w:pPr>
            <w:r>
              <w:rPr>
                <w:rStyle w:val="39"/>
                <w:rFonts w:hint="eastAsia"/>
                <w:sz w:val="21"/>
                <w:szCs w:val="21"/>
              </w:rPr>
              <w:t>0</w:t>
            </w:r>
            <w:r>
              <w:rPr>
                <w:rStyle w:val="39"/>
                <w:sz w:val="21"/>
                <w:szCs w:val="21"/>
              </w:rPr>
              <w:t>.8</w:t>
            </w:r>
          </w:p>
        </w:tc>
      </w:tr>
      <w:tr w14:paraId="219AA4C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504F602C">
            <w:pPr>
              <w:pStyle w:val="41"/>
              <w:ind w:firstLine="0" w:firstLineChars="0"/>
              <w:jc w:val="center"/>
              <w:rPr>
                <w:rStyle w:val="39"/>
                <w:sz w:val="21"/>
                <w:szCs w:val="21"/>
              </w:rPr>
            </w:pPr>
            <w:r>
              <w:rPr>
                <w:rStyle w:val="39"/>
                <w:rFonts w:hint="eastAsia"/>
                <w:sz w:val="21"/>
                <w:szCs w:val="21"/>
              </w:rPr>
              <w:t>层架行数</w:t>
            </w:r>
          </w:p>
        </w:tc>
        <w:tc>
          <w:tcPr>
            <w:tcW w:w="609" w:type="pct"/>
            <w:vAlign w:val="center"/>
          </w:tcPr>
          <w:p w14:paraId="1029689B">
            <w:pPr>
              <w:pStyle w:val="41"/>
              <w:ind w:firstLine="0" w:firstLineChars="0"/>
              <w:jc w:val="center"/>
              <w:rPr>
                <w:rStyle w:val="39"/>
                <w:sz w:val="21"/>
                <w:szCs w:val="21"/>
              </w:rPr>
            </w:pPr>
            <w:r>
              <w:rPr>
                <w:rStyle w:val="39"/>
                <w:sz w:val="21"/>
                <w:szCs w:val="21"/>
              </w:rPr>
              <w:t>6</w:t>
            </w:r>
          </w:p>
        </w:tc>
        <w:tc>
          <w:tcPr>
            <w:tcW w:w="609" w:type="pct"/>
            <w:vAlign w:val="center"/>
          </w:tcPr>
          <w:p w14:paraId="1F9EB603">
            <w:pPr>
              <w:pStyle w:val="41"/>
              <w:ind w:firstLine="0" w:firstLineChars="0"/>
              <w:jc w:val="center"/>
              <w:rPr>
                <w:rStyle w:val="39"/>
                <w:sz w:val="21"/>
                <w:szCs w:val="21"/>
              </w:rPr>
            </w:pPr>
            <w:r>
              <w:rPr>
                <w:rStyle w:val="39"/>
                <w:sz w:val="21"/>
                <w:szCs w:val="21"/>
              </w:rPr>
              <w:t>7</w:t>
            </w:r>
          </w:p>
        </w:tc>
        <w:tc>
          <w:tcPr>
            <w:tcW w:w="609" w:type="pct"/>
            <w:vAlign w:val="center"/>
          </w:tcPr>
          <w:p w14:paraId="26B9514E">
            <w:pPr>
              <w:pStyle w:val="41"/>
              <w:ind w:firstLine="0" w:firstLineChars="0"/>
              <w:jc w:val="center"/>
              <w:rPr>
                <w:rStyle w:val="39"/>
                <w:sz w:val="21"/>
                <w:szCs w:val="21"/>
              </w:rPr>
            </w:pPr>
            <w:r>
              <w:rPr>
                <w:rStyle w:val="39"/>
                <w:sz w:val="21"/>
                <w:szCs w:val="21"/>
              </w:rPr>
              <w:t>6</w:t>
            </w:r>
          </w:p>
        </w:tc>
        <w:tc>
          <w:tcPr>
            <w:tcW w:w="609" w:type="pct"/>
            <w:vAlign w:val="center"/>
          </w:tcPr>
          <w:p w14:paraId="2E70EA5D">
            <w:pPr>
              <w:pStyle w:val="41"/>
              <w:ind w:firstLine="0" w:firstLineChars="0"/>
              <w:jc w:val="center"/>
              <w:rPr>
                <w:rStyle w:val="39"/>
                <w:sz w:val="21"/>
                <w:szCs w:val="21"/>
              </w:rPr>
            </w:pPr>
            <w:r>
              <w:rPr>
                <w:rStyle w:val="39"/>
                <w:sz w:val="21"/>
                <w:szCs w:val="21"/>
              </w:rPr>
              <w:t>7</w:t>
            </w:r>
          </w:p>
        </w:tc>
        <w:tc>
          <w:tcPr>
            <w:tcW w:w="609" w:type="pct"/>
            <w:vAlign w:val="center"/>
          </w:tcPr>
          <w:p w14:paraId="3CDBC122">
            <w:pPr>
              <w:pStyle w:val="41"/>
              <w:ind w:firstLine="0" w:firstLineChars="0"/>
              <w:jc w:val="center"/>
              <w:rPr>
                <w:rStyle w:val="39"/>
                <w:sz w:val="21"/>
                <w:szCs w:val="21"/>
              </w:rPr>
            </w:pPr>
            <w:r>
              <w:rPr>
                <w:rStyle w:val="39"/>
                <w:sz w:val="21"/>
                <w:szCs w:val="21"/>
              </w:rPr>
              <w:t>6</w:t>
            </w:r>
          </w:p>
        </w:tc>
        <w:tc>
          <w:tcPr>
            <w:tcW w:w="607" w:type="pct"/>
            <w:vAlign w:val="center"/>
          </w:tcPr>
          <w:p w14:paraId="558D1CE7">
            <w:pPr>
              <w:pStyle w:val="41"/>
              <w:ind w:firstLine="0" w:firstLineChars="0"/>
              <w:jc w:val="center"/>
              <w:rPr>
                <w:rStyle w:val="39"/>
                <w:sz w:val="21"/>
                <w:szCs w:val="21"/>
              </w:rPr>
            </w:pPr>
            <w:r>
              <w:rPr>
                <w:rStyle w:val="39"/>
                <w:sz w:val="21"/>
                <w:szCs w:val="21"/>
              </w:rPr>
              <w:t>7</w:t>
            </w:r>
          </w:p>
        </w:tc>
      </w:tr>
      <w:tr w14:paraId="4BFE02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44B15956">
            <w:pPr>
              <w:pStyle w:val="41"/>
              <w:ind w:firstLine="0" w:firstLineChars="0"/>
              <w:jc w:val="center"/>
              <w:rPr>
                <w:sz w:val="21"/>
                <w:szCs w:val="21"/>
              </w:rPr>
            </w:pPr>
            <w:r>
              <w:rPr>
                <w:rStyle w:val="39"/>
                <w:sz w:val="21"/>
                <w:szCs w:val="21"/>
              </w:rPr>
              <w:t>跨度（m）</w:t>
            </w:r>
          </w:p>
        </w:tc>
        <w:tc>
          <w:tcPr>
            <w:tcW w:w="609" w:type="pct"/>
            <w:vAlign w:val="center"/>
          </w:tcPr>
          <w:p w14:paraId="62BD24A9">
            <w:pPr>
              <w:pStyle w:val="41"/>
              <w:ind w:firstLine="0" w:firstLineChars="0"/>
              <w:jc w:val="center"/>
              <w:rPr>
                <w:sz w:val="21"/>
                <w:szCs w:val="21"/>
              </w:rPr>
            </w:pPr>
            <w:r>
              <w:rPr>
                <w:sz w:val="21"/>
                <w:szCs w:val="21"/>
              </w:rPr>
              <w:t>8.4</w:t>
            </w:r>
          </w:p>
        </w:tc>
        <w:tc>
          <w:tcPr>
            <w:tcW w:w="609" w:type="pct"/>
            <w:vAlign w:val="center"/>
          </w:tcPr>
          <w:p w14:paraId="0D34613B">
            <w:pPr>
              <w:pStyle w:val="41"/>
              <w:ind w:firstLine="0" w:firstLineChars="0"/>
              <w:jc w:val="center"/>
              <w:rPr>
                <w:sz w:val="21"/>
                <w:szCs w:val="21"/>
              </w:rPr>
            </w:pPr>
            <w:r>
              <w:rPr>
                <w:sz w:val="21"/>
                <w:szCs w:val="21"/>
              </w:rPr>
              <w:t>9.8</w:t>
            </w:r>
          </w:p>
        </w:tc>
        <w:tc>
          <w:tcPr>
            <w:tcW w:w="609" w:type="pct"/>
            <w:vAlign w:val="center"/>
          </w:tcPr>
          <w:p w14:paraId="2D82D53F">
            <w:pPr>
              <w:pStyle w:val="41"/>
              <w:ind w:firstLine="0" w:firstLineChars="0"/>
              <w:jc w:val="center"/>
              <w:rPr>
                <w:sz w:val="21"/>
                <w:szCs w:val="21"/>
              </w:rPr>
            </w:pPr>
            <w:r>
              <w:rPr>
                <w:sz w:val="21"/>
                <w:szCs w:val="21"/>
              </w:rPr>
              <w:t>9.6</w:t>
            </w:r>
          </w:p>
        </w:tc>
        <w:tc>
          <w:tcPr>
            <w:tcW w:w="609" w:type="pct"/>
            <w:vAlign w:val="center"/>
          </w:tcPr>
          <w:p w14:paraId="0F3BB04D">
            <w:pPr>
              <w:pStyle w:val="41"/>
              <w:ind w:firstLine="0" w:firstLineChars="0"/>
              <w:jc w:val="center"/>
              <w:rPr>
                <w:sz w:val="21"/>
                <w:szCs w:val="21"/>
              </w:rPr>
            </w:pPr>
            <w:r>
              <w:rPr>
                <w:sz w:val="21"/>
                <w:szCs w:val="21"/>
              </w:rPr>
              <w:t>11.2</w:t>
            </w:r>
          </w:p>
        </w:tc>
        <w:tc>
          <w:tcPr>
            <w:tcW w:w="609" w:type="pct"/>
            <w:vAlign w:val="center"/>
          </w:tcPr>
          <w:p w14:paraId="7FE7285A">
            <w:pPr>
              <w:pStyle w:val="41"/>
              <w:ind w:firstLine="0" w:firstLineChars="0"/>
              <w:jc w:val="center"/>
              <w:rPr>
                <w:sz w:val="21"/>
                <w:szCs w:val="21"/>
              </w:rPr>
            </w:pPr>
            <w:r>
              <w:rPr>
                <w:sz w:val="21"/>
                <w:szCs w:val="21"/>
              </w:rPr>
              <w:t>10.8</w:t>
            </w:r>
          </w:p>
        </w:tc>
        <w:tc>
          <w:tcPr>
            <w:tcW w:w="607" w:type="pct"/>
            <w:vAlign w:val="center"/>
          </w:tcPr>
          <w:p w14:paraId="6203EF3E">
            <w:pPr>
              <w:pStyle w:val="41"/>
              <w:ind w:firstLine="0" w:firstLineChars="0"/>
              <w:jc w:val="center"/>
              <w:rPr>
                <w:sz w:val="21"/>
                <w:szCs w:val="21"/>
              </w:rPr>
            </w:pPr>
            <w:r>
              <w:rPr>
                <w:sz w:val="21"/>
                <w:szCs w:val="21"/>
              </w:rPr>
              <w:t>12.6</w:t>
            </w:r>
          </w:p>
        </w:tc>
      </w:tr>
      <w:tr w14:paraId="3E494F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ABC68CC">
            <w:pPr>
              <w:pStyle w:val="41"/>
              <w:ind w:firstLine="0" w:firstLineChars="0"/>
              <w:jc w:val="center"/>
              <w:rPr>
                <w:sz w:val="21"/>
                <w:szCs w:val="21"/>
              </w:rPr>
            </w:pPr>
            <w:r>
              <w:rPr>
                <w:rStyle w:val="39"/>
                <w:sz w:val="21"/>
                <w:szCs w:val="21"/>
              </w:rPr>
              <w:t>脊高（m）</w:t>
            </w:r>
          </w:p>
        </w:tc>
        <w:tc>
          <w:tcPr>
            <w:tcW w:w="609" w:type="pct"/>
            <w:vAlign w:val="center"/>
          </w:tcPr>
          <w:p w14:paraId="590D4D46">
            <w:pPr>
              <w:pStyle w:val="41"/>
              <w:ind w:firstLine="0" w:firstLineChars="0"/>
              <w:jc w:val="center"/>
              <w:rPr>
                <w:sz w:val="21"/>
                <w:szCs w:val="21"/>
              </w:rPr>
            </w:pPr>
            <w:r>
              <w:rPr>
                <w:sz w:val="21"/>
                <w:szCs w:val="21"/>
              </w:rPr>
              <w:t>3.2</w:t>
            </w:r>
            <w:r>
              <w:rPr>
                <w:rFonts w:hint="eastAsia"/>
                <w:sz w:val="21"/>
                <w:szCs w:val="21"/>
              </w:rPr>
              <w:t>～</w:t>
            </w:r>
            <w:r>
              <w:rPr>
                <w:sz w:val="21"/>
                <w:szCs w:val="21"/>
              </w:rPr>
              <w:t>3.4</w:t>
            </w:r>
          </w:p>
        </w:tc>
        <w:tc>
          <w:tcPr>
            <w:tcW w:w="609" w:type="pct"/>
            <w:vAlign w:val="center"/>
          </w:tcPr>
          <w:p w14:paraId="6E5A573C">
            <w:pPr>
              <w:pStyle w:val="41"/>
              <w:ind w:firstLine="0" w:firstLineChars="0"/>
              <w:jc w:val="center"/>
              <w:rPr>
                <w:sz w:val="21"/>
                <w:szCs w:val="21"/>
              </w:rPr>
            </w:pPr>
            <w:r>
              <w:rPr>
                <w:sz w:val="21"/>
                <w:szCs w:val="21"/>
              </w:rPr>
              <w:t>3.4</w:t>
            </w:r>
            <w:r>
              <w:rPr>
                <w:rFonts w:hint="eastAsia"/>
                <w:sz w:val="21"/>
                <w:szCs w:val="21"/>
              </w:rPr>
              <w:t>～</w:t>
            </w:r>
            <w:r>
              <w:rPr>
                <w:sz w:val="21"/>
                <w:szCs w:val="21"/>
              </w:rPr>
              <w:t>3.6</w:t>
            </w:r>
          </w:p>
        </w:tc>
        <w:tc>
          <w:tcPr>
            <w:tcW w:w="609" w:type="pct"/>
            <w:vAlign w:val="center"/>
          </w:tcPr>
          <w:p w14:paraId="1AD18CB7">
            <w:pPr>
              <w:pStyle w:val="41"/>
              <w:ind w:firstLine="0" w:firstLineChars="0"/>
              <w:jc w:val="center"/>
              <w:rPr>
                <w:sz w:val="21"/>
                <w:szCs w:val="21"/>
              </w:rPr>
            </w:pPr>
            <w:r>
              <w:rPr>
                <w:sz w:val="21"/>
                <w:szCs w:val="21"/>
              </w:rPr>
              <w:t>3.4</w:t>
            </w:r>
            <w:r>
              <w:rPr>
                <w:rFonts w:hint="eastAsia"/>
                <w:sz w:val="21"/>
                <w:szCs w:val="21"/>
              </w:rPr>
              <w:t>～</w:t>
            </w:r>
            <w:r>
              <w:rPr>
                <w:sz w:val="21"/>
                <w:szCs w:val="21"/>
              </w:rPr>
              <w:t>3.6</w:t>
            </w:r>
          </w:p>
        </w:tc>
        <w:tc>
          <w:tcPr>
            <w:tcW w:w="609" w:type="pct"/>
            <w:vAlign w:val="center"/>
          </w:tcPr>
          <w:p w14:paraId="740FFBF4">
            <w:pPr>
              <w:pStyle w:val="41"/>
              <w:ind w:firstLine="0" w:firstLineChars="0"/>
              <w:jc w:val="center"/>
              <w:rPr>
                <w:sz w:val="21"/>
                <w:szCs w:val="21"/>
              </w:rPr>
            </w:pPr>
            <w:r>
              <w:rPr>
                <w:sz w:val="21"/>
                <w:szCs w:val="21"/>
              </w:rPr>
              <w:t>3.6</w:t>
            </w:r>
            <w:r>
              <w:rPr>
                <w:rFonts w:hint="eastAsia"/>
                <w:sz w:val="21"/>
                <w:szCs w:val="21"/>
              </w:rPr>
              <w:t>～</w:t>
            </w:r>
            <w:r>
              <w:rPr>
                <w:sz w:val="21"/>
                <w:szCs w:val="21"/>
              </w:rPr>
              <w:t>3.8</w:t>
            </w:r>
          </w:p>
        </w:tc>
        <w:tc>
          <w:tcPr>
            <w:tcW w:w="609" w:type="pct"/>
            <w:vAlign w:val="center"/>
          </w:tcPr>
          <w:p w14:paraId="2441B7AE">
            <w:pPr>
              <w:pStyle w:val="41"/>
              <w:ind w:firstLine="0" w:firstLineChars="0"/>
              <w:jc w:val="center"/>
              <w:rPr>
                <w:sz w:val="21"/>
                <w:szCs w:val="21"/>
              </w:rPr>
            </w:pPr>
            <w:r>
              <w:rPr>
                <w:rFonts w:hint="eastAsia"/>
                <w:sz w:val="21"/>
                <w:szCs w:val="21"/>
              </w:rPr>
              <w:t>3</w:t>
            </w:r>
            <w:r>
              <w:rPr>
                <w:sz w:val="21"/>
                <w:szCs w:val="21"/>
              </w:rPr>
              <w:t>.4</w:t>
            </w:r>
            <w:r>
              <w:rPr>
                <w:rFonts w:hint="eastAsia"/>
                <w:sz w:val="21"/>
                <w:szCs w:val="21"/>
              </w:rPr>
              <w:t>～</w:t>
            </w:r>
            <w:r>
              <w:rPr>
                <w:sz w:val="21"/>
                <w:szCs w:val="21"/>
              </w:rPr>
              <w:t>3.6</w:t>
            </w:r>
          </w:p>
        </w:tc>
        <w:tc>
          <w:tcPr>
            <w:tcW w:w="607" w:type="pct"/>
            <w:vAlign w:val="center"/>
          </w:tcPr>
          <w:p w14:paraId="08304164">
            <w:pPr>
              <w:pStyle w:val="41"/>
              <w:ind w:firstLine="0" w:firstLineChars="0"/>
              <w:jc w:val="center"/>
              <w:rPr>
                <w:sz w:val="21"/>
                <w:szCs w:val="21"/>
              </w:rPr>
            </w:pPr>
            <w:r>
              <w:rPr>
                <w:sz w:val="21"/>
                <w:szCs w:val="21"/>
              </w:rPr>
              <w:t>3.6</w:t>
            </w:r>
            <w:r>
              <w:rPr>
                <w:rFonts w:hint="eastAsia"/>
                <w:sz w:val="21"/>
                <w:szCs w:val="21"/>
              </w:rPr>
              <w:t>～</w:t>
            </w:r>
            <w:r>
              <w:rPr>
                <w:sz w:val="21"/>
                <w:szCs w:val="21"/>
              </w:rPr>
              <w:t>3.8</w:t>
            </w:r>
          </w:p>
        </w:tc>
      </w:tr>
      <w:tr w14:paraId="2DA461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1D6D6880">
            <w:pPr>
              <w:pStyle w:val="41"/>
              <w:ind w:firstLine="0" w:firstLineChars="0"/>
              <w:jc w:val="center"/>
              <w:rPr>
                <w:rStyle w:val="39"/>
                <w:sz w:val="21"/>
                <w:szCs w:val="21"/>
              </w:rPr>
            </w:pPr>
            <w:r>
              <w:rPr>
                <w:rStyle w:val="39"/>
                <w:sz w:val="21"/>
                <w:szCs w:val="21"/>
              </w:rPr>
              <w:t>肩高（m）</w:t>
            </w:r>
          </w:p>
        </w:tc>
        <w:tc>
          <w:tcPr>
            <w:tcW w:w="3652" w:type="pct"/>
            <w:gridSpan w:val="6"/>
            <w:vAlign w:val="center"/>
          </w:tcPr>
          <w:p w14:paraId="094EC33B">
            <w:pPr>
              <w:pStyle w:val="41"/>
              <w:ind w:firstLine="0" w:firstLineChars="0"/>
              <w:jc w:val="center"/>
              <w:rPr>
                <w:sz w:val="21"/>
                <w:szCs w:val="21"/>
              </w:rPr>
            </w:pPr>
            <w:r>
              <w:rPr>
                <w:sz w:val="21"/>
                <w:szCs w:val="21"/>
              </w:rPr>
              <w:t>1.8</w:t>
            </w:r>
          </w:p>
        </w:tc>
      </w:tr>
      <w:tr w14:paraId="45EC2D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164CF952">
            <w:pPr>
              <w:pStyle w:val="41"/>
              <w:ind w:firstLine="0" w:firstLineChars="0"/>
              <w:jc w:val="center"/>
              <w:rPr>
                <w:rStyle w:val="39"/>
                <w:sz w:val="21"/>
                <w:szCs w:val="21"/>
              </w:rPr>
            </w:pPr>
            <w:r>
              <w:rPr>
                <w:rStyle w:val="39"/>
                <w:sz w:val="21"/>
                <w:szCs w:val="21"/>
              </w:rPr>
              <w:t>长度（m）</w:t>
            </w:r>
          </w:p>
        </w:tc>
        <w:tc>
          <w:tcPr>
            <w:tcW w:w="3652" w:type="pct"/>
            <w:gridSpan w:val="6"/>
            <w:vAlign w:val="center"/>
          </w:tcPr>
          <w:p w14:paraId="220571D1">
            <w:pPr>
              <w:pStyle w:val="41"/>
              <w:ind w:firstLine="0" w:firstLineChars="0"/>
              <w:jc w:val="center"/>
              <w:rPr>
                <w:sz w:val="21"/>
                <w:szCs w:val="21"/>
              </w:rPr>
            </w:pPr>
            <w:r>
              <w:rPr>
                <w:sz w:val="21"/>
                <w:szCs w:val="21"/>
              </w:rPr>
              <w:t>30</w:t>
            </w:r>
            <w:r>
              <w:rPr>
                <w:rStyle w:val="39"/>
                <w:rFonts w:hint="eastAsia"/>
                <w:sz w:val="21"/>
                <w:szCs w:val="21"/>
              </w:rPr>
              <w:t>～</w:t>
            </w:r>
            <w:r>
              <w:rPr>
                <w:sz w:val="21"/>
                <w:szCs w:val="21"/>
              </w:rPr>
              <w:t>60</w:t>
            </w:r>
          </w:p>
        </w:tc>
      </w:tr>
      <w:tr w14:paraId="3A7AE8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108CFCEC">
            <w:pPr>
              <w:pStyle w:val="41"/>
              <w:ind w:firstLine="0" w:firstLineChars="0"/>
              <w:jc w:val="center"/>
              <w:rPr>
                <w:rStyle w:val="39"/>
                <w:sz w:val="21"/>
                <w:szCs w:val="21"/>
              </w:rPr>
            </w:pPr>
            <w:r>
              <w:rPr>
                <w:rStyle w:val="39"/>
                <w:rFonts w:hint="eastAsia"/>
                <w:sz w:val="21"/>
                <w:szCs w:val="21"/>
              </w:rPr>
              <w:t>立柱间距</w:t>
            </w:r>
            <w:r>
              <w:rPr>
                <w:rStyle w:val="39"/>
                <w:sz w:val="21"/>
                <w:szCs w:val="21"/>
              </w:rPr>
              <w:t>（m）</w:t>
            </w:r>
          </w:p>
        </w:tc>
        <w:tc>
          <w:tcPr>
            <w:tcW w:w="3652" w:type="pct"/>
            <w:gridSpan w:val="6"/>
            <w:vAlign w:val="center"/>
          </w:tcPr>
          <w:p w14:paraId="0BCFB5B7">
            <w:pPr>
              <w:pStyle w:val="41"/>
              <w:ind w:firstLine="0" w:firstLineChars="0"/>
              <w:jc w:val="center"/>
              <w:rPr>
                <w:sz w:val="21"/>
                <w:szCs w:val="21"/>
              </w:rPr>
            </w:pPr>
            <w:r>
              <w:rPr>
                <w:rFonts w:hint="eastAsia"/>
                <w:sz w:val="21"/>
                <w:szCs w:val="21"/>
              </w:rPr>
              <w:t>4.0</w:t>
            </w:r>
            <w:r>
              <w:rPr>
                <w:rStyle w:val="39"/>
                <w:rFonts w:hint="eastAsia"/>
                <w:sz w:val="21"/>
                <w:szCs w:val="21"/>
              </w:rPr>
              <w:t>～</w:t>
            </w:r>
            <w:r>
              <w:rPr>
                <w:sz w:val="21"/>
                <w:szCs w:val="21"/>
              </w:rPr>
              <w:t>6</w:t>
            </w:r>
            <w:r>
              <w:rPr>
                <w:rFonts w:hint="eastAsia"/>
                <w:sz w:val="21"/>
                <w:szCs w:val="21"/>
              </w:rPr>
              <w:t>.0</w:t>
            </w:r>
          </w:p>
        </w:tc>
      </w:tr>
      <w:tr w14:paraId="16477B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18231C86">
            <w:pPr>
              <w:pStyle w:val="41"/>
              <w:ind w:firstLine="0" w:firstLineChars="0"/>
              <w:jc w:val="center"/>
              <w:rPr>
                <w:sz w:val="21"/>
                <w:szCs w:val="21"/>
              </w:rPr>
            </w:pPr>
            <w:bookmarkStart w:id="38" w:name="_Hlk135759034"/>
            <w:r>
              <w:rPr>
                <w:rStyle w:val="39"/>
                <w:sz w:val="21"/>
                <w:szCs w:val="21"/>
              </w:rPr>
              <w:t>拱杆间距</w:t>
            </w:r>
            <w:bookmarkEnd w:id="38"/>
            <w:r>
              <w:rPr>
                <w:rStyle w:val="39"/>
                <w:sz w:val="21"/>
                <w:szCs w:val="21"/>
              </w:rPr>
              <w:t>（m）</w:t>
            </w:r>
          </w:p>
        </w:tc>
        <w:tc>
          <w:tcPr>
            <w:tcW w:w="3652" w:type="pct"/>
            <w:gridSpan w:val="6"/>
            <w:vAlign w:val="center"/>
          </w:tcPr>
          <w:p w14:paraId="1609EFF6">
            <w:pPr>
              <w:pStyle w:val="41"/>
              <w:ind w:firstLine="0" w:firstLineChars="0"/>
              <w:jc w:val="center"/>
              <w:rPr>
                <w:sz w:val="21"/>
                <w:szCs w:val="21"/>
              </w:rPr>
            </w:pPr>
            <w:r>
              <w:rPr>
                <w:rFonts w:hint="eastAsia"/>
                <w:sz w:val="21"/>
                <w:szCs w:val="21"/>
              </w:rPr>
              <w:t>0</w:t>
            </w:r>
            <w:r>
              <w:rPr>
                <w:sz w:val="21"/>
                <w:szCs w:val="21"/>
              </w:rPr>
              <w:t>.8</w:t>
            </w:r>
            <w:r>
              <w:rPr>
                <w:rStyle w:val="39"/>
                <w:rFonts w:hint="eastAsia"/>
                <w:sz w:val="21"/>
                <w:szCs w:val="21"/>
              </w:rPr>
              <w:t>～</w:t>
            </w:r>
            <w:r>
              <w:rPr>
                <w:sz w:val="21"/>
                <w:szCs w:val="21"/>
              </w:rPr>
              <w:t>1.2</w:t>
            </w:r>
          </w:p>
        </w:tc>
      </w:tr>
      <w:tr w14:paraId="05819EB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4F579E67">
            <w:pPr>
              <w:pStyle w:val="41"/>
              <w:ind w:firstLine="0" w:firstLineChars="0"/>
              <w:jc w:val="center"/>
              <w:rPr>
                <w:sz w:val="21"/>
                <w:szCs w:val="21"/>
              </w:rPr>
            </w:pPr>
            <w:bookmarkStart w:id="39" w:name="_Hlk135759049"/>
            <w:r>
              <w:rPr>
                <w:rStyle w:val="39"/>
                <w:sz w:val="21"/>
                <w:szCs w:val="21"/>
              </w:rPr>
              <w:t>纵向系杆数量</w:t>
            </w:r>
            <w:bookmarkEnd w:id="39"/>
            <w:r>
              <w:rPr>
                <w:rStyle w:val="39"/>
                <w:sz w:val="21"/>
                <w:szCs w:val="21"/>
              </w:rPr>
              <w:t>（个</w:t>
            </w:r>
            <w:r>
              <w:rPr>
                <w:rStyle w:val="39"/>
                <w:rFonts w:hint="eastAsia"/>
                <w:sz w:val="21"/>
                <w:szCs w:val="21"/>
              </w:rPr>
              <w:t>）</w:t>
            </w:r>
          </w:p>
        </w:tc>
        <w:tc>
          <w:tcPr>
            <w:tcW w:w="3652" w:type="pct"/>
            <w:gridSpan w:val="6"/>
            <w:vAlign w:val="center"/>
          </w:tcPr>
          <w:p w14:paraId="6F64B506">
            <w:pPr>
              <w:pStyle w:val="41"/>
              <w:ind w:firstLine="0" w:firstLineChars="0"/>
              <w:jc w:val="center"/>
              <w:rPr>
                <w:sz w:val="21"/>
                <w:szCs w:val="21"/>
              </w:rPr>
            </w:pPr>
            <w:r>
              <w:rPr>
                <w:rStyle w:val="39"/>
                <w:sz w:val="21"/>
                <w:szCs w:val="21"/>
              </w:rPr>
              <w:t>5</w:t>
            </w:r>
            <w:r>
              <w:rPr>
                <w:rStyle w:val="39"/>
                <w:rFonts w:hint="eastAsia"/>
                <w:sz w:val="21"/>
                <w:szCs w:val="21"/>
              </w:rPr>
              <w:t>～8</w:t>
            </w:r>
          </w:p>
        </w:tc>
      </w:tr>
      <w:bookmarkEnd w:id="37"/>
    </w:tbl>
    <w:p w14:paraId="58B1BB59">
      <w:pPr>
        <w:pStyle w:val="41"/>
        <w:spacing w:before="312" w:beforeLines="100" w:after="312" w:afterLines="100" w:line="440" w:lineRule="exact"/>
        <w:ind w:firstLine="0" w:firstLineChars="0"/>
        <w:rPr>
          <w:rFonts w:ascii="黑体" w:hAnsi="黑体" w:eastAsia="黑体"/>
          <w:bCs/>
          <w:sz w:val="21"/>
          <w:szCs w:val="21"/>
        </w:rPr>
      </w:pPr>
      <w:bookmarkStart w:id="40" w:name="_Hlk135771746"/>
      <w:r>
        <w:rPr>
          <w:rFonts w:ascii="黑体" w:hAnsi="黑体" w:eastAsia="黑体"/>
          <w:bCs/>
          <w:sz w:val="21"/>
          <w:szCs w:val="21"/>
        </w:rPr>
        <w:t>5</w:t>
      </w:r>
      <w:r>
        <w:rPr>
          <w:rFonts w:hint="eastAsia" w:ascii="黑体" w:hAnsi="黑体" w:eastAsia="黑体"/>
          <w:bCs/>
          <w:sz w:val="21"/>
          <w:szCs w:val="21"/>
        </w:rPr>
        <w:t>.2 骨架</w:t>
      </w:r>
    </w:p>
    <w:p w14:paraId="356D3760">
      <w:pPr>
        <w:pStyle w:val="41"/>
        <w:ind w:firstLine="0" w:firstLineChars="0"/>
        <w:rPr>
          <w:sz w:val="21"/>
          <w:szCs w:val="22"/>
        </w:rPr>
      </w:pPr>
      <w:r>
        <w:rPr>
          <w:rFonts w:hint="eastAsia"/>
          <w:sz w:val="21"/>
          <w:szCs w:val="22"/>
        </w:rPr>
        <w:t>5.2.1    骨架结构强度应符合GB/T 51424规定。</w:t>
      </w:r>
    </w:p>
    <w:p w14:paraId="39F222E2">
      <w:pPr>
        <w:pStyle w:val="41"/>
        <w:ind w:firstLine="0" w:firstLineChars="0"/>
        <w:rPr>
          <w:sz w:val="21"/>
          <w:szCs w:val="22"/>
        </w:rPr>
      </w:pPr>
      <w:r>
        <w:rPr>
          <w:rFonts w:hint="eastAsia"/>
          <w:sz w:val="21"/>
          <w:szCs w:val="22"/>
        </w:rPr>
        <w:t>5.2.2    食用菌塑料大棚两端应设置斜撑，斜撑与拱杆的夹角应不小于25°。</w:t>
      </w:r>
    </w:p>
    <w:p w14:paraId="19311D1C">
      <w:pPr>
        <w:pStyle w:val="41"/>
        <w:ind w:firstLine="0" w:firstLineChars="0"/>
        <w:rPr>
          <w:sz w:val="21"/>
          <w:szCs w:val="22"/>
        </w:rPr>
      </w:pPr>
      <w:r>
        <w:rPr>
          <w:rFonts w:hint="eastAsia"/>
          <w:sz w:val="21"/>
          <w:szCs w:val="22"/>
        </w:rPr>
        <w:t>5.2.3    食用菌塑料大棚两端立柱应设置剪刀撑。沿长度方向立柱间设置横梁或桁架。</w:t>
      </w:r>
      <w:bookmarkStart w:id="41" w:name="_Hlk138787755"/>
    </w:p>
    <w:bookmarkEnd w:id="40"/>
    <w:bookmarkEnd w:id="41"/>
    <w:p w14:paraId="0C3668F5">
      <w:pPr>
        <w:spacing w:before="312" w:beforeLines="100" w:after="312" w:afterLines="100" w:line="440" w:lineRule="exact"/>
        <w:ind w:firstLine="0" w:firstLineChars="0"/>
        <w:rPr>
          <w:rFonts w:ascii="黑体" w:hAnsi="黑体" w:eastAsia="黑体"/>
          <w:sz w:val="21"/>
          <w:szCs w:val="21"/>
        </w:rPr>
      </w:pPr>
      <w:bookmarkStart w:id="42" w:name="_Toc112401957"/>
      <w:r>
        <w:rPr>
          <w:rFonts w:hint="eastAsia" w:ascii="黑体" w:hAnsi="黑体" w:eastAsia="黑体"/>
          <w:sz w:val="21"/>
          <w:szCs w:val="21"/>
        </w:rPr>
        <w:t>5.3</w:t>
      </w:r>
      <w:bookmarkEnd w:id="42"/>
      <w:r>
        <w:rPr>
          <w:rFonts w:hint="eastAsia" w:ascii="黑体" w:hAnsi="黑体" w:eastAsia="黑体"/>
          <w:sz w:val="21"/>
          <w:szCs w:val="21"/>
        </w:rPr>
        <w:t xml:space="preserve">基础 </w:t>
      </w:r>
    </w:p>
    <w:p w14:paraId="1E6531CF">
      <w:pPr>
        <w:pStyle w:val="41"/>
        <w:ind w:firstLine="420"/>
        <w:rPr>
          <w:sz w:val="21"/>
          <w:szCs w:val="21"/>
        </w:rPr>
      </w:pPr>
      <w:r>
        <w:rPr>
          <w:rFonts w:hint="eastAsia"/>
          <w:sz w:val="21"/>
          <w:szCs w:val="21"/>
        </w:rPr>
        <w:t>食用菌塑料大棚可采用混凝土基础，设计应符合NY/T 1145的规定，基础应符合设计图纸要求。</w:t>
      </w:r>
    </w:p>
    <w:p w14:paraId="2B348B85">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5.4    荷载</w:t>
      </w:r>
    </w:p>
    <w:p w14:paraId="19D9456F">
      <w:pPr>
        <w:pStyle w:val="41"/>
        <w:ind w:firstLine="420"/>
        <w:rPr>
          <w:sz w:val="21"/>
          <w:szCs w:val="21"/>
        </w:rPr>
      </w:pPr>
      <w:r>
        <w:rPr>
          <w:rFonts w:hint="eastAsia"/>
          <w:sz w:val="21"/>
          <w:szCs w:val="21"/>
        </w:rPr>
        <w:t>食用菌塑料大棚荷载取值及组合应符合GB/T 51183的规定。</w:t>
      </w:r>
    </w:p>
    <w:p w14:paraId="3F497E2E">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5.5    工艺与设备</w:t>
      </w:r>
    </w:p>
    <w:p w14:paraId="017A6FCD">
      <w:pPr>
        <w:pStyle w:val="41"/>
        <w:ind w:firstLine="0" w:firstLineChars="0"/>
        <w:rPr>
          <w:sz w:val="21"/>
          <w:szCs w:val="21"/>
        </w:rPr>
      </w:pPr>
      <w:r>
        <w:rPr>
          <w:rFonts w:hint="eastAsia"/>
          <w:sz w:val="21"/>
          <w:szCs w:val="21"/>
        </w:rPr>
        <w:t>5.5.1    食用菌塑料大棚配套设备应根据食用菌层架式栽培生产工艺要求、生产管理水平和当地气候条件合理配置。</w:t>
      </w:r>
    </w:p>
    <w:p w14:paraId="511FAAB8">
      <w:pPr>
        <w:pStyle w:val="41"/>
        <w:ind w:firstLine="0" w:firstLineChars="0"/>
        <w:rPr>
          <w:sz w:val="21"/>
          <w:szCs w:val="21"/>
        </w:rPr>
      </w:pPr>
      <w:r>
        <w:rPr>
          <w:rFonts w:hint="eastAsia"/>
          <w:sz w:val="21"/>
          <w:szCs w:val="21"/>
        </w:rPr>
        <w:t>5.5.</w:t>
      </w:r>
      <w:r>
        <w:rPr>
          <w:sz w:val="21"/>
          <w:szCs w:val="21"/>
        </w:rPr>
        <w:t>2</w:t>
      </w:r>
      <w:r>
        <w:rPr>
          <w:rFonts w:hint="eastAsia"/>
          <w:sz w:val="21"/>
          <w:szCs w:val="21"/>
        </w:rPr>
        <w:t>根据不同地区的气候条件和不同菌类种植要求，可增设辅助加温、降温和加湿设备。</w:t>
      </w:r>
    </w:p>
    <w:p w14:paraId="46E524DE">
      <w:pPr>
        <w:pStyle w:val="41"/>
        <w:ind w:firstLine="0" w:firstLineChars="0"/>
        <w:rPr>
          <w:sz w:val="21"/>
          <w:szCs w:val="21"/>
        </w:rPr>
      </w:pPr>
      <w:r>
        <w:rPr>
          <w:rFonts w:hint="eastAsia"/>
          <w:sz w:val="21"/>
          <w:szCs w:val="21"/>
        </w:rPr>
        <w:t>5.5.</w:t>
      </w:r>
      <w:r>
        <w:rPr>
          <w:sz w:val="21"/>
          <w:szCs w:val="21"/>
        </w:rPr>
        <w:t>3</w:t>
      </w:r>
      <w:r>
        <w:rPr>
          <w:rFonts w:hint="eastAsia"/>
          <w:sz w:val="21"/>
          <w:szCs w:val="21"/>
        </w:rPr>
        <w:t>食用菌塑料大棚屋面应采用外遮阳材料覆盖遮阳，根据生产需要及经济条件可选择合适的遮阳材料。遮阳的拱杆间距为3米，遮阳材料</w:t>
      </w:r>
      <w:r>
        <w:rPr>
          <w:rStyle w:val="39"/>
          <w:rFonts w:hint="eastAsia"/>
          <w:sz w:val="21"/>
          <w:szCs w:val="22"/>
        </w:rPr>
        <w:t>宜配置卷帘机。</w:t>
      </w:r>
    </w:p>
    <w:p w14:paraId="5FC43DA6">
      <w:pPr>
        <w:pStyle w:val="41"/>
        <w:ind w:firstLine="0" w:firstLineChars="0"/>
        <w:rPr>
          <w:rStyle w:val="39"/>
          <w:sz w:val="21"/>
          <w:szCs w:val="22"/>
        </w:rPr>
      </w:pPr>
      <w:r>
        <w:rPr>
          <w:rFonts w:hint="eastAsia"/>
          <w:sz w:val="21"/>
          <w:szCs w:val="21"/>
        </w:rPr>
        <w:t>5.5.</w:t>
      </w:r>
      <w:r>
        <w:rPr>
          <w:sz w:val="21"/>
          <w:szCs w:val="21"/>
        </w:rPr>
        <w:t>4</w:t>
      </w:r>
      <w:r>
        <w:rPr>
          <w:rFonts w:hint="eastAsia"/>
          <w:sz w:val="21"/>
          <w:szCs w:val="21"/>
        </w:rPr>
        <w:t>食用菌塑料大棚应在侧向和顶部设置通风口，通风口宽度宜为1.5 m</w:t>
      </w:r>
      <w:r>
        <w:rPr>
          <w:rStyle w:val="39"/>
          <w:rFonts w:hint="eastAsia"/>
          <w:sz w:val="21"/>
          <w:szCs w:val="22"/>
        </w:rPr>
        <w:t>～2.0 m。顶部通风口内侧应设置喷塑钢丝网架做支撑。通风口宜配置卷膜器。</w:t>
      </w:r>
      <w:r>
        <w:rPr>
          <w:rFonts w:hint="eastAsia"/>
          <w:sz w:val="21"/>
          <w:szCs w:val="21"/>
        </w:rPr>
        <w:t>大棚长度小于</w:t>
      </w:r>
      <w:r>
        <w:rPr>
          <w:sz w:val="21"/>
          <w:szCs w:val="21"/>
        </w:rPr>
        <w:t>35</w:t>
      </w:r>
      <w:r>
        <w:rPr>
          <w:rFonts w:hint="eastAsia"/>
          <w:sz w:val="21"/>
          <w:szCs w:val="21"/>
        </w:rPr>
        <w:t>米时，不需要设施机械通风设备，</w:t>
      </w:r>
      <w:r>
        <w:rPr>
          <w:rStyle w:val="39"/>
          <w:rFonts w:hint="eastAsia"/>
          <w:sz w:val="21"/>
          <w:szCs w:val="22"/>
        </w:rPr>
        <w:t>当大棚长度大于3</w:t>
      </w:r>
      <w:r>
        <w:rPr>
          <w:rStyle w:val="39"/>
          <w:sz w:val="21"/>
          <w:szCs w:val="22"/>
        </w:rPr>
        <w:t>5</w:t>
      </w:r>
      <w:r>
        <w:rPr>
          <w:rStyle w:val="39"/>
          <w:rFonts w:hint="eastAsia"/>
          <w:sz w:val="21"/>
          <w:szCs w:val="22"/>
        </w:rPr>
        <w:t>米时，两侧山墙宜设置机械通风口2个，采用轴流风机进行机械通风，使用时风门自动开启，不通风时风门自动关闭。</w:t>
      </w:r>
    </w:p>
    <w:p w14:paraId="067E03D1">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5.6    山墙</w:t>
      </w:r>
    </w:p>
    <w:p w14:paraId="2B651BBB">
      <w:pPr>
        <w:pStyle w:val="41"/>
        <w:spacing w:line="440" w:lineRule="exact"/>
        <w:ind w:firstLine="0" w:firstLineChars="0"/>
        <w:rPr>
          <w:sz w:val="21"/>
          <w:szCs w:val="21"/>
        </w:rPr>
      </w:pPr>
      <w:r>
        <w:rPr>
          <w:rFonts w:hint="eastAsia"/>
          <w:sz w:val="21"/>
          <w:szCs w:val="21"/>
        </w:rPr>
        <w:t>5.6.1    食用菌塑料大棚北侧山墙宜做双层设计或者密封保温设计。</w:t>
      </w:r>
    </w:p>
    <w:p w14:paraId="60E58E41">
      <w:pPr>
        <w:pStyle w:val="41"/>
        <w:spacing w:line="440" w:lineRule="exact"/>
        <w:ind w:firstLine="0" w:firstLineChars="0"/>
        <w:rPr>
          <w:sz w:val="21"/>
          <w:szCs w:val="21"/>
        </w:rPr>
      </w:pPr>
      <w:r>
        <w:rPr>
          <w:rFonts w:hint="eastAsia"/>
          <w:sz w:val="21"/>
          <w:szCs w:val="21"/>
        </w:rPr>
        <w:t>5.6.2    食用菌塑料大棚山墙拱杆下方均应设置1排立柱，且至少设置3排横梁。</w:t>
      </w:r>
    </w:p>
    <w:p w14:paraId="618F2BBA">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5.7    棚门</w:t>
      </w:r>
    </w:p>
    <w:p w14:paraId="4C8D6FC9">
      <w:pPr>
        <w:pStyle w:val="41"/>
        <w:spacing w:line="440" w:lineRule="exact"/>
        <w:ind w:firstLine="420"/>
        <w:rPr>
          <w:sz w:val="21"/>
          <w:szCs w:val="21"/>
        </w:rPr>
      </w:pPr>
      <w:r>
        <w:rPr>
          <w:rFonts w:hint="eastAsia"/>
          <w:sz w:val="21"/>
          <w:szCs w:val="21"/>
        </w:rPr>
        <w:t>在食用菌塑料大棚两端山墙距地面不低于1.8 m高度宜设置横梁，且在横梁下方设置</w:t>
      </w:r>
      <w:r>
        <w:rPr>
          <w:sz w:val="21"/>
          <w:szCs w:val="21"/>
        </w:rPr>
        <w:t>便于管理人员及小型农机具出入的推拉门或平开门</w:t>
      </w:r>
      <w:r>
        <w:rPr>
          <w:rFonts w:hint="eastAsia"/>
          <w:sz w:val="21"/>
          <w:szCs w:val="21"/>
        </w:rPr>
        <w:t>，门框下缘应与地面形成平面，门洞尺寸（宽×高）宜(1.5 m～2.2 m) ×1.8 m。</w:t>
      </w:r>
    </w:p>
    <w:p w14:paraId="69065D77">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5.8    宜机化要求</w:t>
      </w:r>
    </w:p>
    <w:p w14:paraId="343C8A34">
      <w:pPr>
        <w:pStyle w:val="41"/>
        <w:ind w:firstLine="0" w:firstLineChars="0"/>
        <w:rPr>
          <w:sz w:val="21"/>
          <w:szCs w:val="21"/>
        </w:rPr>
      </w:pPr>
      <w:r>
        <w:rPr>
          <w:rFonts w:hint="eastAsia"/>
          <w:sz w:val="21"/>
          <w:szCs w:val="21"/>
        </w:rPr>
        <w:t>5.8.1</w:t>
      </w:r>
      <w:bookmarkStart w:id="43" w:name="OLE_LINK2"/>
      <w:bookmarkEnd w:id="43"/>
      <w:r>
        <w:rPr>
          <w:sz w:val="21"/>
          <w:szCs w:val="21"/>
        </w:rPr>
        <w:t xml:space="preserve">   </w:t>
      </w:r>
      <w:r>
        <w:rPr>
          <w:rFonts w:hint="eastAsia"/>
          <w:sz w:val="21"/>
          <w:szCs w:val="21"/>
        </w:rPr>
        <w:t>食用菌塑料大棚内部宜少设置立柱，且立柱应不影响农机作业。</w:t>
      </w:r>
    </w:p>
    <w:p w14:paraId="118EBCEB">
      <w:pPr>
        <w:pStyle w:val="41"/>
        <w:ind w:firstLine="0" w:firstLineChars="0"/>
        <w:rPr>
          <w:sz w:val="21"/>
          <w:szCs w:val="21"/>
        </w:rPr>
      </w:pPr>
      <w:r>
        <w:rPr>
          <w:rFonts w:hint="eastAsia"/>
          <w:sz w:val="21"/>
          <w:szCs w:val="21"/>
        </w:rPr>
        <w:t xml:space="preserve">5.8.2 </w:t>
      </w:r>
      <w:r>
        <w:rPr>
          <w:sz w:val="21"/>
          <w:szCs w:val="21"/>
        </w:rPr>
        <w:t xml:space="preserve">  </w:t>
      </w:r>
      <w:r>
        <w:rPr>
          <w:rFonts w:hint="eastAsia"/>
          <w:sz w:val="21"/>
          <w:szCs w:val="21"/>
        </w:rPr>
        <w:t>食用菌塑料大棚内宜长垄栽培。</w:t>
      </w:r>
    </w:p>
    <w:p w14:paraId="2BF2368C">
      <w:pPr>
        <w:pStyle w:val="41"/>
        <w:ind w:firstLine="0" w:firstLineChars="0"/>
        <w:rPr>
          <w:sz w:val="21"/>
          <w:szCs w:val="21"/>
        </w:rPr>
      </w:pPr>
      <w:r>
        <w:rPr>
          <w:rFonts w:hint="eastAsia"/>
          <w:sz w:val="21"/>
          <w:szCs w:val="21"/>
        </w:rPr>
        <w:t>5.8.</w:t>
      </w:r>
      <w:r>
        <w:rPr>
          <w:sz w:val="21"/>
          <w:szCs w:val="21"/>
        </w:rPr>
        <w:t xml:space="preserve">3   </w:t>
      </w:r>
      <w:r>
        <w:rPr>
          <w:rFonts w:hint="eastAsia"/>
          <w:sz w:val="21"/>
          <w:szCs w:val="21"/>
        </w:rPr>
        <w:t>卷膜器宜采用电动形式。</w:t>
      </w:r>
    </w:p>
    <w:p w14:paraId="06237506">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5.</w:t>
      </w:r>
      <w:r>
        <w:rPr>
          <w:rFonts w:ascii="黑体" w:hAnsi="黑体" w:eastAsia="黑体"/>
          <w:sz w:val="21"/>
          <w:szCs w:val="21"/>
        </w:rPr>
        <w:t>9</w:t>
      </w:r>
      <w:r>
        <w:rPr>
          <w:rFonts w:hint="eastAsia" w:ascii="黑体" w:hAnsi="黑体" w:eastAsia="黑体"/>
          <w:sz w:val="21"/>
          <w:szCs w:val="21"/>
        </w:rPr>
        <w:t>供配电要求</w:t>
      </w:r>
    </w:p>
    <w:p w14:paraId="194D2AB1">
      <w:pPr>
        <w:pStyle w:val="41"/>
        <w:ind w:firstLine="0" w:firstLineChars="0"/>
        <w:rPr>
          <w:sz w:val="21"/>
          <w:szCs w:val="21"/>
        </w:rPr>
      </w:pPr>
      <w:r>
        <w:rPr>
          <w:rFonts w:hint="eastAsia"/>
          <w:sz w:val="21"/>
          <w:szCs w:val="21"/>
        </w:rPr>
        <w:t>5.</w:t>
      </w:r>
      <w:r>
        <w:rPr>
          <w:sz w:val="21"/>
          <w:szCs w:val="21"/>
        </w:rPr>
        <w:t>9</w:t>
      </w:r>
      <w:r>
        <w:rPr>
          <w:rFonts w:hint="eastAsia"/>
          <w:sz w:val="21"/>
          <w:szCs w:val="21"/>
        </w:rPr>
        <w:t>.1    配电参数：2</w:t>
      </w:r>
      <w:r>
        <w:rPr>
          <w:sz w:val="21"/>
          <w:szCs w:val="21"/>
        </w:rPr>
        <w:t>20</w:t>
      </w:r>
      <w:r>
        <w:rPr>
          <w:rFonts w:hint="eastAsia"/>
          <w:sz w:val="21"/>
          <w:szCs w:val="21"/>
        </w:rPr>
        <w:t>V</w:t>
      </w:r>
      <w:r>
        <w:rPr>
          <w:sz w:val="21"/>
          <w:szCs w:val="21"/>
        </w:rPr>
        <w:t>/380</w:t>
      </w:r>
      <w:r>
        <w:rPr>
          <w:rFonts w:hint="eastAsia"/>
          <w:sz w:val="21"/>
          <w:szCs w:val="21"/>
        </w:rPr>
        <w:t>V，5</w:t>
      </w:r>
      <w:r>
        <w:rPr>
          <w:sz w:val="21"/>
          <w:szCs w:val="21"/>
        </w:rPr>
        <w:t>0</w:t>
      </w:r>
      <w:r>
        <w:rPr>
          <w:rFonts w:hint="eastAsia"/>
          <w:sz w:val="21"/>
          <w:szCs w:val="21"/>
        </w:rPr>
        <w:t>Hz。</w:t>
      </w:r>
    </w:p>
    <w:p w14:paraId="406B9507">
      <w:pPr>
        <w:pStyle w:val="41"/>
        <w:ind w:firstLine="0" w:firstLineChars="0"/>
        <w:rPr>
          <w:sz w:val="21"/>
          <w:szCs w:val="21"/>
        </w:rPr>
      </w:pPr>
      <w:r>
        <w:rPr>
          <w:rFonts w:hint="eastAsia"/>
          <w:sz w:val="21"/>
          <w:szCs w:val="21"/>
        </w:rPr>
        <w:t>5.</w:t>
      </w:r>
      <w:r>
        <w:rPr>
          <w:sz w:val="21"/>
          <w:szCs w:val="21"/>
        </w:rPr>
        <w:t>9</w:t>
      </w:r>
      <w:r>
        <w:rPr>
          <w:rFonts w:hint="eastAsia"/>
          <w:sz w:val="21"/>
          <w:szCs w:val="21"/>
        </w:rPr>
        <w:t>.2    配电功率：</w:t>
      </w:r>
      <w:r>
        <w:rPr>
          <w:sz w:val="21"/>
          <w:szCs w:val="21"/>
        </w:rPr>
        <w:t>5</w:t>
      </w:r>
      <w:r>
        <w:rPr>
          <w:rFonts w:hint="eastAsia"/>
          <w:sz w:val="21"/>
          <w:szCs w:val="21"/>
        </w:rPr>
        <w:t>Kw。</w:t>
      </w:r>
    </w:p>
    <w:p w14:paraId="7A410761">
      <w:pPr>
        <w:spacing w:before="312" w:beforeLines="100" w:after="312" w:afterLines="100" w:line="240" w:lineRule="auto"/>
        <w:ind w:firstLine="0" w:firstLineChars="0"/>
        <w:outlineLvl w:val="0"/>
        <w:rPr>
          <w:rFonts w:eastAsia="黑体"/>
          <w:sz w:val="21"/>
          <w:szCs w:val="21"/>
        </w:rPr>
      </w:pPr>
      <w:bookmarkStart w:id="44" w:name="_Toc187586219"/>
      <w:r>
        <w:rPr>
          <w:rFonts w:hint="eastAsia" w:eastAsia="黑体"/>
          <w:sz w:val="21"/>
          <w:szCs w:val="21"/>
        </w:rPr>
        <w:t>6    材料要求</w:t>
      </w:r>
      <w:bookmarkEnd w:id="44"/>
    </w:p>
    <w:p w14:paraId="2BC50C46">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6.1    骨架材料</w:t>
      </w:r>
    </w:p>
    <w:p w14:paraId="4174B2F8">
      <w:pPr>
        <w:pStyle w:val="41"/>
        <w:spacing w:line="440" w:lineRule="exact"/>
        <w:ind w:firstLine="0" w:firstLineChars="0"/>
        <w:rPr>
          <w:sz w:val="21"/>
          <w:szCs w:val="21"/>
        </w:rPr>
      </w:pPr>
      <w:r>
        <w:rPr>
          <w:rFonts w:hint="eastAsia"/>
          <w:sz w:val="21"/>
          <w:szCs w:val="21"/>
        </w:rPr>
        <w:t>6.1.1    食用菌塑料大棚骨架材料所用钢构件应符合 GB/T 700 的规定。</w:t>
      </w:r>
    </w:p>
    <w:p w14:paraId="3502B042">
      <w:pPr>
        <w:pStyle w:val="41"/>
        <w:spacing w:line="440" w:lineRule="exact"/>
        <w:ind w:firstLine="0" w:firstLineChars="0"/>
        <w:rPr>
          <w:sz w:val="21"/>
          <w:szCs w:val="21"/>
        </w:rPr>
      </w:pPr>
      <w:r>
        <w:rPr>
          <w:rFonts w:hint="eastAsia"/>
          <w:sz w:val="21"/>
          <w:szCs w:val="21"/>
        </w:rPr>
        <w:t>6.1.2    骨架、立柱等宜工厂化生产，钢构件加工质量应符合设计图纸规定的技术要求。热浸镀锌处理的镀层外观质量、厚度应符合 GB/T 13912的规定。</w:t>
      </w:r>
    </w:p>
    <w:p w14:paraId="4330977D">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6.2    紧固件材料</w:t>
      </w:r>
    </w:p>
    <w:p w14:paraId="3A306323">
      <w:pPr>
        <w:pStyle w:val="41"/>
        <w:spacing w:line="440" w:lineRule="exact"/>
        <w:ind w:firstLine="0" w:firstLineChars="0"/>
        <w:rPr>
          <w:sz w:val="21"/>
          <w:szCs w:val="21"/>
        </w:rPr>
      </w:pPr>
      <w:r>
        <w:rPr>
          <w:rFonts w:hint="eastAsia"/>
          <w:sz w:val="21"/>
          <w:szCs w:val="21"/>
        </w:rPr>
        <w:t>6.2.1    标准件应符合 GB 50205 的规定；专用紧固应经热浸镀锌处理，镀锌质量应符合 GB/T 13912 的规定。</w:t>
      </w:r>
    </w:p>
    <w:p w14:paraId="6D580F8D">
      <w:pPr>
        <w:pStyle w:val="41"/>
        <w:spacing w:line="440" w:lineRule="exact"/>
        <w:ind w:firstLine="0" w:firstLineChars="0"/>
        <w:rPr>
          <w:sz w:val="21"/>
          <w:szCs w:val="21"/>
        </w:rPr>
      </w:pPr>
      <w:r>
        <w:rPr>
          <w:rFonts w:hint="eastAsia"/>
          <w:sz w:val="21"/>
          <w:szCs w:val="21"/>
        </w:rPr>
        <w:t>6.2.2    卡槽、卡簧应符合 JB/T 13080 的规定。</w:t>
      </w:r>
    </w:p>
    <w:p w14:paraId="66598C41">
      <w:pPr>
        <w:pStyle w:val="41"/>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6.3    覆盖材料</w:t>
      </w:r>
    </w:p>
    <w:p w14:paraId="14669985">
      <w:pPr>
        <w:pStyle w:val="41"/>
        <w:spacing w:line="440" w:lineRule="exact"/>
        <w:ind w:firstLine="0" w:firstLineChars="0"/>
        <w:rPr>
          <w:sz w:val="21"/>
          <w:szCs w:val="21"/>
        </w:rPr>
      </w:pPr>
      <w:r>
        <w:rPr>
          <w:rFonts w:hint="eastAsia"/>
          <w:sz w:val="21"/>
          <w:szCs w:val="21"/>
        </w:rPr>
        <w:t>6.3.1    塑料薄膜应具有防雾滴和不透光性能，流滴持效期同寿命。宜选用不透光的黑白PO（聚烯烃）膜、EVA(乙酸—醋酸乙烯共聚物)膜和 PEP(PE+EVA+PE 三层共挤)膜等功能型薄膜，厚度不小于0.08 mm，初始遮光率应不低于</w:t>
      </w:r>
      <w:r>
        <w:rPr>
          <w:sz w:val="21"/>
          <w:szCs w:val="21"/>
        </w:rPr>
        <w:t>90</w:t>
      </w:r>
      <w:r>
        <w:rPr>
          <w:rFonts w:hint="eastAsia"/>
          <w:sz w:val="21"/>
          <w:szCs w:val="21"/>
        </w:rPr>
        <w:t>%。</w:t>
      </w:r>
    </w:p>
    <w:p w14:paraId="3F1C391E">
      <w:pPr>
        <w:pStyle w:val="41"/>
        <w:spacing w:line="440" w:lineRule="exact"/>
        <w:ind w:firstLine="0" w:firstLineChars="0"/>
        <w:rPr>
          <w:sz w:val="21"/>
          <w:szCs w:val="21"/>
        </w:rPr>
      </w:pPr>
      <w:r>
        <w:rPr>
          <w:rFonts w:hint="eastAsia"/>
          <w:sz w:val="21"/>
          <w:szCs w:val="21"/>
        </w:rPr>
        <w:t>6.3.2    通风口应根据防虫要求安装适宜目数的防虫网，防虫网应按照 GB/T 19791 的规定选择。</w:t>
      </w:r>
      <w:r>
        <w:rPr>
          <w:sz w:val="21"/>
          <w:szCs w:val="21"/>
        </w:rPr>
        <w:cr/>
      </w:r>
      <w:r>
        <w:rPr>
          <w:rFonts w:hint="eastAsia"/>
          <w:sz w:val="21"/>
          <w:szCs w:val="21"/>
        </w:rPr>
        <w:t>6.3.3    遮阳材料选用铝箔材质，遮阳率85%，面层防水、抗老化。</w:t>
      </w:r>
    </w:p>
    <w:p w14:paraId="38C7F769">
      <w:pPr>
        <w:spacing w:before="312" w:beforeLines="100" w:after="312" w:afterLines="100" w:line="240" w:lineRule="auto"/>
        <w:ind w:firstLine="0" w:firstLineChars="0"/>
        <w:outlineLvl w:val="0"/>
        <w:rPr>
          <w:rFonts w:eastAsia="黑体"/>
          <w:sz w:val="21"/>
          <w:szCs w:val="21"/>
        </w:rPr>
      </w:pPr>
      <w:bookmarkStart w:id="45" w:name="_Toc187586220"/>
      <w:r>
        <w:rPr>
          <w:rFonts w:hint="eastAsia" w:eastAsia="黑体"/>
          <w:sz w:val="21"/>
          <w:szCs w:val="21"/>
        </w:rPr>
        <w:t>7    施工安装</w:t>
      </w:r>
      <w:bookmarkEnd w:id="45"/>
    </w:p>
    <w:p w14:paraId="6A6B43DE">
      <w:pPr>
        <w:spacing w:before="312" w:beforeLines="100" w:after="312" w:afterLines="100" w:line="440" w:lineRule="exact"/>
        <w:ind w:firstLine="0" w:firstLineChars="0"/>
        <w:rPr>
          <w:rFonts w:ascii="黑体" w:hAnsi="黑体" w:eastAsia="黑体"/>
          <w:bCs/>
          <w:sz w:val="21"/>
          <w:szCs w:val="21"/>
        </w:rPr>
      </w:pPr>
      <w:r>
        <w:rPr>
          <w:rFonts w:hint="eastAsia" w:ascii="黑体" w:hAnsi="黑体" w:eastAsia="黑体"/>
          <w:bCs/>
          <w:sz w:val="21"/>
          <w:szCs w:val="21"/>
        </w:rPr>
        <w:t>7.1    基础施工</w:t>
      </w:r>
    </w:p>
    <w:p w14:paraId="30179BDA">
      <w:pPr>
        <w:pStyle w:val="41"/>
        <w:ind w:firstLine="0" w:firstLineChars="0"/>
        <w:rPr>
          <w:sz w:val="21"/>
          <w:szCs w:val="21"/>
        </w:rPr>
      </w:pPr>
      <w:r>
        <w:rPr>
          <w:rFonts w:hint="eastAsia"/>
          <w:sz w:val="21"/>
          <w:szCs w:val="21"/>
        </w:rPr>
        <w:t>7.1.1    食用菌塑料大棚采用混凝土基础时，施工质量应符合NY/T 1145的规定。</w:t>
      </w:r>
    </w:p>
    <w:p w14:paraId="14C2CBDF">
      <w:pPr>
        <w:pStyle w:val="41"/>
        <w:ind w:firstLine="0" w:firstLineChars="0"/>
        <w:rPr>
          <w:sz w:val="21"/>
          <w:szCs w:val="21"/>
        </w:rPr>
      </w:pPr>
      <w:r>
        <w:rPr>
          <w:rFonts w:hint="eastAsia"/>
          <w:sz w:val="21"/>
          <w:szCs w:val="21"/>
        </w:rPr>
        <w:t xml:space="preserve">7.1.2    </w:t>
      </w:r>
      <w:bookmarkStart w:id="46" w:name="_Hlk187570288"/>
      <w:r>
        <w:rPr>
          <w:rFonts w:hint="eastAsia"/>
          <w:sz w:val="21"/>
          <w:szCs w:val="21"/>
        </w:rPr>
        <w:t>回填土施工前应清除基底的垃圾、树根等杂物；回填土应分层回填，压实系数应满足设计要求</w:t>
      </w:r>
      <w:bookmarkEnd w:id="46"/>
      <w:r>
        <w:rPr>
          <w:rFonts w:hint="eastAsia"/>
          <w:sz w:val="21"/>
          <w:szCs w:val="21"/>
        </w:rPr>
        <w:t>。</w:t>
      </w:r>
    </w:p>
    <w:p w14:paraId="1013DD0B">
      <w:pPr>
        <w:pStyle w:val="41"/>
        <w:ind w:firstLine="0" w:firstLineChars="0"/>
        <w:rPr>
          <w:sz w:val="21"/>
          <w:szCs w:val="21"/>
        </w:rPr>
      </w:pPr>
      <w:r>
        <w:rPr>
          <w:rFonts w:hint="eastAsia"/>
          <w:sz w:val="21"/>
          <w:szCs w:val="21"/>
        </w:rPr>
        <w:t>7.1.3    预埋件施工应按照GB/T 51057和设计图纸的要求执行。</w:t>
      </w:r>
    </w:p>
    <w:p w14:paraId="651396DB">
      <w:pPr>
        <w:pStyle w:val="41"/>
        <w:ind w:firstLine="0" w:firstLineChars="0"/>
        <w:rPr>
          <w:sz w:val="21"/>
          <w:szCs w:val="21"/>
        </w:rPr>
      </w:pPr>
      <w:bookmarkStart w:id="47" w:name="_Hlk135772666"/>
      <w:r>
        <w:rPr>
          <w:rFonts w:hint="eastAsia"/>
          <w:sz w:val="21"/>
          <w:szCs w:val="21"/>
        </w:rPr>
        <w:t>7.1.4    采用螺旋桩基础等形式时，应按设计图纸的要求执行。</w:t>
      </w:r>
    </w:p>
    <w:bookmarkEnd w:id="47"/>
    <w:p w14:paraId="3B8F41AD">
      <w:pPr>
        <w:spacing w:before="312" w:beforeLines="100" w:after="312" w:afterLines="100" w:line="440" w:lineRule="exact"/>
        <w:ind w:firstLine="0" w:firstLineChars="0"/>
        <w:rPr>
          <w:rFonts w:ascii="黑体" w:hAnsi="黑体" w:eastAsia="黑体"/>
          <w:bCs/>
          <w:sz w:val="21"/>
          <w:szCs w:val="21"/>
        </w:rPr>
      </w:pPr>
      <w:r>
        <w:rPr>
          <w:rFonts w:hint="eastAsia" w:ascii="黑体" w:hAnsi="黑体" w:eastAsia="黑体"/>
          <w:bCs/>
          <w:sz w:val="21"/>
          <w:szCs w:val="21"/>
        </w:rPr>
        <w:t>7.2    骨架安装</w:t>
      </w:r>
    </w:p>
    <w:p w14:paraId="01D755D4">
      <w:pPr>
        <w:pStyle w:val="41"/>
        <w:ind w:firstLine="0" w:firstLineChars="0"/>
        <w:rPr>
          <w:sz w:val="21"/>
          <w:szCs w:val="21"/>
        </w:rPr>
      </w:pPr>
      <w:bookmarkStart w:id="48" w:name="_Hlk138788065"/>
      <w:bookmarkStart w:id="49" w:name="_Hlk138882926"/>
      <w:r>
        <w:rPr>
          <w:rFonts w:hint="eastAsia"/>
          <w:sz w:val="21"/>
          <w:szCs w:val="21"/>
        </w:rPr>
        <w:t xml:space="preserve">7.2.1    </w:t>
      </w:r>
      <w:bookmarkStart w:id="50" w:name="_Hlk187570304"/>
      <w:r>
        <w:rPr>
          <w:rFonts w:hint="eastAsia"/>
          <w:sz w:val="21"/>
          <w:szCs w:val="21"/>
        </w:rPr>
        <w:t>骨架</w:t>
      </w:r>
      <w:r>
        <w:rPr>
          <w:sz w:val="21"/>
          <w:szCs w:val="21"/>
        </w:rPr>
        <w:t>宜现场组装</w:t>
      </w:r>
      <w:r>
        <w:rPr>
          <w:rFonts w:hint="eastAsia"/>
          <w:sz w:val="21"/>
          <w:szCs w:val="21"/>
        </w:rPr>
        <w:t>，尽量避免</w:t>
      </w:r>
      <w:r>
        <w:rPr>
          <w:sz w:val="21"/>
          <w:szCs w:val="21"/>
        </w:rPr>
        <w:t>现场焊接。</w:t>
      </w:r>
      <w:r>
        <w:rPr>
          <w:rFonts w:hint="eastAsia"/>
          <w:sz w:val="21"/>
          <w:szCs w:val="21"/>
        </w:rPr>
        <w:t>现场加工安装时，打孔或切削面应进行现场防腐处理</w:t>
      </w:r>
      <w:bookmarkEnd w:id="50"/>
      <w:r>
        <w:rPr>
          <w:rFonts w:hint="eastAsia"/>
          <w:sz w:val="21"/>
          <w:szCs w:val="21"/>
        </w:rPr>
        <w:t>。</w:t>
      </w:r>
      <w:r>
        <w:rPr>
          <w:sz w:val="21"/>
          <w:szCs w:val="21"/>
        </w:rPr>
        <w:cr/>
      </w:r>
      <w:r>
        <w:rPr>
          <w:rFonts w:hint="eastAsia"/>
          <w:sz w:val="21"/>
          <w:szCs w:val="21"/>
        </w:rPr>
        <w:t xml:space="preserve">7.2.2    </w:t>
      </w:r>
      <w:bookmarkEnd w:id="48"/>
      <w:r>
        <w:rPr>
          <w:sz w:val="21"/>
          <w:szCs w:val="21"/>
        </w:rPr>
        <w:t>拱</w:t>
      </w:r>
      <w:r>
        <w:rPr>
          <w:rFonts w:hint="eastAsia"/>
          <w:sz w:val="21"/>
          <w:szCs w:val="21"/>
        </w:rPr>
        <w:t>杆</w:t>
      </w:r>
      <w:r>
        <w:rPr>
          <w:sz w:val="21"/>
          <w:szCs w:val="21"/>
        </w:rPr>
        <w:t>采用分组安装的方式，5～</w:t>
      </w:r>
      <w:r>
        <w:rPr>
          <w:rFonts w:hint="eastAsia"/>
          <w:sz w:val="21"/>
          <w:szCs w:val="21"/>
        </w:rPr>
        <w:t>6</w:t>
      </w:r>
      <w:r>
        <w:rPr>
          <w:sz w:val="21"/>
          <w:szCs w:val="21"/>
        </w:rPr>
        <w:t>根为1组，</w:t>
      </w:r>
      <w:bookmarkStart w:id="51" w:name="_Hlk138788091"/>
      <w:r>
        <w:rPr>
          <w:sz w:val="21"/>
          <w:szCs w:val="21"/>
        </w:rPr>
        <w:t>从</w:t>
      </w:r>
      <w:r>
        <w:rPr>
          <w:rFonts w:hint="eastAsia"/>
          <w:sz w:val="21"/>
          <w:szCs w:val="21"/>
        </w:rPr>
        <w:t>任意</w:t>
      </w:r>
      <w:r>
        <w:rPr>
          <w:sz w:val="21"/>
          <w:szCs w:val="21"/>
        </w:rPr>
        <w:t>一侧</w:t>
      </w:r>
      <w:r>
        <w:rPr>
          <w:rFonts w:hint="eastAsia"/>
          <w:sz w:val="21"/>
          <w:szCs w:val="21"/>
        </w:rPr>
        <w:t>山墙端第二榀拱杆</w:t>
      </w:r>
      <w:r>
        <w:rPr>
          <w:sz w:val="21"/>
          <w:szCs w:val="21"/>
        </w:rPr>
        <w:t>开始安装</w:t>
      </w:r>
      <w:r>
        <w:rPr>
          <w:rFonts w:hint="eastAsia"/>
          <w:sz w:val="21"/>
          <w:szCs w:val="21"/>
        </w:rPr>
        <w:t>，每安装20m后应进行校验、修正和固定，以此类推，最后安装两端山墙位置的拱杆、立柱及斜撑。</w:t>
      </w:r>
    </w:p>
    <w:p w14:paraId="3D046089">
      <w:pPr>
        <w:pStyle w:val="41"/>
        <w:ind w:firstLine="0" w:firstLineChars="0"/>
        <w:rPr>
          <w:sz w:val="21"/>
          <w:szCs w:val="21"/>
        </w:rPr>
      </w:pPr>
      <w:r>
        <w:rPr>
          <w:rFonts w:hint="eastAsia"/>
          <w:sz w:val="21"/>
          <w:szCs w:val="21"/>
        </w:rPr>
        <w:t xml:space="preserve">7.2.3    </w:t>
      </w:r>
      <w:r>
        <w:rPr>
          <w:sz w:val="21"/>
          <w:szCs w:val="21"/>
        </w:rPr>
        <w:t>每组拱</w:t>
      </w:r>
      <w:r>
        <w:rPr>
          <w:rFonts w:hint="eastAsia"/>
          <w:sz w:val="21"/>
          <w:szCs w:val="21"/>
        </w:rPr>
        <w:t>杆</w:t>
      </w:r>
      <w:r>
        <w:rPr>
          <w:sz w:val="21"/>
          <w:szCs w:val="21"/>
        </w:rPr>
        <w:t>采用螺栓初步固定后，安装拉杆，确保拉杆的水</w:t>
      </w:r>
      <w:r>
        <w:rPr>
          <w:rFonts w:hint="eastAsia"/>
          <w:sz w:val="21"/>
          <w:szCs w:val="21"/>
        </w:rPr>
        <w:t>平</w:t>
      </w:r>
      <w:r>
        <w:rPr>
          <w:sz w:val="21"/>
          <w:szCs w:val="21"/>
        </w:rPr>
        <w:t>，使拱</w:t>
      </w:r>
      <w:r>
        <w:rPr>
          <w:rFonts w:hint="eastAsia"/>
          <w:sz w:val="21"/>
          <w:szCs w:val="21"/>
        </w:rPr>
        <w:t>杆</w:t>
      </w:r>
      <w:r>
        <w:rPr>
          <w:sz w:val="21"/>
          <w:szCs w:val="21"/>
        </w:rPr>
        <w:t>和拉杆形成相对稳定的结构后，进行校准和最终的固定</w:t>
      </w:r>
      <w:r>
        <w:rPr>
          <w:rFonts w:hint="eastAsia"/>
          <w:sz w:val="21"/>
          <w:szCs w:val="21"/>
        </w:rPr>
        <w:t>。</w:t>
      </w:r>
      <w:bookmarkEnd w:id="51"/>
    </w:p>
    <w:bookmarkEnd w:id="49"/>
    <w:p w14:paraId="6BF83C4A">
      <w:pPr>
        <w:spacing w:before="312" w:beforeLines="100" w:after="312" w:afterLines="100" w:line="440" w:lineRule="exact"/>
        <w:ind w:firstLine="0" w:firstLineChars="0"/>
        <w:rPr>
          <w:rFonts w:eastAsia="黑体"/>
          <w:sz w:val="21"/>
          <w:szCs w:val="21"/>
        </w:rPr>
      </w:pPr>
      <w:r>
        <w:rPr>
          <w:rFonts w:hint="eastAsia" w:eastAsia="黑体"/>
          <w:sz w:val="21"/>
          <w:szCs w:val="21"/>
        </w:rPr>
        <w:t>7.3    覆盖材料安装</w:t>
      </w:r>
    </w:p>
    <w:p w14:paraId="2D2DCF88">
      <w:pPr>
        <w:pStyle w:val="41"/>
        <w:ind w:firstLine="0" w:firstLineChars="0"/>
        <w:rPr>
          <w:sz w:val="21"/>
          <w:szCs w:val="21"/>
        </w:rPr>
      </w:pPr>
      <w:bookmarkStart w:id="52" w:name="_Hlk136003952"/>
      <w:r>
        <w:rPr>
          <w:rFonts w:hint="eastAsia"/>
          <w:sz w:val="21"/>
          <w:szCs w:val="21"/>
        </w:rPr>
        <w:t xml:space="preserve">7.3.1    </w:t>
      </w:r>
      <w:bookmarkStart w:id="53" w:name="_Hlk187570321"/>
      <w:r>
        <w:rPr>
          <w:rFonts w:hint="eastAsia"/>
          <w:sz w:val="21"/>
          <w:szCs w:val="21"/>
        </w:rPr>
        <w:t>覆盖材料安装时施工现场风力应低于3级</w:t>
      </w:r>
      <w:bookmarkEnd w:id="53"/>
      <w:r>
        <w:rPr>
          <w:rFonts w:hint="eastAsia"/>
          <w:sz w:val="21"/>
          <w:szCs w:val="21"/>
        </w:rPr>
        <w:t>。</w:t>
      </w:r>
    </w:p>
    <w:p w14:paraId="517F5691">
      <w:pPr>
        <w:pStyle w:val="41"/>
        <w:ind w:firstLine="0" w:firstLineChars="0"/>
        <w:rPr>
          <w:sz w:val="21"/>
          <w:szCs w:val="21"/>
        </w:rPr>
      </w:pPr>
      <w:r>
        <w:rPr>
          <w:rFonts w:hint="eastAsia"/>
          <w:sz w:val="21"/>
          <w:szCs w:val="21"/>
        </w:rPr>
        <w:t>7.3.2   安装前应检査并去除钢构件表面污迹及影响覆盖材料安装的毛刺。覆盖材料的安装顺序应按防虫网、塑料薄膜、遮阳网顺序安装，安装过程中各工序应紧密配合。</w:t>
      </w:r>
      <w:r>
        <w:rPr>
          <w:sz w:val="21"/>
          <w:szCs w:val="21"/>
        </w:rPr>
        <w:cr/>
      </w:r>
      <w:r>
        <w:rPr>
          <w:rFonts w:hint="eastAsia"/>
          <w:sz w:val="21"/>
          <w:szCs w:val="21"/>
        </w:rPr>
        <w:t>7.3.3    防虫网宜采用卡槽和卡簧固定，安装质量应符合GB/T 19791的规定。</w:t>
      </w:r>
    </w:p>
    <w:p w14:paraId="1D28E16E">
      <w:pPr>
        <w:pStyle w:val="41"/>
        <w:ind w:firstLine="0" w:firstLineChars="0"/>
        <w:rPr>
          <w:sz w:val="21"/>
          <w:szCs w:val="21"/>
        </w:rPr>
      </w:pPr>
      <w:r>
        <w:rPr>
          <w:rFonts w:hint="eastAsia"/>
          <w:sz w:val="21"/>
          <w:szCs w:val="21"/>
        </w:rPr>
        <w:t>7.3.4    塑料薄膜安装时注意正反面，宜先固定山墙塑料薄膜，后固定屋面塑料薄膜，塑料薄膜应绷紧，避免出现兜水现象。塑料薄膜、卡槽、卡簧、压膜线等安装质量应符合 NY/T 1966 的规定。</w:t>
      </w:r>
    </w:p>
    <w:p w14:paraId="445CE9E4">
      <w:pPr>
        <w:pStyle w:val="41"/>
        <w:ind w:firstLine="0" w:firstLineChars="0"/>
        <w:rPr>
          <w:sz w:val="21"/>
          <w:szCs w:val="21"/>
        </w:rPr>
      </w:pPr>
      <w:r>
        <w:rPr>
          <w:rFonts w:hint="eastAsia"/>
          <w:sz w:val="21"/>
          <w:szCs w:val="21"/>
        </w:rPr>
        <w:t>7.3.5    大棚屋面两侧各增设一道卷膜机，大棚屋面遮阳网可通过卷膜机从底角向上卷起。</w:t>
      </w:r>
    </w:p>
    <w:bookmarkEnd w:id="52"/>
    <w:p w14:paraId="3B859AC2">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7.4    棚门安装</w:t>
      </w:r>
    </w:p>
    <w:p w14:paraId="0F8ED088">
      <w:pPr>
        <w:pStyle w:val="41"/>
        <w:ind w:firstLine="0" w:firstLineChars="0"/>
        <w:rPr>
          <w:sz w:val="21"/>
          <w:szCs w:val="21"/>
        </w:rPr>
      </w:pPr>
      <w:bookmarkStart w:id="54" w:name="_Hlk138788391"/>
      <w:r>
        <w:rPr>
          <w:rFonts w:hint="eastAsia"/>
          <w:sz w:val="21"/>
          <w:szCs w:val="21"/>
        </w:rPr>
        <w:t>7.4.1    门框应与骨架同步安装，横梁和两侧立柱应与山墙位置拱杆等构件连接牢固，两侧立柱与地面固定应牢固。</w:t>
      </w:r>
    </w:p>
    <w:p w14:paraId="74E2B2E4">
      <w:pPr>
        <w:pStyle w:val="41"/>
        <w:ind w:firstLine="0" w:firstLineChars="0"/>
        <w:rPr>
          <w:sz w:val="21"/>
          <w:szCs w:val="21"/>
        </w:rPr>
      </w:pPr>
      <w:r>
        <w:rPr>
          <w:rFonts w:hint="eastAsia"/>
          <w:sz w:val="21"/>
          <w:szCs w:val="21"/>
        </w:rPr>
        <w:t>7.4.2    安装过程中应避免棚门和门框产生变形，棚门与门框间隙应小于3 mm</w:t>
      </w:r>
      <w:r>
        <w:rPr>
          <w:sz w:val="21"/>
          <w:szCs w:val="21"/>
        </w:rPr>
        <w:t>。</w:t>
      </w:r>
    </w:p>
    <w:bookmarkEnd w:id="54"/>
    <w:p w14:paraId="37F5CB97">
      <w:pPr>
        <w:spacing w:before="312" w:beforeLines="100" w:after="312" w:afterLines="100" w:line="440" w:lineRule="exact"/>
        <w:ind w:firstLine="0" w:firstLineChars="0"/>
        <w:rPr>
          <w:rFonts w:ascii="黑体" w:hAnsi="黑体" w:eastAsia="黑体"/>
          <w:sz w:val="21"/>
          <w:szCs w:val="21"/>
        </w:rPr>
      </w:pPr>
      <w:r>
        <w:rPr>
          <w:rFonts w:hint="eastAsia" w:ascii="黑体" w:hAnsi="黑体" w:eastAsia="黑体"/>
          <w:sz w:val="21"/>
          <w:szCs w:val="21"/>
        </w:rPr>
        <w:t>7.5    卷膜器安装</w:t>
      </w:r>
    </w:p>
    <w:p w14:paraId="6B9035F2">
      <w:pPr>
        <w:pStyle w:val="41"/>
        <w:ind w:firstLine="0" w:firstLineChars="0"/>
        <w:rPr>
          <w:sz w:val="21"/>
          <w:szCs w:val="21"/>
        </w:rPr>
      </w:pPr>
      <w:bookmarkStart w:id="55" w:name="_Hlk135745569"/>
      <w:bookmarkStart w:id="56" w:name="_Hlk138788420"/>
      <w:r>
        <w:rPr>
          <w:rFonts w:hint="eastAsia"/>
          <w:sz w:val="21"/>
          <w:szCs w:val="21"/>
        </w:rPr>
        <w:t>7.5.1    卷膜器应与塑料薄膜同时安装。</w:t>
      </w:r>
    </w:p>
    <w:p w14:paraId="167279CE">
      <w:pPr>
        <w:pStyle w:val="41"/>
        <w:ind w:firstLine="0" w:firstLineChars="0"/>
        <w:rPr>
          <w:sz w:val="21"/>
          <w:szCs w:val="21"/>
        </w:rPr>
      </w:pPr>
      <w:r>
        <w:rPr>
          <w:rFonts w:hint="eastAsia"/>
          <w:sz w:val="21"/>
          <w:szCs w:val="21"/>
        </w:rPr>
        <w:t xml:space="preserve">7.5.2    </w:t>
      </w:r>
      <w:bookmarkStart w:id="57" w:name="_Hlk135832355"/>
      <w:r>
        <w:rPr>
          <w:rFonts w:hint="eastAsia"/>
          <w:sz w:val="21"/>
          <w:szCs w:val="21"/>
        </w:rPr>
        <w:t>塑料薄膜在卷轴上缠绕应大于2圈。塑料薄膜在卷轴上固定点宜均匀分布，间距宜0.4</w:t>
      </w:r>
      <w:r>
        <w:rPr>
          <w:sz w:val="21"/>
          <w:szCs w:val="21"/>
        </w:rPr>
        <w:t>～0.5 m</w:t>
      </w:r>
      <w:r>
        <w:rPr>
          <w:rFonts w:hint="eastAsia"/>
          <w:sz w:val="21"/>
          <w:szCs w:val="21"/>
        </w:rPr>
        <w:t>。</w:t>
      </w:r>
    </w:p>
    <w:p w14:paraId="40B79519">
      <w:pPr>
        <w:pStyle w:val="41"/>
        <w:ind w:firstLine="0" w:firstLineChars="0"/>
        <w:rPr>
          <w:rFonts w:ascii="宋体" w:hAnsi="宋体"/>
          <w:sz w:val="21"/>
          <w:szCs w:val="21"/>
        </w:rPr>
      </w:pPr>
      <w:r>
        <w:rPr>
          <w:rFonts w:hint="eastAsia"/>
          <w:sz w:val="21"/>
          <w:szCs w:val="21"/>
        </w:rPr>
        <w:t>7.5.3    卷轴上卷和下铺时应能停留在任意位置，且在任意停留位置卷轴通长方向高差宜小于3 cm。</w:t>
      </w:r>
      <w:r>
        <w:rPr>
          <w:sz w:val="21"/>
          <w:szCs w:val="21"/>
        </w:rPr>
        <w:cr/>
      </w:r>
      <w:r>
        <w:rPr>
          <w:rFonts w:hint="eastAsia"/>
          <w:sz w:val="21"/>
          <w:szCs w:val="21"/>
        </w:rPr>
        <w:t>7.5.</w:t>
      </w:r>
      <w:r>
        <w:rPr>
          <w:sz w:val="21"/>
          <w:szCs w:val="21"/>
        </w:rPr>
        <w:t>4</w:t>
      </w:r>
      <w:r>
        <w:rPr>
          <w:rFonts w:hint="eastAsia"/>
          <w:sz w:val="21"/>
          <w:szCs w:val="21"/>
        </w:rPr>
        <w:t>电动卷膜器接线应符合国家相关规定，应有防水措施，防护等级不低于IP 55。设备运转部位应有安全防护措施，设备相应部位应有安全警示标志</w:t>
      </w:r>
      <w:bookmarkStart w:id="58" w:name="_Hlk135745521"/>
      <w:r>
        <w:rPr>
          <w:rFonts w:hint="eastAsia" w:ascii="宋体" w:hAnsi="宋体"/>
          <w:sz w:val="21"/>
          <w:szCs w:val="21"/>
        </w:rPr>
        <w:t>。</w:t>
      </w:r>
      <w:bookmarkEnd w:id="58"/>
    </w:p>
    <w:p w14:paraId="5DDFC1F0">
      <w:pPr>
        <w:spacing w:before="312" w:beforeLines="100" w:after="312" w:afterLines="100" w:line="440" w:lineRule="exact"/>
        <w:ind w:firstLine="0" w:firstLineChars="0"/>
        <w:rPr>
          <w:rFonts w:ascii="黑体" w:hAnsi="黑体" w:eastAsia="黑体"/>
          <w:sz w:val="21"/>
          <w:szCs w:val="21"/>
        </w:rPr>
      </w:pPr>
      <w:bookmarkStart w:id="59" w:name="_Hlk187570463"/>
      <w:r>
        <w:rPr>
          <w:rFonts w:hint="eastAsia" w:ascii="黑体" w:hAnsi="黑体" w:eastAsia="黑体"/>
          <w:sz w:val="21"/>
          <w:szCs w:val="21"/>
        </w:rPr>
        <w:t>7</w:t>
      </w:r>
      <w:r>
        <w:rPr>
          <w:rFonts w:ascii="黑体" w:hAnsi="黑体" w:eastAsia="黑体"/>
          <w:sz w:val="21"/>
          <w:szCs w:val="21"/>
        </w:rPr>
        <w:t xml:space="preserve">.6 </w:t>
      </w:r>
      <w:r>
        <w:rPr>
          <w:rFonts w:hint="eastAsia" w:ascii="黑体" w:hAnsi="黑体" w:eastAsia="黑体"/>
          <w:sz w:val="21"/>
          <w:szCs w:val="21"/>
        </w:rPr>
        <w:t>层架安装</w:t>
      </w:r>
    </w:p>
    <w:p w14:paraId="6C1FF691">
      <w:pPr>
        <w:pStyle w:val="41"/>
        <w:ind w:firstLine="0" w:firstLineChars="0"/>
        <w:rPr>
          <w:sz w:val="21"/>
          <w:szCs w:val="21"/>
        </w:rPr>
      </w:pPr>
      <w:r>
        <w:rPr>
          <w:rFonts w:hint="eastAsia"/>
          <w:sz w:val="21"/>
          <w:szCs w:val="21"/>
        </w:rPr>
        <w:t>7.</w:t>
      </w:r>
      <w:r>
        <w:rPr>
          <w:sz w:val="21"/>
          <w:szCs w:val="21"/>
        </w:rPr>
        <w:t>6</w:t>
      </w:r>
      <w:r>
        <w:rPr>
          <w:rFonts w:hint="eastAsia"/>
          <w:sz w:val="21"/>
          <w:szCs w:val="21"/>
        </w:rPr>
        <w:t>.1    根据层架的尺寸搭建骨架框架，单个层架高度宜为1</w:t>
      </w:r>
      <w:r>
        <w:rPr>
          <w:sz w:val="21"/>
          <w:szCs w:val="21"/>
        </w:rPr>
        <w:t>.8~2.4</w:t>
      </w:r>
      <w:r>
        <w:rPr>
          <w:rFonts w:hint="eastAsia"/>
          <w:sz w:val="21"/>
          <w:szCs w:val="21"/>
        </w:rPr>
        <w:t>米，长度宜为3</w:t>
      </w:r>
      <w:r>
        <w:rPr>
          <w:sz w:val="21"/>
          <w:szCs w:val="21"/>
        </w:rPr>
        <w:t>~5</w:t>
      </w:r>
      <w:r>
        <w:rPr>
          <w:rFonts w:hint="eastAsia"/>
          <w:sz w:val="21"/>
          <w:szCs w:val="21"/>
        </w:rPr>
        <w:t>m，层高宜为2</w:t>
      </w:r>
      <w:r>
        <w:rPr>
          <w:sz w:val="21"/>
          <w:szCs w:val="21"/>
        </w:rPr>
        <w:t>0~30</w:t>
      </w:r>
      <w:r>
        <w:rPr>
          <w:rFonts w:hint="eastAsia"/>
          <w:sz w:val="21"/>
          <w:szCs w:val="21"/>
        </w:rPr>
        <w:t>cm，确保骨架结构稳固、水平，避免在栽培过程中发生倾斜或变形。层架最下层应离地面大于15cm，避免湿气过大或地面污染影响菌包生长。</w:t>
      </w:r>
    </w:p>
    <w:p w14:paraId="21430579">
      <w:pPr>
        <w:pStyle w:val="41"/>
        <w:ind w:firstLine="0" w:firstLineChars="0"/>
        <w:rPr>
          <w:sz w:val="21"/>
          <w:szCs w:val="21"/>
        </w:rPr>
      </w:pPr>
      <w:r>
        <w:rPr>
          <w:rFonts w:hint="eastAsia"/>
          <w:sz w:val="21"/>
          <w:szCs w:val="21"/>
        </w:rPr>
        <w:t>7.</w:t>
      </w:r>
      <w:r>
        <w:rPr>
          <w:sz w:val="21"/>
          <w:szCs w:val="21"/>
        </w:rPr>
        <w:t>6.</w:t>
      </w:r>
      <w:r>
        <w:rPr>
          <w:rFonts w:hint="eastAsia"/>
          <w:sz w:val="21"/>
          <w:szCs w:val="21"/>
        </w:rPr>
        <w:t>2    层架网格宜使用塑胶包裹的铁丝（直径2.5～3.5mm）进行划分，确保每层的栽培空间适合放置菌包。每层网格的尺寸应能够容纳菌包，避免菌包与网格之间的空间过大或过小，影响空气流通。</w:t>
      </w:r>
    </w:p>
    <w:bookmarkEnd w:id="59"/>
    <w:p w14:paraId="2335C2E8">
      <w:pPr>
        <w:pStyle w:val="41"/>
        <w:ind w:firstLine="0" w:firstLineChars="0"/>
        <w:rPr>
          <w:sz w:val="21"/>
          <w:szCs w:val="21"/>
        </w:rPr>
      </w:pPr>
      <w:r>
        <w:rPr>
          <w:rFonts w:hint="eastAsia"/>
          <w:sz w:val="21"/>
          <w:szCs w:val="21"/>
        </w:rPr>
        <w:t>7.</w:t>
      </w:r>
      <w:r>
        <w:rPr>
          <w:sz w:val="21"/>
          <w:szCs w:val="21"/>
        </w:rPr>
        <w:t xml:space="preserve">6.3   </w:t>
      </w:r>
      <w:r>
        <w:rPr>
          <w:rFonts w:hint="eastAsia"/>
          <w:sz w:val="21"/>
          <w:szCs w:val="21"/>
        </w:rPr>
        <w:t>完成层架搭建后，将层架放置于栽培大棚或温室中，确保层架稳固，并避免其与墙壁、设备或其他障碍物发生干扰。</w:t>
      </w:r>
    </w:p>
    <w:p w14:paraId="608310DA">
      <w:pPr>
        <w:pStyle w:val="41"/>
        <w:ind w:firstLine="0" w:firstLineChars="0"/>
        <w:rPr>
          <w:sz w:val="21"/>
          <w:szCs w:val="21"/>
        </w:rPr>
      </w:pPr>
      <w:r>
        <w:rPr>
          <w:rFonts w:hint="eastAsia"/>
          <w:sz w:val="21"/>
          <w:szCs w:val="21"/>
        </w:rPr>
        <w:t>7</w:t>
      </w:r>
      <w:r>
        <w:rPr>
          <w:sz w:val="21"/>
          <w:szCs w:val="21"/>
        </w:rPr>
        <w:t xml:space="preserve">.6.4   </w:t>
      </w:r>
      <w:r>
        <w:rPr>
          <w:rFonts w:hint="eastAsia"/>
          <w:sz w:val="21"/>
          <w:szCs w:val="21"/>
        </w:rPr>
        <w:t>层架结构强度符合</w:t>
      </w:r>
      <w:r>
        <w:rPr>
          <w:sz w:val="21"/>
          <w:szCs w:val="21"/>
        </w:rPr>
        <w:t>GB/T 51057</w:t>
      </w:r>
      <w:r>
        <w:rPr>
          <w:rFonts w:hint="eastAsia"/>
          <w:sz w:val="21"/>
          <w:szCs w:val="21"/>
        </w:rPr>
        <w:t>规定。</w:t>
      </w:r>
    </w:p>
    <w:bookmarkEnd w:id="55"/>
    <w:bookmarkEnd w:id="56"/>
    <w:bookmarkEnd w:id="57"/>
    <w:p w14:paraId="1F2A5B7B">
      <w:pPr>
        <w:spacing w:before="312" w:beforeLines="100" w:after="312" w:afterLines="100"/>
        <w:ind w:firstLine="0" w:firstLineChars="0"/>
        <w:outlineLvl w:val="0"/>
        <w:rPr>
          <w:rFonts w:eastAsia="黑体"/>
          <w:sz w:val="21"/>
          <w:szCs w:val="21"/>
        </w:rPr>
      </w:pPr>
      <w:bookmarkStart w:id="60" w:name="_Toc187586221"/>
      <w:r>
        <w:rPr>
          <w:rFonts w:hint="eastAsia" w:eastAsia="黑体"/>
          <w:sz w:val="21"/>
          <w:szCs w:val="21"/>
        </w:rPr>
        <w:t>8验收</w:t>
      </w:r>
      <w:bookmarkEnd w:id="60"/>
    </w:p>
    <w:p w14:paraId="370440D2">
      <w:pPr>
        <w:pStyle w:val="41"/>
        <w:ind w:firstLine="420"/>
        <w:rPr>
          <w:sz w:val="21"/>
          <w:szCs w:val="21"/>
        </w:rPr>
      </w:pPr>
      <w:bookmarkStart w:id="61" w:name="_Hlk187570433"/>
      <w:r>
        <w:rPr>
          <w:sz w:val="21"/>
          <w:szCs w:val="21"/>
        </w:rPr>
        <w:t>验收程序、验收组织与人员构成、检验项目、验收方法与验收规则应符合NY/T 1420的规定。</w:t>
      </w:r>
    </w:p>
    <w:bookmarkEnd w:id="61"/>
    <w:p w14:paraId="3937888A">
      <w:pPr>
        <w:widowControl/>
        <w:spacing w:line="240" w:lineRule="auto"/>
        <w:ind w:firstLine="0" w:firstLineChars="0"/>
        <w:rPr>
          <w:sz w:val="28"/>
        </w:rPr>
      </w:pPr>
      <w:bookmarkStart w:id="62" w:name="_Hlk112436072"/>
      <w:r>
        <w:rPr>
          <w:sz w:val="28"/>
        </w:rPr>
        <w:br w:type="page"/>
      </w:r>
    </w:p>
    <w:p w14:paraId="227DDE37">
      <w:pPr>
        <w:ind w:firstLine="149" w:firstLineChars="71"/>
        <w:jc w:val="center"/>
        <w:rPr>
          <w:rFonts w:eastAsia="宋体"/>
          <w:sz w:val="21"/>
          <w:szCs w:val="21"/>
        </w:rPr>
      </w:pPr>
      <w:r>
        <w:rPr>
          <w:rFonts w:hint="eastAsia" w:eastAsia="宋体"/>
          <w:sz w:val="21"/>
          <w:szCs w:val="21"/>
        </w:rPr>
        <w:t>附录A</w:t>
      </w:r>
    </w:p>
    <w:p w14:paraId="51C2B3C7">
      <w:pPr>
        <w:ind w:firstLine="149" w:firstLineChars="71"/>
        <w:jc w:val="center"/>
        <w:rPr>
          <w:rFonts w:eastAsia="宋体"/>
          <w:sz w:val="21"/>
          <w:szCs w:val="21"/>
        </w:rPr>
      </w:pPr>
      <w:r>
        <w:rPr>
          <w:rFonts w:hint="eastAsia" w:eastAsia="宋体"/>
          <w:sz w:val="21"/>
          <w:szCs w:val="21"/>
        </w:rPr>
        <w:t>（资料性）</w:t>
      </w:r>
    </w:p>
    <w:p w14:paraId="3577C44B">
      <w:pPr>
        <w:spacing w:line="440" w:lineRule="exact"/>
        <w:ind w:firstLine="0" w:firstLineChars="0"/>
        <w:jc w:val="center"/>
        <w:rPr>
          <w:rFonts w:eastAsia="宋体"/>
          <w:sz w:val="21"/>
          <w:szCs w:val="21"/>
        </w:rPr>
      </w:pPr>
      <w:r>
        <w:rPr>
          <w:rFonts w:hint="eastAsia" w:eastAsia="宋体"/>
          <w:sz w:val="21"/>
          <w:szCs w:val="21"/>
        </w:rPr>
        <w:t>层架式栽培食用菌塑料大棚剖面示意图</w:t>
      </w:r>
    </w:p>
    <w:p w14:paraId="4EB23368">
      <w:pPr>
        <w:spacing w:line="440" w:lineRule="exact"/>
        <w:ind w:firstLine="348" w:firstLineChars="145"/>
        <w:rPr>
          <w:rFonts w:eastAsia="宋体"/>
          <w:sz w:val="21"/>
          <w:szCs w:val="21"/>
        </w:rPr>
      </w:pPr>
      <w:r>
        <w:drawing>
          <wp:anchor distT="0" distB="0" distL="114300" distR="114300" simplePos="0" relativeHeight="251659264" behindDoc="0" locked="0" layoutInCell="1" allowOverlap="1">
            <wp:simplePos x="0" y="0"/>
            <wp:positionH relativeFrom="column">
              <wp:posOffset>2540</wp:posOffset>
            </wp:positionH>
            <wp:positionV relativeFrom="paragraph">
              <wp:posOffset>352425</wp:posOffset>
            </wp:positionV>
            <wp:extent cx="5039995" cy="258000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040000" cy="2580072"/>
                    </a:xfrm>
                    <a:prstGeom prst="rect">
                      <a:avLst/>
                    </a:prstGeom>
                    <a:noFill/>
                    <a:ln>
                      <a:noFill/>
                    </a:ln>
                  </pic:spPr>
                </pic:pic>
              </a:graphicData>
            </a:graphic>
          </wp:anchor>
        </w:drawing>
      </w:r>
      <w:r>
        <w:rPr>
          <w:rFonts w:hint="eastAsia" w:eastAsia="宋体"/>
          <w:sz w:val="21"/>
          <w:szCs w:val="21"/>
        </w:rPr>
        <w:t>奇数列层架式栽培食用菌塑料大棚剖面示意图见图A</w:t>
      </w:r>
      <w:r>
        <w:rPr>
          <w:rFonts w:eastAsia="宋体"/>
          <w:sz w:val="21"/>
          <w:szCs w:val="21"/>
        </w:rPr>
        <w:t>.1</w:t>
      </w:r>
    </w:p>
    <w:p w14:paraId="256B0588">
      <w:pPr>
        <w:ind w:firstLine="149" w:firstLineChars="71"/>
        <w:jc w:val="center"/>
        <w:rPr>
          <w:rFonts w:eastAsia="宋体"/>
          <w:sz w:val="21"/>
          <w:szCs w:val="21"/>
        </w:rPr>
      </w:pPr>
      <w:r>
        <w:rPr>
          <w:rFonts w:hint="eastAsia" w:eastAsia="宋体"/>
          <w:sz w:val="21"/>
          <w:szCs w:val="21"/>
        </w:rPr>
        <w:t>A</w:t>
      </w:r>
      <w:r>
        <w:rPr>
          <w:rFonts w:eastAsia="宋体"/>
          <w:sz w:val="21"/>
          <w:szCs w:val="21"/>
        </w:rPr>
        <w:t xml:space="preserve">.1   </w:t>
      </w:r>
      <w:r>
        <w:rPr>
          <w:rFonts w:hint="eastAsia" w:eastAsia="宋体"/>
          <w:sz w:val="21"/>
          <w:szCs w:val="21"/>
        </w:rPr>
        <w:t>奇数列层架式栽培食用菌塑料大棚剖面示意图</w:t>
      </w:r>
    </w:p>
    <w:p w14:paraId="15C009B3">
      <w:pPr>
        <w:spacing w:line="440" w:lineRule="exact"/>
        <w:ind w:firstLine="420"/>
        <w:rPr>
          <w:rFonts w:eastAsia="宋体"/>
          <w:sz w:val="21"/>
          <w:szCs w:val="21"/>
        </w:rPr>
      </w:pPr>
      <w:r>
        <w:rPr>
          <w:rFonts w:hint="eastAsia" w:eastAsia="宋体"/>
          <w:sz w:val="21"/>
          <w:szCs w:val="21"/>
        </w:rPr>
        <w:t>偶数列层架式栽培食用菌塑料大棚剖面示意图见图A</w:t>
      </w:r>
      <w:r>
        <w:rPr>
          <w:rFonts w:eastAsia="宋体"/>
          <w:sz w:val="21"/>
          <w:szCs w:val="21"/>
        </w:rPr>
        <w:t>.2</w:t>
      </w:r>
    </w:p>
    <w:p w14:paraId="0340E2F6">
      <w:pPr>
        <w:ind w:firstLine="170" w:firstLineChars="71"/>
        <w:jc w:val="center"/>
        <w:rPr>
          <w:rFonts w:eastAsia="宋体"/>
          <w:sz w:val="21"/>
          <w:szCs w:val="21"/>
        </w:rPr>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473075</wp:posOffset>
            </wp:positionV>
            <wp:extent cx="5039995" cy="2594610"/>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40000" cy="2594635"/>
                    </a:xfrm>
                    <a:prstGeom prst="rect">
                      <a:avLst/>
                    </a:prstGeom>
                    <a:noFill/>
                    <a:ln>
                      <a:noFill/>
                    </a:ln>
                  </pic:spPr>
                </pic:pic>
              </a:graphicData>
            </a:graphic>
          </wp:anchor>
        </w:drawing>
      </w:r>
      <w:r>
        <w:rPr>
          <w:rFonts w:hint="eastAsia" w:eastAsia="宋体"/>
          <w:sz w:val="21"/>
          <w:szCs w:val="21"/>
        </w:rPr>
        <w:t>A</w:t>
      </w:r>
      <w:r>
        <w:rPr>
          <w:rFonts w:eastAsia="宋体"/>
          <w:sz w:val="21"/>
          <w:szCs w:val="21"/>
        </w:rPr>
        <w:t xml:space="preserve">.2  </w:t>
      </w:r>
      <w:r>
        <w:rPr>
          <w:rFonts w:hint="eastAsia" w:eastAsia="宋体"/>
          <w:sz w:val="21"/>
          <w:szCs w:val="21"/>
        </w:rPr>
        <w:t>偶数列层架式栽培食用菌塑料大棚剖面示意图</w:t>
      </w:r>
    </w:p>
    <w:p w14:paraId="6B4F9D0E">
      <w:pPr>
        <w:ind w:firstLine="149" w:firstLineChars="71"/>
        <w:jc w:val="center"/>
        <w:rPr>
          <w:rFonts w:eastAsia="宋体"/>
          <w:sz w:val="21"/>
          <w:szCs w:val="21"/>
        </w:rPr>
      </w:pPr>
    </w:p>
    <w:p w14:paraId="684909F0">
      <w:pPr>
        <w:ind w:firstLine="149" w:firstLineChars="71"/>
        <w:jc w:val="center"/>
        <w:rPr>
          <w:rFonts w:eastAsia="宋体"/>
          <w:sz w:val="21"/>
          <w:szCs w:val="21"/>
        </w:rPr>
      </w:pPr>
    </w:p>
    <w:p w14:paraId="550F23AA">
      <w:pPr>
        <w:ind w:firstLine="149" w:firstLineChars="71"/>
        <w:jc w:val="center"/>
        <w:rPr>
          <w:rFonts w:eastAsia="宋体"/>
          <w:sz w:val="21"/>
          <w:szCs w:val="21"/>
        </w:rPr>
      </w:pPr>
    </w:p>
    <w:p w14:paraId="40D804AE">
      <w:pPr>
        <w:ind w:firstLine="149" w:firstLineChars="71"/>
        <w:jc w:val="center"/>
        <w:rPr>
          <w:rFonts w:eastAsia="宋体"/>
          <w:sz w:val="21"/>
          <w:szCs w:val="21"/>
        </w:rPr>
      </w:pPr>
    </w:p>
    <w:p w14:paraId="3A384B79">
      <w:pPr>
        <w:ind w:firstLine="149" w:firstLineChars="71"/>
        <w:jc w:val="center"/>
        <w:rPr>
          <w:rFonts w:eastAsia="宋体"/>
          <w:sz w:val="21"/>
          <w:szCs w:val="21"/>
        </w:rPr>
      </w:pPr>
    </w:p>
    <w:p w14:paraId="68F60E75">
      <w:pPr>
        <w:ind w:firstLine="149" w:firstLineChars="71"/>
        <w:jc w:val="center"/>
        <w:rPr>
          <w:rFonts w:eastAsia="宋体"/>
          <w:sz w:val="21"/>
          <w:szCs w:val="21"/>
        </w:rPr>
      </w:pPr>
      <w:r>
        <w:rPr>
          <w:rFonts w:hint="eastAsia" w:eastAsia="宋体"/>
          <w:sz w:val="21"/>
          <w:szCs w:val="21"/>
        </w:rPr>
        <w:t>附录B</w:t>
      </w:r>
    </w:p>
    <w:p w14:paraId="42957B0A">
      <w:pPr>
        <w:spacing w:line="440" w:lineRule="exact"/>
        <w:ind w:firstLine="0" w:firstLineChars="0"/>
        <w:jc w:val="center"/>
        <w:rPr>
          <w:rFonts w:eastAsia="宋体"/>
          <w:sz w:val="21"/>
          <w:szCs w:val="21"/>
        </w:rPr>
      </w:pPr>
      <w:r>
        <w:rPr>
          <w:rFonts w:hint="eastAsia" w:eastAsia="宋体"/>
          <w:sz w:val="21"/>
          <w:szCs w:val="21"/>
        </w:rPr>
        <w:t>（资料性）</w:t>
      </w:r>
    </w:p>
    <w:p w14:paraId="7B9E14FB">
      <w:pPr>
        <w:spacing w:line="440" w:lineRule="exact"/>
        <w:ind w:firstLine="0" w:firstLineChars="0"/>
        <w:jc w:val="center"/>
        <w:rPr>
          <w:rFonts w:eastAsia="宋体"/>
          <w:sz w:val="21"/>
          <w:szCs w:val="21"/>
        </w:rPr>
      </w:pPr>
      <w:r>
        <w:rPr>
          <w:rFonts w:hint="eastAsia" w:eastAsia="宋体"/>
          <w:sz w:val="21"/>
          <w:szCs w:val="21"/>
        </w:rPr>
        <w:t>层架式栽培食用菌塑料大棚侧面示意图</w:t>
      </w:r>
    </w:p>
    <w:p w14:paraId="7A97E607">
      <w:pPr>
        <w:spacing w:line="440" w:lineRule="exact"/>
        <w:ind w:firstLine="480"/>
        <w:rPr>
          <w:rFonts w:eastAsia="宋体"/>
          <w:sz w:val="21"/>
          <w:szCs w:val="21"/>
        </w:rPr>
      </w:pPr>
      <w:r>
        <w:drawing>
          <wp:anchor distT="0" distB="0" distL="114300" distR="114300" simplePos="0" relativeHeight="251662336" behindDoc="0" locked="0" layoutInCell="1" allowOverlap="1">
            <wp:simplePos x="0" y="0"/>
            <wp:positionH relativeFrom="column">
              <wp:posOffset>1905</wp:posOffset>
            </wp:positionH>
            <wp:positionV relativeFrom="paragraph">
              <wp:posOffset>328930</wp:posOffset>
            </wp:positionV>
            <wp:extent cx="5039995" cy="2497455"/>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0000" cy="2497549"/>
                    </a:xfrm>
                    <a:prstGeom prst="rect">
                      <a:avLst/>
                    </a:prstGeom>
                    <a:noFill/>
                    <a:ln>
                      <a:noFill/>
                    </a:ln>
                  </pic:spPr>
                </pic:pic>
              </a:graphicData>
            </a:graphic>
          </wp:anchor>
        </w:drawing>
      </w:r>
      <w:r>
        <w:rPr>
          <w:rFonts w:hint="eastAsia" w:eastAsia="宋体"/>
          <w:sz w:val="21"/>
          <w:szCs w:val="21"/>
        </w:rPr>
        <w:t>层架式栽培食用菌塑料大棚侧面示意图见图B</w:t>
      </w:r>
    </w:p>
    <w:p w14:paraId="30609CB2">
      <w:pPr>
        <w:ind w:firstLine="149" w:firstLineChars="71"/>
        <w:jc w:val="center"/>
        <w:rPr>
          <w:rFonts w:eastAsia="宋体"/>
          <w:sz w:val="21"/>
          <w:szCs w:val="21"/>
        </w:rPr>
      </w:pPr>
      <w:r>
        <w:rPr>
          <w:rFonts w:hint="eastAsia" w:eastAsia="宋体"/>
          <w:sz w:val="21"/>
          <w:szCs w:val="21"/>
        </w:rPr>
        <w:t>B层架式栽培食用菌塑料大棚侧面示意图</w:t>
      </w:r>
    </w:p>
    <w:p w14:paraId="05681FC6">
      <w:pPr>
        <w:spacing w:after="312" w:afterLines="100" w:line="440" w:lineRule="exact"/>
        <w:ind w:firstLine="0" w:firstLineChars="0"/>
        <w:jc w:val="center"/>
        <w:rPr>
          <w:rFonts w:eastAsia="宋体"/>
          <w:sz w:val="21"/>
          <w:szCs w:val="21"/>
        </w:rPr>
      </w:pPr>
    </w:p>
    <w:bookmarkEnd w:id="2"/>
    <w:bookmarkEnd w:id="62"/>
    <w:p w14:paraId="0697B0DF">
      <w:pPr>
        <w:spacing w:line="240" w:lineRule="auto"/>
        <w:ind w:firstLine="0" w:firstLineChars="0"/>
        <w:rPr>
          <w:sz w:val="28"/>
        </w:rPr>
      </w:pPr>
    </w:p>
    <w:sectPr>
      <w:footerReference r:id="rId1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5E3D3">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750CC">
    <w:pPr>
      <w:pStyle w:val="22"/>
      <w:rPr>
        <w:rStyle w:val="13"/>
      </w:rPr>
    </w:pPr>
    <w:r>
      <w:fldChar w:fldCharType="begin"/>
    </w:r>
    <w:r>
      <w:rPr>
        <w:rStyle w:val="13"/>
      </w:rPr>
      <w:instrText xml:space="preserve">PAGE  </w:instrText>
    </w:r>
    <w:r>
      <w:fldChar w:fldCharType="separate"/>
    </w:r>
    <w:r>
      <w:rPr>
        <w:rStyle w:val="13"/>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899D1">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C69B9">
    <w:pPr>
      <w:pStyle w:val="6"/>
      <w:ind w:firstLine="360"/>
      <w:jc w:val="right"/>
    </w:pPr>
  </w:p>
  <w:p w14:paraId="30B09F19">
    <w:pPr>
      <w:pStyle w:val="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5B760A96">
        <w:pPr>
          <w:pStyle w:val="6"/>
          <w:ind w:firstLine="360"/>
        </w:pPr>
        <w:r>
          <w:fldChar w:fldCharType="begin"/>
        </w:r>
        <w:r>
          <w:instrText xml:space="preserve">PAGE   \* MERGEFORMAT</w:instrText>
        </w:r>
        <w:r>
          <w:fldChar w:fldCharType="separate"/>
        </w:r>
        <w:r>
          <w:rPr>
            <w:lang w:val="zh-CN"/>
          </w:rPr>
          <w:t>8</w:t>
        </w:r>
        <w:r>
          <w:fldChar w:fldCharType="end"/>
        </w:r>
      </w:p>
    </w:sdtContent>
  </w:sdt>
  <w:p w14:paraId="5A81125A">
    <w:pPr>
      <w:pStyle w:val="6"/>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F55A0">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4237362"/>
      <w:docPartObj>
        <w:docPartGallery w:val="autotext"/>
      </w:docPartObj>
    </w:sdtPr>
    <w:sdtContent>
      <w:p w14:paraId="554DCA6B">
        <w:pPr>
          <w:pStyle w:val="6"/>
          <w:ind w:firstLine="360"/>
        </w:pPr>
        <w:r>
          <w:fldChar w:fldCharType="begin"/>
        </w:r>
        <w:r>
          <w:instrText xml:space="preserve">PAGE   \* MERGEFORMAT</w:instrText>
        </w:r>
        <w:r>
          <w:fldChar w:fldCharType="separate"/>
        </w:r>
        <w:r>
          <w:rPr>
            <w:lang w:val="zh-CN"/>
          </w:rPr>
          <w:t>I</w:t>
        </w:r>
        <w:r>
          <w:fldChar w:fldCharType="end"/>
        </w:r>
      </w:p>
    </w:sdtContent>
  </w:sdt>
  <w:p w14:paraId="245B5040">
    <w:pPr>
      <w:pStyle w:val="6"/>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D90EF">
    <w:pPr>
      <w:pStyle w:val="6"/>
      <w:ind w:firstLine="360"/>
      <w:jc w:val="right"/>
    </w:pPr>
    <w:r>
      <w:fldChar w:fldCharType="begin"/>
    </w:r>
    <w:r>
      <w:instrText xml:space="preserve">PAGE   \* MERGEFORMAT</w:instrText>
    </w:r>
    <w:r>
      <w:fldChar w:fldCharType="separate"/>
    </w:r>
    <w:r>
      <w:rPr>
        <w:lang w:val="zh-CN"/>
      </w:rPr>
      <w:t>9</w:t>
    </w:r>
    <w:r>
      <w:fldChar w:fldCharType="end"/>
    </w:r>
  </w:p>
  <w:p w14:paraId="7F8E0261">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80A21">
    <w:pPr>
      <w:pStyle w:val="7"/>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15012">
    <w:pPr>
      <w:pStyle w:val="23"/>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BF572">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7F6E3">
    <w:pPr>
      <w:pStyle w:val="7"/>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B66F0">
    <w:pPr>
      <w:pStyle w:val="7"/>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22CB5">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7"/>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F0D"/>
    <w:rsid w:val="00002578"/>
    <w:rsid w:val="000119A4"/>
    <w:rsid w:val="000207CF"/>
    <w:rsid w:val="00023141"/>
    <w:rsid w:val="00024606"/>
    <w:rsid w:val="0004683F"/>
    <w:rsid w:val="00081097"/>
    <w:rsid w:val="00083390"/>
    <w:rsid w:val="00091C40"/>
    <w:rsid w:val="000A4654"/>
    <w:rsid w:val="000A5F8F"/>
    <w:rsid w:val="000A749A"/>
    <w:rsid w:val="000A774F"/>
    <w:rsid w:val="000B0551"/>
    <w:rsid w:val="000B7F90"/>
    <w:rsid w:val="000C291E"/>
    <w:rsid w:val="000C405A"/>
    <w:rsid w:val="000C43CE"/>
    <w:rsid w:val="000C5153"/>
    <w:rsid w:val="000D2170"/>
    <w:rsid w:val="000D21C3"/>
    <w:rsid w:val="000D4485"/>
    <w:rsid w:val="000D705B"/>
    <w:rsid w:val="000E26A3"/>
    <w:rsid w:val="000F2FA7"/>
    <w:rsid w:val="000F4F21"/>
    <w:rsid w:val="001023F1"/>
    <w:rsid w:val="00103C44"/>
    <w:rsid w:val="001134BE"/>
    <w:rsid w:val="00121290"/>
    <w:rsid w:val="00133C66"/>
    <w:rsid w:val="001354E5"/>
    <w:rsid w:val="00136046"/>
    <w:rsid w:val="001410D9"/>
    <w:rsid w:val="001442C7"/>
    <w:rsid w:val="00145472"/>
    <w:rsid w:val="001471AC"/>
    <w:rsid w:val="00164EE3"/>
    <w:rsid w:val="001664BE"/>
    <w:rsid w:val="001745F9"/>
    <w:rsid w:val="001851A1"/>
    <w:rsid w:val="0018716C"/>
    <w:rsid w:val="001A5B64"/>
    <w:rsid w:val="001B20CF"/>
    <w:rsid w:val="001B4820"/>
    <w:rsid w:val="001B619F"/>
    <w:rsid w:val="001B6EA5"/>
    <w:rsid w:val="001C5C9C"/>
    <w:rsid w:val="001C5FB2"/>
    <w:rsid w:val="001D03DA"/>
    <w:rsid w:val="001D08FB"/>
    <w:rsid w:val="001D4260"/>
    <w:rsid w:val="001D7953"/>
    <w:rsid w:val="001E1342"/>
    <w:rsid w:val="001E50E4"/>
    <w:rsid w:val="001F03CE"/>
    <w:rsid w:val="001F0452"/>
    <w:rsid w:val="001F2C09"/>
    <w:rsid w:val="001F35A1"/>
    <w:rsid w:val="001F5C06"/>
    <w:rsid w:val="001F63A5"/>
    <w:rsid w:val="001F6475"/>
    <w:rsid w:val="001F6CBD"/>
    <w:rsid w:val="00221CA1"/>
    <w:rsid w:val="00233A1C"/>
    <w:rsid w:val="00236125"/>
    <w:rsid w:val="0024348B"/>
    <w:rsid w:val="002438BE"/>
    <w:rsid w:val="00244958"/>
    <w:rsid w:val="002475FB"/>
    <w:rsid w:val="0025282A"/>
    <w:rsid w:val="002675E7"/>
    <w:rsid w:val="0027124C"/>
    <w:rsid w:val="00275F4F"/>
    <w:rsid w:val="00282D09"/>
    <w:rsid w:val="002909D0"/>
    <w:rsid w:val="00292461"/>
    <w:rsid w:val="00295835"/>
    <w:rsid w:val="002A233B"/>
    <w:rsid w:val="002B2F50"/>
    <w:rsid w:val="002B36D1"/>
    <w:rsid w:val="002B5177"/>
    <w:rsid w:val="002B7A05"/>
    <w:rsid w:val="002C17CD"/>
    <w:rsid w:val="002C2298"/>
    <w:rsid w:val="002D4FAD"/>
    <w:rsid w:val="002D6202"/>
    <w:rsid w:val="002E2E8D"/>
    <w:rsid w:val="002F4419"/>
    <w:rsid w:val="00311829"/>
    <w:rsid w:val="003152CA"/>
    <w:rsid w:val="0031550E"/>
    <w:rsid w:val="00320AE8"/>
    <w:rsid w:val="00346740"/>
    <w:rsid w:val="00355AF0"/>
    <w:rsid w:val="0037729D"/>
    <w:rsid w:val="00384BA6"/>
    <w:rsid w:val="00385438"/>
    <w:rsid w:val="00386AE2"/>
    <w:rsid w:val="0039125F"/>
    <w:rsid w:val="00391DCA"/>
    <w:rsid w:val="003973A6"/>
    <w:rsid w:val="003A0195"/>
    <w:rsid w:val="003B45EE"/>
    <w:rsid w:val="003C1D28"/>
    <w:rsid w:val="003C3EE1"/>
    <w:rsid w:val="003C5DB7"/>
    <w:rsid w:val="003D504A"/>
    <w:rsid w:val="003D6B1A"/>
    <w:rsid w:val="003E78AB"/>
    <w:rsid w:val="003F17F7"/>
    <w:rsid w:val="003F4DD8"/>
    <w:rsid w:val="004035A8"/>
    <w:rsid w:val="004073AD"/>
    <w:rsid w:val="00410B50"/>
    <w:rsid w:val="00422A20"/>
    <w:rsid w:val="0043468E"/>
    <w:rsid w:val="00435557"/>
    <w:rsid w:val="00441356"/>
    <w:rsid w:val="00446BD5"/>
    <w:rsid w:val="00460F4C"/>
    <w:rsid w:val="00466AD5"/>
    <w:rsid w:val="00477F0B"/>
    <w:rsid w:val="0048151C"/>
    <w:rsid w:val="00490D04"/>
    <w:rsid w:val="004A01C6"/>
    <w:rsid w:val="004B4013"/>
    <w:rsid w:val="004B7475"/>
    <w:rsid w:val="004C2157"/>
    <w:rsid w:val="004C7324"/>
    <w:rsid w:val="004D323C"/>
    <w:rsid w:val="004D5E7E"/>
    <w:rsid w:val="004D7409"/>
    <w:rsid w:val="004E0EBE"/>
    <w:rsid w:val="004E36FC"/>
    <w:rsid w:val="004E5C11"/>
    <w:rsid w:val="004F0B47"/>
    <w:rsid w:val="004F1F39"/>
    <w:rsid w:val="004F73A5"/>
    <w:rsid w:val="005075D4"/>
    <w:rsid w:val="0052224F"/>
    <w:rsid w:val="00524003"/>
    <w:rsid w:val="005274F5"/>
    <w:rsid w:val="00534F66"/>
    <w:rsid w:val="0053711C"/>
    <w:rsid w:val="00543381"/>
    <w:rsid w:val="0055023E"/>
    <w:rsid w:val="0055491A"/>
    <w:rsid w:val="00573D99"/>
    <w:rsid w:val="00574C0B"/>
    <w:rsid w:val="005766B0"/>
    <w:rsid w:val="00581019"/>
    <w:rsid w:val="005826E0"/>
    <w:rsid w:val="0059082A"/>
    <w:rsid w:val="00594D33"/>
    <w:rsid w:val="005A3D5D"/>
    <w:rsid w:val="005A67E3"/>
    <w:rsid w:val="005B1046"/>
    <w:rsid w:val="005B7CB2"/>
    <w:rsid w:val="005C21D5"/>
    <w:rsid w:val="005D39B9"/>
    <w:rsid w:val="005D7A71"/>
    <w:rsid w:val="005E2F6F"/>
    <w:rsid w:val="005E681D"/>
    <w:rsid w:val="005F2366"/>
    <w:rsid w:val="005F35E9"/>
    <w:rsid w:val="00606622"/>
    <w:rsid w:val="00616530"/>
    <w:rsid w:val="00617092"/>
    <w:rsid w:val="00642662"/>
    <w:rsid w:val="00642C2A"/>
    <w:rsid w:val="0064639A"/>
    <w:rsid w:val="00650EC1"/>
    <w:rsid w:val="006679E5"/>
    <w:rsid w:val="0067303F"/>
    <w:rsid w:val="0068626A"/>
    <w:rsid w:val="00692AD4"/>
    <w:rsid w:val="00693D76"/>
    <w:rsid w:val="00693FF6"/>
    <w:rsid w:val="00697B17"/>
    <w:rsid w:val="006A4076"/>
    <w:rsid w:val="006B26B8"/>
    <w:rsid w:val="006D216B"/>
    <w:rsid w:val="006D3036"/>
    <w:rsid w:val="006D5E11"/>
    <w:rsid w:val="006E3865"/>
    <w:rsid w:val="006F6527"/>
    <w:rsid w:val="00704BE5"/>
    <w:rsid w:val="007074EC"/>
    <w:rsid w:val="00712DB8"/>
    <w:rsid w:val="00725830"/>
    <w:rsid w:val="0073262C"/>
    <w:rsid w:val="0073284E"/>
    <w:rsid w:val="00733F66"/>
    <w:rsid w:val="00741586"/>
    <w:rsid w:val="00743FF4"/>
    <w:rsid w:val="00744E35"/>
    <w:rsid w:val="00745FEB"/>
    <w:rsid w:val="00747E94"/>
    <w:rsid w:val="00751B9F"/>
    <w:rsid w:val="00751D61"/>
    <w:rsid w:val="00753BC0"/>
    <w:rsid w:val="00772B79"/>
    <w:rsid w:val="007742BE"/>
    <w:rsid w:val="007833D5"/>
    <w:rsid w:val="00790473"/>
    <w:rsid w:val="00794C8B"/>
    <w:rsid w:val="007A648B"/>
    <w:rsid w:val="007B23E1"/>
    <w:rsid w:val="007C5E09"/>
    <w:rsid w:val="007C5E52"/>
    <w:rsid w:val="007D1533"/>
    <w:rsid w:val="007D3629"/>
    <w:rsid w:val="007D79F8"/>
    <w:rsid w:val="007D7E73"/>
    <w:rsid w:val="007E3044"/>
    <w:rsid w:val="007E567C"/>
    <w:rsid w:val="007E5D06"/>
    <w:rsid w:val="007F4069"/>
    <w:rsid w:val="007F548A"/>
    <w:rsid w:val="007F6CD8"/>
    <w:rsid w:val="008075C2"/>
    <w:rsid w:val="00810ABA"/>
    <w:rsid w:val="0081103D"/>
    <w:rsid w:val="00822029"/>
    <w:rsid w:val="00827C88"/>
    <w:rsid w:val="008344D0"/>
    <w:rsid w:val="0083794C"/>
    <w:rsid w:val="00842320"/>
    <w:rsid w:val="00846C44"/>
    <w:rsid w:val="00850380"/>
    <w:rsid w:val="00860409"/>
    <w:rsid w:val="0086090E"/>
    <w:rsid w:val="0086321D"/>
    <w:rsid w:val="00891A56"/>
    <w:rsid w:val="008A32D7"/>
    <w:rsid w:val="008A74C9"/>
    <w:rsid w:val="008C41A9"/>
    <w:rsid w:val="008C4FA1"/>
    <w:rsid w:val="008C6477"/>
    <w:rsid w:val="008D64EE"/>
    <w:rsid w:val="008E705C"/>
    <w:rsid w:val="008F57B7"/>
    <w:rsid w:val="008F7943"/>
    <w:rsid w:val="00901F70"/>
    <w:rsid w:val="00902B97"/>
    <w:rsid w:val="00902DBC"/>
    <w:rsid w:val="0091450A"/>
    <w:rsid w:val="00917347"/>
    <w:rsid w:val="0093692D"/>
    <w:rsid w:val="00936EEF"/>
    <w:rsid w:val="00946AB1"/>
    <w:rsid w:val="00950A08"/>
    <w:rsid w:val="009521C2"/>
    <w:rsid w:val="0095408B"/>
    <w:rsid w:val="00963913"/>
    <w:rsid w:val="00964ECF"/>
    <w:rsid w:val="00965179"/>
    <w:rsid w:val="00965641"/>
    <w:rsid w:val="009816DE"/>
    <w:rsid w:val="00983660"/>
    <w:rsid w:val="0098385E"/>
    <w:rsid w:val="00997769"/>
    <w:rsid w:val="009A31A4"/>
    <w:rsid w:val="009A6505"/>
    <w:rsid w:val="009A68D2"/>
    <w:rsid w:val="009B5A5B"/>
    <w:rsid w:val="009B6B88"/>
    <w:rsid w:val="009B7032"/>
    <w:rsid w:val="009C01AF"/>
    <w:rsid w:val="009C5D27"/>
    <w:rsid w:val="009D1E22"/>
    <w:rsid w:val="009D259E"/>
    <w:rsid w:val="009D3F1A"/>
    <w:rsid w:val="009E5324"/>
    <w:rsid w:val="009E541A"/>
    <w:rsid w:val="009E7A15"/>
    <w:rsid w:val="009F4C35"/>
    <w:rsid w:val="00A00789"/>
    <w:rsid w:val="00A05B9E"/>
    <w:rsid w:val="00A1254D"/>
    <w:rsid w:val="00A131C2"/>
    <w:rsid w:val="00A23A2E"/>
    <w:rsid w:val="00A256C3"/>
    <w:rsid w:val="00A32FA2"/>
    <w:rsid w:val="00A34EEF"/>
    <w:rsid w:val="00A37D23"/>
    <w:rsid w:val="00A452F2"/>
    <w:rsid w:val="00A47A4D"/>
    <w:rsid w:val="00A47F0D"/>
    <w:rsid w:val="00A51E0B"/>
    <w:rsid w:val="00A528B4"/>
    <w:rsid w:val="00A5365D"/>
    <w:rsid w:val="00A567DE"/>
    <w:rsid w:val="00A56EE8"/>
    <w:rsid w:val="00A7779A"/>
    <w:rsid w:val="00A777CF"/>
    <w:rsid w:val="00A8718F"/>
    <w:rsid w:val="00A919F1"/>
    <w:rsid w:val="00AA2723"/>
    <w:rsid w:val="00AC0F1F"/>
    <w:rsid w:val="00AC157B"/>
    <w:rsid w:val="00AC2516"/>
    <w:rsid w:val="00AD0C9B"/>
    <w:rsid w:val="00AD1B16"/>
    <w:rsid w:val="00AD3B85"/>
    <w:rsid w:val="00AF3A7B"/>
    <w:rsid w:val="00B002EE"/>
    <w:rsid w:val="00B05B0F"/>
    <w:rsid w:val="00B106ED"/>
    <w:rsid w:val="00B270A3"/>
    <w:rsid w:val="00B322E8"/>
    <w:rsid w:val="00B40D4B"/>
    <w:rsid w:val="00B41182"/>
    <w:rsid w:val="00B4151C"/>
    <w:rsid w:val="00B63957"/>
    <w:rsid w:val="00B80B1C"/>
    <w:rsid w:val="00B81642"/>
    <w:rsid w:val="00B90A5D"/>
    <w:rsid w:val="00B90F62"/>
    <w:rsid w:val="00BA34F7"/>
    <w:rsid w:val="00BA4548"/>
    <w:rsid w:val="00BB2487"/>
    <w:rsid w:val="00BB390F"/>
    <w:rsid w:val="00BB5ACC"/>
    <w:rsid w:val="00BB6494"/>
    <w:rsid w:val="00BD2B9D"/>
    <w:rsid w:val="00BE3351"/>
    <w:rsid w:val="00BF099C"/>
    <w:rsid w:val="00C07D23"/>
    <w:rsid w:val="00C138D4"/>
    <w:rsid w:val="00C13CBC"/>
    <w:rsid w:val="00C14B41"/>
    <w:rsid w:val="00C14FAE"/>
    <w:rsid w:val="00C17956"/>
    <w:rsid w:val="00C332D6"/>
    <w:rsid w:val="00C35F02"/>
    <w:rsid w:val="00C6072C"/>
    <w:rsid w:val="00C62BDA"/>
    <w:rsid w:val="00C73F70"/>
    <w:rsid w:val="00C74503"/>
    <w:rsid w:val="00C753DC"/>
    <w:rsid w:val="00C8102F"/>
    <w:rsid w:val="00C81E74"/>
    <w:rsid w:val="00C86741"/>
    <w:rsid w:val="00CB54E6"/>
    <w:rsid w:val="00CC15B1"/>
    <w:rsid w:val="00CC374C"/>
    <w:rsid w:val="00CD0771"/>
    <w:rsid w:val="00CD439C"/>
    <w:rsid w:val="00CE3176"/>
    <w:rsid w:val="00CE54BF"/>
    <w:rsid w:val="00CF5C4E"/>
    <w:rsid w:val="00D04A4A"/>
    <w:rsid w:val="00D06232"/>
    <w:rsid w:val="00D0665E"/>
    <w:rsid w:val="00D06EF8"/>
    <w:rsid w:val="00D11285"/>
    <w:rsid w:val="00D11FF9"/>
    <w:rsid w:val="00D179C8"/>
    <w:rsid w:val="00D32A48"/>
    <w:rsid w:val="00D330BF"/>
    <w:rsid w:val="00D3494C"/>
    <w:rsid w:val="00D36790"/>
    <w:rsid w:val="00D403B9"/>
    <w:rsid w:val="00D40776"/>
    <w:rsid w:val="00D469C1"/>
    <w:rsid w:val="00D5618B"/>
    <w:rsid w:val="00D62990"/>
    <w:rsid w:val="00D70A5F"/>
    <w:rsid w:val="00D74B90"/>
    <w:rsid w:val="00D82111"/>
    <w:rsid w:val="00D8261B"/>
    <w:rsid w:val="00D97930"/>
    <w:rsid w:val="00DA2CEE"/>
    <w:rsid w:val="00DA7EBB"/>
    <w:rsid w:val="00DB050F"/>
    <w:rsid w:val="00DB0DCB"/>
    <w:rsid w:val="00DB4B02"/>
    <w:rsid w:val="00DB71C8"/>
    <w:rsid w:val="00DC1594"/>
    <w:rsid w:val="00DD0D6A"/>
    <w:rsid w:val="00DD1915"/>
    <w:rsid w:val="00DE5024"/>
    <w:rsid w:val="00DF08E3"/>
    <w:rsid w:val="00E22484"/>
    <w:rsid w:val="00E30C83"/>
    <w:rsid w:val="00E335E9"/>
    <w:rsid w:val="00E47F54"/>
    <w:rsid w:val="00E51EB9"/>
    <w:rsid w:val="00E539C2"/>
    <w:rsid w:val="00E567B4"/>
    <w:rsid w:val="00E6496E"/>
    <w:rsid w:val="00E713AD"/>
    <w:rsid w:val="00E752C6"/>
    <w:rsid w:val="00E8112B"/>
    <w:rsid w:val="00E843B9"/>
    <w:rsid w:val="00EB6270"/>
    <w:rsid w:val="00EC01A1"/>
    <w:rsid w:val="00EC40B9"/>
    <w:rsid w:val="00ED6282"/>
    <w:rsid w:val="00EF4DD2"/>
    <w:rsid w:val="00EF7ED6"/>
    <w:rsid w:val="00F015BE"/>
    <w:rsid w:val="00F04628"/>
    <w:rsid w:val="00F15EEA"/>
    <w:rsid w:val="00F23100"/>
    <w:rsid w:val="00F254C1"/>
    <w:rsid w:val="00F4288C"/>
    <w:rsid w:val="00F50EFF"/>
    <w:rsid w:val="00F56098"/>
    <w:rsid w:val="00F623AA"/>
    <w:rsid w:val="00F8138E"/>
    <w:rsid w:val="00F83814"/>
    <w:rsid w:val="00F905E6"/>
    <w:rsid w:val="00F91912"/>
    <w:rsid w:val="00FA0678"/>
    <w:rsid w:val="00FA2F16"/>
    <w:rsid w:val="00FC5451"/>
    <w:rsid w:val="00FD487E"/>
    <w:rsid w:val="00FE03F2"/>
    <w:rsid w:val="00FE3153"/>
    <w:rsid w:val="00FF2E1F"/>
    <w:rsid w:val="109936C0"/>
    <w:rsid w:val="212B1559"/>
    <w:rsid w:val="263827F9"/>
    <w:rsid w:val="29362612"/>
    <w:rsid w:val="458F382B"/>
    <w:rsid w:val="785B21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8"/>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40"/>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4"/>
    <w:semiHidden/>
    <w:unhideWhenUsed/>
    <w:uiPriority w:val="99"/>
    <w:pPr>
      <w:ind w:left="100" w:leftChars="2500"/>
    </w:pPr>
  </w:style>
  <w:style w:type="paragraph" w:styleId="5">
    <w:name w:val="Balloon Text"/>
    <w:basedOn w:val="1"/>
    <w:link w:val="45"/>
    <w:semiHidden/>
    <w:unhideWhenUsed/>
    <w:uiPriority w:val="99"/>
    <w:pPr>
      <w:spacing w:line="240" w:lineRule="auto"/>
    </w:pPr>
    <w:rPr>
      <w:sz w:val="18"/>
      <w:szCs w:val="18"/>
    </w:rPr>
  </w:style>
  <w:style w:type="paragraph" w:styleId="6">
    <w:name w:val="footer"/>
    <w:basedOn w:val="1"/>
    <w:link w:val="16"/>
    <w:unhideWhenUsed/>
    <w:uiPriority w:val="99"/>
    <w:pPr>
      <w:tabs>
        <w:tab w:val="center" w:pos="4153"/>
        <w:tab w:val="right" w:pos="8306"/>
      </w:tabs>
      <w:snapToGrid w:val="0"/>
      <w:spacing w:line="240" w:lineRule="atLeast"/>
      <w:jc w:val="left"/>
    </w:pPr>
    <w:rPr>
      <w:sz w:val="18"/>
      <w:szCs w:val="18"/>
    </w:rPr>
  </w:style>
  <w:style w:type="paragraph" w:styleId="7">
    <w:name w:val="header"/>
    <w:basedOn w:val="1"/>
    <w:link w:val="15"/>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toc 1"/>
    <w:basedOn w:val="1"/>
    <w:next w:val="1"/>
    <w:autoRedefine/>
    <w:unhideWhenUsed/>
    <w:uiPriority w:val="39"/>
    <w:pPr>
      <w:tabs>
        <w:tab w:val="right" w:leader="dot" w:pos="8296"/>
      </w:tabs>
      <w:ind w:firstLine="480"/>
    </w:pPr>
    <w:rPr>
      <w:rFonts w:ascii="黑体" w:hAnsi="黑体" w:eastAsia="黑体"/>
    </w:rPr>
  </w:style>
  <w:style w:type="paragraph" w:styleId="9">
    <w:name w:val="toc 2"/>
    <w:basedOn w:val="1"/>
    <w:next w:val="1"/>
    <w:autoRedefine/>
    <w:unhideWhenUsed/>
    <w:uiPriority w:val="39"/>
    <w:pPr>
      <w:ind w:left="420" w:leftChars="200"/>
    </w:pPr>
  </w:style>
  <w:style w:type="table" w:styleId="11">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uiPriority w:val="0"/>
    <w:rPr>
      <w:rFonts w:ascii="Times New Roman" w:hAnsi="Times New Roman" w:eastAsia="宋体"/>
      <w:sz w:val="18"/>
    </w:rPr>
  </w:style>
  <w:style w:type="character" w:styleId="14">
    <w:name w:val="Hyperlink"/>
    <w:basedOn w:val="12"/>
    <w:unhideWhenUsed/>
    <w:uiPriority w:val="99"/>
    <w:rPr>
      <w:color w:val="0563C1" w:themeColor="hyperlink"/>
      <w:u w:val="single"/>
    </w:rPr>
  </w:style>
  <w:style w:type="character" w:customStyle="1" w:styleId="15">
    <w:name w:val="页眉 字符"/>
    <w:basedOn w:val="12"/>
    <w:link w:val="7"/>
    <w:uiPriority w:val="99"/>
    <w:rPr>
      <w:rFonts w:ascii="Times New Roman" w:hAnsi="Times New Roman"/>
      <w:sz w:val="18"/>
      <w:szCs w:val="18"/>
    </w:rPr>
  </w:style>
  <w:style w:type="character" w:customStyle="1" w:styleId="16">
    <w:name w:val="页脚 字符"/>
    <w:basedOn w:val="12"/>
    <w:link w:val="6"/>
    <w:uiPriority w:val="99"/>
    <w:rPr>
      <w:rFonts w:ascii="Times New Roman" w:hAnsi="Times New Roman"/>
      <w:sz w:val="18"/>
      <w:szCs w:val="18"/>
    </w:rPr>
  </w:style>
  <w:style w:type="paragraph" w:customStyle="1" w:styleId="17">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18">
    <w:name w:val="标题 1 字符"/>
    <w:basedOn w:val="12"/>
    <w:link w:val="2"/>
    <w:uiPriority w:val="9"/>
    <w:rPr>
      <w:rFonts w:ascii="Times New Roman" w:hAnsi="Times New Roman"/>
      <w:b/>
      <w:bCs/>
      <w:kern w:val="44"/>
      <w:sz w:val="44"/>
      <w:szCs w:val="44"/>
    </w:rPr>
  </w:style>
  <w:style w:type="paragraph" w:customStyle="1" w:styleId="19">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496" w:themeColor="accent1" w:themeShade="BF"/>
      <w:kern w:val="0"/>
      <w:sz w:val="32"/>
      <w:szCs w:val="32"/>
    </w:rPr>
  </w:style>
  <w:style w:type="table" w:customStyle="1" w:styleId="20">
    <w:name w:val="网格表 1 浅色1"/>
    <w:basedOn w:val="10"/>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1">
    <w:name w:val="List Paragraph"/>
    <w:basedOn w:val="1"/>
    <w:uiPriority w:val="99"/>
    <w:pPr>
      <w:ind w:firstLine="420"/>
    </w:pPr>
  </w:style>
  <w:style w:type="paragraph" w:customStyle="1" w:styleId="22">
    <w:name w:val="标准书脚_偶数页"/>
    <w:uiPriority w:val="0"/>
    <w:pPr>
      <w:spacing w:before="120"/>
    </w:pPr>
    <w:rPr>
      <w:rFonts w:ascii="Times New Roman" w:hAnsi="Times New Roman" w:eastAsia="宋体" w:cs="Times New Roman"/>
      <w:sz w:val="18"/>
      <w:lang w:val="en-US" w:eastAsia="zh-CN" w:bidi="ar-SA"/>
    </w:rPr>
  </w:style>
  <w:style w:type="paragraph" w:customStyle="1" w:styleId="23">
    <w:name w:val="标准书眉_偶数页"/>
    <w:basedOn w:val="1"/>
    <w:next w:val="1"/>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4">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25">
    <w:name w:val="发布"/>
    <w:uiPriority w:val="0"/>
    <w:rPr>
      <w:rFonts w:ascii="黑体" w:eastAsia="黑体"/>
      <w:spacing w:val="85"/>
      <w:w w:val="100"/>
      <w:position w:val="3"/>
      <w:sz w:val="28"/>
      <w:szCs w:val="28"/>
    </w:rPr>
  </w:style>
  <w:style w:type="paragraph" w:customStyle="1" w:styleId="26">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7">
    <w:name w:val="封面标准英文名称"/>
    <w:basedOn w:val="1"/>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8">
    <w:name w:val="封面一致性程度标识"/>
    <w:basedOn w:val="27"/>
    <w:uiPriority w:val="0"/>
    <w:pPr>
      <w:framePr w:wrap="around"/>
      <w:spacing w:before="440"/>
    </w:pPr>
    <w:rPr>
      <w:rFonts w:ascii="宋体" w:eastAsia="宋体"/>
    </w:rPr>
  </w:style>
  <w:style w:type="paragraph" w:customStyle="1" w:styleId="29">
    <w:name w:val="封面标准文稿类别"/>
    <w:basedOn w:val="28"/>
    <w:uiPriority w:val="0"/>
    <w:pPr>
      <w:framePr w:wrap="around"/>
      <w:spacing w:after="160" w:line="240" w:lineRule="auto"/>
    </w:pPr>
    <w:rPr>
      <w:sz w:val="24"/>
    </w:rPr>
  </w:style>
  <w:style w:type="paragraph" w:customStyle="1" w:styleId="30">
    <w:name w:val="封面标准文稿编辑信息"/>
    <w:basedOn w:val="29"/>
    <w:uiPriority w:val="0"/>
    <w:pPr>
      <w:framePr w:wrap="around"/>
      <w:spacing w:before="180" w:line="180" w:lineRule="exact"/>
    </w:pPr>
    <w:rPr>
      <w:sz w:val="21"/>
    </w:rPr>
  </w:style>
  <w:style w:type="paragraph" w:customStyle="1" w:styleId="31">
    <w:name w:val="其他标准标志"/>
    <w:basedOn w:val="1"/>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2">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3">
    <w:name w:val="其他发布部门"/>
    <w:basedOn w:val="1"/>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4">
    <w:name w:val="文献分类号"/>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5">
    <w:name w:val="其他发布日期"/>
    <w:basedOn w:val="1"/>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6">
    <w:name w:val="其他实施日期"/>
    <w:basedOn w:val="1"/>
    <w:qFormat/>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7">
    <w:name w:val="tran"/>
    <w:basedOn w:val="12"/>
    <w:uiPriority w:val="0"/>
  </w:style>
  <w:style w:type="character" w:customStyle="1" w:styleId="38">
    <w:name w:val="ts-alignment-element"/>
    <w:basedOn w:val="12"/>
    <w:uiPriority w:val="0"/>
  </w:style>
  <w:style w:type="character" w:customStyle="1" w:styleId="39">
    <w:name w:val="markedcontent"/>
    <w:basedOn w:val="12"/>
    <w:uiPriority w:val="0"/>
  </w:style>
  <w:style w:type="character" w:customStyle="1" w:styleId="40">
    <w:name w:val="标题 4 字符"/>
    <w:basedOn w:val="12"/>
    <w:link w:val="3"/>
    <w:semiHidden/>
    <w:uiPriority w:val="9"/>
    <w:rPr>
      <w:rFonts w:asciiTheme="majorHAnsi" w:hAnsiTheme="majorHAnsi" w:eastAsiaTheme="majorEastAsia" w:cstheme="majorBidi"/>
      <w:b/>
      <w:bCs/>
      <w:sz w:val="28"/>
      <w:szCs w:val="28"/>
    </w:rPr>
  </w:style>
  <w:style w:type="paragraph" w:customStyle="1" w:styleId="41">
    <w:name w:val="样式1"/>
    <w:basedOn w:val="1"/>
    <w:link w:val="42"/>
    <w:qFormat/>
    <w:uiPriority w:val="0"/>
    <w:rPr>
      <w:rFonts w:eastAsia="宋体"/>
      <w:sz w:val="28"/>
      <w:szCs w:val="32"/>
    </w:rPr>
  </w:style>
  <w:style w:type="character" w:customStyle="1" w:styleId="42">
    <w:name w:val="样式1 字符"/>
    <w:basedOn w:val="12"/>
    <w:link w:val="41"/>
    <w:qFormat/>
    <w:uiPriority w:val="0"/>
    <w:rPr>
      <w:rFonts w:ascii="Times New Roman" w:hAnsi="Times New Roman" w:eastAsia="宋体"/>
      <w:sz w:val="28"/>
      <w:szCs w:val="32"/>
    </w:rPr>
  </w:style>
  <w:style w:type="paragraph" w:styleId="43">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4">
    <w:name w:val="日期 字符"/>
    <w:basedOn w:val="12"/>
    <w:link w:val="4"/>
    <w:semiHidden/>
    <w:uiPriority w:val="99"/>
    <w:rPr>
      <w:rFonts w:ascii="Times New Roman" w:hAnsi="Times New Roman"/>
      <w:sz w:val="24"/>
    </w:rPr>
  </w:style>
  <w:style w:type="character" w:customStyle="1" w:styleId="45">
    <w:name w:val="批注框文本 字符"/>
    <w:basedOn w:val="12"/>
    <w:link w:val="5"/>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4041</Words>
  <Characters>4825</Characters>
  <Lines>43</Lines>
  <Paragraphs>12</Paragraphs>
  <TotalTime>0</TotalTime>
  <ScaleCrop>false</ScaleCrop>
  <LinksUpToDate>false</LinksUpToDate>
  <CharactersWithSpaces>5243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2025-07-25T03:54:06Z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ProductBuildVer">
    <vt:lpwstr>2052-12.1.0.21541</vt:lpwstr>
  </property>
  <property fmtid="{D5CDD505-2E9C-101B-9397-08002B2CF9AE}" pid="4" name="ICV">
    <vt:lpwstr>10EB1AD70DC7473A8EB09C5566E7D8C6_13</vt:lpwstr>
  </property>
  <property fmtid="{D5CDD505-2E9C-101B-9397-08002B2CF9AE}" pid="5" name="KSOTemplateDocerSaveRecord">
    <vt:lpwstr>eyJoZGlkIjoiNjdmZjZhOGI5OGMyYTZmYjczNzA3NmZkYWRhM2VmZWEiLCJ1c2VySWQiOiIxMTM5NzgwNjAwIn0=</vt:lpwstr>
  </property>
</Properties>
</file>