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DA9473"/>
    <w:p w14:paraId="4C22F9C1">
      <w:pPr>
        <w:rPr>
          <w:rFonts w:hint="eastAsia" w:ascii="宋体" w:hAnsi="宋体" w:eastAsia="仿宋"/>
          <w:sz w:val="30"/>
          <w:szCs w:val="30"/>
        </w:rPr>
      </w:pPr>
    </w:p>
    <w:p w14:paraId="5C34E3F6">
      <w:pPr>
        <w:rPr>
          <w:rFonts w:hint="eastAsia" w:ascii="宋体" w:hAnsi="宋体" w:eastAsia="仿宋"/>
          <w:sz w:val="44"/>
          <w:szCs w:val="44"/>
        </w:rPr>
      </w:pPr>
    </w:p>
    <w:p w14:paraId="33BA0DD6">
      <w:pPr>
        <w:rPr>
          <w:rFonts w:hint="eastAsia" w:ascii="宋体" w:hAnsi="宋体" w:eastAsia="仿宋"/>
          <w:sz w:val="44"/>
          <w:szCs w:val="44"/>
        </w:rPr>
      </w:pPr>
    </w:p>
    <w:p w14:paraId="3743B07A">
      <w:pPr>
        <w:spacing w:line="240" w:lineRule="auto"/>
        <w:rPr>
          <w:rFonts w:hint="eastAsia" w:ascii="宋体" w:hAnsi="宋体" w:eastAsia="仿宋"/>
          <w:sz w:val="44"/>
          <w:szCs w:val="44"/>
        </w:rPr>
      </w:pPr>
    </w:p>
    <w:p w14:paraId="45E1B039">
      <w:pPr>
        <w:spacing w:line="240" w:lineRule="auto"/>
        <w:jc w:val="center"/>
        <w:rPr>
          <w:rFonts w:hint="eastAsia" w:ascii="宋体" w:hAnsi="宋体" w:eastAsia="方正小标宋简体"/>
          <w:sz w:val="40"/>
          <w:szCs w:val="40"/>
        </w:rPr>
      </w:pPr>
      <w:bookmarkStart w:id="0" w:name="_Toc2085077807_WPSOffice_Level2"/>
      <w:r>
        <w:rPr>
          <w:rFonts w:hint="eastAsia" w:ascii="宋体" w:hAnsi="宋体" w:eastAsia="方正小标宋简体"/>
          <w:sz w:val="40"/>
          <w:szCs w:val="40"/>
        </w:rPr>
        <w:t>《</w:t>
      </w:r>
      <w:r>
        <w:rPr>
          <w:rFonts w:hint="eastAsia" w:ascii="宋体" w:hAnsi="宋体" w:eastAsia="方正小标宋简体"/>
          <w:sz w:val="40"/>
          <w:szCs w:val="40"/>
          <w:lang w:val="en-US" w:eastAsia="zh-CN"/>
        </w:rPr>
        <w:t>安全风险分级管控和隐患排查治理运行提升规范</w:t>
      </w:r>
      <w:r>
        <w:rPr>
          <w:rFonts w:hint="eastAsia" w:ascii="宋体" w:hAnsi="宋体" w:eastAsia="方正小标宋简体"/>
          <w:sz w:val="40"/>
          <w:szCs w:val="40"/>
        </w:rPr>
        <w:t>》</w:t>
      </w:r>
    </w:p>
    <w:p w14:paraId="145AECC3">
      <w:pPr>
        <w:spacing w:line="240" w:lineRule="auto"/>
        <w:jc w:val="center"/>
        <w:rPr>
          <w:rFonts w:hint="eastAsia" w:ascii="宋体" w:hAnsi="宋体" w:eastAsia="仿宋_GB2312"/>
          <w:sz w:val="32"/>
          <w:szCs w:val="32"/>
        </w:rPr>
      </w:pPr>
    </w:p>
    <w:p w14:paraId="76995D77">
      <w:pPr>
        <w:spacing w:line="240" w:lineRule="auto"/>
        <w:jc w:val="center"/>
        <w:rPr>
          <w:rFonts w:hint="eastAsia" w:ascii="宋体" w:hAnsi="宋体" w:eastAsia="仿宋_GB2312"/>
          <w:sz w:val="32"/>
          <w:szCs w:val="32"/>
        </w:rPr>
      </w:pPr>
    </w:p>
    <w:p w14:paraId="1C831A1C">
      <w:pPr>
        <w:spacing w:line="240" w:lineRule="auto"/>
        <w:jc w:val="center"/>
        <w:rPr>
          <w:rFonts w:hint="eastAsia" w:ascii="宋体" w:hAnsi="宋体" w:eastAsia="仿宋_GB2312"/>
          <w:sz w:val="32"/>
          <w:szCs w:val="32"/>
        </w:rPr>
      </w:pPr>
      <w:r>
        <w:rPr>
          <w:rFonts w:hint="eastAsia" w:ascii="宋体" w:hAnsi="宋体" w:eastAsia="仿宋_GB2312"/>
          <w:sz w:val="32"/>
          <w:szCs w:val="32"/>
        </w:rPr>
        <w:t>（</w:t>
      </w:r>
      <w:r>
        <w:rPr>
          <w:rFonts w:hint="eastAsia" w:ascii="宋体" w:hAnsi="宋体" w:eastAsia="仿宋_GB2312"/>
          <w:sz w:val="32"/>
          <w:szCs w:val="32"/>
          <w:lang w:eastAsia="zh-CN"/>
        </w:rPr>
        <w:t>☑</w:t>
      </w:r>
      <w:r>
        <w:rPr>
          <w:rFonts w:hint="eastAsia" w:ascii="宋体" w:hAnsi="宋体" w:eastAsia="仿宋_GB2312"/>
          <w:sz w:val="32"/>
          <w:szCs w:val="32"/>
        </w:rPr>
        <w:t>征求意见稿□送审稿□报批稿）</w:t>
      </w:r>
    </w:p>
    <w:p w14:paraId="192D3DEF">
      <w:pPr>
        <w:spacing w:line="240" w:lineRule="auto"/>
        <w:jc w:val="center"/>
        <w:rPr>
          <w:rFonts w:hint="eastAsia" w:ascii="宋体" w:hAnsi="宋体" w:eastAsia="方正小标宋简体"/>
          <w:sz w:val="44"/>
          <w:szCs w:val="44"/>
        </w:rPr>
      </w:pPr>
    </w:p>
    <w:p w14:paraId="44C8632E">
      <w:pPr>
        <w:spacing w:line="240" w:lineRule="auto"/>
        <w:jc w:val="center"/>
        <w:rPr>
          <w:rFonts w:hint="eastAsia" w:ascii="宋体" w:hAnsi="宋体" w:eastAsia="方正小标宋简体"/>
          <w:sz w:val="44"/>
          <w:szCs w:val="44"/>
        </w:rPr>
      </w:pPr>
    </w:p>
    <w:p w14:paraId="0CD57E42">
      <w:pPr>
        <w:spacing w:line="240" w:lineRule="auto"/>
        <w:jc w:val="center"/>
        <w:rPr>
          <w:rFonts w:hint="eastAsia" w:ascii="宋体" w:hAnsi="宋体" w:eastAsia="黑体" w:cs="黑体"/>
          <w:sz w:val="44"/>
          <w:szCs w:val="44"/>
        </w:rPr>
      </w:pPr>
      <w:r>
        <w:rPr>
          <w:rFonts w:hint="eastAsia" w:ascii="宋体" w:hAnsi="宋体" w:eastAsia="黑体" w:cs="黑体"/>
          <w:sz w:val="44"/>
          <w:szCs w:val="44"/>
        </w:rPr>
        <w:t>编制说明</w:t>
      </w:r>
      <w:bookmarkEnd w:id="0"/>
    </w:p>
    <w:p w14:paraId="2EE27BFC">
      <w:pPr>
        <w:jc w:val="center"/>
        <w:rPr>
          <w:rFonts w:hint="eastAsia" w:ascii="宋体" w:hAnsi="宋体" w:eastAsia="仿宋"/>
          <w:b/>
          <w:bCs/>
          <w:i/>
          <w:iCs/>
          <w:sz w:val="28"/>
          <w:szCs w:val="28"/>
        </w:rPr>
      </w:pPr>
      <w:r>
        <w:rPr>
          <w:rFonts w:ascii="宋体" w:hAnsi="宋体" w:eastAsia="仿宋"/>
          <w:i/>
          <w:iCs/>
          <w:sz w:val="28"/>
          <w:szCs w:val="28"/>
        </w:rPr>
        <w:br w:type="textWrapping"/>
      </w:r>
    </w:p>
    <w:p w14:paraId="1BF0EDF0">
      <w:pPr>
        <w:jc w:val="center"/>
        <w:rPr>
          <w:rFonts w:hint="eastAsia" w:ascii="宋体" w:hAnsi="宋体" w:eastAsia="仿宋_GB2312"/>
          <w:i/>
          <w:iCs/>
          <w:sz w:val="28"/>
          <w:szCs w:val="28"/>
        </w:rPr>
      </w:pPr>
    </w:p>
    <w:p w14:paraId="3F7861A8">
      <w:pPr>
        <w:jc w:val="center"/>
        <w:rPr>
          <w:rFonts w:hint="eastAsia" w:ascii="宋体" w:hAnsi="宋体" w:eastAsia="仿宋_GB2312"/>
          <w:i/>
          <w:iCs/>
          <w:sz w:val="28"/>
          <w:szCs w:val="28"/>
        </w:rPr>
      </w:pPr>
    </w:p>
    <w:p w14:paraId="23F3E396">
      <w:pPr>
        <w:rPr>
          <w:rFonts w:hint="eastAsia" w:ascii="宋体" w:hAnsi="宋体" w:eastAsia="仿宋_GB2312"/>
          <w:i/>
          <w:iCs/>
          <w:sz w:val="28"/>
          <w:szCs w:val="28"/>
        </w:rPr>
      </w:pPr>
    </w:p>
    <w:p w14:paraId="22286B91">
      <w:pPr>
        <w:rPr>
          <w:rFonts w:hint="eastAsia" w:ascii="宋体" w:hAnsi="宋体" w:eastAsia="仿宋_GB2312"/>
          <w:i/>
          <w:iCs/>
          <w:sz w:val="28"/>
          <w:szCs w:val="28"/>
        </w:rPr>
      </w:pPr>
    </w:p>
    <w:p w14:paraId="60464DB8">
      <w:pPr>
        <w:rPr>
          <w:rFonts w:hint="eastAsia" w:ascii="宋体" w:hAnsi="宋体" w:eastAsia="仿宋_GB2312"/>
          <w:i/>
          <w:iCs/>
          <w:sz w:val="28"/>
          <w:szCs w:val="28"/>
        </w:rPr>
      </w:pPr>
    </w:p>
    <w:p w14:paraId="2613DD49">
      <w:pPr>
        <w:rPr>
          <w:rFonts w:hint="eastAsia" w:ascii="宋体" w:hAnsi="宋体" w:eastAsia="仿宋_GB2312"/>
          <w:i/>
          <w:iCs/>
          <w:sz w:val="28"/>
          <w:szCs w:val="28"/>
        </w:rPr>
      </w:pPr>
    </w:p>
    <w:p w14:paraId="6A44DEA0">
      <w:pPr>
        <w:jc w:val="center"/>
        <w:rPr>
          <w:rFonts w:hint="eastAsia" w:ascii="宋体" w:hAnsi="宋体" w:eastAsia="仿宋_GB2312"/>
          <w:i/>
          <w:iCs/>
          <w:sz w:val="28"/>
          <w:szCs w:val="28"/>
        </w:rPr>
      </w:pPr>
    </w:p>
    <w:p w14:paraId="67C15688">
      <w:pPr>
        <w:jc w:val="center"/>
        <w:rPr>
          <w:rFonts w:hint="eastAsia" w:ascii="宋体" w:hAnsi="宋体" w:eastAsia="仿宋_GB2312"/>
          <w:i/>
          <w:iCs/>
          <w:sz w:val="28"/>
          <w:szCs w:val="28"/>
        </w:rPr>
      </w:pPr>
    </w:p>
    <w:p w14:paraId="63137374">
      <w:pPr>
        <w:jc w:val="center"/>
        <w:rPr>
          <w:rFonts w:hint="eastAsia" w:ascii="宋体" w:hAnsi="宋体" w:eastAsia="仿宋_GB2312"/>
          <w:i/>
          <w:iCs/>
          <w:sz w:val="28"/>
          <w:szCs w:val="28"/>
        </w:rPr>
      </w:pPr>
    </w:p>
    <w:p w14:paraId="2137D890">
      <w:pPr>
        <w:jc w:val="center"/>
        <w:rPr>
          <w:rFonts w:hint="eastAsia" w:ascii="宋体" w:hAnsi="宋体" w:eastAsia="仿宋_GB2312"/>
          <w:i/>
          <w:iCs/>
          <w:sz w:val="28"/>
          <w:szCs w:val="28"/>
        </w:rPr>
      </w:pPr>
    </w:p>
    <w:p w14:paraId="7B244365">
      <w:pPr>
        <w:rPr>
          <w:rFonts w:hint="eastAsia" w:ascii="宋体" w:hAnsi="宋体" w:eastAsia="仿宋_GB2312"/>
          <w:sz w:val="28"/>
          <w:szCs w:val="28"/>
        </w:rPr>
      </w:pPr>
    </w:p>
    <w:p w14:paraId="2B4CD93E">
      <w:pPr>
        <w:jc w:val="center"/>
        <w:rPr>
          <w:rFonts w:hint="eastAsia" w:ascii="宋体" w:hAnsi="宋体" w:eastAsia="仿宋_GB2312" w:cs="仿宋_GB2312"/>
          <w:sz w:val="32"/>
          <w:szCs w:val="32"/>
        </w:rPr>
      </w:pPr>
      <w:r>
        <w:rPr>
          <w:rFonts w:hint="eastAsia" w:ascii="宋体" w:hAnsi="宋体" w:eastAsia="仿宋_GB2312" w:cs="仿宋_GB2312"/>
          <w:sz w:val="32"/>
          <w:szCs w:val="32"/>
        </w:rPr>
        <w:t>标准编制组</w:t>
      </w:r>
    </w:p>
    <w:p w14:paraId="257A124A">
      <w:pPr>
        <w:jc w:val="center"/>
        <w:rPr>
          <w:rFonts w:hint="eastAsia" w:ascii="宋体" w:hAnsi="宋体"/>
          <w:b/>
          <w:sz w:val="32"/>
          <w:szCs w:val="32"/>
        </w:rPr>
      </w:pPr>
      <w:r>
        <w:rPr>
          <w:rFonts w:hint="eastAsia" w:ascii="宋体" w:hAnsi="宋体" w:eastAsia="仿宋_GB2312" w:cs="仿宋_GB2312"/>
          <w:sz w:val="32"/>
          <w:szCs w:val="32"/>
        </w:rPr>
        <w:t>2025年</w:t>
      </w:r>
      <w:r>
        <w:rPr>
          <w:rFonts w:hint="eastAsia" w:ascii="宋体" w:hAnsi="宋体" w:eastAsia="仿宋_GB2312" w:cs="仿宋_GB2312"/>
          <w:sz w:val="32"/>
          <w:szCs w:val="32"/>
          <w:lang w:val="en-US" w:eastAsia="zh-CN"/>
        </w:rPr>
        <w:t>7</w:t>
      </w:r>
      <w:bookmarkStart w:id="1" w:name="_GoBack"/>
      <w:bookmarkEnd w:id="1"/>
      <w:r>
        <w:rPr>
          <w:rFonts w:hint="eastAsia" w:ascii="宋体" w:hAnsi="宋体" w:eastAsia="仿宋_GB2312" w:cs="仿宋_GB2312"/>
          <w:sz w:val="32"/>
          <w:szCs w:val="32"/>
        </w:rPr>
        <w:t>月</w:t>
      </w:r>
    </w:p>
    <w:p w14:paraId="1C359193">
      <w:pPr>
        <w:ind w:firstLine="880" w:firstLineChars="200"/>
        <w:jc w:val="center"/>
        <w:rPr>
          <w:rFonts w:hint="eastAsia" w:ascii="宋体" w:hAnsi="宋体" w:eastAsia="方正小标宋_GBK" w:cs="方正小标宋_GBK"/>
          <w:sz w:val="44"/>
          <w:szCs w:val="44"/>
        </w:rPr>
        <w:sectPr>
          <w:pgSz w:w="11906" w:h="16838"/>
          <w:pgMar w:top="1701" w:right="1701" w:bottom="1701" w:left="1701" w:header="851" w:footer="992" w:gutter="0"/>
          <w:cols w:space="720" w:num="1"/>
          <w:docGrid w:type="lines" w:linePitch="312" w:charSpace="0"/>
        </w:sectPr>
      </w:pPr>
    </w:p>
    <w:p w14:paraId="7732538E">
      <w:pPr>
        <w:widowControl/>
        <w:spacing w:line="560" w:lineRule="exact"/>
        <w:ind w:firstLine="640" w:firstLineChars="200"/>
        <w:outlineLvl w:val="0"/>
        <w:rPr>
          <w:rFonts w:hint="eastAsia" w:ascii="宋体" w:hAnsi="宋体" w:eastAsia="黑体"/>
          <w:sz w:val="32"/>
          <w:szCs w:val="32"/>
        </w:rPr>
      </w:pPr>
      <w:r>
        <w:rPr>
          <w:rFonts w:hint="eastAsia" w:ascii="宋体" w:hAnsi="宋体" w:eastAsia="黑体"/>
          <w:sz w:val="32"/>
          <w:szCs w:val="32"/>
        </w:rPr>
        <w:t>一、工作简况</w:t>
      </w:r>
    </w:p>
    <w:p w14:paraId="3D48E7CA">
      <w:pPr>
        <w:spacing w:line="560" w:lineRule="exact"/>
        <w:ind w:firstLine="640" w:firstLineChars="200"/>
        <w:outlineLvl w:val="1"/>
        <w:rPr>
          <w:rFonts w:hint="eastAsia" w:ascii="宋体" w:hAnsi="宋体" w:eastAsia="楷体"/>
          <w:sz w:val="32"/>
          <w:szCs w:val="32"/>
          <w:shd w:val="clear" w:color="auto" w:fill="FFFFFF"/>
        </w:rPr>
      </w:pPr>
      <w:r>
        <w:rPr>
          <w:rFonts w:hint="eastAsia" w:ascii="宋体" w:hAnsi="宋体" w:eastAsia="楷体"/>
          <w:sz w:val="32"/>
          <w:szCs w:val="32"/>
          <w:shd w:val="clear" w:color="auto" w:fill="FFFFFF"/>
        </w:rPr>
        <w:t>（一）任务来源</w:t>
      </w:r>
    </w:p>
    <w:p w14:paraId="0A36562A">
      <w:pPr>
        <w:widowControl w:val="0"/>
        <w:adjustRightInd w:val="0"/>
        <w:spacing w:line="560" w:lineRule="exact"/>
        <w:ind w:firstLine="640" w:firstLineChars="200"/>
        <w:jc w:val="both"/>
        <w:rPr>
          <w:rFonts w:hint="eastAsia" w:ascii="宋体" w:hAnsi="宋体" w:eastAsia="仿宋_GB2312"/>
          <w:iCs/>
          <w:sz w:val="32"/>
          <w:szCs w:val="32"/>
          <w:shd w:val="clear" w:color="auto" w:fill="FFFFFF"/>
          <w:lang w:val="en-US" w:eastAsia="zh-CN"/>
        </w:rPr>
      </w:pPr>
      <w:r>
        <w:rPr>
          <w:rFonts w:ascii="宋体" w:hAnsi="宋体" w:eastAsia="仿宋_GB2312" w:cs="Times New Roman"/>
          <w:iCs/>
          <w:kern w:val="2"/>
          <w:sz w:val="32"/>
          <w:szCs w:val="32"/>
          <w:shd w:val="clear" w:color="auto" w:fill="FFFFFF"/>
          <w:lang w:bidi="ar-SA"/>
        </w:rPr>
        <w:t>本</w:t>
      </w:r>
      <w:r>
        <w:rPr>
          <w:rFonts w:hint="eastAsia" w:ascii="宋体" w:hAnsi="宋体" w:eastAsia="仿宋_GB2312" w:cs="Times New Roman"/>
          <w:iCs/>
          <w:kern w:val="2"/>
          <w:sz w:val="32"/>
          <w:szCs w:val="32"/>
          <w:shd w:val="clear" w:color="auto" w:fill="FFFFFF"/>
          <w:lang w:val="en-US" w:eastAsia="zh-CN" w:bidi="ar-SA"/>
        </w:rPr>
        <w:t>标准</w:t>
      </w:r>
      <w:r>
        <w:rPr>
          <w:rFonts w:ascii="宋体" w:hAnsi="宋体" w:eastAsia="仿宋_GB2312" w:cs="Times New Roman"/>
          <w:iCs/>
          <w:kern w:val="2"/>
          <w:sz w:val="32"/>
          <w:szCs w:val="32"/>
          <w:shd w:val="clear" w:color="auto" w:fill="FFFFFF"/>
          <w:lang w:bidi="ar-SA"/>
        </w:rPr>
        <w:t>的制定任务源自国家法律法规的强制性规定、陕西省安全生产战略的深入实施、基层实践经验和问题整改的需求、行业标准化建设的协同推进，以及多部门联合行动和专家智库的技术支持，目的在于全面提升全省双重预防机制运行的科学性、规范性和实效性。</w:t>
      </w:r>
      <w:r>
        <w:rPr>
          <w:rFonts w:hint="eastAsia" w:ascii="宋体" w:hAnsi="宋体" w:eastAsia="仿宋_GB2312" w:cs="Times New Roman"/>
          <w:iCs/>
          <w:kern w:val="2"/>
          <w:sz w:val="32"/>
          <w:szCs w:val="32"/>
          <w:shd w:val="clear" w:color="auto" w:fill="FFFFFF"/>
          <w:lang w:val="en-US" w:eastAsia="zh-CN" w:bidi="ar-SA"/>
        </w:rPr>
        <w:t>本标准</w:t>
      </w:r>
      <w:r>
        <w:rPr>
          <w:rFonts w:hint="eastAsia" w:ascii="宋体" w:hAnsi="宋体" w:eastAsia="仿宋_GB2312"/>
          <w:iCs/>
          <w:sz w:val="32"/>
          <w:szCs w:val="32"/>
          <w:shd w:val="clear" w:color="auto" w:fill="FFFFFF"/>
          <w:lang w:val="en-US" w:eastAsia="zh-CN"/>
        </w:rPr>
        <w:t>于2024年与陕西省《安全风险分级管控和隐患排查治理建设规范》一同申请陕西省地方标准立项，经答辩陈述，确定立项。</w:t>
      </w:r>
    </w:p>
    <w:p w14:paraId="3F025FDC">
      <w:pPr>
        <w:spacing w:line="560" w:lineRule="exact"/>
        <w:ind w:firstLine="640" w:firstLineChars="200"/>
        <w:outlineLvl w:val="1"/>
        <w:rPr>
          <w:rFonts w:hint="eastAsia" w:ascii="宋体" w:hAnsi="宋体" w:eastAsia="楷体"/>
          <w:sz w:val="32"/>
          <w:szCs w:val="32"/>
          <w:shd w:val="clear" w:color="auto" w:fill="FFFFFF"/>
          <w:lang w:eastAsia="zh-CN"/>
        </w:rPr>
      </w:pPr>
      <w:r>
        <w:rPr>
          <w:rFonts w:hint="eastAsia" w:ascii="宋体" w:hAnsi="宋体" w:eastAsia="楷体"/>
          <w:sz w:val="32"/>
          <w:szCs w:val="32"/>
          <w:shd w:val="clear" w:color="auto" w:fill="FFFFFF"/>
        </w:rPr>
        <w:t>（二）</w:t>
      </w:r>
      <w:r>
        <w:rPr>
          <w:rFonts w:hint="eastAsia" w:ascii="宋体" w:hAnsi="宋体" w:eastAsia="楷体"/>
          <w:sz w:val="32"/>
          <w:szCs w:val="32"/>
          <w:shd w:val="clear" w:color="auto" w:fill="FFFFFF"/>
          <w:lang w:val="en-US" w:eastAsia="zh-CN"/>
        </w:rPr>
        <w:t>制定背景</w:t>
      </w:r>
    </w:p>
    <w:p w14:paraId="3132A4C2">
      <w:pPr>
        <w:spacing w:line="560" w:lineRule="exact"/>
        <w:ind w:firstLine="640" w:firstLineChars="200"/>
        <w:rPr>
          <w:rFonts w:hint="eastAsia" w:ascii="宋体" w:hAnsi="宋体" w:eastAsia="仿宋_GB2312"/>
          <w:sz w:val="32"/>
          <w:szCs w:val="32"/>
          <w:highlight w:val="none"/>
          <w:lang w:val="en-US" w:eastAsia="zh-CN"/>
        </w:rPr>
      </w:pPr>
      <w:r>
        <w:rPr>
          <w:rFonts w:hint="eastAsia" w:ascii="宋体" w:hAnsi="宋体" w:eastAsia="仿宋_GB2312"/>
          <w:sz w:val="32"/>
          <w:szCs w:val="32"/>
          <w:highlight w:val="none"/>
          <w:lang w:val="en-US" w:eastAsia="zh-CN"/>
        </w:rPr>
        <w:t>《中华人民共和国安全生产法》对生产经营单位双重预防机制建立进行了强制性要求。国务院安委会《全国安全生产专项整治三年行动计划》进一步要求强化机制落地，为地方标准制定提供刚性约束。同时，陕西省先后出台《关于进一步加强企业双重预防机制建设的指导意见》（陕安委〔2023〕130号）、《安全生产治本攻坚三年行动实施方案（2024—2026年）》，细化机制建设路径。</w:t>
      </w:r>
    </w:p>
    <w:p w14:paraId="30265556">
      <w:pPr>
        <w:spacing w:line="560" w:lineRule="exact"/>
        <w:ind w:firstLine="640" w:firstLineChars="200"/>
        <w:rPr>
          <w:rFonts w:hint="eastAsia" w:ascii="宋体" w:hAnsi="宋体" w:eastAsia="仿宋_GB2312"/>
          <w:sz w:val="32"/>
          <w:szCs w:val="32"/>
          <w:highlight w:val="none"/>
          <w:lang w:val="en-US" w:eastAsia="zh-CN"/>
        </w:rPr>
      </w:pPr>
      <w:r>
        <w:rPr>
          <w:rFonts w:hint="eastAsia" w:ascii="宋体" w:hAnsi="宋体" w:eastAsia="仿宋_GB2312"/>
          <w:sz w:val="32"/>
          <w:szCs w:val="32"/>
          <w:highlight w:val="none"/>
          <w:lang w:val="en-US" w:eastAsia="zh-CN"/>
        </w:rPr>
        <w:t>本标准的制定是实践成效与现存问题的倒逼。一方面，在政府的强力推动下，全省企业机制覆盖率显著提升，但建设水平参差、执行效能不足的问题突出。另一方面，建设标准对运行流程、动态优化等关键环节指导不足，亟须从“建设导向”转向“运行质量导向”，填补操作性规范的空白。</w:t>
      </w:r>
    </w:p>
    <w:p w14:paraId="33F95B72">
      <w:pPr>
        <w:spacing w:line="560" w:lineRule="exact"/>
        <w:ind w:firstLine="640" w:firstLineChars="200"/>
        <w:rPr>
          <w:rFonts w:hint="default" w:ascii="宋体" w:hAnsi="宋体" w:eastAsia="仿宋_GB2312"/>
          <w:sz w:val="32"/>
          <w:szCs w:val="32"/>
          <w:highlight w:val="none"/>
          <w:lang w:val="en-US" w:eastAsia="zh-CN"/>
        </w:rPr>
      </w:pPr>
      <w:r>
        <w:rPr>
          <w:rFonts w:hint="eastAsia" w:ascii="宋体" w:hAnsi="宋体" w:eastAsia="仿宋_GB2312"/>
          <w:sz w:val="32"/>
          <w:szCs w:val="32"/>
          <w:highlight w:val="none"/>
          <w:lang w:val="en-US" w:eastAsia="zh-CN"/>
        </w:rPr>
        <w:t>《安全风险分级管控与隐患排查治理建设 规范》与本规范形成双重预防机制的“一体两翼”，建设标准侧重机制框架搭建、基础要素配置；运行规范聚焦机制全周期动态运行，涵盖安全风险分级管控运行提升、隐患排查治理运行提升、不安全行为管控与全员安全素质提升、双重预防机制信息化运行、双重预防机制运行评价与提升等实操环节，解决“如何用好”的痛点。通过相关规范建立“企业自主循环+政府监督循环”双轨并行模式，实现内外部协同增效。通过统一运行规范，缩小不同规模、行业企业间的执行差距，重点解决中小微企业“不会用、用不好”问题，推动全省安全生产管理从“形式合规”向“实质有效”转型。为政府执法提供量化依据，提升监管精准度，降低事故发生率，服务高质量发展。</w:t>
      </w:r>
    </w:p>
    <w:p w14:paraId="6454479E">
      <w:pPr>
        <w:spacing w:line="560" w:lineRule="exact"/>
        <w:ind w:firstLine="640" w:firstLineChars="200"/>
        <w:outlineLvl w:val="1"/>
        <w:rPr>
          <w:rFonts w:hint="eastAsia" w:ascii="宋体" w:hAnsi="宋体" w:eastAsia="楷体"/>
          <w:sz w:val="32"/>
          <w:szCs w:val="32"/>
          <w:shd w:val="clear" w:color="auto" w:fill="FFFFFF"/>
        </w:rPr>
      </w:pPr>
      <w:r>
        <w:rPr>
          <w:rFonts w:hint="eastAsia" w:ascii="宋体" w:hAnsi="宋体" w:eastAsia="楷体"/>
          <w:sz w:val="32"/>
          <w:szCs w:val="32"/>
          <w:shd w:val="clear" w:color="auto" w:fill="FFFFFF"/>
        </w:rPr>
        <w:t>（三）起草小组人员组成及所在单位</w:t>
      </w:r>
    </w:p>
    <w:p w14:paraId="1FEA25FF">
      <w:pPr>
        <w:spacing w:line="560" w:lineRule="exact"/>
        <w:ind w:firstLine="640" w:firstLineChars="200"/>
        <w:rPr>
          <w:rFonts w:hint="eastAsia" w:ascii="宋体" w:hAnsi="宋体" w:eastAsia="仿宋_GB2312"/>
          <w:sz w:val="32"/>
          <w:szCs w:val="32"/>
        </w:rPr>
      </w:pPr>
      <w:r>
        <w:rPr>
          <w:rFonts w:ascii="宋体" w:hAnsi="宋体" w:eastAsia="仿宋_GB2312"/>
          <w:sz w:val="32"/>
          <w:szCs w:val="32"/>
        </w:rPr>
        <w:t>根据立项计划，202</w:t>
      </w:r>
      <w:r>
        <w:rPr>
          <w:rFonts w:hint="eastAsia" w:ascii="宋体" w:hAnsi="宋体" w:eastAsia="仿宋_GB2312"/>
          <w:sz w:val="32"/>
          <w:szCs w:val="32"/>
          <w:lang w:val="en-US" w:eastAsia="zh-CN"/>
        </w:rPr>
        <w:t>4</w:t>
      </w:r>
      <w:r>
        <w:rPr>
          <w:rFonts w:ascii="宋体" w:hAnsi="宋体" w:eastAsia="仿宋_GB2312"/>
          <w:sz w:val="32"/>
          <w:szCs w:val="32"/>
        </w:rPr>
        <w:t>年</w:t>
      </w:r>
      <w:r>
        <w:rPr>
          <w:rFonts w:hint="eastAsia" w:ascii="宋体" w:hAnsi="宋体" w:eastAsia="仿宋_GB2312"/>
          <w:sz w:val="32"/>
          <w:szCs w:val="32"/>
          <w:lang w:val="en-US" w:eastAsia="zh-CN"/>
        </w:rPr>
        <w:t>8</w:t>
      </w:r>
      <w:r>
        <w:rPr>
          <w:rFonts w:ascii="宋体" w:hAnsi="宋体" w:eastAsia="仿宋_GB2312"/>
          <w:sz w:val="32"/>
          <w:szCs w:val="32"/>
        </w:rPr>
        <w:t>月成立标准起草工作组，</w:t>
      </w:r>
      <w:r>
        <w:rPr>
          <w:rFonts w:hint="eastAsia" w:ascii="宋体" w:hAnsi="宋体" w:eastAsia="仿宋_GB2312"/>
          <w:sz w:val="32"/>
          <w:szCs w:val="32"/>
          <w:lang w:val="en-US" w:eastAsia="zh-CN"/>
        </w:rPr>
        <w:t>陕西省应急管理厅</w:t>
      </w:r>
      <w:r>
        <w:rPr>
          <w:rFonts w:ascii="宋体" w:hAnsi="宋体" w:eastAsia="仿宋_GB2312"/>
          <w:sz w:val="32"/>
          <w:szCs w:val="32"/>
        </w:rPr>
        <w:t>牵头负责本文件的修订工作，</w:t>
      </w:r>
      <w:r>
        <w:rPr>
          <w:rFonts w:hint="eastAsia" w:ascii="宋体" w:hAnsi="宋体" w:eastAsia="仿宋_GB2312"/>
          <w:sz w:val="32"/>
          <w:szCs w:val="32"/>
        </w:rPr>
        <w:t>参编单位包含了</w:t>
      </w:r>
      <w:r>
        <w:rPr>
          <w:rFonts w:hint="eastAsia" w:ascii="宋体" w:hAnsi="宋体" w:eastAsia="仿宋_GB2312"/>
          <w:sz w:val="32"/>
          <w:szCs w:val="32"/>
          <w:lang w:val="en-US" w:eastAsia="zh-CN"/>
        </w:rPr>
        <w:t>陕西省非煤矿山、危险化学品、工贸、烟花爆竹行业相关</w:t>
      </w:r>
      <w:r>
        <w:rPr>
          <w:rFonts w:hint="eastAsia" w:ascii="宋体" w:hAnsi="宋体" w:eastAsia="仿宋_GB2312"/>
          <w:sz w:val="32"/>
          <w:szCs w:val="32"/>
        </w:rPr>
        <w:t>单位</w:t>
      </w:r>
      <w:r>
        <w:rPr>
          <w:rFonts w:ascii="宋体" w:hAnsi="宋体" w:eastAsia="仿宋_GB2312"/>
          <w:sz w:val="32"/>
          <w:szCs w:val="32"/>
        </w:rPr>
        <w:t>。</w:t>
      </w:r>
    </w:p>
    <w:p w14:paraId="0C8804BC">
      <w:pPr>
        <w:spacing w:line="560" w:lineRule="exact"/>
        <w:ind w:firstLine="640" w:firstLineChars="200"/>
        <w:outlineLvl w:val="1"/>
        <w:rPr>
          <w:rFonts w:hint="eastAsia" w:ascii="宋体" w:hAnsi="宋体" w:eastAsia="楷体"/>
          <w:sz w:val="32"/>
          <w:szCs w:val="32"/>
          <w:shd w:val="clear" w:color="auto" w:fill="FFFFFF"/>
        </w:rPr>
      </w:pPr>
      <w:r>
        <w:rPr>
          <w:rFonts w:hint="eastAsia" w:ascii="宋体" w:hAnsi="宋体" w:eastAsia="楷体"/>
          <w:sz w:val="32"/>
          <w:szCs w:val="32"/>
          <w:shd w:val="clear" w:color="auto" w:fill="FFFFFF"/>
        </w:rPr>
        <w:t>（四）主要起草过程</w:t>
      </w:r>
    </w:p>
    <w:p w14:paraId="5C6727CF">
      <w:pPr>
        <w:spacing w:line="560" w:lineRule="exact"/>
        <w:ind w:firstLine="640" w:firstLineChars="200"/>
        <w:outlineLvl w:val="2"/>
        <w:rPr>
          <w:rFonts w:hint="eastAsia" w:ascii="宋体" w:hAnsi="宋体" w:eastAsia="仿宋_GB2312"/>
          <w:iCs/>
          <w:sz w:val="32"/>
          <w:szCs w:val="32"/>
          <w:highlight w:val="none"/>
        </w:rPr>
      </w:pPr>
      <w:r>
        <w:rPr>
          <w:rFonts w:hint="eastAsia" w:ascii="宋体" w:hAnsi="宋体" w:eastAsia="仿宋_GB2312"/>
          <w:iCs/>
          <w:sz w:val="32"/>
          <w:szCs w:val="32"/>
          <w:highlight w:val="none"/>
        </w:rPr>
        <w:t>1.成立标准编制组（202</w:t>
      </w:r>
      <w:r>
        <w:rPr>
          <w:rFonts w:hint="eastAsia" w:ascii="宋体" w:hAnsi="宋体" w:eastAsia="仿宋_GB2312"/>
          <w:iCs/>
          <w:sz w:val="32"/>
          <w:szCs w:val="32"/>
          <w:highlight w:val="none"/>
          <w:lang w:val="en-US" w:eastAsia="zh-CN"/>
        </w:rPr>
        <w:t>4</w:t>
      </w:r>
      <w:r>
        <w:rPr>
          <w:rFonts w:hint="eastAsia" w:ascii="宋体" w:hAnsi="宋体" w:eastAsia="仿宋_GB2312"/>
          <w:iCs/>
          <w:sz w:val="32"/>
          <w:szCs w:val="32"/>
          <w:highlight w:val="none"/>
        </w:rPr>
        <w:t>年</w:t>
      </w:r>
      <w:r>
        <w:rPr>
          <w:rFonts w:hint="eastAsia" w:ascii="宋体" w:hAnsi="宋体" w:eastAsia="仿宋_GB2312"/>
          <w:iCs/>
          <w:sz w:val="32"/>
          <w:szCs w:val="32"/>
          <w:highlight w:val="none"/>
          <w:lang w:val="en-US" w:eastAsia="zh-CN"/>
        </w:rPr>
        <w:t>9</w:t>
      </w:r>
      <w:r>
        <w:rPr>
          <w:rFonts w:hint="eastAsia" w:ascii="宋体" w:hAnsi="宋体" w:eastAsia="仿宋_GB2312"/>
          <w:iCs/>
          <w:sz w:val="32"/>
          <w:szCs w:val="32"/>
          <w:highlight w:val="none"/>
        </w:rPr>
        <w:t>月）</w:t>
      </w:r>
    </w:p>
    <w:p w14:paraId="65588C5E">
      <w:pPr>
        <w:spacing w:line="560" w:lineRule="exact"/>
        <w:ind w:firstLine="640" w:firstLineChars="200"/>
        <w:rPr>
          <w:rFonts w:hint="eastAsia" w:ascii="宋体" w:hAnsi="宋体" w:eastAsia="仿宋_GB2312"/>
          <w:iCs/>
          <w:sz w:val="32"/>
          <w:szCs w:val="32"/>
          <w:highlight w:val="none"/>
        </w:rPr>
      </w:pPr>
      <w:r>
        <w:rPr>
          <w:rFonts w:hint="eastAsia" w:ascii="宋体" w:hAnsi="宋体" w:eastAsia="仿宋_GB2312"/>
          <w:iCs/>
          <w:sz w:val="32"/>
          <w:szCs w:val="32"/>
          <w:highlight w:val="none"/>
        </w:rPr>
        <w:t>编制任务确定后，由陕西省应急管理厅综合处牵头，组织中国矿业大学、江苏中矿安华科技发展有限公司等单位合作成立了标准编制组，明确了标准起草任务负责人及工作组核心成员；制定了标准起草工作方案，明确了标准制定各时间节点的任务情况。</w:t>
      </w:r>
    </w:p>
    <w:p w14:paraId="14B2E951">
      <w:pPr>
        <w:spacing w:line="560" w:lineRule="exact"/>
        <w:ind w:firstLine="640" w:firstLineChars="200"/>
        <w:outlineLvl w:val="2"/>
        <w:rPr>
          <w:rFonts w:hint="eastAsia" w:ascii="宋体" w:hAnsi="宋体" w:eastAsia="仿宋_GB2312"/>
          <w:iCs/>
          <w:sz w:val="32"/>
          <w:szCs w:val="32"/>
          <w:highlight w:val="none"/>
          <w:lang w:eastAsia="zh-CN"/>
        </w:rPr>
      </w:pPr>
      <w:r>
        <w:rPr>
          <w:rFonts w:hint="eastAsia" w:ascii="宋体" w:hAnsi="宋体" w:eastAsia="仿宋_GB2312"/>
          <w:iCs/>
          <w:sz w:val="32"/>
          <w:szCs w:val="32"/>
          <w:highlight w:val="none"/>
        </w:rPr>
        <w:t>2.开展调研分析（202</w:t>
      </w:r>
      <w:r>
        <w:rPr>
          <w:rFonts w:hint="eastAsia" w:ascii="宋体" w:hAnsi="宋体" w:eastAsia="仿宋_GB2312"/>
          <w:iCs/>
          <w:sz w:val="32"/>
          <w:szCs w:val="32"/>
          <w:highlight w:val="none"/>
          <w:lang w:val="en-US" w:eastAsia="zh-CN"/>
        </w:rPr>
        <w:t>4</w:t>
      </w:r>
      <w:r>
        <w:rPr>
          <w:rFonts w:hint="eastAsia" w:ascii="宋体" w:hAnsi="宋体" w:eastAsia="仿宋_GB2312"/>
          <w:iCs/>
          <w:sz w:val="32"/>
          <w:szCs w:val="32"/>
          <w:highlight w:val="none"/>
        </w:rPr>
        <w:t>年</w:t>
      </w:r>
      <w:r>
        <w:rPr>
          <w:rFonts w:hint="eastAsia" w:ascii="宋体" w:hAnsi="宋体" w:eastAsia="仿宋_GB2312"/>
          <w:iCs/>
          <w:sz w:val="32"/>
          <w:szCs w:val="32"/>
          <w:highlight w:val="none"/>
          <w:lang w:val="en-US" w:eastAsia="zh-CN"/>
        </w:rPr>
        <w:t>10</w:t>
      </w:r>
      <w:r>
        <w:rPr>
          <w:rFonts w:hint="eastAsia" w:ascii="宋体" w:hAnsi="宋体" w:eastAsia="仿宋_GB2312"/>
          <w:iCs/>
          <w:sz w:val="32"/>
          <w:szCs w:val="32"/>
          <w:highlight w:val="none"/>
        </w:rPr>
        <w:t>月</w:t>
      </w:r>
      <w:r>
        <w:rPr>
          <w:rFonts w:hint="eastAsia" w:ascii="宋体" w:hAnsi="宋体" w:eastAsia="仿宋_GB2312"/>
          <w:iCs/>
          <w:sz w:val="32"/>
          <w:szCs w:val="32"/>
          <w:highlight w:val="none"/>
          <w:lang w:eastAsia="zh-CN"/>
        </w:rPr>
        <w:t>—</w:t>
      </w:r>
      <w:r>
        <w:rPr>
          <w:rFonts w:hint="eastAsia" w:ascii="宋体" w:hAnsi="宋体" w:eastAsia="仿宋_GB2312"/>
          <w:iCs/>
          <w:sz w:val="32"/>
          <w:szCs w:val="32"/>
          <w:highlight w:val="none"/>
        </w:rPr>
        <w:t>202</w:t>
      </w:r>
      <w:r>
        <w:rPr>
          <w:rFonts w:hint="eastAsia" w:ascii="宋体" w:hAnsi="宋体" w:eastAsia="仿宋_GB2312"/>
          <w:iCs/>
          <w:sz w:val="32"/>
          <w:szCs w:val="32"/>
          <w:highlight w:val="none"/>
          <w:lang w:val="en-US" w:eastAsia="zh-CN"/>
        </w:rPr>
        <w:t>4</w:t>
      </w:r>
      <w:r>
        <w:rPr>
          <w:rFonts w:hint="eastAsia" w:ascii="宋体" w:hAnsi="宋体" w:eastAsia="仿宋_GB2312"/>
          <w:iCs/>
          <w:sz w:val="32"/>
          <w:szCs w:val="32"/>
          <w:highlight w:val="none"/>
        </w:rPr>
        <w:t>年</w:t>
      </w:r>
      <w:r>
        <w:rPr>
          <w:rFonts w:hint="eastAsia" w:ascii="宋体" w:hAnsi="宋体" w:eastAsia="仿宋_GB2312"/>
          <w:iCs/>
          <w:sz w:val="32"/>
          <w:szCs w:val="32"/>
          <w:highlight w:val="none"/>
          <w:lang w:val="en-US" w:eastAsia="zh-CN"/>
        </w:rPr>
        <w:t>12</w:t>
      </w:r>
      <w:r>
        <w:rPr>
          <w:rFonts w:hint="eastAsia" w:ascii="宋体" w:hAnsi="宋体" w:eastAsia="仿宋_GB2312"/>
          <w:iCs/>
          <w:sz w:val="32"/>
          <w:szCs w:val="32"/>
          <w:highlight w:val="none"/>
        </w:rPr>
        <w:t>月）</w:t>
      </w:r>
    </w:p>
    <w:p w14:paraId="070C40DB">
      <w:pPr>
        <w:spacing w:line="560" w:lineRule="exact"/>
        <w:ind w:firstLine="640" w:firstLineChars="200"/>
        <w:rPr>
          <w:rFonts w:hint="eastAsia" w:ascii="宋体" w:hAnsi="宋体" w:eastAsia="仿宋_GB2312"/>
          <w:iCs/>
          <w:sz w:val="32"/>
          <w:szCs w:val="32"/>
          <w:highlight w:val="none"/>
        </w:rPr>
      </w:pPr>
      <w:r>
        <w:rPr>
          <w:rFonts w:hint="eastAsia" w:ascii="宋体" w:hAnsi="宋体" w:eastAsia="仿宋_GB2312"/>
          <w:iCs/>
          <w:sz w:val="32"/>
          <w:szCs w:val="32"/>
          <w:highlight w:val="none"/>
        </w:rPr>
        <w:t>为总结陕西省安全双重预防机制建设的基本需求和工作要素，标准编制组一方面收集、分析了我国相关法律、法规，收集国家、行业、地方相关标准，另一方面按照工作方案和计划，组织开展了调研工作，调研情况如下：</w:t>
      </w:r>
    </w:p>
    <w:p w14:paraId="215D7765">
      <w:pPr>
        <w:spacing w:line="560" w:lineRule="exact"/>
        <w:ind w:firstLine="640" w:firstLineChars="200"/>
        <w:outlineLvl w:val="3"/>
        <w:rPr>
          <w:rFonts w:hint="eastAsia" w:ascii="宋体" w:hAnsi="宋体" w:eastAsia="仿宋_GB2312"/>
          <w:iCs/>
          <w:sz w:val="32"/>
          <w:szCs w:val="32"/>
          <w:highlight w:val="none"/>
        </w:rPr>
      </w:pPr>
      <w:r>
        <w:rPr>
          <w:rFonts w:hint="eastAsia" w:ascii="宋体" w:hAnsi="宋体" w:eastAsia="仿宋_GB2312"/>
          <w:iCs/>
          <w:sz w:val="32"/>
          <w:szCs w:val="32"/>
          <w:highlight w:val="none"/>
          <w:lang w:eastAsia="zh-CN"/>
        </w:rPr>
        <w:t>(1)</w:t>
      </w:r>
      <w:r>
        <w:rPr>
          <w:rFonts w:hint="eastAsia" w:ascii="宋体" w:hAnsi="宋体" w:eastAsia="仿宋_GB2312"/>
          <w:iCs/>
          <w:sz w:val="32"/>
          <w:szCs w:val="32"/>
          <w:highlight w:val="none"/>
        </w:rPr>
        <w:t>调研组成员</w:t>
      </w:r>
    </w:p>
    <w:p w14:paraId="57A9149A">
      <w:pPr>
        <w:spacing w:line="560" w:lineRule="exact"/>
        <w:ind w:firstLine="640" w:firstLineChars="200"/>
        <w:rPr>
          <w:rFonts w:hint="eastAsia" w:ascii="宋体" w:hAnsi="宋体" w:eastAsia="仿宋_GB2312"/>
          <w:iCs/>
          <w:sz w:val="32"/>
          <w:szCs w:val="32"/>
          <w:highlight w:val="none"/>
        </w:rPr>
      </w:pPr>
      <w:r>
        <w:rPr>
          <w:rFonts w:hint="eastAsia" w:ascii="宋体" w:hAnsi="宋体" w:eastAsia="仿宋_GB2312"/>
          <w:iCs/>
          <w:sz w:val="32"/>
          <w:szCs w:val="32"/>
          <w:highlight w:val="none"/>
        </w:rPr>
        <w:t>调研组成员由省应急厅综合处有关领导和中国矿业大学部分专家组成。</w:t>
      </w:r>
    </w:p>
    <w:p w14:paraId="766A88F5">
      <w:pPr>
        <w:spacing w:line="560" w:lineRule="exact"/>
        <w:ind w:firstLine="640" w:firstLineChars="200"/>
        <w:outlineLvl w:val="3"/>
        <w:rPr>
          <w:rFonts w:hint="eastAsia" w:ascii="宋体" w:hAnsi="宋体" w:eastAsia="仿宋_GB2312"/>
          <w:iCs/>
          <w:sz w:val="32"/>
          <w:szCs w:val="32"/>
          <w:highlight w:val="none"/>
        </w:rPr>
      </w:pPr>
      <w:r>
        <w:rPr>
          <w:rFonts w:hint="eastAsia" w:ascii="宋体" w:hAnsi="宋体" w:eastAsia="仿宋_GB2312"/>
          <w:iCs/>
          <w:sz w:val="32"/>
          <w:szCs w:val="32"/>
          <w:highlight w:val="none"/>
          <w:lang w:eastAsia="zh-CN"/>
        </w:rPr>
        <w:t>(2)</w:t>
      </w:r>
      <w:r>
        <w:rPr>
          <w:rFonts w:hint="eastAsia" w:ascii="宋体" w:hAnsi="宋体" w:eastAsia="仿宋_GB2312"/>
          <w:iCs/>
          <w:sz w:val="32"/>
          <w:szCs w:val="32"/>
          <w:highlight w:val="none"/>
        </w:rPr>
        <w:t>调研企业及人员</w:t>
      </w:r>
    </w:p>
    <w:p w14:paraId="0FB8A192">
      <w:pPr>
        <w:spacing w:line="560" w:lineRule="exact"/>
        <w:ind w:firstLine="640" w:firstLineChars="200"/>
        <w:rPr>
          <w:rFonts w:hint="eastAsia" w:ascii="宋体" w:hAnsi="宋体" w:eastAsia="仿宋_GB2312"/>
          <w:iCs/>
          <w:sz w:val="32"/>
          <w:szCs w:val="32"/>
          <w:highlight w:val="none"/>
        </w:rPr>
      </w:pPr>
      <w:r>
        <w:rPr>
          <w:rFonts w:hint="eastAsia" w:ascii="宋体" w:hAnsi="宋体" w:eastAsia="仿宋_GB2312"/>
          <w:iCs/>
          <w:sz w:val="32"/>
          <w:szCs w:val="32"/>
          <w:highlight w:val="none"/>
          <w:lang w:val="en-US" w:eastAsia="zh-CN"/>
        </w:rPr>
        <w:t>非煤矿山、危险化学品、工贸、烟花爆竹行业</w:t>
      </w:r>
      <w:r>
        <w:rPr>
          <w:rFonts w:hint="eastAsia" w:ascii="宋体" w:hAnsi="宋体" w:eastAsia="仿宋_GB2312"/>
          <w:iCs/>
          <w:sz w:val="32"/>
          <w:szCs w:val="32"/>
          <w:highlight w:val="none"/>
        </w:rPr>
        <w:t>主要负责人、分管安全负责人、安全监察部部长及安全双重预防工作管理人员。</w:t>
      </w:r>
    </w:p>
    <w:p w14:paraId="4E483FE4">
      <w:pPr>
        <w:spacing w:line="560" w:lineRule="exact"/>
        <w:ind w:firstLine="640" w:firstLineChars="200"/>
        <w:outlineLvl w:val="3"/>
        <w:rPr>
          <w:rFonts w:hint="eastAsia" w:ascii="宋体" w:hAnsi="宋体" w:eastAsia="仿宋_GB2312"/>
          <w:iCs/>
          <w:sz w:val="32"/>
          <w:szCs w:val="32"/>
          <w:highlight w:val="none"/>
        </w:rPr>
      </w:pPr>
      <w:r>
        <w:rPr>
          <w:rFonts w:hint="eastAsia" w:ascii="宋体" w:hAnsi="宋体" w:eastAsia="仿宋_GB2312"/>
          <w:iCs/>
          <w:sz w:val="32"/>
          <w:szCs w:val="32"/>
          <w:highlight w:val="none"/>
          <w:lang w:eastAsia="zh-CN"/>
        </w:rPr>
        <w:t>(3)</w:t>
      </w:r>
      <w:r>
        <w:rPr>
          <w:rFonts w:hint="eastAsia" w:ascii="宋体" w:hAnsi="宋体" w:eastAsia="仿宋_GB2312"/>
          <w:iCs/>
          <w:sz w:val="32"/>
          <w:szCs w:val="32"/>
          <w:highlight w:val="none"/>
        </w:rPr>
        <w:t>调研内容</w:t>
      </w:r>
    </w:p>
    <w:p w14:paraId="53200624">
      <w:pPr>
        <w:spacing w:line="560" w:lineRule="exact"/>
        <w:ind w:firstLine="640" w:firstLineChars="200"/>
        <w:rPr>
          <w:rFonts w:hint="eastAsia" w:ascii="宋体" w:hAnsi="宋体" w:eastAsia="仿宋_GB2312"/>
          <w:iCs/>
          <w:sz w:val="32"/>
          <w:szCs w:val="32"/>
          <w:highlight w:val="none"/>
        </w:rPr>
      </w:pPr>
      <w:r>
        <w:rPr>
          <w:rFonts w:hint="eastAsia" w:ascii="宋体" w:hAnsi="宋体" w:eastAsia="仿宋_GB2312"/>
          <w:iCs/>
          <w:sz w:val="32"/>
          <w:szCs w:val="32"/>
          <w:highlight w:val="none"/>
        </w:rPr>
        <w:t>针对监管单位，重点调研对辖区企业安全双重预防机制工作的监管现状，是否建立了相关制度、考核办法以及具体的考核情况和安全监管重点、难点。</w:t>
      </w:r>
    </w:p>
    <w:p w14:paraId="19AD968E">
      <w:pPr>
        <w:spacing w:line="560" w:lineRule="exact"/>
        <w:ind w:firstLine="640" w:firstLineChars="200"/>
        <w:rPr>
          <w:rFonts w:hint="eastAsia" w:ascii="宋体" w:hAnsi="宋体" w:eastAsia="仿宋_GB2312"/>
          <w:iCs/>
          <w:sz w:val="32"/>
          <w:szCs w:val="32"/>
          <w:highlight w:val="none"/>
        </w:rPr>
      </w:pPr>
      <w:r>
        <w:rPr>
          <w:rFonts w:hint="eastAsia" w:ascii="宋体" w:hAnsi="宋体" w:eastAsia="仿宋_GB2312"/>
          <w:iCs/>
          <w:sz w:val="32"/>
          <w:szCs w:val="32"/>
          <w:highlight w:val="none"/>
        </w:rPr>
        <w:t>针对企业，重点调研企业风险辨识、风险管控、隐患排查治理、不安全行为管控建设现状，以及各煤矿安全管理重点、特点，搜集对重大风险预判防控、安全管理工作创新的方式、方法，探讨对安全监管、安全管理工作的意见和建议。</w:t>
      </w:r>
    </w:p>
    <w:p w14:paraId="72D7B209">
      <w:pPr>
        <w:spacing w:line="560" w:lineRule="exact"/>
        <w:ind w:firstLine="640" w:firstLineChars="200"/>
        <w:outlineLvl w:val="2"/>
        <w:rPr>
          <w:rFonts w:hint="eastAsia" w:ascii="宋体" w:hAnsi="宋体" w:eastAsia="仿宋_GB2312"/>
          <w:iCs/>
          <w:sz w:val="32"/>
          <w:szCs w:val="32"/>
          <w:highlight w:val="none"/>
        </w:rPr>
      </w:pPr>
      <w:r>
        <w:rPr>
          <w:rFonts w:hint="eastAsia" w:ascii="宋体" w:hAnsi="宋体" w:eastAsia="仿宋_GB2312"/>
          <w:iCs/>
          <w:sz w:val="32"/>
          <w:szCs w:val="32"/>
          <w:highlight w:val="none"/>
        </w:rPr>
        <w:t>3.</w:t>
      </w:r>
      <w:r>
        <w:rPr>
          <w:rFonts w:hint="eastAsia" w:ascii="宋体" w:hAnsi="宋体" w:eastAsia="仿宋_GB2312"/>
          <w:iCs/>
          <w:sz w:val="32"/>
          <w:szCs w:val="32"/>
          <w:highlight w:val="none"/>
          <w:lang w:val="en-US" w:eastAsia="zh-CN"/>
        </w:rPr>
        <w:t>征求意见稿</w:t>
      </w:r>
      <w:r>
        <w:rPr>
          <w:rFonts w:hint="eastAsia" w:ascii="宋体" w:hAnsi="宋体" w:eastAsia="仿宋_GB2312"/>
          <w:iCs/>
          <w:sz w:val="32"/>
          <w:szCs w:val="32"/>
          <w:highlight w:val="none"/>
        </w:rPr>
        <w:t>内容编制（202</w:t>
      </w:r>
      <w:r>
        <w:rPr>
          <w:rFonts w:hint="eastAsia" w:ascii="宋体" w:hAnsi="宋体" w:eastAsia="仿宋_GB2312"/>
          <w:iCs/>
          <w:sz w:val="32"/>
          <w:szCs w:val="32"/>
          <w:highlight w:val="none"/>
          <w:lang w:val="en-US" w:eastAsia="zh-CN"/>
        </w:rPr>
        <w:t>5</w:t>
      </w:r>
      <w:r>
        <w:rPr>
          <w:rFonts w:hint="eastAsia" w:ascii="宋体" w:hAnsi="宋体" w:eastAsia="仿宋_GB2312"/>
          <w:iCs/>
          <w:sz w:val="32"/>
          <w:szCs w:val="32"/>
          <w:highlight w:val="none"/>
        </w:rPr>
        <w:t>年</w:t>
      </w:r>
      <w:r>
        <w:rPr>
          <w:rFonts w:hint="eastAsia" w:ascii="宋体" w:hAnsi="宋体" w:eastAsia="仿宋_GB2312"/>
          <w:iCs/>
          <w:sz w:val="32"/>
          <w:szCs w:val="32"/>
          <w:highlight w:val="none"/>
          <w:lang w:val="en-US" w:eastAsia="zh-CN"/>
        </w:rPr>
        <w:t>1</w:t>
      </w:r>
      <w:r>
        <w:rPr>
          <w:rFonts w:hint="eastAsia" w:ascii="宋体" w:hAnsi="宋体" w:eastAsia="仿宋_GB2312"/>
          <w:iCs/>
          <w:sz w:val="32"/>
          <w:szCs w:val="32"/>
          <w:highlight w:val="none"/>
        </w:rPr>
        <w:t>月</w:t>
      </w:r>
      <w:r>
        <w:rPr>
          <w:rFonts w:hint="eastAsia" w:ascii="宋体" w:hAnsi="宋体" w:eastAsia="仿宋_GB2312"/>
          <w:iCs/>
          <w:sz w:val="32"/>
          <w:szCs w:val="32"/>
          <w:highlight w:val="none"/>
          <w:lang w:eastAsia="zh-CN"/>
        </w:rPr>
        <w:t>—</w:t>
      </w:r>
      <w:r>
        <w:rPr>
          <w:rFonts w:hint="eastAsia" w:ascii="宋体" w:hAnsi="宋体" w:eastAsia="仿宋_GB2312"/>
          <w:iCs/>
          <w:sz w:val="32"/>
          <w:szCs w:val="32"/>
          <w:highlight w:val="none"/>
        </w:rPr>
        <w:t>202</w:t>
      </w:r>
      <w:r>
        <w:rPr>
          <w:rFonts w:hint="eastAsia" w:ascii="宋体" w:hAnsi="宋体" w:eastAsia="仿宋_GB2312"/>
          <w:iCs/>
          <w:sz w:val="32"/>
          <w:szCs w:val="32"/>
          <w:highlight w:val="none"/>
          <w:lang w:val="en-US" w:eastAsia="zh-CN"/>
        </w:rPr>
        <w:t>5</w:t>
      </w:r>
      <w:r>
        <w:rPr>
          <w:rFonts w:hint="eastAsia" w:ascii="宋体" w:hAnsi="宋体" w:eastAsia="仿宋_GB2312"/>
          <w:iCs/>
          <w:sz w:val="32"/>
          <w:szCs w:val="32"/>
          <w:highlight w:val="none"/>
        </w:rPr>
        <w:t>年</w:t>
      </w:r>
      <w:r>
        <w:rPr>
          <w:rFonts w:hint="eastAsia" w:ascii="宋体" w:hAnsi="宋体" w:eastAsia="仿宋_GB2312"/>
          <w:iCs/>
          <w:sz w:val="32"/>
          <w:szCs w:val="32"/>
          <w:highlight w:val="none"/>
          <w:lang w:val="en-US" w:eastAsia="zh-CN"/>
        </w:rPr>
        <w:t>3</w:t>
      </w:r>
      <w:r>
        <w:rPr>
          <w:rFonts w:hint="eastAsia" w:ascii="宋体" w:hAnsi="宋体" w:eastAsia="仿宋_GB2312"/>
          <w:iCs/>
          <w:sz w:val="32"/>
          <w:szCs w:val="32"/>
          <w:highlight w:val="none"/>
        </w:rPr>
        <w:t>月）</w:t>
      </w:r>
    </w:p>
    <w:p w14:paraId="5BE4F762">
      <w:pPr>
        <w:spacing w:line="560" w:lineRule="exact"/>
        <w:ind w:firstLine="640" w:firstLineChars="200"/>
        <w:rPr>
          <w:rFonts w:hint="eastAsia" w:ascii="宋体" w:hAnsi="宋体" w:eastAsia="仿宋_GB2312"/>
          <w:iCs/>
          <w:sz w:val="32"/>
          <w:szCs w:val="32"/>
          <w:highlight w:val="none"/>
        </w:rPr>
      </w:pPr>
      <w:r>
        <w:rPr>
          <w:rFonts w:hint="eastAsia" w:ascii="宋体" w:hAnsi="宋体" w:eastAsia="仿宋_GB2312"/>
          <w:iCs/>
          <w:sz w:val="32"/>
          <w:szCs w:val="32"/>
          <w:highlight w:val="none"/>
        </w:rPr>
        <w:t>由陕西省应急管理厅负责牵头起草本标准内容，通过标准编制小组定期举行的标准碰头会，进一步分析、研究国家、行业、地方相关标准和调研收集资料，按照标准框架，讨论并完善标准内容，以保证标准制定工作按期完成，编制形成了陕西省《安全风险分级管控和隐患排查治理</w:t>
      </w:r>
      <w:r>
        <w:rPr>
          <w:rFonts w:hint="eastAsia" w:ascii="宋体" w:hAnsi="宋体" w:eastAsia="仿宋_GB2312"/>
          <w:iCs/>
          <w:sz w:val="32"/>
          <w:szCs w:val="32"/>
          <w:highlight w:val="none"/>
          <w:lang w:val="en-US" w:eastAsia="zh-CN"/>
        </w:rPr>
        <w:t xml:space="preserve">运行提升 </w:t>
      </w:r>
      <w:r>
        <w:rPr>
          <w:rFonts w:hint="eastAsia" w:ascii="宋体" w:hAnsi="宋体" w:eastAsia="仿宋_GB2312"/>
          <w:iCs/>
          <w:sz w:val="32"/>
          <w:szCs w:val="32"/>
          <w:highlight w:val="none"/>
        </w:rPr>
        <w:t>规范》</w:t>
      </w:r>
      <w:r>
        <w:rPr>
          <w:rFonts w:hint="eastAsia" w:ascii="宋体" w:hAnsi="宋体" w:eastAsia="仿宋_GB2312"/>
          <w:iCs/>
          <w:sz w:val="32"/>
          <w:szCs w:val="32"/>
          <w:highlight w:val="none"/>
          <w:lang w:val="en-US" w:eastAsia="zh-CN"/>
        </w:rPr>
        <w:t>征求意见</w:t>
      </w:r>
      <w:r>
        <w:rPr>
          <w:rFonts w:hint="eastAsia" w:ascii="宋体" w:hAnsi="宋体" w:eastAsia="仿宋_GB2312"/>
          <w:iCs/>
          <w:sz w:val="32"/>
          <w:szCs w:val="32"/>
          <w:highlight w:val="none"/>
        </w:rPr>
        <w:t>稿。</w:t>
      </w:r>
    </w:p>
    <w:p w14:paraId="28F019B4">
      <w:pPr>
        <w:spacing w:line="560" w:lineRule="exact"/>
        <w:ind w:firstLine="640" w:firstLineChars="200"/>
        <w:outlineLvl w:val="2"/>
        <w:rPr>
          <w:rFonts w:hint="eastAsia" w:ascii="宋体" w:hAnsi="宋体" w:eastAsia="仿宋_GB2312"/>
          <w:iCs/>
          <w:sz w:val="32"/>
          <w:szCs w:val="32"/>
          <w:highlight w:val="none"/>
        </w:rPr>
      </w:pPr>
      <w:r>
        <w:rPr>
          <w:rFonts w:hint="eastAsia" w:ascii="宋体" w:hAnsi="宋体" w:eastAsia="仿宋_GB2312"/>
          <w:iCs/>
          <w:sz w:val="32"/>
          <w:szCs w:val="32"/>
          <w:highlight w:val="none"/>
          <w:lang w:val="en-US" w:eastAsia="zh-CN"/>
        </w:rPr>
        <w:t>4.试点运行</w:t>
      </w:r>
      <w:r>
        <w:rPr>
          <w:rFonts w:hint="eastAsia" w:ascii="宋体" w:hAnsi="宋体" w:eastAsia="仿宋_GB2312"/>
          <w:iCs/>
          <w:sz w:val="32"/>
          <w:szCs w:val="32"/>
          <w:highlight w:val="none"/>
        </w:rPr>
        <w:t>（202</w:t>
      </w:r>
      <w:r>
        <w:rPr>
          <w:rFonts w:hint="eastAsia" w:ascii="宋体" w:hAnsi="宋体" w:eastAsia="仿宋_GB2312"/>
          <w:iCs/>
          <w:sz w:val="32"/>
          <w:szCs w:val="32"/>
          <w:highlight w:val="none"/>
          <w:lang w:val="en-US" w:eastAsia="zh-CN"/>
        </w:rPr>
        <w:t>5</w:t>
      </w:r>
      <w:r>
        <w:rPr>
          <w:rFonts w:hint="eastAsia" w:ascii="宋体" w:hAnsi="宋体" w:eastAsia="仿宋_GB2312"/>
          <w:iCs/>
          <w:sz w:val="32"/>
          <w:szCs w:val="32"/>
          <w:highlight w:val="none"/>
        </w:rPr>
        <w:t>年</w:t>
      </w:r>
      <w:r>
        <w:rPr>
          <w:rFonts w:hint="eastAsia" w:ascii="宋体" w:hAnsi="宋体" w:eastAsia="仿宋_GB2312"/>
          <w:iCs/>
          <w:sz w:val="32"/>
          <w:szCs w:val="32"/>
          <w:highlight w:val="none"/>
          <w:lang w:val="en-US" w:eastAsia="zh-CN"/>
        </w:rPr>
        <w:t>4</w:t>
      </w:r>
      <w:r>
        <w:rPr>
          <w:rFonts w:hint="eastAsia" w:ascii="宋体" w:hAnsi="宋体" w:eastAsia="仿宋_GB2312"/>
          <w:iCs/>
          <w:sz w:val="32"/>
          <w:szCs w:val="32"/>
          <w:highlight w:val="none"/>
        </w:rPr>
        <w:t>月</w:t>
      </w:r>
      <w:r>
        <w:rPr>
          <w:rFonts w:hint="eastAsia" w:ascii="宋体" w:hAnsi="宋体" w:eastAsia="仿宋_GB2312"/>
          <w:iCs/>
          <w:sz w:val="32"/>
          <w:szCs w:val="32"/>
          <w:highlight w:val="none"/>
          <w:lang w:eastAsia="zh-CN"/>
        </w:rPr>
        <w:t>—</w:t>
      </w:r>
      <w:r>
        <w:rPr>
          <w:rFonts w:hint="eastAsia" w:ascii="宋体" w:hAnsi="宋体" w:eastAsia="仿宋_GB2312"/>
          <w:iCs/>
          <w:sz w:val="32"/>
          <w:szCs w:val="32"/>
          <w:highlight w:val="none"/>
        </w:rPr>
        <w:t>202</w:t>
      </w:r>
      <w:r>
        <w:rPr>
          <w:rFonts w:hint="eastAsia" w:ascii="宋体" w:hAnsi="宋体" w:eastAsia="仿宋_GB2312"/>
          <w:iCs/>
          <w:sz w:val="32"/>
          <w:szCs w:val="32"/>
          <w:highlight w:val="none"/>
          <w:lang w:val="en-US" w:eastAsia="zh-CN"/>
        </w:rPr>
        <w:t>5</w:t>
      </w:r>
      <w:r>
        <w:rPr>
          <w:rFonts w:hint="eastAsia" w:ascii="宋体" w:hAnsi="宋体" w:eastAsia="仿宋_GB2312"/>
          <w:iCs/>
          <w:sz w:val="32"/>
          <w:szCs w:val="32"/>
          <w:highlight w:val="none"/>
        </w:rPr>
        <w:t>年</w:t>
      </w:r>
      <w:r>
        <w:rPr>
          <w:rFonts w:hint="eastAsia" w:ascii="宋体" w:hAnsi="宋体" w:eastAsia="仿宋_GB2312"/>
          <w:iCs/>
          <w:sz w:val="32"/>
          <w:szCs w:val="32"/>
          <w:highlight w:val="none"/>
          <w:lang w:val="en-US" w:eastAsia="zh-CN"/>
        </w:rPr>
        <w:t>5</w:t>
      </w:r>
      <w:r>
        <w:rPr>
          <w:rFonts w:hint="eastAsia" w:ascii="宋体" w:hAnsi="宋体" w:eastAsia="仿宋_GB2312"/>
          <w:iCs/>
          <w:sz w:val="32"/>
          <w:szCs w:val="32"/>
          <w:highlight w:val="none"/>
        </w:rPr>
        <w:t>月）</w:t>
      </w:r>
    </w:p>
    <w:p w14:paraId="4017F408">
      <w:pPr>
        <w:spacing w:line="560" w:lineRule="exact"/>
        <w:ind w:firstLine="640" w:firstLineChars="200"/>
        <w:outlineLvl w:val="2"/>
        <w:rPr>
          <w:rFonts w:hint="default" w:ascii="宋体" w:hAnsi="宋体" w:eastAsia="仿宋_GB2312"/>
          <w:iCs/>
          <w:sz w:val="32"/>
          <w:szCs w:val="32"/>
          <w:highlight w:val="none"/>
          <w:lang w:val="en-US" w:eastAsia="zh-CN"/>
        </w:rPr>
      </w:pPr>
      <w:r>
        <w:rPr>
          <w:rFonts w:hint="eastAsia" w:ascii="宋体" w:hAnsi="宋体" w:eastAsia="仿宋_GB2312"/>
          <w:iCs/>
          <w:sz w:val="32"/>
          <w:szCs w:val="32"/>
          <w:highlight w:val="none"/>
          <w:lang w:val="en-US" w:eastAsia="zh-CN"/>
        </w:rPr>
        <w:t>标准征求意见稿基本完成后，选取西安重装为试点企业，对双重预防机制进行模拟建设。通过企业实际场景模拟，检验标准中风险分级管控、隐患排查治理等核心条款的操作性与适用性，测试监管要求与企业执行的衔接流程，确保双重预防机制与现有安全管理体系融合。同时对风险分级管控及隐患排查治理进行试运行，寻找暴露出的条款缺陷。</w:t>
      </w:r>
    </w:p>
    <w:p w14:paraId="007CF048">
      <w:pPr>
        <w:numPr>
          <w:ilvl w:val="0"/>
          <w:numId w:val="0"/>
        </w:numPr>
        <w:spacing w:line="560" w:lineRule="exact"/>
        <w:ind w:firstLine="640" w:firstLineChars="200"/>
        <w:outlineLvl w:val="2"/>
        <w:rPr>
          <w:rFonts w:hint="eastAsia" w:ascii="宋体" w:hAnsi="宋体" w:eastAsia="仿宋_GB2312"/>
          <w:iCs/>
          <w:sz w:val="32"/>
          <w:szCs w:val="32"/>
          <w:highlight w:val="none"/>
          <w:lang w:val="en-US" w:eastAsia="zh-CN"/>
        </w:rPr>
      </w:pPr>
      <w:r>
        <w:rPr>
          <w:rFonts w:hint="eastAsia" w:ascii="宋体" w:hAnsi="宋体" w:eastAsia="仿宋_GB2312"/>
          <w:iCs/>
          <w:sz w:val="32"/>
          <w:szCs w:val="32"/>
          <w:highlight w:val="none"/>
          <w:lang w:val="en-US" w:eastAsia="zh-CN"/>
        </w:rPr>
        <w:t>5.组织专家审核讨论（2025年6月—2025年7月）</w:t>
      </w:r>
    </w:p>
    <w:p w14:paraId="0C9C6E3E">
      <w:pPr>
        <w:numPr>
          <w:ilvl w:val="0"/>
          <w:numId w:val="0"/>
        </w:numPr>
        <w:spacing w:line="560" w:lineRule="exact"/>
        <w:ind w:firstLine="640" w:firstLineChars="200"/>
        <w:outlineLvl w:val="2"/>
        <w:rPr>
          <w:rFonts w:hint="default" w:ascii="宋体" w:hAnsi="宋体" w:eastAsia="仿宋_GB2312"/>
          <w:iCs/>
          <w:sz w:val="32"/>
          <w:szCs w:val="32"/>
          <w:highlight w:val="none"/>
          <w:lang w:val="en-US" w:eastAsia="zh-CN"/>
        </w:rPr>
      </w:pPr>
      <w:r>
        <w:rPr>
          <w:rFonts w:hint="eastAsia" w:ascii="宋体" w:hAnsi="宋体" w:eastAsia="仿宋_GB2312"/>
          <w:iCs/>
          <w:sz w:val="32"/>
          <w:szCs w:val="32"/>
          <w:highlight w:val="none"/>
          <w:lang w:val="en-US" w:eastAsia="zh-CN"/>
        </w:rPr>
        <w:t>根据试运行具体情况，</w:t>
      </w:r>
      <w:r>
        <w:rPr>
          <w:rFonts w:hint="default" w:ascii="宋体" w:hAnsi="宋体" w:eastAsia="仿宋_GB2312"/>
          <w:iCs/>
          <w:sz w:val="32"/>
          <w:szCs w:val="32"/>
          <w:highlight w:val="none"/>
          <w:lang w:val="en-US" w:eastAsia="zh-CN"/>
        </w:rPr>
        <w:t>组织专家</w:t>
      </w:r>
      <w:r>
        <w:rPr>
          <w:rFonts w:hint="eastAsia" w:ascii="宋体" w:hAnsi="宋体" w:eastAsia="仿宋_GB2312"/>
          <w:iCs/>
          <w:sz w:val="32"/>
          <w:szCs w:val="32"/>
          <w:highlight w:val="none"/>
          <w:lang w:val="en-US" w:eastAsia="zh-CN"/>
        </w:rPr>
        <w:t>对标准进行</w:t>
      </w:r>
      <w:r>
        <w:rPr>
          <w:rFonts w:hint="default" w:ascii="宋体" w:hAnsi="宋体" w:eastAsia="仿宋_GB2312"/>
          <w:iCs/>
          <w:sz w:val="32"/>
          <w:szCs w:val="32"/>
          <w:highlight w:val="none"/>
          <w:lang w:val="en-US" w:eastAsia="zh-CN"/>
        </w:rPr>
        <w:t>审核讨论，通过专业视角对双重预防机制相关标准或制度进行全面评估，验证其科学性、合理性、可操作性，为标准或制度的完善与落地提供权威依据</w:t>
      </w:r>
      <w:r>
        <w:rPr>
          <w:rFonts w:hint="eastAsia" w:ascii="宋体" w:hAnsi="宋体" w:eastAsia="仿宋_GB2312"/>
          <w:iCs/>
          <w:sz w:val="32"/>
          <w:szCs w:val="32"/>
          <w:highlight w:val="none"/>
          <w:lang w:val="en-US" w:eastAsia="zh-CN"/>
        </w:rPr>
        <w:t>，对征求意见稿进行更新完善。</w:t>
      </w:r>
    </w:p>
    <w:p w14:paraId="7A31C42E">
      <w:pPr>
        <w:widowControl/>
        <w:numPr>
          <w:ilvl w:val="0"/>
          <w:numId w:val="2"/>
        </w:numPr>
        <w:spacing w:line="560" w:lineRule="exact"/>
        <w:ind w:firstLine="640" w:firstLineChars="200"/>
        <w:outlineLvl w:val="0"/>
        <w:rPr>
          <w:rFonts w:hint="eastAsia" w:ascii="宋体" w:hAnsi="宋体" w:eastAsia="黑体"/>
          <w:sz w:val="32"/>
          <w:szCs w:val="32"/>
        </w:rPr>
      </w:pPr>
      <w:r>
        <w:rPr>
          <w:rFonts w:hint="eastAsia" w:ascii="宋体" w:hAnsi="宋体" w:eastAsia="黑体"/>
          <w:sz w:val="32"/>
          <w:szCs w:val="32"/>
        </w:rPr>
        <w:t>标准编制原则、主要技术内容及其确定依据</w:t>
      </w:r>
    </w:p>
    <w:p w14:paraId="14C47612">
      <w:pPr>
        <w:numPr>
          <w:ilvl w:val="0"/>
          <w:numId w:val="3"/>
        </w:numPr>
        <w:spacing w:line="560" w:lineRule="exact"/>
        <w:ind w:firstLine="640" w:firstLineChars="200"/>
        <w:outlineLvl w:val="1"/>
        <w:rPr>
          <w:rFonts w:hint="eastAsia" w:ascii="宋体" w:hAnsi="宋体" w:eastAsia="楷体"/>
          <w:sz w:val="32"/>
          <w:szCs w:val="32"/>
          <w:shd w:val="clear" w:color="auto" w:fill="FFFFFF"/>
        </w:rPr>
      </w:pPr>
      <w:r>
        <w:rPr>
          <w:rFonts w:hint="eastAsia" w:ascii="宋体" w:hAnsi="宋体" w:eastAsia="楷体"/>
          <w:sz w:val="32"/>
          <w:szCs w:val="32"/>
          <w:shd w:val="clear" w:color="auto" w:fill="FFFFFF"/>
        </w:rPr>
        <w:t>标准编制原则</w:t>
      </w:r>
    </w:p>
    <w:p w14:paraId="667FE013">
      <w:pPr>
        <w:spacing w:line="560" w:lineRule="exact"/>
        <w:ind w:firstLine="643" w:firstLineChars="200"/>
        <w:rPr>
          <w:rFonts w:hint="eastAsia" w:ascii="宋体" w:hAnsi="宋体" w:eastAsia="仿宋_GB2312"/>
          <w:b w:val="0"/>
          <w:bCs w:val="0"/>
          <w:sz w:val="32"/>
          <w:szCs w:val="32"/>
          <w:lang w:val="en-US" w:eastAsia="zh-CN"/>
        </w:rPr>
      </w:pPr>
      <w:r>
        <w:rPr>
          <w:rFonts w:hint="eastAsia" w:ascii="宋体" w:hAnsi="宋体" w:eastAsia="仿宋_GB2312"/>
          <w:b/>
          <w:bCs/>
          <w:sz w:val="32"/>
          <w:szCs w:val="32"/>
          <w:lang w:val="en-US" w:eastAsia="zh-CN"/>
        </w:rPr>
        <w:t>法规引领与政策衔接原则：</w:t>
      </w:r>
      <w:r>
        <w:rPr>
          <w:rFonts w:hint="eastAsia" w:ascii="宋体" w:hAnsi="宋体" w:eastAsia="仿宋_GB2312"/>
          <w:b w:val="0"/>
          <w:bCs w:val="0"/>
          <w:sz w:val="32"/>
          <w:szCs w:val="32"/>
          <w:lang w:val="en-US" w:eastAsia="zh-CN"/>
        </w:rPr>
        <w:t>本规范严格遵循《中华人民共和国安全生产法》《陕西省安全生产条例》等法律法规，确保评估条款与罚则条款对应，杜绝标准内容与现行法律冲突。嵌入陕西省安全生产治本攻坚三年行动（2024-2026）、智慧应急建设等最新政策要求，针对2025年政府工作报告提出的“风险动态清零”目标，设计评估指标权重。明确评估规范定位，填补建设、运行、提升全链条闭环。</w:t>
      </w:r>
    </w:p>
    <w:p w14:paraId="6747ED89">
      <w:pPr>
        <w:spacing w:line="560" w:lineRule="exact"/>
        <w:ind w:firstLine="643" w:firstLineChars="200"/>
        <w:rPr>
          <w:rFonts w:hint="eastAsia" w:ascii="宋体" w:hAnsi="宋体" w:eastAsia="仿宋_GB2312"/>
          <w:b w:val="0"/>
          <w:bCs w:val="0"/>
          <w:sz w:val="32"/>
          <w:szCs w:val="32"/>
          <w:highlight w:val="none"/>
          <w:lang w:val="en-US" w:eastAsia="zh-CN"/>
        </w:rPr>
      </w:pPr>
      <w:r>
        <w:rPr>
          <w:rFonts w:hint="default" w:ascii="宋体" w:hAnsi="宋体" w:eastAsia="仿宋_GB2312"/>
          <w:b/>
          <w:bCs/>
          <w:sz w:val="32"/>
          <w:szCs w:val="32"/>
          <w:lang w:val="en-US" w:eastAsia="zh-CN"/>
        </w:rPr>
        <w:t>问题导向与实效优先原则</w:t>
      </w:r>
      <w:r>
        <w:rPr>
          <w:rFonts w:hint="eastAsia" w:ascii="宋体" w:hAnsi="宋体" w:eastAsia="仿宋_GB2312"/>
          <w:b/>
          <w:bCs/>
          <w:sz w:val="32"/>
          <w:szCs w:val="32"/>
          <w:lang w:val="en-US" w:eastAsia="zh-CN"/>
        </w:rPr>
        <w:t>：</w:t>
      </w:r>
      <w:r>
        <w:rPr>
          <w:rFonts w:hint="eastAsia" w:ascii="宋体" w:hAnsi="宋体" w:eastAsia="仿宋_GB2312"/>
          <w:b w:val="0"/>
          <w:bCs w:val="0"/>
          <w:sz w:val="32"/>
          <w:szCs w:val="32"/>
          <w:lang w:val="en-US" w:eastAsia="zh-CN"/>
        </w:rPr>
        <w:t>针对当前企业机制运行中暴露的“重台账</w:t>
      </w:r>
      <w:r>
        <w:rPr>
          <w:rFonts w:hint="eastAsia" w:ascii="宋体" w:hAnsi="宋体" w:eastAsia="仿宋_GB2312"/>
          <w:b w:val="0"/>
          <w:bCs w:val="0"/>
          <w:sz w:val="32"/>
          <w:szCs w:val="32"/>
          <w:highlight w:val="none"/>
          <w:lang w:val="en-US" w:eastAsia="zh-CN"/>
        </w:rPr>
        <w:t>轻实效”“风险辨识静态化”“隐患整改形式化”等突出问题，设定相关指标；区分企业规模、行业风险等级，设置专项评估模块，避免“一刀切”导致中小企业合规成本过高。</w:t>
      </w:r>
    </w:p>
    <w:p w14:paraId="6CB61A08">
      <w:pPr>
        <w:spacing w:line="560" w:lineRule="exact"/>
        <w:ind w:firstLine="643" w:firstLineChars="200"/>
        <w:rPr>
          <w:rFonts w:hint="eastAsia" w:ascii="宋体" w:hAnsi="宋体" w:eastAsia="仿宋_GB2312"/>
          <w:b w:val="0"/>
          <w:bCs w:val="0"/>
          <w:sz w:val="32"/>
          <w:szCs w:val="32"/>
          <w:lang w:val="en-US" w:eastAsia="zh-CN"/>
        </w:rPr>
      </w:pPr>
      <w:r>
        <w:rPr>
          <w:rFonts w:hint="eastAsia" w:ascii="宋体" w:hAnsi="宋体" w:eastAsia="仿宋_GB2312"/>
          <w:b/>
          <w:bCs/>
          <w:sz w:val="32"/>
          <w:szCs w:val="32"/>
          <w:lang w:val="en-US" w:eastAsia="zh-CN"/>
        </w:rPr>
        <w:t>多方共治与持续改进原则：</w:t>
      </w:r>
      <w:r>
        <w:rPr>
          <w:rFonts w:hint="eastAsia" w:ascii="宋体" w:hAnsi="宋体" w:eastAsia="仿宋_GB2312"/>
          <w:b w:val="0"/>
          <w:bCs w:val="0"/>
          <w:sz w:val="32"/>
          <w:szCs w:val="32"/>
          <w:lang w:val="en-US" w:eastAsia="zh-CN"/>
        </w:rPr>
        <w:t>编制组涵盖政府监管人员、企业安全管理者、一线员工代表、第三方技术机构及高校专家，通过多种手段平衡多方诉求。在评估流程中增设持续改进环节，推动企业对双重预防机制评价的不断优化。同时，对评估优秀的企业给予政策倾斜，激发企业自主优化动力。</w:t>
      </w:r>
    </w:p>
    <w:p w14:paraId="5F96A56F">
      <w:pPr>
        <w:spacing w:line="560" w:lineRule="exact"/>
        <w:ind w:firstLine="643" w:firstLineChars="200"/>
        <w:rPr>
          <w:rFonts w:hint="default" w:ascii="宋体" w:hAnsi="宋体" w:eastAsia="仿宋_GB2312"/>
          <w:b/>
          <w:bCs/>
          <w:sz w:val="32"/>
          <w:szCs w:val="32"/>
          <w:lang w:val="en-US" w:eastAsia="zh-CN"/>
        </w:rPr>
      </w:pPr>
      <w:r>
        <w:rPr>
          <w:rFonts w:hint="default" w:ascii="宋体" w:hAnsi="宋体" w:eastAsia="仿宋_GB2312"/>
          <w:b/>
          <w:bCs/>
          <w:sz w:val="32"/>
          <w:szCs w:val="32"/>
          <w:lang w:val="en-US" w:eastAsia="zh-CN"/>
        </w:rPr>
        <w:t>国际与本土创新融合原则</w:t>
      </w:r>
      <w:r>
        <w:rPr>
          <w:rFonts w:hint="eastAsia" w:ascii="宋体" w:hAnsi="宋体" w:eastAsia="仿宋_GB2312"/>
          <w:b/>
          <w:bCs/>
          <w:sz w:val="32"/>
          <w:szCs w:val="32"/>
          <w:lang w:val="en-US" w:eastAsia="zh-CN"/>
        </w:rPr>
        <w:t>：</w:t>
      </w:r>
      <w:r>
        <w:rPr>
          <w:rFonts w:hint="eastAsia" w:ascii="宋体" w:hAnsi="宋体" w:eastAsia="仿宋_GB2312"/>
          <w:b w:val="0"/>
          <w:bCs w:val="0"/>
          <w:sz w:val="32"/>
          <w:szCs w:val="32"/>
          <w:lang w:val="en-US" w:eastAsia="zh-CN"/>
        </w:rPr>
        <w:t>借鉴ISO 45001职业健康安全管理体系中的“风险机遇管理”“绩效评价”模块，结合国内双重预防特色，创新设计“双循环评估模型”。针对陕西特色风险，制定针对性条款。</w:t>
      </w:r>
    </w:p>
    <w:p w14:paraId="7E838B59">
      <w:pPr>
        <w:spacing w:line="560" w:lineRule="exact"/>
        <w:ind w:firstLine="640" w:firstLineChars="200"/>
        <w:outlineLvl w:val="1"/>
        <w:rPr>
          <w:rFonts w:hint="eastAsia" w:ascii="宋体" w:hAnsi="宋体" w:eastAsia="楷体"/>
          <w:sz w:val="32"/>
          <w:szCs w:val="32"/>
          <w:shd w:val="clear" w:color="auto" w:fill="FFFFFF"/>
        </w:rPr>
      </w:pPr>
      <w:r>
        <w:rPr>
          <w:rFonts w:hint="eastAsia" w:ascii="宋体" w:hAnsi="宋体" w:eastAsia="楷体"/>
          <w:sz w:val="32"/>
          <w:szCs w:val="32"/>
          <w:shd w:val="clear" w:color="auto" w:fill="FFFFFF"/>
        </w:rPr>
        <w:t>（二）标准主要技术内容</w:t>
      </w:r>
    </w:p>
    <w:p w14:paraId="79A13AFE">
      <w:pPr>
        <w:pStyle w:val="12"/>
        <w:spacing w:line="560" w:lineRule="exact"/>
        <w:ind w:firstLine="640"/>
        <w:rPr>
          <w:rFonts w:hint="eastAsia" w:hAnsi="宋体" w:eastAsia="仿宋_GB2312"/>
          <w:kern w:val="2"/>
          <w:sz w:val="32"/>
          <w:szCs w:val="32"/>
        </w:rPr>
      </w:pPr>
      <w:r>
        <w:rPr>
          <w:rFonts w:hint="eastAsia" w:hAnsi="宋体" w:eastAsia="仿宋_GB2312"/>
          <w:kern w:val="2"/>
          <w:sz w:val="32"/>
          <w:szCs w:val="32"/>
        </w:rPr>
        <w:t>本</w:t>
      </w:r>
      <w:r>
        <w:rPr>
          <w:rFonts w:hint="eastAsia" w:hAnsi="宋体" w:eastAsia="仿宋_GB2312"/>
          <w:kern w:val="2"/>
          <w:sz w:val="32"/>
          <w:szCs w:val="32"/>
          <w:lang w:val="en-US" w:eastAsia="zh-CN"/>
        </w:rPr>
        <w:t>规范通过对风险分级管控体系的优化</w:t>
      </w:r>
      <w:r>
        <w:rPr>
          <w:rFonts w:hint="eastAsia" w:hAnsi="宋体" w:eastAsia="仿宋_GB2312"/>
          <w:kern w:val="2"/>
          <w:sz w:val="32"/>
          <w:szCs w:val="32"/>
        </w:rPr>
        <w:t>旨在为我</w:t>
      </w:r>
      <w:r>
        <w:rPr>
          <w:rFonts w:hint="eastAsia" w:hAnsi="宋体" w:eastAsia="仿宋_GB2312"/>
          <w:kern w:val="2"/>
          <w:sz w:val="32"/>
          <w:szCs w:val="32"/>
          <w:lang w:val="en-US" w:eastAsia="zh-CN"/>
        </w:rPr>
        <w:t>省</w:t>
      </w:r>
      <w:r>
        <w:rPr>
          <w:rFonts w:hint="eastAsia" w:hAnsi="宋体" w:eastAsia="仿宋_GB2312"/>
          <w:kern w:val="2"/>
          <w:sz w:val="32"/>
          <w:szCs w:val="32"/>
        </w:rPr>
        <w:t>各行业领域企业安全生产工作提供可资借鉴的、系统化的基本管理框架，引导企业健全完善和规范统一安全生产工作，推动安全生产主体责任落实，持续提高安全生产绩效，以高水平安全保障企业高质量发展。</w:t>
      </w:r>
    </w:p>
    <w:p w14:paraId="65E5182E">
      <w:pPr>
        <w:pStyle w:val="12"/>
        <w:spacing w:line="560" w:lineRule="exact"/>
        <w:ind w:firstLine="643" w:firstLineChars="200"/>
        <w:outlineLvl w:val="2"/>
        <w:rPr>
          <w:rFonts w:hint="default" w:hAnsi="宋体" w:eastAsia="仿宋_GB2312"/>
          <w:b/>
          <w:bCs/>
          <w:kern w:val="2"/>
          <w:sz w:val="32"/>
          <w:szCs w:val="32"/>
          <w:lang w:val="en-US" w:eastAsia="zh-CN"/>
        </w:rPr>
      </w:pPr>
      <w:r>
        <w:rPr>
          <w:rFonts w:hint="eastAsia" w:hAnsi="宋体" w:eastAsia="仿宋_GB2312"/>
          <w:b/>
          <w:bCs/>
          <w:kern w:val="2"/>
          <w:sz w:val="32"/>
          <w:szCs w:val="32"/>
        </w:rPr>
        <w:t>3.</w:t>
      </w:r>
      <w:r>
        <w:rPr>
          <w:rFonts w:hint="eastAsia" w:hAnsi="宋体" w:eastAsia="仿宋_GB2312"/>
          <w:b/>
          <w:bCs/>
          <w:kern w:val="2"/>
          <w:sz w:val="32"/>
          <w:szCs w:val="32"/>
          <w:lang w:val="en-US" w:eastAsia="zh-CN"/>
        </w:rPr>
        <w:t>标准主要</w:t>
      </w:r>
      <w:r>
        <w:rPr>
          <w:rFonts w:hint="eastAsia" w:hAnsi="宋体" w:eastAsia="仿宋_GB2312"/>
          <w:b/>
          <w:bCs/>
          <w:kern w:val="2"/>
          <w:sz w:val="32"/>
          <w:szCs w:val="32"/>
        </w:rPr>
        <w:t>内容</w:t>
      </w:r>
      <w:r>
        <w:rPr>
          <w:rFonts w:hint="eastAsia" w:hAnsi="宋体" w:eastAsia="仿宋_GB2312"/>
          <w:b/>
          <w:bCs/>
          <w:kern w:val="2"/>
          <w:sz w:val="32"/>
          <w:szCs w:val="32"/>
          <w:lang w:val="en-US" w:eastAsia="zh-CN"/>
        </w:rPr>
        <w:t>及确定依据</w:t>
      </w:r>
    </w:p>
    <w:p w14:paraId="5107C618">
      <w:pPr>
        <w:spacing w:line="560" w:lineRule="exact"/>
        <w:ind w:firstLine="640" w:firstLineChars="200"/>
        <w:rPr>
          <w:rFonts w:hint="eastAsia" w:ascii="宋体" w:hAnsi="宋体" w:eastAsia="仿宋_GB2312"/>
          <w:sz w:val="32"/>
          <w:szCs w:val="32"/>
          <w:highlight w:val="none"/>
        </w:rPr>
      </w:pPr>
      <w:r>
        <w:rPr>
          <w:rFonts w:hint="eastAsia" w:ascii="宋体" w:hAnsi="宋体" w:eastAsia="仿宋_GB2312"/>
          <w:sz w:val="32"/>
          <w:szCs w:val="32"/>
        </w:rPr>
        <w:t>标准规范框架设计基于以下考量，</w:t>
      </w:r>
      <w:r>
        <w:rPr>
          <w:rFonts w:hint="eastAsia" w:ascii="宋体" w:hAnsi="宋体" w:eastAsia="仿宋_GB2312"/>
          <w:sz w:val="32"/>
          <w:szCs w:val="32"/>
          <w:highlight w:val="none"/>
        </w:rPr>
        <w:t>设置了一级要素</w:t>
      </w:r>
      <w:r>
        <w:rPr>
          <w:rFonts w:hint="eastAsia" w:ascii="宋体" w:hAnsi="宋体" w:eastAsia="仿宋_GB2312"/>
          <w:sz w:val="32"/>
          <w:szCs w:val="32"/>
          <w:highlight w:val="none"/>
          <w:lang w:val="en-US" w:eastAsia="zh-CN"/>
        </w:rPr>
        <w:t>9</w:t>
      </w:r>
      <w:r>
        <w:rPr>
          <w:rFonts w:hint="eastAsia" w:ascii="宋体" w:hAnsi="宋体" w:eastAsia="仿宋_GB2312"/>
          <w:sz w:val="32"/>
          <w:szCs w:val="32"/>
          <w:highlight w:val="none"/>
        </w:rPr>
        <w:t>个、二级要素</w:t>
      </w:r>
      <w:r>
        <w:rPr>
          <w:rFonts w:hint="eastAsia" w:ascii="宋体" w:hAnsi="宋体" w:eastAsia="仿宋_GB2312"/>
          <w:sz w:val="32"/>
          <w:szCs w:val="32"/>
          <w:highlight w:val="none"/>
          <w:lang w:val="en-US" w:eastAsia="zh-CN"/>
        </w:rPr>
        <w:t>25</w:t>
      </w:r>
      <w:r>
        <w:rPr>
          <w:rFonts w:hint="eastAsia" w:ascii="宋体" w:hAnsi="宋体" w:eastAsia="仿宋_GB2312"/>
          <w:sz w:val="32"/>
          <w:szCs w:val="32"/>
          <w:highlight w:val="none"/>
        </w:rPr>
        <w:t>个、三级要素</w:t>
      </w:r>
      <w:r>
        <w:rPr>
          <w:rFonts w:hint="eastAsia" w:ascii="宋体" w:hAnsi="宋体" w:eastAsia="仿宋_GB2312"/>
          <w:sz w:val="32"/>
          <w:szCs w:val="32"/>
          <w:highlight w:val="none"/>
          <w:lang w:val="en-US" w:eastAsia="zh-CN"/>
        </w:rPr>
        <w:t>18</w:t>
      </w:r>
      <w:r>
        <w:rPr>
          <w:rFonts w:hint="eastAsia" w:ascii="宋体" w:hAnsi="宋体" w:eastAsia="仿宋_GB2312"/>
          <w:sz w:val="32"/>
          <w:szCs w:val="32"/>
          <w:highlight w:val="none"/>
        </w:rPr>
        <w:t>个。</w:t>
      </w:r>
    </w:p>
    <w:p w14:paraId="033BB5BD">
      <w:pPr>
        <w:spacing w:line="560" w:lineRule="exact"/>
        <w:ind w:firstLine="643" w:firstLineChars="200"/>
        <w:outlineLvl w:val="3"/>
        <w:rPr>
          <w:rFonts w:hint="eastAsia" w:ascii="宋体" w:hAnsi="宋体" w:eastAsia="仿宋_GB2312"/>
          <w:b/>
          <w:bCs/>
          <w:sz w:val="32"/>
          <w:szCs w:val="32"/>
          <w:highlight w:val="none"/>
          <w:lang w:eastAsia="zh-CN"/>
        </w:rPr>
      </w:pPr>
      <w:r>
        <w:rPr>
          <w:rFonts w:hint="eastAsia" w:ascii="宋体" w:hAnsi="宋体" w:eastAsia="仿宋_GB2312"/>
          <w:b/>
          <w:bCs/>
          <w:sz w:val="32"/>
          <w:szCs w:val="32"/>
          <w:highlight w:val="none"/>
          <w:shd w:val="clear" w:color="auto" w:fill="FFFFFF"/>
          <w:lang w:eastAsia="zh-CN"/>
        </w:rPr>
        <w:t>(1)</w:t>
      </w:r>
      <w:r>
        <w:rPr>
          <w:rFonts w:hint="eastAsia" w:ascii="宋体" w:hAnsi="宋体" w:eastAsia="仿宋_GB2312"/>
          <w:b/>
          <w:bCs/>
          <w:sz w:val="32"/>
          <w:szCs w:val="32"/>
          <w:highlight w:val="none"/>
          <w:lang w:val="en-US" w:eastAsia="zh-CN"/>
        </w:rPr>
        <w:t>范围</w:t>
      </w:r>
    </w:p>
    <w:p w14:paraId="5D15EDBD">
      <w:pPr>
        <w:spacing w:line="560" w:lineRule="exact"/>
        <w:ind w:firstLine="640" w:firstLineChars="200"/>
        <w:rPr>
          <w:rFonts w:hint="eastAsia" w:ascii="宋体" w:hAnsi="宋体" w:eastAsia="仿宋_GB2312"/>
          <w:bCs/>
          <w:sz w:val="32"/>
          <w:szCs w:val="32"/>
          <w:highlight w:val="none"/>
        </w:rPr>
      </w:pPr>
      <w:r>
        <w:rPr>
          <w:rFonts w:hint="eastAsia" w:ascii="宋体" w:hAnsi="宋体" w:eastAsia="仿宋_GB2312"/>
          <w:bCs/>
          <w:sz w:val="32"/>
          <w:szCs w:val="32"/>
          <w:highlight w:val="none"/>
        </w:rPr>
        <w:t>根据项目计划要求，明确了本标准适用于在陕西省行政区域内非煤矿山、危险化学品、工贸、烟花爆竹四个行业生产企业安全双重预防机制</w:t>
      </w:r>
      <w:r>
        <w:rPr>
          <w:rFonts w:hint="eastAsia" w:ascii="宋体" w:hAnsi="宋体" w:eastAsia="仿宋_GB2312"/>
          <w:bCs/>
          <w:sz w:val="32"/>
          <w:szCs w:val="32"/>
          <w:highlight w:val="none"/>
          <w:lang w:val="en-US" w:eastAsia="zh-CN"/>
        </w:rPr>
        <w:t>运行</w:t>
      </w:r>
      <w:r>
        <w:rPr>
          <w:rFonts w:hint="eastAsia" w:ascii="宋体" w:hAnsi="宋体" w:eastAsia="仿宋_GB2312"/>
          <w:bCs/>
          <w:sz w:val="32"/>
          <w:szCs w:val="32"/>
          <w:highlight w:val="none"/>
        </w:rPr>
        <w:t>的具体框架。</w:t>
      </w:r>
    </w:p>
    <w:p w14:paraId="16E2A755">
      <w:pPr>
        <w:spacing w:line="560" w:lineRule="exact"/>
        <w:ind w:firstLine="643" w:firstLineChars="200"/>
        <w:outlineLvl w:val="3"/>
        <w:rPr>
          <w:rFonts w:hint="default" w:ascii="宋体" w:hAnsi="宋体" w:eastAsia="仿宋_GB2312"/>
          <w:b/>
          <w:bCs/>
          <w:sz w:val="32"/>
          <w:szCs w:val="32"/>
          <w:highlight w:val="none"/>
          <w:lang w:val="en-US" w:eastAsia="zh-CN"/>
        </w:rPr>
      </w:pPr>
      <w:r>
        <w:rPr>
          <w:rFonts w:hint="eastAsia" w:ascii="宋体" w:hAnsi="宋体" w:eastAsia="仿宋_GB2312"/>
          <w:b/>
          <w:bCs/>
          <w:sz w:val="32"/>
          <w:szCs w:val="32"/>
          <w:highlight w:val="none"/>
          <w:shd w:val="clear" w:color="auto" w:fill="FFFFFF"/>
          <w:lang w:eastAsia="zh-CN"/>
        </w:rPr>
        <w:t>(2)</w:t>
      </w:r>
      <w:r>
        <w:rPr>
          <w:rFonts w:hint="eastAsia" w:ascii="宋体" w:hAnsi="宋体" w:eastAsia="仿宋_GB2312"/>
          <w:b/>
          <w:bCs/>
          <w:sz w:val="32"/>
          <w:szCs w:val="32"/>
          <w:highlight w:val="none"/>
          <w:lang w:val="en-US" w:eastAsia="zh-CN"/>
        </w:rPr>
        <w:t>规范性引用文件</w:t>
      </w:r>
    </w:p>
    <w:p w14:paraId="2C2523BC">
      <w:pPr>
        <w:spacing w:line="560" w:lineRule="exact"/>
        <w:ind w:firstLine="640" w:firstLineChars="200"/>
        <w:rPr>
          <w:rFonts w:hint="eastAsia" w:ascii="宋体" w:hAnsi="宋体" w:eastAsia="仿宋_GB2312"/>
          <w:sz w:val="32"/>
          <w:szCs w:val="32"/>
          <w:highlight w:val="none"/>
        </w:rPr>
      </w:pPr>
      <w:r>
        <w:rPr>
          <w:rFonts w:hint="eastAsia" w:ascii="宋体" w:hAnsi="宋体" w:eastAsia="仿宋_GB2312"/>
          <w:sz w:val="32"/>
          <w:szCs w:val="32"/>
          <w:highlight w:val="none"/>
        </w:rPr>
        <w:t>主要罗列了本标准中引用的国家及行业相关标准。</w:t>
      </w:r>
    </w:p>
    <w:p w14:paraId="17F79F23">
      <w:pPr>
        <w:spacing w:line="560" w:lineRule="exact"/>
        <w:ind w:firstLine="643" w:firstLineChars="200"/>
        <w:outlineLvl w:val="3"/>
        <w:rPr>
          <w:rFonts w:hint="eastAsia" w:ascii="宋体" w:hAnsi="宋体" w:eastAsia="仿宋_GB2312"/>
          <w:b/>
          <w:bCs/>
          <w:sz w:val="32"/>
          <w:szCs w:val="32"/>
          <w:highlight w:val="none"/>
          <w:lang w:eastAsia="zh-CN"/>
        </w:rPr>
      </w:pPr>
      <w:r>
        <w:rPr>
          <w:rFonts w:hint="eastAsia" w:ascii="宋体" w:hAnsi="宋体" w:eastAsia="仿宋_GB2312"/>
          <w:b/>
          <w:bCs/>
          <w:sz w:val="32"/>
          <w:szCs w:val="32"/>
          <w:highlight w:val="none"/>
          <w:shd w:val="clear" w:color="auto" w:fill="FFFFFF"/>
          <w:lang w:eastAsia="zh-CN"/>
        </w:rPr>
        <w:t>(3)</w:t>
      </w:r>
      <w:r>
        <w:rPr>
          <w:rFonts w:hint="eastAsia" w:ascii="宋体" w:hAnsi="宋体" w:eastAsia="仿宋_GB2312"/>
          <w:b/>
          <w:bCs/>
          <w:sz w:val="32"/>
          <w:szCs w:val="32"/>
          <w:highlight w:val="none"/>
          <w:lang w:val="en-US" w:eastAsia="zh-CN"/>
        </w:rPr>
        <w:t>术语和定义</w:t>
      </w:r>
    </w:p>
    <w:p w14:paraId="707B3979">
      <w:pPr>
        <w:spacing w:line="560" w:lineRule="exact"/>
        <w:ind w:firstLine="640" w:firstLineChars="200"/>
        <w:rPr>
          <w:rFonts w:hint="eastAsia" w:ascii="宋体" w:hAnsi="宋体" w:eastAsia="仿宋_GB2312"/>
          <w:sz w:val="32"/>
          <w:szCs w:val="32"/>
          <w:highlight w:val="none"/>
        </w:rPr>
      </w:pPr>
      <w:r>
        <w:rPr>
          <w:rFonts w:hint="eastAsia" w:ascii="宋体" w:hAnsi="宋体" w:eastAsia="仿宋_GB2312"/>
          <w:sz w:val="32"/>
          <w:szCs w:val="32"/>
          <w:highlight w:val="none"/>
        </w:rPr>
        <w:t>本标准给出了</w:t>
      </w:r>
      <w:r>
        <w:rPr>
          <w:rFonts w:hint="eastAsia" w:ascii="宋体" w:hAnsi="宋体" w:eastAsia="仿宋_GB2312"/>
          <w:sz w:val="32"/>
          <w:szCs w:val="32"/>
          <w:highlight w:val="none"/>
          <w:lang w:val="en-US" w:eastAsia="zh-CN"/>
        </w:rPr>
        <w:t>双重预防机制运行相关的4</w:t>
      </w:r>
      <w:r>
        <w:rPr>
          <w:rFonts w:hint="eastAsia" w:ascii="宋体" w:hAnsi="宋体" w:eastAsia="仿宋_GB2312"/>
          <w:sz w:val="32"/>
          <w:szCs w:val="32"/>
          <w:highlight w:val="none"/>
        </w:rPr>
        <w:t>个术语和定义。</w:t>
      </w:r>
    </w:p>
    <w:p w14:paraId="093A6463">
      <w:pPr>
        <w:numPr>
          <w:ilvl w:val="0"/>
          <w:numId w:val="4"/>
        </w:numPr>
        <w:spacing w:line="560" w:lineRule="exact"/>
        <w:ind w:firstLine="643" w:firstLineChars="200"/>
        <w:outlineLvl w:val="3"/>
        <w:rPr>
          <w:rFonts w:hint="eastAsia" w:ascii="宋体" w:hAnsi="宋体" w:eastAsia="仿宋_GB2312"/>
          <w:b/>
          <w:sz w:val="32"/>
          <w:szCs w:val="32"/>
          <w:highlight w:val="none"/>
          <w:lang w:val="en-US" w:eastAsia="zh-CN"/>
        </w:rPr>
      </w:pPr>
      <w:r>
        <w:rPr>
          <w:rFonts w:hint="eastAsia" w:ascii="宋体" w:hAnsi="宋体" w:eastAsia="仿宋_GB2312"/>
          <w:b/>
          <w:sz w:val="32"/>
          <w:szCs w:val="32"/>
          <w:highlight w:val="none"/>
          <w:lang w:val="en-US" w:eastAsia="zh-CN"/>
        </w:rPr>
        <w:t>基本要求</w:t>
      </w:r>
    </w:p>
    <w:p w14:paraId="25F71185">
      <w:pPr>
        <w:spacing w:line="560" w:lineRule="exact"/>
        <w:ind w:firstLine="643" w:firstLineChars="200"/>
        <w:rPr>
          <w:rFonts w:hint="default" w:ascii="宋体" w:hAnsi="宋体" w:eastAsia="仿宋_GB2312"/>
          <w:sz w:val="32"/>
          <w:szCs w:val="32"/>
          <w:highlight w:val="none"/>
          <w:lang w:val="en-US" w:eastAsia="zh-CN"/>
        </w:rPr>
      </w:pPr>
      <w:r>
        <w:rPr>
          <w:rFonts w:hint="eastAsia" w:ascii="宋体" w:hAnsi="宋体" w:eastAsia="仿宋_GB2312"/>
          <w:b/>
          <w:sz w:val="32"/>
          <w:szCs w:val="32"/>
          <w:highlight w:val="none"/>
          <w:lang w:val="en-US" w:eastAsia="zh-CN"/>
        </w:rPr>
        <w:t>要素内容：</w:t>
      </w:r>
      <w:r>
        <w:rPr>
          <w:rFonts w:hint="eastAsia" w:ascii="宋体" w:hAnsi="宋体" w:eastAsia="仿宋_GB2312"/>
          <w:sz w:val="32"/>
          <w:szCs w:val="32"/>
          <w:highlight w:val="none"/>
          <w:lang w:val="en-US" w:eastAsia="zh-CN"/>
        </w:rPr>
        <w:t>包括领导作用、全员参与、风险隐患一体化、风险辨识完善和隐患治理闭环。</w:t>
      </w:r>
    </w:p>
    <w:p w14:paraId="67B61A15">
      <w:pPr>
        <w:spacing w:line="560" w:lineRule="exact"/>
        <w:ind w:firstLine="643" w:firstLineChars="200"/>
        <w:rPr>
          <w:rFonts w:hint="default" w:ascii="宋体" w:hAnsi="宋体" w:eastAsia="仿宋_GB2312"/>
          <w:b w:val="0"/>
          <w:bCs/>
          <w:sz w:val="32"/>
          <w:szCs w:val="32"/>
          <w:highlight w:val="none"/>
          <w:lang w:val="en-US" w:eastAsia="zh-CN"/>
        </w:rPr>
      </w:pPr>
      <w:r>
        <w:rPr>
          <w:rFonts w:hint="eastAsia" w:ascii="宋体" w:hAnsi="宋体" w:eastAsia="仿宋_GB2312"/>
          <w:b/>
          <w:sz w:val="32"/>
          <w:szCs w:val="32"/>
          <w:highlight w:val="none"/>
          <w:lang w:val="en-US" w:eastAsia="zh-CN"/>
        </w:rPr>
        <w:t>要素特点：</w:t>
      </w:r>
      <w:r>
        <w:rPr>
          <w:rFonts w:hint="eastAsia" w:ascii="宋体" w:hAnsi="宋体" w:eastAsia="仿宋_GB2312"/>
          <w:b w:val="0"/>
          <w:bCs/>
          <w:sz w:val="32"/>
          <w:szCs w:val="32"/>
          <w:highlight w:val="none"/>
          <w:lang w:val="en-US" w:eastAsia="zh-CN"/>
        </w:rPr>
        <w:t>一是通过对领导作用及全员参与的具体要求体现战略引领与责任穿透；二是通过互联网平台打通风险辨识、隐患治理全流程，消除传统机制中的信息孤岛实现风险隐患联防联控。</w:t>
      </w:r>
    </w:p>
    <w:p w14:paraId="035A77BE">
      <w:pPr>
        <w:numPr>
          <w:ilvl w:val="0"/>
          <w:numId w:val="4"/>
        </w:numPr>
        <w:spacing w:line="560" w:lineRule="exact"/>
        <w:ind w:firstLine="643" w:firstLineChars="200"/>
        <w:outlineLvl w:val="3"/>
        <w:rPr>
          <w:rFonts w:hint="eastAsia" w:ascii="宋体" w:hAnsi="宋体" w:eastAsia="仿宋_GB2312"/>
          <w:b/>
          <w:sz w:val="32"/>
          <w:szCs w:val="32"/>
          <w:highlight w:val="none"/>
          <w:lang w:val="en-US" w:eastAsia="zh-CN"/>
        </w:rPr>
      </w:pPr>
      <w:r>
        <w:rPr>
          <w:rFonts w:hint="eastAsia" w:ascii="宋体" w:hAnsi="宋体" w:eastAsia="仿宋_GB2312"/>
          <w:b/>
          <w:sz w:val="32"/>
          <w:szCs w:val="32"/>
          <w:highlight w:val="none"/>
          <w:lang w:val="en-US" w:eastAsia="zh-CN"/>
        </w:rPr>
        <w:t>安全风险分级管控运行提升</w:t>
      </w:r>
    </w:p>
    <w:p w14:paraId="074364B0">
      <w:pPr>
        <w:spacing w:line="560" w:lineRule="exact"/>
        <w:ind w:firstLine="643" w:firstLineChars="200"/>
        <w:rPr>
          <w:rFonts w:hint="default" w:ascii="宋体" w:hAnsi="宋体" w:eastAsia="仿宋_GB2312"/>
          <w:sz w:val="32"/>
          <w:szCs w:val="32"/>
          <w:highlight w:val="none"/>
          <w:lang w:val="en-US" w:eastAsia="zh-CN"/>
        </w:rPr>
      </w:pPr>
      <w:r>
        <w:rPr>
          <w:rFonts w:hint="eastAsia" w:ascii="宋体" w:hAnsi="宋体" w:eastAsia="仿宋_GB2312"/>
          <w:b/>
          <w:sz w:val="32"/>
          <w:szCs w:val="32"/>
          <w:highlight w:val="none"/>
        </w:rPr>
        <w:t>要素内容</w:t>
      </w:r>
      <w:r>
        <w:rPr>
          <w:rFonts w:hint="eastAsia" w:ascii="宋体" w:hAnsi="宋体" w:eastAsia="仿宋_GB2312"/>
          <w:sz w:val="32"/>
          <w:szCs w:val="32"/>
          <w:highlight w:val="none"/>
        </w:rPr>
        <w:t>：包括</w:t>
      </w:r>
      <w:r>
        <w:rPr>
          <w:rFonts w:hint="eastAsia" w:ascii="宋体" w:hAnsi="宋体" w:eastAsia="仿宋_GB2312"/>
          <w:sz w:val="32"/>
          <w:szCs w:val="32"/>
          <w:highlight w:val="none"/>
          <w:lang w:val="en-US" w:eastAsia="zh-CN"/>
        </w:rPr>
        <w:t>专项风险辨识</w:t>
      </w:r>
      <w:r>
        <w:rPr>
          <w:rFonts w:hint="eastAsia" w:ascii="宋体" w:hAnsi="宋体" w:eastAsia="仿宋_GB2312"/>
          <w:sz w:val="32"/>
          <w:szCs w:val="32"/>
          <w:highlight w:val="none"/>
        </w:rPr>
        <w:t>、</w:t>
      </w:r>
      <w:r>
        <w:rPr>
          <w:rFonts w:hint="eastAsia" w:ascii="宋体" w:hAnsi="宋体" w:eastAsia="仿宋_GB2312"/>
          <w:sz w:val="32"/>
          <w:szCs w:val="32"/>
          <w:highlight w:val="none"/>
          <w:lang w:val="en-US" w:eastAsia="zh-CN"/>
        </w:rPr>
        <w:t>安全风险研判、风险动态管控</w:t>
      </w:r>
      <w:r>
        <w:rPr>
          <w:rFonts w:hint="eastAsia" w:ascii="宋体" w:hAnsi="宋体" w:eastAsia="仿宋_GB2312"/>
          <w:sz w:val="32"/>
          <w:szCs w:val="32"/>
          <w:highlight w:val="none"/>
        </w:rPr>
        <w:t>和风险</w:t>
      </w:r>
      <w:r>
        <w:rPr>
          <w:rFonts w:hint="eastAsia" w:ascii="宋体" w:hAnsi="宋体" w:eastAsia="仿宋_GB2312"/>
          <w:sz w:val="32"/>
          <w:szCs w:val="32"/>
          <w:highlight w:val="none"/>
          <w:lang w:val="en-US" w:eastAsia="zh-CN"/>
        </w:rPr>
        <w:t>管控分析完善</w:t>
      </w:r>
      <w:r>
        <w:rPr>
          <w:rFonts w:hint="eastAsia" w:ascii="宋体" w:hAnsi="宋体" w:eastAsia="仿宋_GB2312"/>
          <w:sz w:val="32"/>
          <w:szCs w:val="32"/>
          <w:highlight w:val="none"/>
        </w:rPr>
        <w:t>4个二级要素。</w:t>
      </w:r>
      <w:r>
        <w:rPr>
          <w:rFonts w:hint="eastAsia" w:ascii="宋体" w:hAnsi="宋体" w:eastAsia="仿宋_GB2312"/>
          <w:sz w:val="32"/>
          <w:szCs w:val="32"/>
          <w:highlight w:val="none"/>
          <w:lang w:val="en-US" w:eastAsia="zh-CN"/>
        </w:rPr>
        <w:t>其中专项风险辨识包括辨识条件、专项风险评估方法、专项风险辨识结果应用；风险动态管控包括实时监测、日常安全风险管控和重大危险源管控；风险管控分析完善包括安全风险管控效果分析和重大安全风险管控方案分析。</w:t>
      </w:r>
    </w:p>
    <w:p w14:paraId="2618D0AA">
      <w:pPr>
        <w:spacing w:line="560" w:lineRule="exact"/>
        <w:ind w:firstLine="643" w:firstLineChars="200"/>
        <w:rPr>
          <w:rFonts w:hint="default" w:ascii="宋体" w:hAnsi="宋体" w:eastAsia="仿宋_GB2312"/>
          <w:sz w:val="32"/>
          <w:szCs w:val="32"/>
          <w:highlight w:val="none"/>
          <w:lang w:val="en-US" w:eastAsia="zh-CN"/>
        </w:rPr>
      </w:pPr>
      <w:r>
        <w:rPr>
          <w:rFonts w:hint="eastAsia" w:ascii="宋体" w:hAnsi="宋体" w:eastAsia="仿宋_GB2312"/>
          <w:b/>
          <w:sz w:val="32"/>
          <w:szCs w:val="32"/>
          <w:highlight w:val="none"/>
        </w:rPr>
        <w:t>要素特点</w:t>
      </w:r>
      <w:r>
        <w:rPr>
          <w:rFonts w:hint="eastAsia" w:ascii="宋体" w:hAnsi="宋体" w:eastAsia="仿宋_GB2312"/>
          <w:sz w:val="32"/>
          <w:szCs w:val="32"/>
          <w:highlight w:val="none"/>
        </w:rPr>
        <w:t>：</w:t>
      </w:r>
      <w:r>
        <w:rPr>
          <w:rFonts w:hint="eastAsia" w:ascii="宋体" w:hAnsi="宋体" w:eastAsia="仿宋_GB2312"/>
          <w:sz w:val="32"/>
          <w:szCs w:val="32"/>
          <w:highlight w:val="none"/>
          <w:lang w:val="en-US" w:eastAsia="zh-CN"/>
        </w:rPr>
        <w:t>安全风险分级管控运行强调日常安全风险的常规管控，将风险管控融入日常生产经营活动中，形成常态化、规范化的管控模式。同时，安全风险分级管控运行还强调与隐患排查治理的协同联动，将风险管控与隐患排查紧密结合，形成风险辨识、风险评估、风险管控、隐患排查、隐患治理的闭环管理，实现风险与隐患的双重预防和控制，全面提升企业的安全管理水平。</w:t>
      </w:r>
    </w:p>
    <w:p w14:paraId="1751E7C8">
      <w:pPr>
        <w:numPr>
          <w:ilvl w:val="0"/>
          <w:numId w:val="4"/>
        </w:numPr>
        <w:spacing w:line="560" w:lineRule="exact"/>
        <w:ind w:firstLine="643" w:firstLineChars="200"/>
        <w:outlineLvl w:val="3"/>
        <w:rPr>
          <w:rFonts w:hint="eastAsia" w:ascii="宋体" w:hAnsi="宋体" w:eastAsia="仿宋_GB2312"/>
          <w:b/>
          <w:sz w:val="32"/>
          <w:szCs w:val="32"/>
          <w:highlight w:val="none"/>
          <w:lang w:val="en-US" w:eastAsia="zh-CN"/>
        </w:rPr>
      </w:pPr>
      <w:r>
        <w:rPr>
          <w:rFonts w:hint="eastAsia" w:ascii="宋体" w:hAnsi="宋体" w:eastAsia="仿宋_GB2312"/>
          <w:b/>
          <w:sz w:val="32"/>
          <w:szCs w:val="32"/>
          <w:highlight w:val="none"/>
          <w:lang w:val="en-US" w:eastAsia="zh-CN"/>
        </w:rPr>
        <w:t>隐患排查治理运行提升</w:t>
      </w:r>
    </w:p>
    <w:p w14:paraId="550D65D6">
      <w:pPr>
        <w:spacing w:line="560" w:lineRule="exact"/>
        <w:ind w:firstLine="643" w:firstLineChars="200"/>
        <w:rPr>
          <w:rFonts w:hint="default" w:ascii="宋体" w:hAnsi="宋体" w:eastAsia="仿宋_GB2312"/>
          <w:sz w:val="32"/>
          <w:szCs w:val="32"/>
          <w:highlight w:val="none"/>
          <w:lang w:val="en-US" w:eastAsia="zh-CN"/>
        </w:rPr>
      </w:pPr>
      <w:r>
        <w:rPr>
          <w:rFonts w:hint="eastAsia" w:ascii="宋体" w:hAnsi="宋体" w:eastAsia="仿宋_GB2312"/>
          <w:b/>
          <w:sz w:val="32"/>
          <w:szCs w:val="32"/>
          <w:highlight w:val="none"/>
        </w:rPr>
        <w:t>要素内容</w:t>
      </w:r>
      <w:r>
        <w:rPr>
          <w:rFonts w:hint="eastAsia" w:ascii="宋体" w:hAnsi="宋体" w:eastAsia="仿宋_GB2312"/>
          <w:sz w:val="32"/>
          <w:szCs w:val="32"/>
          <w:highlight w:val="none"/>
        </w:rPr>
        <w:t>：包含</w:t>
      </w:r>
      <w:r>
        <w:rPr>
          <w:rFonts w:hint="eastAsia" w:ascii="宋体" w:hAnsi="宋体" w:eastAsia="仿宋_GB2312"/>
          <w:sz w:val="32"/>
          <w:szCs w:val="32"/>
          <w:highlight w:val="none"/>
          <w:lang w:val="en-US" w:eastAsia="zh-CN"/>
        </w:rPr>
        <w:t>隐患排查</w:t>
      </w:r>
      <w:r>
        <w:rPr>
          <w:rFonts w:hint="eastAsia" w:ascii="宋体" w:hAnsi="宋体" w:eastAsia="仿宋_GB2312"/>
          <w:sz w:val="32"/>
          <w:szCs w:val="32"/>
          <w:highlight w:val="none"/>
        </w:rPr>
        <w:t>、</w:t>
      </w:r>
      <w:r>
        <w:rPr>
          <w:rFonts w:hint="eastAsia" w:ascii="宋体" w:hAnsi="宋体" w:eastAsia="仿宋_GB2312"/>
          <w:sz w:val="32"/>
          <w:szCs w:val="32"/>
          <w:highlight w:val="none"/>
          <w:lang w:val="en-US" w:eastAsia="zh-CN"/>
        </w:rPr>
        <w:t>隐患治理、验收与销号、</w:t>
      </w:r>
      <w:r>
        <w:rPr>
          <w:rFonts w:hint="eastAsia" w:ascii="宋体" w:hAnsi="宋体" w:eastAsia="仿宋_GB2312"/>
          <w:sz w:val="32"/>
          <w:szCs w:val="32"/>
          <w:highlight w:val="none"/>
        </w:rPr>
        <w:t>隐患</w:t>
      </w:r>
      <w:r>
        <w:rPr>
          <w:rFonts w:hint="eastAsia" w:ascii="宋体" w:hAnsi="宋体" w:eastAsia="仿宋_GB2312"/>
          <w:sz w:val="32"/>
          <w:szCs w:val="32"/>
          <w:highlight w:val="none"/>
          <w:lang w:val="en-US" w:eastAsia="zh-CN"/>
        </w:rPr>
        <w:t>追究考核和隐患公示监督5</w:t>
      </w:r>
      <w:r>
        <w:rPr>
          <w:rFonts w:hint="eastAsia" w:ascii="宋体" w:hAnsi="宋体" w:eastAsia="仿宋_GB2312"/>
          <w:sz w:val="32"/>
          <w:szCs w:val="32"/>
          <w:highlight w:val="none"/>
        </w:rPr>
        <w:t>个二级要素。</w:t>
      </w:r>
      <w:r>
        <w:rPr>
          <w:rFonts w:hint="eastAsia" w:ascii="宋体" w:hAnsi="宋体" w:eastAsia="仿宋_GB2312"/>
          <w:sz w:val="32"/>
          <w:szCs w:val="32"/>
          <w:highlight w:val="none"/>
          <w:lang w:val="en-US" w:eastAsia="zh-CN"/>
        </w:rPr>
        <w:t>其中隐患排查包括按照安全风险管控责任清单排查、按照作业安全风险管控清单排查、按照隐患排查方案排查、重大隐患专项排查、隐患智能排查；隐患治理包括治理过程控制、重大隐患治理和一般隐患治理。</w:t>
      </w:r>
    </w:p>
    <w:p w14:paraId="635766AF">
      <w:pPr>
        <w:spacing w:line="560" w:lineRule="exact"/>
        <w:ind w:firstLine="643" w:firstLineChars="200"/>
        <w:rPr>
          <w:rFonts w:hint="eastAsia" w:ascii="宋体" w:hAnsi="宋体" w:eastAsia="仿宋_GB2312"/>
          <w:sz w:val="32"/>
          <w:szCs w:val="32"/>
          <w:highlight w:val="none"/>
          <w:lang w:eastAsia="zh-CN"/>
        </w:rPr>
      </w:pPr>
      <w:r>
        <w:rPr>
          <w:rFonts w:hint="eastAsia" w:ascii="宋体" w:hAnsi="宋体" w:eastAsia="仿宋_GB2312"/>
          <w:b/>
          <w:sz w:val="32"/>
          <w:szCs w:val="32"/>
          <w:highlight w:val="none"/>
        </w:rPr>
        <w:t>要素特点</w:t>
      </w:r>
      <w:r>
        <w:rPr>
          <w:rFonts w:hint="eastAsia" w:ascii="宋体" w:hAnsi="宋体" w:eastAsia="仿宋_GB2312"/>
          <w:sz w:val="32"/>
          <w:szCs w:val="32"/>
          <w:highlight w:val="none"/>
        </w:rPr>
        <w:t>：</w:t>
      </w:r>
      <w:r>
        <w:rPr>
          <w:rFonts w:hint="eastAsia" w:ascii="宋体" w:hAnsi="宋体" w:eastAsia="仿宋_GB2312"/>
          <w:sz w:val="32"/>
          <w:szCs w:val="32"/>
          <w:highlight w:val="none"/>
          <w:lang w:eastAsia="zh-CN"/>
        </w:rPr>
        <w:t>隐患排查治理运行提升通过构建系统化的隐患管理流程，确保企业能够及时、有效地识别、治理和消除安全隐患。隐患排查环节注重多元化和智能化，不仅要求按照安全风险管控责任清单、作业安全风险管控清单等进行常规排查，还强调根据事故隐患排查方案进行专项排查，特别是针对重大隐患的专项排查，从而实现对隐患的全方位、深层次挖掘。</w:t>
      </w:r>
    </w:p>
    <w:p w14:paraId="4281AE85">
      <w:pPr>
        <w:spacing w:line="560" w:lineRule="exact"/>
        <w:ind w:firstLine="640" w:firstLineChars="200"/>
        <w:rPr>
          <w:rFonts w:hint="eastAsia" w:ascii="宋体" w:hAnsi="宋体" w:eastAsia="仿宋_GB2312"/>
          <w:sz w:val="32"/>
          <w:szCs w:val="32"/>
          <w:highlight w:val="none"/>
          <w:lang w:eastAsia="zh-CN"/>
        </w:rPr>
      </w:pPr>
      <w:r>
        <w:rPr>
          <w:rFonts w:hint="eastAsia" w:ascii="宋体" w:hAnsi="宋体" w:eastAsia="仿宋_GB2312"/>
          <w:sz w:val="32"/>
          <w:szCs w:val="32"/>
          <w:highlight w:val="none"/>
          <w:lang w:eastAsia="zh-CN"/>
        </w:rPr>
        <w:t>隐患</w:t>
      </w:r>
      <w:r>
        <w:rPr>
          <w:rFonts w:hint="eastAsia" w:ascii="宋体" w:hAnsi="宋体" w:eastAsia="仿宋_GB2312"/>
          <w:sz w:val="32"/>
          <w:szCs w:val="32"/>
          <w:highlight w:val="none"/>
          <w:lang w:val="en-US" w:eastAsia="zh-CN"/>
        </w:rPr>
        <w:t>治理</w:t>
      </w:r>
      <w:r>
        <w:rPr>
          <w:rFonts w:hint="eastAsia" w:ascii="宋体" w:hAnsi="宋体" w:eastAsia="仿宋_GB2312"/>
          <w:sz w:val="32"/>
          <w:szCs w:val="32"/>
          <w:highlight w:val="none"/>
          <w:lang w:eastAsia="zh-CN"/>
        </w:rPr>
        <w:t>环节强调分级治理和过程控制，确保隐患得到及时、有效地处理。根据隐患的严重程度和紧急程度，采取相应的治理措施，明确治理责任人和治理期限，并对整改过程进行实时监控，确保整改措施得到有效执行。对于重大事故隐患，更是要实行严格的治理程序，确保隐患得到彻底消除。</w:t>
      </w:r>
    </w:p>
    <w:p w14:paraId="4C6BD4BE">
      <w:pPr>
        <w:spacing w:line="560" w:lineRule="exact"/>
        <w:ind w:firstLine="640" w:firstLineChars="200"/>
        <w:rPr>
          <w:rFonts w:hint="eastAsia" w:ascii="宋体" w:hAnsi="宋体" w:eastAsia="仿宋_GB2312"/>
          <w:sz w:val="32"/>
          <w:szCs w:val="32"/>
          <w:highlight w:val="none"/>
          <w:lang w:eastAsia="zh-CN"/>
        </w:rPr>
      </w:pPr>
      <w:r>
        <w:rPr>
          <w:rFonts w:hint="eastAsia" w:ascii="宋体" w:hAnsi="宋体" w:eastAsia="仿宋_GB2312"/>
          <w:sz w:val="32"/>
          <w:szCs w:val="32"/>
          <w:highlight w:val="none"/>
          <w:lang w:eastAsia="zh-CN"/>
        </w:rPr>
        <w:t>验收销号和隐患追究考核环节则是对隐患排查治理工作的总结和反馈。通过对整改完成的隐患进行验收销号，确保隐患得到真正解决。同时，对隐患排查治理工作进行追究考核，对工作中存在的问题和不足进行及时纠正和改进，不断提升企业的安全管理水平。</w:t>
      </w:r>
    </w:p>
    <w:p w14:paraId="4E0313CD">
      <w:pPr>
        <w:spacing w:line="560" w:lineRule="exact"/>
        <w:ind w:firstLine="640" w:firstLineChars="200"/>
        <w:rPr>
          <w:rFonts w:hint="default" w:ascii="宋体" w:hAnsi="宋体" w:eastAsia="仿宋_GB2312"/>
          <w:sz w:val="32"/>
          <w:szCs w:val="32"/>
          <w:highlight w:val="none"/>
          <w:lang w:val="en-US" w:eastAsia="zh-CN"/>
        </w:rPr>
      </w:pPr>
      <w:r>
        <w:rPr>
          <w:rFonts w:hint="eastAsia" w:ascii="宋体" w:hAnsi="宋体" w:eastAsia="仿宋_GB2312"/>
          <w:sz w:val="32"/>
          <w:szCs w:val="32"/>
          <w:highlight w:val="none"/>
          <w:lang w:eastAsia="zh-CN"/>
        </w:rPr>
        <w:t>此外，</w:t>
      </w:r>
      <w:r>
        <w:rPr>
          <w:rFonts w:hint="eastAsia" w:ascii="宋体" w:hAnsi="宋体" w:eastAsia="仿宋_GB2312"/>
          <w:sz w:val="32"/>
          <w:szCs w:val="32"/>
          <w:highlight w:val="none"/>
          <w:lang w:val="en-US" w:eastAsia="zh-CN"/>
        </w:rPr>
        <w:t>隐患公示监督是对隐患治理提升工作的跟踪，有助于提升企业安全管理效能。</w:t>
      </w:r>
    </w:p>
    <w:p w14:paraId="4505D77E">
      <w:pPr>
        <w:numPr>
          <w:ilvl w:val="0"/>
          <w:numId w:val="4"/>
        </w:numPr>
        <w:spacing w:line="560" w:lineRule="exact"/>
        <w:ind w:firstLine="643" w:firstLineChars="200"/>
        <w:outlineLvl w:val="3"/>
        <w:rPr>
          <w:rFonts w:hint="eastAsia" w:ascii="宋体" w:hAnsi="宋体" w:eastAsia="仿宋_GB2312"/>
          <w:b/>
          <w:sz w:val="32"/>
          <w:szCs w:val="32"/>
          <w:highlight w:val="none"/>
          <w:lang w:val="en-US" w:eastAsia="zh-CN"/>
        </w:rPr>
      </w:pPr>
      <w:r>
        <w:rPr>
          <w:rFonts w:hint="eastAsia" w:ascii="宋体" w:hAnsi="宋体" w:eastAsia="仿宋_GB2312"/>
          <w:b/>
          <w:sz w:val="32"/>
          <w:szCs w:val="32"/>
          <w:highlight w:val="none"/>
          <w:lang w:val="en-US" w:eastAsia="zh-CN"/>
        </w:rPr>
        <w:t>不安全行为管控</w:t>
      </w:r>
    </w:p>
    <w:p w14:paraId="478B5CCE">
      <w:pPr>
        <w:snapToGrid w:val="0"/>
        <w:spacing w:line="560" w:lineRule="exact"/>
        <w:ind w:firstLine="643" w:firstLineChars="200"/>
        <w:rPr>
          <w:rFonts w:hint="eastAsia" w:ascii="宋体" w:hAnsi="宋体" w:eastAsia="仿宋_GB2312"/>
          <w:sz w:val="32"/>
          <w:szCs w:val="32"/>
          <w:highlight w:val="none"/>
        </w:rPr>
      </w:pPr>
      <w:r>
        <w:rPr>
          <w:rFonts w:hint="eastAsia" w:ascii="宋体" w:hAnsi="宋体" w:eastAsia="仿宋_GB2312"/>
          <w:b/>
          <w:bCs/>
          <w:sz w:val="32"/>
          <w:szCs w:val="32"/>
          <w:highlight w:val="none"/>
        </w:rPr>
        <w:t>要</w:t>
      </w:r>
      <w:r>
        <w:rPr>
          <w:rFonts w:hint="eastAsia" w:ascii="宋体" w:hAnsi="宋体" w:eastAsia="仿宋_GB2312"/>
          <w:b/>
          <w:sz w:val="32"/>
          <w:szCs w:val="32"/>
          <w:highlight w:val="none"/>
        </w:rPr>
        <w:t>素内容</w:t>
      </w:r>
      <w:r>
        <w:rPr>
          <w:rFonts w:hint="eastAsia" w:ascii="宋体" w:hAnsi="宋体" w:eastAsia="仿宋_GB2312"/>
          <w:sz w:val="32"/>
          <w:szCs w:val="32"/>
          <w:highlight w:val="none"/>
        </w:rPr>
        <w:t>：</w:t>
      </w:r>
      <w:r>
        <w:rPr>
          <w:rFonts w:hint="eastAsia" w:ascii="宋体" w:hAnsi="宋体" w:eastAsia="仿宋_GB2312"/>
          <w:sz w:val="32"/>
          <w:szCs w:val="32"/>
          <w:highlight w:val="none"/>
          <w:lang w:val="en-US" w:eastAsia="zh-CN"/>
        </w:rPr>
        <w:t>包括危险作业安全风险管控</w:t>
      </w:r>
      <w:r>
        <w:rPr>
          <w:rFonts w:hint="eastAsia" w:ascii="宋体" w:hAnsi="宋体" w:eastAsia="仿宋_GB2312"/>
          <w:sz w:val="32"/>
          <w:szCs w:val="32"/>
          <w:highlight w:val="none"/>
        </w:rPr>
        <w:t>、</w:t>
      </w:r>
      <w:r>
        <w:rPr>
          <w:rFonts w:hint="eastAsia" w:ascii="宋体" w:hAnsi="宋体" w:eastAsia="仿宋_GB2312"/>
          <w:sz w:val="32"/>
          <w:szCs w:val="32"/>
          <w:highlight w:val="none"/>
          <w:lang w:val="en-US" w:eastAsia="zh-CN"/>
        </w:rPr>
        <w:t>不安全行为管控2</w:t>
      </w:r>
      <w:r>
        <w:rPr>
          <w:rFonts w:hint="eastAsia" w:ascii="宋体" w:hAnsi="宋体" w:eastAsia="仿宋_GB2312"/>
          <w:sz w:val="32"/>
          <w:szCs w:val="32"/>
          <w:highlight w:val="none"/>
        </w:rPr>
        <w:t>个二级要素。</w:t>
      </w:r>
    </w:p>
    <w:p w14:paraId="7ED72B0B">
      <w:pPr>
        <w:snapToGrid w:val="0"/>
        <w:spacing w:line="560" w:lineRule="exact"/>
        <w:ind w:firstLine="643" w:firstLineChars="200"/>
        <w:rPr>
          <w:rFonts w:hint="eastAsia" w:ascii="宋体" w:hAnsi="宋体" w:eastAsia="仿宋_GB2312"/>
          <w:b w:val="0"/>
          <w:bCs/>
          <w:sz w:val="32"/>
          <w:szCs w:val="32"/>
          <w:highlight w:val="none"/>
          <w:lang w:eastAsia="zh-CN"/>
        </w:rPr>
      </w:pPr>
      <w:r>
        <w:rPr>
          <w:rFonts w:hint="eastAsia" w:ascii="宋体" w:hAnsi="宋体" w:eastAsia="仿宋_GB2312"/>
          <w:b/>
          <w:sz w:val="32"/>
          <w:szCs w:val="32"/>
          <w:highlight w:val="none"/>
        </w:rPr>
        <w:t>要素特点：</w:t>
      </w:r>
      <w:r>
        <w:rPr>
          <w:rFonts w:hint="eastAsia" w:ascii="宋体" w:hAnsi="宋体" w:eastAsia="仿宋_GB2312"/>
          <w:b w:val="0"/>
          <w:bCs/>
          <w:sz w:val="32"/>
          <w:szCs w:val="32"/>
          <w:highlight w:val="none"/>
          <w:lang w:eastAsia="zh-CN"/>
        </w:rPr>
        <w:t>不安全行为管控旨在通过系统化管理提升企业员工安全意识和风险防控能力。危险作业需制定安全操作规程和风险控制措施，加强培训和考核。不安全行为</w:t>
      </w:r>
      <w:r>
        <w:rPr>
          <w:rFonts w:hint="eastAsia" w:ascii="宋体" w:hAnsi="宋体" w:eastAsia="仿宋_GB2312"/>
          <w:b w:val="0"/>
          <w:bCs/>
          <w:sz w:val="32"/>
          <w:szCs w:val="32"/>
          <w:highlight w:val="none"/>
          <w:lang w:val="en-US" w:eastAsia="zh-CN"/>
        </w:rPr>
        <w:t>管控</w:t>
      </w:r>
      <w:r>
        <w:rPr>
          <w:rFonts w:hint="eastAsia" w:ascii="宋体" w:hAnsi="宋体" w:eastAsia="仿宋_GB2312"/>
          <w:b w:val="0"/>
          <w:bCs/>
          <w:sz w:val="32"/>
          <w:szCs w:val="32"/>
          <w:highlight w:val="none"/>
          <w:lang w:eastAsia="zh-CN"/>
        </w:rPr>
        <w:t>要求记录、分析、纠正不安全行为，强化惩罚和教育。</w:t>
      </w:r>
    </w:p>
    <w:p w14:paraId="54AC6BDB">
      <w:pPr>
        <w:numPr>
          <w:ilvl w:val="0"/>
          <w:numId w:val="4"/>
        </w:numPr>
        <w:spacing w:line="560" w:lineRule="exact"/>
        <w:ind w:firstLine="643" w:firstLineChars="200"/>
        <w:outlineLvl w:val="3"/>
        <w:rPr>
          <w:rFonts w:hint="eastAsia" w:ascii="宋体" w:hAnsi="宋体" w:eastAsia="仿宋_GB2312"/>
          <w:b/>
          <w:sz w:val="32"/>
          <w:szCs w:val="32"/>
          <w:highlight w:val="none"/>
          <w:lang w:val="en-US" w:eastAsia="zh-CN"/>
        </w:rPr>
      </w:pPr>
      <w:r>
        <w:rPr>
          <w:rFonts w:hint="eastAsia" w:ascii="宋体" w:hAnsi="宋体" w:eastAsia="仿宋_GB2312"/>
          <w:b/>
          <w:sz w:val="32"/>
          <w:szCs w:val="32"/>
          <w:highlight w:val="none"/>
          <w:lang w:val="en-US" w:eastAsia="zh-CN"/>
        </w:rPr>
        <w:t>双重预防机制信息化运行</w:t>
      </w:r>
    </w:p>
    <w:p w14:paraId="3A1FBD43">
      <w:pPr>
        <w:widowControl/>
        <w:autoSpaceDE w:val="0"/>
        <w:autoSpaceDN w:val="0"/>
        <w:spacing w:line="560" w:lineRule="exact"/>
        <w:ind w:firstLine="643" w:firstLineChars="200"/>
        <w:rPr>
          <w:rFonts w:hint="eastAsia" w:ascii="宋体" w:hAnsi="宋体" w:eastAsia="仿宋_GB2312"/>
          <w:sz w:val="32"/>
          <w:szCs w:val="32"/>
          <w:highlight w:val="none"/>
        </w:rPr>
      </w:pPr>
      <w:r>
        <w:rPr>
          <w:rFonts w:hint="eastAsia" w:ascii="宋体" w:hAnsi="宋体" w:eastAsia="仿宋_GB2312"/>
          <w:b/>
          <w:sz w:val="32"/>
          <w:szCs w:val="32"/>
          <w:highlight w:val="none"/>
        </w:rPr>
        <w:t>要素内容</w:t>
      </w:r>
      <w:r>
        <w:rPr>
          <w:rFonts w:hint="eastAsia" w:ascii="宋体" w:hAnsi="宋体" w:eastAsia="仿宋_GB2312"/>
          <w:sz w:val="32"/>
          <w:szCs w:val="32"/>
          <w:highlight w:val="none"/>
        </w:rPr>
        <w:t>：包括</w:t>
      </w:r>
      <w:r>
        <w:rPr>
          <w:rFonts w:hint="eastAsia" w:ascii="宋体" w:hAnsi="宋体" w:eastAsia="仿宋_GB2312"/>
          <w:sz w:val="32"/>
          <w:szCs w:val="32"/>
          <w:highlight w:val="none"/>
          <w:lang w:val="en-US" w:eastAsia="zh-CN"/>
        </w:rPr>
        <w:t>信息系统的数据采集、信息系统使用、信息系统维护3</w:t>
      </w:r>
      <w:r>
        <w:rPr>
          <w:rFonts w:hint="eastAsia" w:ascii="宋体" w:hAnsi="宋体" w:eastAsia="仿宋_GB2312"/>
          <w:sz w:val="32"/>
          <w:szCs w:val="32"/>
          <w:highlight w:val="none"/>
        </w:rPr>
        <w:t>个二级要素。</w:t>
      </w:r>
    </w:p>
    <w:p w14:paraId="38DA62D9">
      <w:pPr>
        <w:widowControl/>
        <w:autoSpaceDE w:val="0"/>
        <w:autoSpaceDN w:val="0"/>
        <w:spacing w:line="560" w:lineRule="exact"/>
        <w:ind w:firstLine="643" w:firstLineChars="200"/>
        <w:rPr>
          <w:rFonts w:hint="eastAsia" w:ascii="宋体" w:hAnsi="宋体" w:eastAsia="仿宋_GB2312"/>
          <w:b w:val="0"/>
          <w:bCs/>
          <w:sz w:val="32"/>
          <w:szCs w:val="32"/>
          <w:highlight w:val="none"/>
          <w:lang w:eastAsia="zh-CN"/>
        </w:rPr>
      </w:pPr>
      <w:r>
        <w:rPr>
          <w:rFonts w:hint="eastAsia" w:ascii="宋体" w:hAnsi="宋体" w:eastAsia="仿宋_GB2312"/>
          <w:b/>
          <w:sz w:val="32"/>
          <w:szCs w:val="32"/>
          <w:highlight w:val="none"/>
        </w:rPr>
        <w:t>要素特点：</w:t>
      </w:r>
      <w:r>
        <w:rPr>
          <w:rFonts w:hint="eastAsia" w:ascii="宋体" w:hAnsi="宋体" w:eastAsia="仿宋_GB2312"/>
          <w:b w:val="0"/>
          <w:bCs/>
          <w:sz w:val="32"/>
          <w:szCs w:val="32"/>
          <w:highlight w:val="none"/>
          <w:lang w:eastAsia="zh-CN"/>
        </w:rPr>
        <w:t>双重预防机制信息化运行通过构建高效的信息管理系统，实现了安全管理的数字化转型。通过双重预防机制信息化运行，企业实现了安全管理的精细化、智能化和高效化，全面提升了企业的安全管理水平和竞争力。同时，也为政府监管部门提供了更加便捷、高效的监管手段，推动了安全生产工作的深入开展。</w:t>
      </w:r>
    </w:p>
    <w:p w14:paraId="46D48F0D">
      <w:pPr>
        <w:numPr>
          <w:ilvl w:val="0"/>
          <w:numId w:val="4"/>
        </w:numPr>
        <w:spacing w:line="560" w:lineRule="exact"/>
        <w:ind w:firstLine="643" w:firstLineChars="200"/>
        <w:outlineLvl w:val="3"/>
        <w:rPr>
          <w:rFonts w:hint="eastAsia" w:ascii="宋体" w:hAnsi="宋体" w:eastAsia="仿宋_GB2312"/>
          <w:b/>
          <w:sz w:val="32"/>
          <w:szCs w:val="32"/>
          <w:highlight w:val="none"/>
          <w:lang w:val="en-US" w:eastAsia="zh-CN"/>
        </w:rPr>
      </w:pPr>
      <w:r>
        <w:rPr>
          <w:rFonts w:hint="eastAsia" w:ascii="宋体" w:hAnsi="宋体" w:eastAsia="仿宋_GB2312"/>
          <w:b/>
          <w:sz w:val="32"/>
          <w:szCs w:val="32"/>
          <w:highlight w:val="none"/>
          <w:lang w:val="en-US" w:eastAsia="zh-CN"/>
        </w:rPr>
        <w:t>双重预防机制运行评价与提升</w:t>
      </w:r>
    </w:p>
    <w:p w14:paraId="54CF0AD0">
      <w:pPr>
        <w:adjustRightInd/>
        <w:spacing w:line="560" w:lineRule="exact"/>
        <w:ind w:firstLine="643" w:firstLineChars="200"/>
        <w:rPr>
          <w:rFonts w:hint="eastAsia" w:ascii="宋体" w:hAnsi="宋体" w:eastAsia="仿宋_GB2312"/>
          <w:sz w:val="32"/>
          <w:szCs w:val="32"/>
          <w:highlight w:val="none"/>
        </w:rPr>
      </w:pPr>
      <w:r>
        <w:rPr>
          <w:rFonts w:hint="eastAsia" w:ascii="宋体" w:hAnsi="宋体" w:eastAsia="仿宋_GB2312"/>
          <w:b/>
          <w:bCs/>
          <w:sz w:val="32"/>
          <w:szCs w:val="32"/>
          <w:highlight w:val="none"/>
        </w:rPr>
        <w:t>要素内容：</w:t>
      </w:r>
      <w:r>
        <w:rPr>
          <w:rFonts w:hint="eastAsia" w:ascii="宋体" w:hAnsi="宋体" w:eastAsia="仿宋_GB2312"/>
          <w:sz w:val="32"/>
          <w:szCs w:val="32"/>
          <w:highlight w:val="none"/>
        </w:rPr>
        <w:t>包括</w:t>
      </w:r>
      <w:r>
        <w:rPr>
          <w:rFonts w:hint="eastAsia" w:ascii="宋体" w:hAnsi="宋体" w:eastAsia="仿宋_GB2312"/>
          <w:sz w:val="32"/>
          <w:szCs w:val="32"/>
          <w:highlight w:val="none"/>
          <w:lang w:val="en-US" w:eastAsia="zh-CN"/>
        </w:rPr>
        <w:t>基本</w:t>
      </w:r>
      <w:r>
        <w:rPr>
          <w:rFonts w:hint="eastAsia" w:ascii="宋体" w:hAnsi="宋体" w:eastAsia="仿宋_GB2312"/>
          <w:sz w:val="32"/>
          <w:szCs w:val="32"/>
          <w:highlight w:val="none"/>
        </w:rPr>
        <w:t>要求、</w:t>
      </w:r>
      <w:r>
        <w:rPr>
          <w:rFonts w:hint="eastAsia" w:ascii="宋体" w:hAnsi="宋体" w:eastAsia="仿宋_GB2312"/>
          <w:sz w:val="32"/>
          <w:szCs w:val="32"/>
          <w:highlight w:val="none"/>
          <w:lang w:val="en-US" w:eastAsia="zh-CN"/>
        </w:rPr>
        <w:t>评价内容</w:t>
      </w:r>
      <w:r>
        <w:rPr>
          <w:rFonts w:hint="eastAsia" w:ascii="宋体" w:hAnsi="宋体" w:eastAsia="仿宋_GB2312"/>
          <w:sz w:val="32"/>
          <w:szCs w:val="32"/>
          <w:highlight w:val="none"/>
        </w:rPr>
        <w:t>、</w:t>
      </w:r>
      <w:r>
        <w:rPr>
          <w:rFonts w:hint="eastAsia" w:ascii="宋体" w:hAnsi="宋体" w:eastAsia="仿宋_GB2312"/>
          <w:sz w:val="32"/>
          <w:szCs w:val="32"/>
          <w:highlight w:val="none"/>
          <w:lang w:val="en-US" w:eastAsia="zh-CN"/>
        </w:rPr>
        <w:t>评价指标及权重、评价分值及等级确认、评价实施</w:t>
      </w:r>
      <w:r>
        <w:rPr>
          <w:rFonts w:hint="eastAsia" w:ascii="宋体" w:hAnsi="宋体" w:eastAsia="仿宋_GB2312"/>
          <w:sz w:val="32"/>
          <w:szCs w:val="32"/>
          <w:highlight w:val="none"/>
        </w:rPr>
        <w:t>和</w:t>
      </w:r>
      <w:r>
        <w:rPr>
          <w:rFonts w:hint="eastAsia" w:ascii="宋体" w:hAnsi="宋体" w:eastAsia="仿宋_GB2312"/>
          <w:sz w:val="32"/>
          <w:szCs w:val="32"/>
          <w:highlight w:val="none"/>
          <w:lang w:val="en-US" w:eastAsia="zh-CN"/>
        </w:rPr>
        <w:t>双重预防机制改进提升6</w:t>
      </w:r>
      <w:r>
        <w:rPr>
          <w:rFonts w:hint="eastAsia" w:ascii="宋体" w:hAnsi="宋体" w:eastAsia="仿宋_GB2312"/>
          <w:sz w:val="32"/>
          <w:szCs w:val="32"/>
          <w:highlight w:val="none"/>
        </w:rPr>
        <w:t>个二级要素。</w:t>
      </w:r>
    </w:p>
    <w:p w14:paraId="5FE84309">
      <w:pPr>
        <w:widowControl/>
        <w:autoSpaceDE w:val="0"/>
        <w:autoSpaceDN w:val="0"/>
        <w:spacing w:line="560" w:lineRule="exact"/>
        <w:ind w:firstLine="643" w:firstLineChars="200"/>
        <w:rPr>
          <w:rFonts w:hint="eastAsia" w:ascii="宋体" w:hAnsi="宋体" w:eastAsia="仿宋_GB2312"/>
          <w:b w:val="0"/>
          <w:bCs w:val="0"/>
          <w:sz w:val="32"/>
          <w:szCs w:val="32"/>
          <w:highlight w:val="none"/>
          <w:lang w:eastAsia="zh-CN"/>
        </w:rPr>
      </w:pPr>
      <w:r>
        <w:rPr>
          <w:rFonts w:hint="eastAsia" w:ascii="宋体" w:hAnsi="宋体" w:eastAsia="仿宋_GB2312"/>
          <w:b/>
          <w:bCs/>
          <w:sz w:val="32"/>
          <w:szCs w:val="32"/>
          <w:highlight w:val="none"/>
        </w:rPr>
        <w:t>要素特点：</w:t>
      </w:r>
      <w:r>
        <w:rPr>
          <w:rFonts w:hint="eastAsia" w:ascii="宋体" w:hAnsi="宋体" w:eastAsia="仿宋_GB2312"/>
          <w:b w:val="0"/>
          <w:bCs w:val="0"/>
          <w:sz w:val="32"/>
          <w:szCs w:val="32"/>
          <w:highlight w:val="none"/>
          <w:lang w:eastAsia="zh-CN"/>
        </w:rPr>
        <w:t>双重预防机制运行评价与提升部分，不仅明确了评价的流程和标准，还强调了机制的持续改进和优化。基本要求确保了评价工作的规范性和公正性；评价内容全面覆盖了机制运行的各个环节；评价指标及权重的设定，使得评价结果更加科学、合理；评价分值及等级确认则为企业提供了明确的改进方向；评价实施过程注重客观、真实，确保评价结果的准确性；双重预防机制改进提升部分则根据评价结果，针对性地提出改进措施，推动机制不断完善，形成良性循环。</w:t>
      </w:r>
    </w:p>
    <w:p w14:paraId="25B016B5">
      <w:pPr>
        <w:widowControl/>
        <w:spacing w:line="560" w:lineRule="exact"/>
        <w:ind w:firstLine="640" w:firstLineChars="200"/>
        <w:outlineLvl w:val="0"/>
        <w:rPr>
          <w:rFonts w:hint="eastAsia" w:ascii="宋体" w:hAnsi="宋体" w:eastAsia="黑体"/>
          <w:sz w:val="32"/>
          <w:szCs w:val="32"/>
          <w:highlight w:val="none"/>
        </w:rPr>
      </w:pPr>
      <w:r>
        <w:rPr>
          <w:rFonts w:hint="eastAsia" w:ascii="宋体" w:hAnsi="宋体" w:eastAsia="黑体"/>
          <w:sz w:val="32"/>
          <w:szCs w:val="32"/>
          <w:highlight w:val="none"/>
        </w:rPr>
        <w:t>三、试验验证的分析、综述报告、技术经济论证，预期的经济效益、社会效益和生态效益</w:t>
      </w:r>
    </w:p>
    <w:p w14:paraId="35307760">
      <w:pPr>
        <w:spacing w:line="560" w:lineRule="exact"/>
        <w:ind w:firstLine="640" w:firstLineChars="200"/>
        <w:rPr>
          <w:rFonts w:hint="eastAsia" w:ascii="宋体" w:hAnsi="宋体" w:eastAsia="仿宋_GB2312" w:cs="仿宋_GB2312"/>
          <w:sz w:val="32"/>
          <w:szCs w:val="32"/>
        </w:rPr>
      </w:pPr>
      <w:r>
        <w:rPr>
          <w:rFonts w:hint="eastAsia" w:ascii="宋体" w:hAnsi="宋体" w:eastAsia="仿宋_GB2312" w:cs="仿宋_GB2312"/>
          <w:sz w:val="32"/>
          <w:szCs w:val="32"/>
        </w:rPr>
        <w:t>本标准</w:t>
      </w:r>
      <w:r>
        <w:rPr>
          <w:rFonts w:ascii="宋体" w:hAnsi="宋体" w:eastAsia="仿宋_GB2312" w:cs="仿宋_GB2312"/>
          <w:sz w:val="32"/>
          <w:szCs w:val="32"/>
        </w:rPr>
        <w:t>实施对企业</w:t>
      </w:r>
      <w:r>
        <w:rPr>
          <w:rFonts w:hint="eastAsia" w:ascii="宋体" w:hAnsi="宋体" w:eastAsia="仿宋_GB2312" w:cs="仿宋_GB2312"/>
          <w:sz w:val="32"/>
          <w:szCs w:val="32"/>
        </w:rPr>
        <w:t>预期</w:t>
      </w:r>
      <w:r>
        <w:rPr>
          <w:rFonts w:ascii="宋体" w:hAnsi="宋体" w:eastAsia="仿宋_GB2312" w:cs="仿宋_GB2312"/>
          <w:sz w:val="32"/>
          <w:szCs w:val="32"/>
        </w:rPr>
        <w:t>的经济效益和社会效益有以下几个方面的影响</w:t>
      </w:r>
      <w:r>
        <w:rPr>
          <w:rFonts w:hint="eastAsia" w:ascii="宋体" w:hAnsi="宋体" w:eastAsia="仿宋_GB2312" w:cs="仿宋_GB2312"/>
          <w:sz w:val="32"/>
          <w:szCs w:val="32"/>
          <w:lang w:eastAsia="zh-CN"/>
        </w:rPr>
        <w:t>。</w:t>
      </w:r>
      <w:r>
        <w:rPr>
          <w:rFonts w:ascii="宋体" w:hAnsi="宋体" w:eastAsia="仿宋_GB2312" w:cs="仿宋_GB2312"/>
          <w:sz w:val="32"/>
          <w:szCs w:val="32"/>
        </w:rPr>
        <w:t>经济效益</w:t>
      </w:r>
      <w:r>
        <w:rPr>
          <w:rFonts w:hint="eastAsia" w:ascii="宋体" w:hAnsi="宋体" w:eastAsia="仿宋_GB2312" w:cs="仿宋_GB2312"/>
          <w:sz w:val="32"/>
          <w:szCs w:val="32"/>
          <w:lang w:val="en-US" w:eastAsia="zh-CN"/>
        </w:rPr>
        <w:t>方面：</w:t>
      </w:r>
      <w:r>
        <w:rPr>
          <w:rFonts w:ascii="宋体" w:hAnsi="宋体" w:eastAsia="仿宋_GB2312" w:cs="仿宋_GB2312"/>
          <w:sz w:val="32"/>
          <w:szCs w:val="32"/>
        </w:rPr>
        <w:t>减少事故损失</w:t>
      </w:r>
      <w:r>
        <w:rPr>
          <w:rFonts w:hint="eastAsia" w:ascii="宋体" w:hAnsi="宋体" w:eastAsia="仿宋_GB2312" w:cs="仿宋_GB2312"/>
          <w:sz w:val="32"/>
          <w:szCs w:val="32"/>
          <w:lang w:eastAsia="zh-CN"/>
        </w:rPr>
        <w:t>，</w:t>
      </w:r>
      <w:r>
        <w:rPr>
          <w:rFonts w:ascii="宋体" w:hAnsi="宋体" w:eastAsia="仿宋_GB2312" w:cs="仿宋_GB2312"/>
          <w:sz w:val="32"/>
          <w:szCs w:val="32"/>
        </w:rPr>
        <w:t>通过提高安全管理水平和员工的安全意识，能够有效降低安全事故的发生率，从而减少因事故导致的人员伤亡、财产损失以及停工停产等经济损失</w:t>
      </w:r>
      <w:r>
        <w:rPr>
          <w:rFonts w:hint="eastAsia" w:ascii="宋体" w:hAnsi="宋体" w:eastAsia="仿宋_GB2312" w:cs="仿宋_GB2312"/>
          <w:sz w:val="32"/>
          <w:szCs w:val="32"/>
          <w:lang w:eastAsia="zh-CN"/>
        </w:rPr>
        <w:t>；</w:t>
      </w:r>
      <w:r>
        <w:rPr>
          <w:rFonts w:ascii="宋体" w:hAnsi="宋体" w:eastAsia="仿宋_GB2312" w:cs="仿宋_GB2312"/>
          <w:sz w:val="32"/>
          <w:szCs w:val="32"/>
        </w:rPr>
        <w:t>提高生产效率</w:t>
      </w:r>
      <w:r>
        <w:rPr>
          <w:rFonts w:hint="eastAsia" w:ascii="宋体" w:hAnsi="宋体" w:eastAsia="仿宋_GB2312" w:cs="仿宋_GB2312"/>
          <w:sz w:val="32"/>
          <w:szCs w:val="32"/>
          <w:lang w:eastAsia="zh-CN"/>
        </w:rPr>
        <w:t>，</w:t>
      </w:r>
      <w:r>
        <w:rPr>
          <w:rFonts w:ascii="宋体" w:hAnsi="宋体" w:eastAsia="仿宋_GB2312" w:cs="仿宋_GB2312"/>
          <w:sz w:val="32"/>
          <w:szCs w:val="32"/>
        </w:rPr>
        <w:t>企业对设备进行定期检查和维护，减少设备故障和停机时间，保障生产的连续性和稳定性，进而提高生产效率</w:t>
      </w:r>
      <w:r>
        <w:rPr>
          <w:rFonts w:hint="eastAsia" w:ascii="宋体" w:hAnsi="宋体" w:eastAsia="仿宋_GB2312" w:cs="仿宋_GB2312"/>
          <w:sz w:val="32"/>
          <w:szCs w:val="32"/>
          <w:lang w:eastAsia="zh-CN"/>
        </w:rPr>
        <w:t>。</w:t>
      </w:r>
      <w:r>
        <w:rPr>
          <w:rFonts w:ascii="宋体" w:hAnsi="宋体" w:eastAsia="仿宋_GB2312" w:cs="仿宋_GB2312"/>
          <w:sz w:val="32"/>
          <w:szCs w:val="32"/>
        </w:rPr>
        <w:t>社会效益</w:t>
      </w:r>
      <w:r>
        <w:rPr>
          <w:rFonts w:hint="eastAsia" w:ascii="宋体" w:hAnsi="宋体" w:eastAsia="仿宋_GB2312" w:cs="仿宋_GB2312"/>
          <w:sz w:val="32"/>
          <w:szCs w:val="32"/>
          <w:lang w:val="en-US" w:eastAsia="zh-CN"/>
        </w:rPr>
        <w:t>方面：</w:t>
      </w:r>
      <w:r>
        <w:rPr>
          <w:rFonts w:ascii="宋体" w:hAnsi="宋体" w:eastAsia="仿宋_GB2312" w:cs="仿宋_GB2312"/>
          <w:sz w:val="32"/>
          <w:szCs w:val="32"/>
        </w:rPr>
        <w:t>通过规范企业的安全生产行为</w:t>
      </w:r>
      <w:r>
        <w:rPr>
          <w:rFonts w:hint="eastAsia" w:ascii="宋体" w:hAnsi="宋体" w:eastAsia="仿宋_GB2312" w:cs="仿宋_GB2312"/>
          <w:sz w:val="32"/>
          <w:szCs w:val="32"/>
          <w:lang w:eastAsia="zh-CN"/>
        </w:rPr>
        <w:t>，</w:t>
      </w:r>
      <w:r>
        <w:rPr>
          <w:rFonts w:ascii="宋体" w:hAnsi="宋体" w:eastAsia="仿宋_GB2312" w:cs="仿宋_GB2312"/>
          <w:sz w:val="32"/>
          <w:szCs w:val="32"/>
        </w:rPr>
        <w:t>保障员工的生命安全和身体健康</w:t>
      </w:r>
      <w:r>
        <w:rPr>
          <w:rFonts w:hint="eastAsia" w:ascii="宋体" w:hAnsi="宋体" w:eastAsia="仿宋_GB2312" w:cs="仿宋_GB2312"/>
          <w:sz w:val="32"/>
          <w:szCs w:val="32"/>
          <w:lang w:eastAsia="zh-CN"/>
        </w:rPr>
        <w:t>；</w:t>
      </w:r>
      <w:r>
        <w:rPr>
          <w:rFonts w:hint="eastAsia" w:ascii="宋体" w:hAnsi="宋体" w:eastAsia="仿宋_GB2312" w:cs="仿宋_GB2312"/>
          <w:sz w:val="32"/>
          <w:szCs w:val="32"/>
          <w:lang w:val="en-US" w:eastAsia="zh-CN"/>
        </w:rPr>
        <w:t>通过规范企业双重预防机制建设，</w:t>
      </w:r>
      <w:r>
        <w:rPr>
          <w:rFonts w:ascii="宋体" w:hAnsi="宋体" w:eastAsia="仿宋_GB2312" w:cs="仿宋_GB2312"/>
          <w:sz w:val="32"/>
          <w:szCs w:val="32"/>
        </w:rPr>
        <w:t>降低企业安全事故的发生率，有利于维护社会稳定和可持续发展</w:t>
      </w:r>
      <w:r>
        <w:rPr>
          <w:rFonts w:hint="eastAsia" w:ascii="宋体" w:hAnsi="宋体" w:eastAsia="仿宋_GB2312" w:cs="仿宋_GB2312"/>
          <w:sz w:val="32"/>
          <w:szCs w:val="32"/>
          <w:lang w:eastAsia="zh-CN"/>
        </w:rPr>
        <w:t>；</w:t>
      </w:r>
      <w:r>
        <w:rPr>
          <w:rFonts w:ascii="宋体" w:hAnsi="宋体" w:eastAsia="仿宋_GB2312" w:cs="仿宋_GB2312"/>
          <w:sz w:val="32"/>
          <w:szCs w:val="32"/>
        </w:rPr>
        <w:t>企业通过</w:t>
      </w:r>
      <w:r>
        <w:rPr>
          <w:rFonts w:hint="eastAsia" w:ascii="宋体" w:hAnsi="宋体" w:eastAsia="仿宋_GB2312" w:cs="仿宋_GB2312"/>
          <w:sz w:val="32"/>
          <w:szCs w:val="32"/>
          <w:lang w:val="en-US" w:eastAsia="zh-CN"/>
        </w:rPr>
        <w:t>规范双重预防机制建设</w:t>
      </w:r>
      <w:r>
        <w:rPr>
          <w:rFonts w:ascii="宋体" w:hAnsi="宋体" w:eastAsia="仿宋_GB2312" w:cs="仿宋_GB2312"/>
          <w:sz w:val="32"/>
          <w:szCs w:val="32"/>
        </w:rPr>
        <w:t>，展现出对员工和社会高度负责的态度，能够赢得社会的广泛认可和尊重</w:t>
      </w:r>
      <w:r>
        <w:rPr>
          <w:rFonts w:hint="eastAsia" w:ascii="宋体" w:hAnsi="宋体" w:eastAsia="仿宋_GB2312" w:cs="仿宋_GB2312"/>
          <w:sz w:val="32"/>
          <w:szCs w:val="32"/>
          <w:lang w:eastAsia="zh-CN"/>
        </w:rPr>
        <w:t>；</w:t>
      </w:r>
      <w:r>
        <w:rPr>
          <w:rFonts w:ascii="宋体" w:hAnsi="宋体" w:eastAsia="仿宋_GB2312" w:cs="仿宋_GB2312"/>
          <w:sz w:val="32"/>
          <w:szCs w:val="32"/>
        </w:rPr>
        <w:t>作为企业安全</w:t>
      </w:r>
      <w:r>
        <w:rPr>
          <w:rFonts w:hint="eastAsia" w:ascii="宋体" w:hAnsi="宋体" w:eastAsia="仿宋_GB2312" w:cs="仿宋_GB2312"/>
          <w:sz w:val="32"/>
          <w:szCs w:val="32"/>
          <w:lang w:val="en-US" w:eastAsia="zh-CN"/>
        </w:rPr>
        <w:t>工作</w:t>
      </w:r>
      <w:r>
        <w:rPr>
          <w:rFonts w:ascii="宋体" w:hAnsi="宋体" w:eastAsia="仿宋_GB2312" w:cs="仿宋_GB2312"/>
          <w:sz w:val="32"/>
          <w:szCs w:val="32"/>
        </w:rPr>
        <w:t>的重要依据，</w:t>
      </w:r>
      <w:r>
        <w:rPr>
          <w:rFonts w:hint="eastAsia" w:ascii="宋体" w:hAnsi="宋体" w:eastAsia="仿宋_GB2312" w:cs="仿宋_GB2312"/>
          <w:sz w:val="32"/>
          <w:szCs w:val="32"/>
        </w:rPr>
        <w:t>本标</w:t>
      </w:r>
      <w:r>
        <w:rPr>
          <w:rFonts w:hint="eastAsia" w:ascii="宋体" w:hAnsi="宋体" w:eastAsia="仿宋_GB2312" w:cs="仿宋_GB2312"/>
          <w:sz w:val="32"/>
          <w:szCs w:val="32"/>
          <w:shd w:val="clear" w:color="auto" w:fill="FFFFFF"/>
          <w:lang w:eastAsia="zh-CN"/>
        </w:rPr>
        <w:t>准的</w:t>
      </w:r>
      <w:r>
        <w:rPr>
          <w:rFonts w:ascii="宋体" w:hAnsi="宋体" w:eastAsia="仿宋_GB2312" w:cs="仿宋_GB2312"/>
          <w:sz w:val="32"/>
          <w:szCs w:val="32"/>
        </w:rPr>
        <w:t>实施能够引导和促进</w:t>
      </w:r>
      <w:r>
        <w:rPr>
          <w:rFonts w:hint="eastAsia" w:ascii="宋体" w:hAnsi="宋体" w:eastAsia="仿宋_GB2312" w:cs="仿宋_GB2312"/>
          <w:sz w:val="32"/>
          <w:szCs w:val="32"/>
          <w:lang w:val="en-US" w:eastAsia="zh-CN"/>
        </w:rPr>
        <w:t>企业双重预防机制有效运行</w:t>
      </w:r>
      <w:r>
        <w:rPr>
          <w:rFonts w:ascii="宋体" w:hAnsi="宋体" w:eastAsia="仿宋_GB2312" w:cs="仿宋_GB2312"/>
          <w:sz w:val="32"/>
          <w:szCs w:val="32"/>
        </w:rPr>
        <w:t>，提高</w:t>
      </w:r>
      <w:r>
        <w:rPr>
          <w:rFonts w:hint="eastAsia" w:ascii="宋体" w:hAnsi="宋体" w:eastAsia="仿宋_GB2312" w:cs="仿宋_GB2312"/>
          <w:sz w:val="32"/>
          <w:szCs w:val="32"/>
          <w:lang w:val="en-US" w:eastAsia="zh-CN"/>
        </w:rPr>
        <w:t>企业</w:t>
      </w:r>
      <w:r>
        <w:rPr>
          <w:rFonts w:ascii="宋体" w:hAnsi="宋体" w:eastAsia="仿宋_GB2312" w:cs="仿宋_GB2312"/>
          <w:sz w:val="32"/>
          <w:szCs w:val="32"/>
        </w:rPr>
        <w:t>的整体安全水平</w:t>
      </w:r>
      <w:r>
        <w:rPr>
          <w:rFonts w:hint="eastAsia" w:ascii="宋体" w:hAnsi="宋体" w:eastAsia="仿宋_GB2312" w:cs="仿宋_GB2312"/>
          <w:sz w:val="32"/>
          <w:szCs w:val="32"/>
        </w:rPr>
        <w:t>。</w:t>
      </w:r>
    </w:p>
    <w:p w14:paraId="64AEDFB8">
      <w:pPr>
        <w:widowControl/>
        <w:numPr>
          <w:ilvl w:val="0"/>
          <w:numId w:val="5"/>
        </w:numPr>
        <w:spacing w:line="560" w:lineRule="exact"/>
        <w:ind w:firstLine="640" w:firstLineChars="200"/>
        <w:outlineLvl w:val="0"/>
        <w:rPr>
          <w:rFonts w:hint="eastAsia" w:ascii="宋体" w:hAnsi="宋体" w:eastAsia="黑体"/>
          <w:sz w:val="32"/>
          <w:szCs w:val="32"/>
        </w:rPr>
      </w:pPr>
      <w:r>
        <w:rPr>
          <w:rFonts w:hint="eastAsia" w:ascii="宋体" w:hAnsi="宋体" w:eastAsia="黑体"/>
          <w:sz w:val="32"/>
          <w:szCs w:val="32"/>
        </w:rPr>
        <w:t>与</w:t>
      </w:r>
      <w:r>
        <w:rPr>
          <w:rFonts w:hint="eastAsia" w:ascii="宋体" w:hAnsi="宋体" w:eastAsia="黑体"/>
          <w:sz w:val="32"/>
          <w:szCs w:val="32"/>
          <w:shd w:val="clear" w:color="auto" w:fill="FFFFFF"/>
          <w:lang w:val="en-US" w:eastAsia="zh-CN"/>
        </w:rPr>
        <w:t>国内外</w:t>
      </w:r>
      <w:r>
        <w:rPr>
          <w:rFonts w:hint="eastAsia" w:ascii="宋体" w:hAnsi="宋体" w:eastAsia="黑体"/>
          <w:sz w:val="32"/>
          <w:szCs w:val="32"/>
        </w:rPr>
        <w:t>同类标准技术内容的对比情况</w:t>
      </w:r>
    </w:p>
    <w:p w14:paraId="478713F6">
      <w:pPr>
        <w:spacing w:line="560" w:lineRule="exact"/>
        <w:ind w:firstLine="640" w:firstLineChars="200"/>
        <w:rPr>
          <w:rFonts w:hint="default" w:ascii="宋体" w:hAnsi="宋体" w:eastAsia="仿宋_GB2312" w:cs="仿宋_GB2312"/>
          <w:sz w:val="32"/>
          <w:szCs w:val="32"/>
          <w:highlight w:val="none"/>
          <w:lang w:val="en-US" w:eastAsia="zh-CN"/>
        </w:rPr>
      </w:pPr>
      <w:r>
        <w:rPr>
          <w:rFonts w:hint="default" w:ascii="宋体" w:hAnsi="宋体" w:eastAsia="仿宋_GB2312" w:cs="仿宋_GB2312"/>
          <w:sz w:val="32"/>
          <w:szCs w:val="32"/>
          <w:highlight w:val="none"/>
          <w:lang w:val="en-US" w:eastAsia="zh-CN"/>
        </w:rPr>
        <w:t>国内同类标准规范存在情况：相比我国当前主要聚焦双重预防机制建设标准且运行评价标准相对缺乏的状况，国外这些标准在整体的完备性以及对机制运行效果的精准衡量上，呈现出一定优势，这无疑能为我国进一步优化相关标准提供有价值的参考。</w:t>
      </w:r>
    </w:p>
    <w:p w14:paraId="4C749375">
      <w:pPr>
        <w:spacing w:line="560" w:lineRule="exact"/>
        <w:ind w:firstLine="640" w:firstLineChars="200"/>
        <w:rPr>
          <w:rFonts w:hint="default" w:ascii="宋体" w:hAnsi="宋体" w:eastAsia="仿宋_GB2312" w:cs="仿宋_GB2312"/>
          <w:sz w:val="32"/>
          <w:szCs w:val="32"/>
          <w:highlight w:val="none"/>
          <w:lang w:val="en-US" w:eastAsia="zh-CN"/>
        </w:rPr>
      </w:pPr>
      <w:r>
        <w:rPr>
          <w:rFonts w:hint="default" w:ascii="宋体" w:hAnsi="宋体" w:eastAsia="仿宋_GB2312" w:cs="仿宋_GB2312"/>
          <w:sz w:val="32"/>
          <w:szCs w:val="32"/>
          <w:highlight w:val="none"/>
          <w:lang w:val="en-US" w:eastAsia="zh-CN"/>
        </w:rPr>
        <w:t>本</w:t>
      </w:r>
      <w:r>
        <w:rPr>
          <w:rFonts w:hint="eastAsia" w:ascii="宋体" w:hAnsi="宋体" w:eastAsia="仿宋_GB2312" w:cs="仿宋_GB2312"/>
          <w:sz w:val="32"/>
          <w:szCs w:val="32"/>
          <w:highlight w:val="none"/>
          <w:lang w:val="en-US" w:eastAsia="zh-CN"/>
        </w:rPr>
        <w:t>标准为</w:t>
      </w:r>
      <w:r>
        <w:rPr>
          <w:rFonts w:hint="default" w:ascii="宋体" w:hAnsi="宋体" w:eastAsia="仿宋_GB2312" w:cs="仿宋_GB2312"/>
          <w:sz w:val="32"/>
          <w:szCs w:val="32"/>
          <w:highlight w:val="none"/>
          <w:lang w:val="en-US" w:eastAsia="zh-CN"/>
        </w:rPr>
        <w:t>陕西省非煤矿山</w:t>
      </w:r>
      <w:r>
        <w:rPr>
          <w:rFonts w:hint="eastAsia" w:ascii="宋体" w:hAnsi="宋体" w:eastAsia="仿宋_GB2312" w:cs="仿宋_GB2312"/>
          <w:sz w:val="32"/>
          <w:szCs w:val="32"/>
          <w:highlight w:val="none"/>
          <w:lang w:val="en-US" w:eastAsia="zh-CN"/>
        </w:rPr>
        <w:t>、危险化学品、工贸、烟花爆竹</w:t>
      </w:r>
      <w:r>
        <w:rPr>
          <w:rFonts w:hint="default" w:ascii="宋体" w:hAnsi="宋体" w:eastAsia="仿宋_GB2312" w:cs="仿宋_GB2312"/>
          <w:sz w:val="32"/>
          <w:szCs w:val="32"/>
          <w:highlight w:val="none"/>
          <w:lang w:val="en-US" w:eastAsia="zh-CN"/>
        </w:rPr>
        <w:t>企业双重预防机制</w:t>
      </w:r>
      <w:r>
        <w:rPr>
          <w:rFonts w:hint="eastAsia" w:ascii="宋体" w:hAnsi="宋体" w:eastAsia="仿宋_GB2312" w:cs="仿宋_GB2312"/>
          <w:sz w:val="32"/>
          <w:szCs w:val="32"/>
          <w:highlight w:val="none"/>
          <w:lang w:val="en-US" w:eastAsia="zh-CN"/>
        </w:rPr>
        <w:t>运行</w:t>
      </w:r>
      <w:r>
        <w:rPr>
          <w:rFonts w:hint="default" w:ascii="宋体" w:hAnsi="宋体" w:eastAsia="仿宋_GB2312" w:cs="仿宋_GB2312"/>
          <w:sz w:val="32"/>
          <w:szCs w:val="32"/>
          <w:highlight w:val="none"/>
          <w:lang w:val="en-US" w:eastAsia="zh-CN"/>
        </w:rPr>
        <w:t>工作提供具体标准。</w:t>
      </w:r>
      <w:r>
        <w:rPr>
          <w:rFonts w:hint="eastAsia" w:ascii="宋体" w:hAnsi="宋体" w:eastAsia="仿宋_GB2312" w:cs="仿宋_GB2312"/>
          <w:sz w:val="32"/>
          <w:szCs w:val="32"/>
          <w:highlight w:val="none"/>
          <w:lang w:val="en-US" w:eastAsia="zh-CN"/>
        </w:rPr>
        <w:t>涉及</w:t>
      </w:r>
      <w:r>
        <w:rPr>
          <w:rFonts w:hint="default" w:ascii="宋体" w:hAnsi="宋体" w:eastAsia="仿宋_GB2312" w:cs="仿宋_GB2312"/>
          <w:sz w:val="32"/>
          <w:szCs w:val="32"/>
          <w:highlight w:val="none"/>
          <w:lang w:val="en-US" w:eastAsia="zh-CN"/>
        </w:rPr>
        <w:t>运行的方方面面，相比于其他标准，规范内容更齐全、要素更丰富、可操作性更强。</w:t>
      </w:r>
    </w:p>
    <w:p w14:paraId="76EBBD35">
      <w:pPr>
        <w:widowControl/>
        <w:numPr>
          <w:ilvl w:val="0"/>
          <w:numId w:val="5"/>
        </w:numPr>
        <w:spacing w:line="560" w:lineRule="exact"/>
        <w:ind w:firstLine="640" w:firstLineChars="200"/>
        <w:outlineLvl w:val="0"/>
        <w:rPr>
          <w:rFonts w:hint="eastAsia" w:ascii="宋体" w:hAnsi="宋体" w:eastAsia="黑体"/>
          <w:sz w:val="32"/>
          <w:szCs w:val="32"/>
        </w:rPr>
      </w:pPr>
      <w:r>
        <w:rPr>
          <w:rFonts w:hint="eastAsia" w:ascii="宋体" w:hAnsi="宋体" w:eastAsia="黑体"/>
          <w:sz w:val="32"/>
          <w:szCs w:val="32"/>
        </w:rPr>
        <w:t>以国际标准为基础的起草情况、是否合规引用或采用国际国外标准以及未采用国际标准的原因</w:t>
      </w:r>
    </w:p>
    <w:p w14:paraId="28175C50">
      <w:pPr>
        <w:spacing w:line="560" w:lineRule="exact"/>
        <w:ind w:firstLine="640" w:firstLineChars="200"/>
        <w:rPr>
          <w:rFonts w:hint="eastAsia" w:ascii="宋体" w:hAnsi="宋体" w:eastAsia="仿宋_GB2312"/>
          <w:i/>
          <w:iCs/>
          <w:color w:val="FF0000"/>
          <w:sz w:val="32"/>
          <w:szCs w:val="32"/>
          <w:shd w:val="clear" w:color="auto" w:fill="FFFFFF"/>
        </w:rPr>
      </w:pPr>
      <w:r>
        <w:rPr>
          <w:rFonts w:hint="eastAsia" w:ascii="宋体" w:hAnsi="宋体" w:eastAsia="仿宋_GB2312" w:cs="仿宋_GB2312"/>
          <w:sz w:val="32"/>
          <w:szCs w:val="32"/>
        </w:rPr>
        <w:t>无</w:t>
      </w:r>
    </w:p>
    <w:p w14:paraId="426CBE91">
      <w:pPr>
        <w:widowControl/>
        <w:numPr>
          <w:ilvl w:val="0"/>
          <w:numId w:val="5"/>
        </w:numPr>
        <w:spacing w:line="560" w:lineRule="exact"/>
        <w:ind w:firstLine="640" w:firstLineChars="200"/>
        <w:outlineLvl w:val="0"/>
        <w:rPr>
          <w:rFonts w:hint="eastAsia" w:ascii="宋体" w:hAnsi="宋体" w:eastAsia="黑体"/>
          <w:sz w:val="32"/>
          <w:szCs w:val="32"/>
        </w:rPr>
      </w:pPr>
      <w:r>
        <w:rPr>
          <w:rFonts w:hint="eastAsia" w:ascii="宋体" w:hAnsi="宋体" w:eastAsia="黑体"/>
          <w:sz w:val="32"/>
          <w:szCs w:val="32"/>
        </w:rPr>
        <w:t>与有关法律、行政法规及相关标准水平的关系</w:t>
      </w:r>
    </w:p>
    <w:p w14:paraId="6931C304">
      <w:pPr>
        <w:spacing w:line="560" w:lineRule="exact"/>
        <w:ind w:firstLine="640" w:firstLineChars="200"/>
        <w:rPr>
          <w:rFonts w:hint="eastAsia" w:ascii="宋体" w:hAnsi="宋体" w:eastAsia="仿宋_GB2312"/>
          <w:sz w:val="32"/>
          <w:szCs w:val="32"/>
        </w:rPr>
      </w:pPr>
      <w:r>
        <w:rPr>
          <w:rFonts w:hint="eastAsia" w:ascii="宋体" w:hAnsi="宋体" w:eastAsia="仿宋_GB2312"/>
          <w:sz w:val="32"/>
          <w:szCs w:val="32"/>
        </w:rPr>
        <w:t>本标准与相关法律、法规、规章及相关标准协调一致，没有冲突。</w:t>
      </w:r>
    </w:p>
    <w:p w14:paraId="3D8142A5">
      <w:pPr>
        <w:spacing w:line="560" w:lineRule="exact"/>
        <w:ind w:firstLine="640" w:firstLineChars="200"/>
        <w:rPr>
          <w:rFonts w:hint="default" w:ascii="宋体" w:hAnsi="宋体" w:eastAsia="仿宋_GB2312"/>
          <w:sz w:val="32"/>
          <w:szCs w:val="32"/>
          <w:lang w:val="en-US" w:eastAsia="zh-CN"/>
        </w:rPr>
      </w:pPr>
      <w:r>
        <w:rPr>
          <w:rFonts w:hint="eastAsia" w:ascii="宋体" w:hAnsi="宋体" w:eastAsia="仿宋_GB2312"/>
          <w:sz w:val="32"/>
          <w:szCs w:val="32"/>
        </w:rPr>
        <w:t>《中华人民共和国安全生产法》（2021年版）</w:t>
      </w:r>
      <w:r>
        <w:rPr>
          <w:rFonts w:hint="eastAsia" w:ascii="宋体" w:hAnsi="宋体" w:eastAsia="仿宋_GB2312"/>
          <w:sz w:val="32"/>
          <w:szCs w:val="32"/>
          <w:lang w:val="en-US" w:eastAsia="zh-CN"/>
        </w:rPr>
        <w:t>及陕西省安全生产条例要求企业主要责任人必须组织建设双重预防机制工作。</w:t>
      </w:r>
    </w:p>
    <w:p w14:paraId="0B4E6C3C">
      <w:pPr>
        <w:spacing w:line="560" w:lineRule="exact"/>
        <w:ind w:firstLine="640" w:firstLineChars="200"/>
        <w:rPr>
          <w:rFonts w:hint="default" w:ascii="宋体" w:hAnsi="宋体" w:eastAsia="仿宋_GB2312"/>
          <w:sz w:val="32"/>
          <w:szCs w:val="32"/>
          <w:lang w:val="en-US" w:eastAsia="zh-CN"/>
        </w:rPr>
      </w:pPr>
      <w:r>
        <w:rPr>
          <w:rFonts w:hint="eastAsia" w:ascii="宋体" w:hAnsi="宋体" w:eastAsia="仿宋_GB2312"/>
          <w:sz w:val="32"/>
          <w:szCs w:val="32"/>
        </w:rPr>
        <w:t>2024年3月1日，陕西省部署开展安全生产治本攻坚三年行动，印发《陕西省安全生产治本攻坚三年行动实施方案（2024—2026年）》</w:t>
      </w:r>
      <w:r>
        <w:rPr>
          <w:rFonts w:hint="eastAsia" w:ascii="宋体" w:hAnsi="宋体" w:eastAsia="仿宋_GB2312"/>
          <w:sz w:val="32"/>
          <w:szCs w:val="32"/>
          <w:lang w:eastAsia="zh-CN"/>
        </w:rPr>
        <w:t>，</w:t>
      </w:r>
      <w:r>
        <w:rPr>
          <w:rFonts w:hint="eastAsia" w:ascii="宋体" w:hAnsi="宋体" w:eastAsia="仿宋_GB2312"/>
          <w:sz w:val="32"/>
          <w:szCs w:val="32"/>
          <w:lang w:val="en-US" w:eastAsia="zh-CN"/>
        </w:rPr>
        <w:t>也明确提出企业要持续深化双重预防机制建设。</w:t>
      </w:r>
    </w:p>
    <w:p w14:paraId="0F7BBB7A">
      <w:pPr>
        <w:widowControl/>
        <w:numPr>
          <w:ilvl w:val="0"/>
          <w:numId w:val="5"/>
        </w:numPr>
        <w:spacing w:line="560" w:lineRule="exact"/>
        <w:ind w:firstLine="640" w:firstLineChars="200"/>
        <w:outlineLvl w:val="0"/>
        <w:rPr>
          <w:rFonts w:hint="eastAsia" w:ascii="宋体" w:hAnsi="宋体" w:eastAsia="黑体"/>
          <w:sz w:val="32"/>
          <w:szCs w:val="32"/>
        </w:rPr>
      </w:pPr>
      <w:r>
        <w:rPr>
          <w:rFonts w:hint="eastAsia" w:ascii="宋体" w:hAnsi="宋体" w:eastAsia="黑体"/>
          <w:sz w:val="32"/>
          <w:szCs w:val="32"/>
        </w:rPr>
        <w:t>重大分歧意见的处理过程及依据</w:t>
      </w:r>
    </w:p>
    <w:p w14:paraId="79CA26AF">
      <w:pPr>
        <w:adjustRightInd/>
        <w:spacing w:line="560" w:lineRule="exact"/>
        <w:ind w:firstLine="640" w:firstLineChars="200"/>
        <w:rPr>
          <w:rFonts w:hint="eastAsia" w:ascii="宋体" w:hAnsi="宋体" w:eastAsia="仿宋_GB2312"/>
          <w:i/>
          <w:iCs/>
          <w:color w:val="FF0000"/>
          <w:sz w:val="32"/>
          <w:szCs w:val="32"/>
          <w:shd w:val="clear" w:color="auto" w:fill="FFFFFF"/>
        </w:rPr>
      </w:pPr>
      <w:r>
        <w:rPr>
          <w:rFonts w:hint="eastAsia" w:ascii="宋体" w:hAnsi="宋体" w:eastAsia="仿宋_GB2312" w:cs="仿宋_GB2312"/>
          <w:sz w:val="32"/>
          <w:szCs w:val="32"/>
        </w:rPr>
        <w:t>该项标准制定过程中无重大意见分歧。</w:t>
      </w:r>
    </w:p>
    <w:p w14:paraId="244307FA">
      <w:pPr>
        <w:widowControl/>
        <w:numPr>
          <w:ilvl w:val="0"/>
          <w:numId w:val="5"/>
        </w:numPr>
        <w:spacing w:line="560" w:lineRule="exact"/>
        <w:ind w:firstLine="640" w:firstLineChars="200"/>
        <w:outlineLvl w:val="0"/>
        <w:rPr>
          <w:rFonts w:hint="eastAsia" w:ascii="宋体" w:hAnsi="宋体" w:eastAsia="黑体"/>
          <w:sz w:val="32"/>
          <w:szCs w:val="32"/>
        </w:rPr>
      </w:pPr>
      <w:r>
        <w:rPr>
          <w:rFonts w:hint="eastAsia" w:ascii="宋体" w:hAnsi="宋体" w:eastAsia="黑体"/>
          <w:sz w:val="32"/>
          <w:szCs w:val="32"/>
        </w:rPr>
        <w:t>作为强制性标准或推荐性标准的建议及理由</w:t>
      </w:r>
    </w:p>
    <w:p w14:paraId="6C474B98">
      <w:pPr>
        <w:spacing w:line="560" w:lineRule="exact"/>
        <w:ind w:firstLine="640" w:firstLineChars="200"/>
        <w:rPr>
          <w:rFonts w:hint="eastAsia" w:ascii="宋体" w:hAnsi="宋体" w:eastAsia="仿宋_GB2312" w:cs="仿宋_GB2312"/>
          <w:sz w:val="32"/>
          <w:szCs w:val="32"/>
        </w:rPr>
      </w:pPr>
      <w:r>
        <w:rPr>
          <w:rFonts w:hint="eastAsia" w:ascii="宋体" w:hAnsi="宋体" w:eastAsia="仿宋_GB2312" w:cs="仿宋_GB2312"/>
          <w:sz w:val="32"/>
          <w:szCs w:val="32"/>
        </w:rPr>
        <w:t>本标准主要为引导性内容，健全企业</w:t>
      </w:r>
      <w:r>
        <w:rPr>
          <w:rFonts w:hint="eastAsia" w:ascii="宋体" w:hAnsi="宋体" w:eastAsia="仿宋_GB2312" w:cs="仿宋_GB2312"/>
          <w:sz w:val="32"/>
          <w:szCs w:val="32"/>
          <w:lang w:val="en-US" w:eastAsia="zh-CN"/>
        </w:rPr>
        <w:t>风险分级管控和隐患排查治理相关工作</w:t>
      </w:r>
      <w:r>
        <w:rPr>
          <w:rFonts w:hint="eastAsia" w:ascii="宋体" w:hAnsi="宋体" w:eastAsia="仿宋_GB2312" w:cs="仿宋_GB2312"/>
          <w:sz w:val="32"/>
          <w:szCs w:val="32"/>
        </w:rPr>
        <w:t>，不能实现全部强制并作为依据进行处罚，根据《</w:t>
      </w:r>
      <w:r>
        <w:rPr>
          <w:rFonts w:hint="eastAsia" w:ascii="宋体" w:hAnsi="宋体" w:eastAsia="仿宋_GB2312" w:cs="仿宋_GB2312"/>
          <w:sz w:val="32"/>
          <w:szCs w:val="32"/>
          <w:shd w:val="clear" w:color="auto" w:fill="FFFFFF"/>
        </w:rPr>
        <w:t>中华人民共和国标准化法</w:t>
      </w:r>
      <w:r>
        <w:rPr>
          <w:rFonts w:hint="eastAsia" w:ascii="宋体" w:hAnsi="宋体" w:eastAsia="仿宋_GB2312" w:cs="仿宋_GB2312"/>
          <w:sz w:val="32"/>
          <w:szCs w:val="32"/>
        </w:rPr>
        <w:t>》，参考其他行业领域</w:t>
      </w:r>
      <w:r>
        <w:rPr>
          <w:rFonts w:hint="eastAsia" w:ascii="宋体" w:hAnsi="宋体" w:eastAsia="仿宋_GB2312" w:cs="仿宋_GB2312"/>
          <w:sz w:val="32"/>
          <w:szCs w:val="32"/>
          <w:lang w:val="en-US" w:eastAsia="zh-CN"/>
        </w:rPr>
        <w:t>标准</w:t>
      </w:r>
      <w:r>
        <w:rPr>
          <w:rFonts w:hint="eastAsia" w:ascii="宋体" w:hAnsi="宋体" w:eastAsia="仿宋_GB2312" w:cs="仿宋_GB2312"/>
          <w:sz w:val="32"/>
          <w:szCs w:val="32"/>
        </w:rPr>
        <w:t>的性质，并结合本标准的定位和内容，确定本标准性质</w:t>
      </w:r>
      <w:r>
        <w:rPr>
          <w:rFonts w:hint="eastAsia" w:ascii="宋体" w:hAnsi="宋体" w:eastAsia="仿宋_GB2312" w:cs="仿宋_GB2312"/>
          <w:sz w:val="32"/>
          <w:szCs w:val="32"/>
          <w:shd w:val="clear" w:color="auto" w:fill="FFFFFF"/>
          <w:lang w:eastAsia="zh-CN"/>
        </w:rPr>
        <w:t>为</w:t>
      </w:r>
      <w:r>
        <w:rPr>
          <w:rFonts w:hint="eastAsia" w:ascii="宋体" w:hAnsi="宋体" w:eastAsia="仿宋_GB2312" w:cs="仿宋_GB2312"/>
          <w:sz w:val="32"/>
          <w:szCs w:val="32"/>
        </w:rPr>
        <w:t>推荐性</w:t>
      </w:r>
      <w:r>
        <w:rPr>
          <w:rFonts w:hint="eastAsia" w:ascii="宋体" w:hAnsi="宋体" w:eastAsia="仿宋_GB2312" w:cs="仿宋_GB2312"/>
          <w:sz w:val="32"/>
          <w:szCs w:val="32"/>
          <w:lang w:val="en-US" w:eastAsia="zh-CN"/>
        </w:rPr>
        <w:t>地方</w:t>
      </w:r>
      <w:r>
        <w:rPr>
          <w:rFonts w:hint="eastAsia" w:ascii="宋体" w:hAnsi="宋体" w:eastAsia="仿宋_GB2312" w:cs="仿宋_GB2312"/>
          <w:sz w:val="32"/>
          <w:szCs w:val="32"/>
        </w:rPr>
        <w:t>标准。</w:t>
      </w:r>
    </w:p>
    <w:p w14:paraId="0D4B1E51">
      <w:pPr>
        <w:widowControl/>
        <w:numPr>
          <w:ilvl w:val="0"/>
          <w:numId w:val="5"/>
        </w:numPr>
        <w:spacing w:line="560" w:lineRule="exact"/>
        <w:ind w:firstLine="640" w:firstLineChars="200"/>
        <w:outlineLvl w:val="0"/>
        <w:rPr>
          <w:rFonts w:hint="eastAsia" w:ascii="宋体" w:hAnsi="宋体" w:eastAsia="黑体"/>
          <w:sz w:val="32"/>
          <w:szCs w:val="32"/>
        </w:rPr>
      </w:pPr>
      <w:r>
        <w:rPr>
          <w:rFonts w:hint="eastAsia" w:ascii="宋体" w:hAnsi="宋体" w:eastAsia="黑体"/>
          <w:sz w:val="32"/>
          <w:szCs w:val="32"/>
        </w:rPr>
        <w:t>标准自发布日期至实施日期的过渡期建议及理由</w:t>
      </w:r>
    </w:p>
    <w:p w14:paraId="3A23020C">
      <w:pPr>
        <w:spacing w:line="560" w:lineRule="exact"/>
        <w:ind w:firstLine="640" w:firstLineChars="200"/>
        <w:rPr>
          <w:rFonts w:hint="eastAsia" w:ascii="宋体" w:hAnsi="宋体" w:eastAsia="仿宋_GB2312" w:cs="仿宋_GB2312"/>
          <w:sz w:val="32"/>
          <w:szCs w:val="32"/>
        </w:rPr>
      </w:pPr>
      <w:r>
        <w:rPr>
          <w:rFonts w:hint="eastAsia" w:ascii="宋体" w:hAnsi="宋体" w:eastAsia="仿宋_GB2312" w:cs="仿宋_GB2312"/>
          <w:sz w:val="32"/>
          <w:szCs w:val="32"/>
        </w:rPr>
        <w:t>标准发布后立即实施。</w:t>
      </w:r>
    </w:p>
    <w:p w14:paraId="593A70E0">
      <w:pPr>
        <w:widowControl/>
        <w:numPr>
          <w:ilvl w:val="0"/>
          <w:numId w:val="5"/>
        </w:numPr>
        <w:spacing w:line="560" w:lineRule="exact"/>
        <w:ind w:firstLine="640" w:firstLineChars="200"/>
        <w:outlineLvl w:val="0"/>
        <w:rPr>
          <w:rFonts w:hint="eastAsia" w:ascii="宋体" w:hAnsi="宋体" w:eastAsia="黑体"/>
          <w:sz w:val="32"/>
          <w:szCs w:val="32"/>
        </w:rPr>
      </w:pPr>
      <w:r>
        <w:rPr>
          <w:rFonts w:hint="eastAsia" w:ascii="宋体" w:hAnsi="宋体" w:eastAsia="黑体"/>
          <w:sz w:val="32"/>
          <w:szCs w:val="32"/>
        </w:rPr>
        <w:t>与实施标准有关的政策措施</w:t>
      </w:r>
    </w:p>
    <w:p w14:paraId="4B3E67C1">
      <w:pPr>
        <w:spacing w:line="560" w:lineRule="exact"/>
        <w:ind w:firstLine="640" w:firstLineChars="200"/>
        <w:rPr>
          <w:rFonts w:hint="eastAsia" w:ascii="宋体" w:hAnsi="宋体" w:eastAsia="仿宋_GB2312" w:cs="仿宋_GB2312"/>
          <w:sz w:val="32"/>
          <w:szCs w:val="32"/>
        </w:rPr>
      </w:pPr>
      <w:r>
        <w:rPr>
          <w:rFonts w:hint="eastAsia" w:ascii="宋体" w:hAnsi="宋体" w:eastAsia="仿宋_GB2312"/>
          <w:sz w:val="32"/>
          <w:szCs w:val="32"/>
          <w:shd w:val="clear" w:color="auto" w:fill="FFFFFF"/>
        </w:rPr>
        <w:t>标准发布后，政府与企业应加强对标准的宣贯与培训。企业按照本标准建设和运行安全双重预防机制。</w:t>
      </w:r>
    </w:p>
    <w:p w14:paraId="72581F32">
      <w:pPr>
        <w:widowControl/>
        <w:numPr>
          <w:ilvl w:val="0"/>
          <w:numId w:val="5"/>
        </w:numPr>
        <w:spacing w:line="560" w:lineRule="exact"/>
        <w:ind w:firstLine="640" w:firstLineChars="200"/>
        <w:outlineLvl w:val="0"/>
        <w:rPr>
          <w:rFonts w:hint="eastAsia" w:ascii="宋体" w:hAnsi="宋体" w:eastAsia="黑体"/>
          <w:sz w:val="32"/>
          <w:szCs w:val="32"/>
        </w:rPr>
      </w:pPr>
      <w:r>
        <w:rPr>
          <w:rFonts w:ascii="宋体" w:hAnsi="宋体" w:eastAsia="黑体"/>
          <w:sz w:val="32"/>
          <w:szCs w:val="32"/>
        </w:rPr>
        <w:t>废止现行有关标准的建议</w:t>
      </w:r>
    </w:p>
    <w:p w14:paraId="084B3DF4">
      <w:pPr>
        <w:spacing w:line="560" w:lineRule="exact"/>
        <w:ind w:firstLine="640" w:firstLineChars="200"/>
        <w:rPr>
          <w:rFonts w:hint="default" w:ascii="宋体" w:hAnsi="宋体" w:eastAsia="仿宋_GB2312" w:cs="仿宋_GB2312"/>
          <w:sz w:val="32"/>
          <w:szCs w:val="32"/>
          <w:lang w:val="en-US" w:eastAsia="zh-CN"/>
        </w:rPr>
      </w:pPr>
      <w:r>
        <w:rPr>
          <w:rFonts w:hint="eastAsia" w:ascii="宋体" w:hAnsi="宋体" w:eastAsia="仿宋_GB2312" w:cs="仿宋_GB2312"/>
          <w:sz w:val="32"/>
          <w:szCs w:val="32"/>
          <w:lang w:val="en-US" w:eastAsia="zh-CN"/>
        </w:rPr>
        <w:t>无</w:t>
      </w:r>
    </w:p>
    <w:p w14:paraId="02349EBC">
      <w:pPr>
        <w:widowControl/>
        <w:numPr>
          <w:ilvl w:val="0"/>
          <w:numId w:val="5"/>
        </w:numPr>
        <w:spacing w:line="560" w:lineRule="exact"/>
        <w:ind w:firstLine="640" w:firstLineChars="200"/>
        <w:outlineLvl w:val="0"/>
        <w:rPr>
          <w:rFonts w:hint="eastAsia" w:ascii="宋体" w:hAnsi="宋体" w:eastAsia="黑体"/>
          <w:sz w:val="32"/>
          <w:szCs w:val="32"/>
        </w:rPr>
      </w:pPr>
      <w:r>
        <w:rPr>
          <w:rFonts w:hint="eastAsia" w:ascii="宋体" w:hAnsi="宋体" w:eastAsia="黑体"/>
          <w:sz w:val="32"/>
          <w:szCs w:val="32"/>
        </w:rPr>
        <w:t>涉及专利的有关说明</w:t>
      </w:r>
    </w:p>
    <w:p w14:paraId="2AB53460">
      <w:pPr>
        <w:adjustRightInd/>
        <w:spacing w:line="560" w:lineRule="exact"/>
        <w:ind w:firstLine="640" w:firstLineChars="200"/>
        <w:rPr>
          <w:rFonts w:hint="eastAsia" w:ascii="宋体" w:hAnsi="宋体" w:eastAsia="仿宋_GB2312" w:cs="仿宋_GB2312"/>
          <w:sz w:val="32"/>
          <w:szCs w:val="32"/>
        </w:rPr>
      </w:pPr>
      <w:r>
        <w:rPr>
          <w:rFonts w:hint="eastAsia" w:ascii="宋体" w:hAnsi="宋体" w:eastAsia="仿宋_GB2312" w:cs="仿宋_GB2312"/>
          <w:sz w:val="32"/>
          <w:szCs w:val="32"/>
        </w:rPr>
        <w:t>无</w:t>
      </w:r>
    </w:p>
    <w:p w14:paraId="2686C6DA">
      <w:pPr>
        <w:widowControl/>
        <w:numPr>
          <w:ilvl w:val="0"/>
          <w:numId w:val="5"/>
        </w:numPr>
        <w:spacing w:line="560" w:lineRule="exact"/>
        <w:ind w:firstLine="640" w:firstLineChars="200"/>
        <w:outlineLvl w:val="0"/>
        <w:rPr>
          <w:rFonts w:hint="eastAsia" w:ascii="宋体" w:hAnsi="宋体" w:eastAsia="黑体"/>
          <w:sz w:val="32"/>
          <w:szCs w:val="32"/>
        </w:rPr>
      </w:pPr>
      <w:r>
        <w:rPr>
          <w:rFonts w:hint="eastAsia" w:ascii="宋体" w:hAnsi="宋体" w:eastAsia="黑体"/>
          <w:sz w:val="32"/>
          <w:szCs w:val="32"/>
        </w:rPr>
        <w:t>其他</w:t>
      </w:r>
      <w:r>
        <w:rPr>
          <w:rFonts w:ascii="宋体" w:hAnsi="宋体" w:eastAsia="黑体"/>
          <w:sz w:val="32"/>
          <w:szCs w:val="32"/>
        </w:rPr>
        <w:t>应予以说明的事项</w:t>
      </w:r>
    </w:p>
    <w:p w14:paraId="15D6F991">
      <w:pPr>
        <w:adjustRightInd/>
        <w:spacing w:line="560" w:lineRule="exact"/>
        <w:ind w:firstLine="640" w:firstLineChars="200"/>
        <w:rPr>
          <w:rFonts w:hint="eastAsia" w:ascii="宋体" w:hAnsi="宋体" w:eastAsia="仿宋_GB2312" w:cs="仿宋_GB2312"/>
          <w:sz w:val="32"/>
          <w:szCs w:val="32"/>
        </w:rPr>
      </w:pPr>
      <w:r>
        <w:rPr>
          <w:rFonts w:hint="eastAsia" w:ascii="宋体" w:hAnsi="宋体" w:eastAsia="仿宋_GB2312" w:cs="仿宋_GB2312"/>
          <w:sz w:val="32"/>
          <w:szCs w:val="32"/>
        </w:rPr>
        <w:t>无</w:t>
      </w:r>
    </w:p>
    <w:p w14:paraId="2393CE8D">
      <w:pPr>
        <w:wordWrap w:val="0"/>
        <w:spacing w:line="560" w:lineRule="exact"/>
        <w:ind w:firstLine="640" w:firstLineChars="200"/>
        <w:jc w:val="right"/>
        <w:rPr>
          <w:rFonts w:hint="eastAsia" w:ascii="宋体" w:hAnsi="宋体" w:eastAsia="仿宋_GB2312" w:cs="仿宋_GB2312"/>
          <w:sz w:val="32"/>
          <w:szCs w:val="32"/>
          <w:lang w:val="en-US" w:eastAsia="zh-CN"/>
        </w:rPr>
      </w:pPr>
      <w:r>
        <w:rPr>
          <w:rFonts w:hint="eastAsia" w:ascii="宋体" w:hAnsi="宋体" w:eastAsia="仿宋_GB2312" w:cs="仿宋_GB2312"/>
          <w:sz w:val="32"/>
          <w:szCs w:val="32"/>
        </w:rPr>
        <w:t>标准编制组</w:t>
      </w:r>
      <w:r>
        <w:rPr>
          <w:rFonts w:hint="eastAsia" w:ascii="宋体" w:hAnsi="宋体" w:eastAsia="仿宋_GB2312" w:cs="仿宋_GB2312"/>
          <w:sz w:val="32"/>
          <w:szCs w:val="32"/>
          <w:lang w:val="en-US" w:eastAsia="zh-CN"/>
        </w:rPr>
        <w:t xml:space="preserve"> </w:t>
      </w:r>
    </w:p>
    <w:p w14:paraId="0687B6B9">
      <w:pPr>
        <w:jc w:val="right"/>
        <w:rPr>
          <w:lang w:val="en-US" w:eastAsia="zh-CN"/>
        </w:rPr>
      </w:pPr>
      <w:r>
        <w:rPr>
          <w:rFonts w:hint="eastAsia" w:ascii="宋体" w:hAnsi="宋体" w:eastAsia="仿宋_GB2312" w:cs="仿宋_GB2312"/>
          <w:sz w:val="32"/>
          <w:szCs w:val="32"/>
        </w:rPr>
        <w:t>202</w:t>
      </w:r>
      <w:r>
        <w:rPr>
          <w:rFonts w:hint="eastAsia" w:ascii="宋体" w:hAnsi="宋体" w:eastAsia="仿宋_GB2312" w:cs="仿宋_GB2312"/>
          <w:sz w:val="32"/>
          <w:szCs w:val="32"/>
          <w:lang w:val="en-US" w:eastAsia="zh-CN"/>
        </w:rPr>
        <w:t>5</w:t>
      </w:r>
      <w:r>
        <w:rPr>
          <w:rFonts w:hint="eastAsia" w:ascii="宋体" w:hAnsi="宋体" w:eastAsia="仿宋_GB2312" w:cs="仿宋_GB2312"/>
          <w:sz w:val="32"/>
          <w:szCs w:val="32"/>
        </w:rPr>
        <w:t>年</w:t>
      </w:r>
      <w:r>
        <w:rPr>
          <w:rFonts w:hint="eastAsia" w:ascii="宋体" w:hAnsi="宋体" w:eastAsia="仿宋_GB2312" w:cs="仿宋_GB2312"/>
          <w:sz w:val="32"/>
          <w:szCs w:val="32"/>
          <w:lang w:val="en-US" w:eastAsia="zh-CN"/>
        </w:rPr>
        <w:t>5月</w:t>
      </w:r>
    </w:p>
    <w:sectPr>
      <w:footerReference r:id="rId5" w:type="default"/>
      <w:pgSz w:w="11906" w:h="16838"/>
      <w:pgMar w:top="1440" w:right="1800" w:bottom="1440" w:left="1800"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方正小标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7D4855">
    <w:pPr>
      <w:tabs>
        <w:tab w:val="center" w:pos="4153"/>
        <w:tab w:val="right" w:pos="8306"/>
      </w:tabs>
      <w:snapToGrid w:val="0"/>
      <w:jc w:val="center"/>
      <w:rPr>
        <w:rFonts w:hint="eastAsia" w:ascii="等线" w:hAnsi="等线" w:eastAsia="等线"/>
        <w:sz w:val="18"/>
        <w:szCs w:val="1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2</w:t>
    </w:r>
    <w:r>
      <w:rPr>
        <w:rFonts w:ascii="宋体" w:hAnsi="宋体"/>
        <w:sz w:val="28"/>
        <w:szCs w:val="28"/>
      </w:rPr>
      <w:fldChar w:fldCharType="end"/>
    </w:r>
  </w:p>
  <w:p w14:paraId="149105DB">
    <w:pPr>
      <w:tabs>
        <w:tab w:val="center" w:pos="4153"/>
        <w:tab w:val="right" w:pos="8306"/>
      </w:tabs>
      <w:snapToGrid w:val="0"/>
      <w:jc w:val="left"/>
      <w:rPr>
        <w:rFonts w:hint="eastAsia" w:ascii="等线" w:hAnsi="等线" w:eastAsia="等线"/>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2FA06E"/>
    <w:multiLevelType w:val="singleLevel"/>
    <w:tmpl w:val="D12FA06E"/>
    <w:lvl w:ilvl="0" w:tentative="0">
      <w:start w:val="4"/>
      <w:numFmt w:val="decimal"/>
      <w:suff w:val="nothing"/>
      <w:lvlText w:val="（%1）"/>
      <w:lvlJc w:val="left"/>
    </w:lvl>
  </w:abstractNum>
  <w:abstractNum w:abstractNumId="1">
    <w:nsid w:val="E6F020BA"/>
    <w:multiLevelType w:val="singleLevel"/>
    <w:tmpl w:val="E6F020BA"/>
    <w:lvl w:ilvl="0" w:tentative="0">
      <w:start w:val="1"/>
      <w:numFmt w:val="chineseCounting"/>
      <w:suff w:val="nothing"/>
      <w:lvlText w:val="（%1）"/>
      <w:lvlJc w:val="left"/>
      <w:rPr>
        <w:rFonts w:hint="eastAsia"/>
      </w:rPr>
    </w:lvl>
  </w:abstractNum>
  <w:abstractNum w:abstractNumId="2">
    <w:nsid w:val="EFEE6F9B"/>
    <w:multiLevelType w:val="singleLevel"/>
    <w:tmpl w:val="EFEE6F9B"/>
    <w:lvl w:ilvl="0" w:tentative="0">
      <w:start w:val="2"/>
      <w:numFmt w:val="chineseCounting"/>
      <w:suff w:val="nothing"/>
      <w:lvlText w:val="%1、"/>
      <w:lvlJc w:val="left"/>
      <w:rPr>
        <w:rFonts w:hint="eastAsia"/>
      </w:rPr>
    </w:lvl>
  </w:abstractNum>
  <w:abstractNum w:abstractNumId="3">
    <w:nsid w:val="671F11B1"/>
    <w:multiLevelType w:val="singleLevel"/>
    <w:tmpl w:val="671F11B1"/>
    <w:lvl w:ilvl="0" w:tentative="0">
      <w:start w:val="4"/>
      <w:numFmt w:val="chineseCounting"/>
      <w:suff w:val="nothing"/>
      <w:lvlText w:val="%1、"/>
      <w:lvlJc w:val="left"/>
      <w:rPr>
        <w:rFonts w:hint="eastAsia"/>
      </w:rPr>
    </w:lvl>
  </w:abstractNum>
  <w:abstractNum w:abstractNumId="4">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14"/>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E440A3"/>
    <w:rsid w:val="05E440A3"/>
    <w:rsid w:val="07E15B19"/>
    <w:rsid w:val="0C1A3787"/>
    <w:rsid w:val="0C946850"/>
    <w:rsid w:val="1A23796E"/>
    <w:rsid w:val="1B786E09"/>
    <w:rsid w:val="1C1D77C2"/>
    <w:rsid w:val="1D9236E6"/>
    <w:rsid w:val="1DB367DF"/>
    <w:rsid w:val="1DB96EC4"/>
    <w:rsid w:val="1FD90595"/>
    <w:rsid w:val="20112FE8"/>
    <w:rsid w:val="210D4129"/>
    <w:rsid w:val="228329E6"/>
    <w:rsid w:val="2501362A"/>
    <w:rsid w:val="2C1B3E50"/>
    <w:rsid w:val="34593E5A"/>
    <w:rsid w:val="41F45941"/>
    <w:rsid w:val="451425C9"/>
    <w:rsid w:val="4BAD138E"/>
    <w:rsid w:val="4C2F01CE"/>
    <w:rsid w:val="4DE6130D"/>
    <w:rsid w:val="512343D1"/>
    <w:rsid w:val="52B23061"/>
    <w:rsid w:val="549C5C7F"/>
    <w:rsid w:val="55AD03B6"/>
    <w:rsid w:val="58A50ED0"/>
    <w:rsid w:val="5E2D4789"/>
    <w:rsid w:val="63D46230"/>
    <w:rsid w:val="65EB1D86"/>
    <w:rsid w:val="69626C9F"/>
    <w:rsid w:val="6B0647F7"/>
    <w:rsid w:val="6DD83E78"/>
    <w:rsid w:val="73D06039"/>
    <w:rsid w:val="75475CD9"/>
    <w:rsid w:val="76C67E21"/>
    <w:rsid w:val="7AC27510"/>
    <w:rsid w:val="7FB32A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10"/>
    <w:qFormat/>
    <w:uiPriority w:val="0"/>
    <w:pPr>
      <w:keepNext/>
      <w:keepLines/>
      <w:jc w:val="center"/>
      <w:outlineLvl w:val="0"/>
    </w:pPr>
    <w:rPr>
      <w:rFonts w:eastAsia="宋体" w:asciiTheme="majorAscii" w:hAnsiTheme="majorAscii" w:cstheme="majorBidi"/>
      <w:color w:val="000000" w:themeColor="text1"/>
      <w:sz w:val="56"/>
      <w:szCs w:val="48"/>
      <w14:textFill>
        <w14:solidFill>
          <w14:schemeClr w14:val="tx1"/>
        </w14:solidFill>
      </w14:textFill>
    </w:rPr>
  </w:style>
  <w:style w:type="paragraph" w:styleId="3">
    <w:name w:val="heading 2"/>
    <w:basedOn w:val="1"/>
    <w:next w:val="1"/>
    <w:link w:val="11"/>
    <w:semiHidden/>
    <w:unhideWhenUsed/>
    <w:qFormat/>
    <w:uiPriority w:val="0"/>
    <w:pPr>
      <w:keepNext/>
      <w:keepLines/>
      <w:ind w:firstLine="420" w:firstLineChars="200"/>
      <w:outlineLvl w:val="1"/>
    </w:pPr>
    <w:rPr>
      <w:rFonts w:eastAsia="仿宋_GB2312" w:asciiTheme="majorAscii" w:hAnsiTheme="majorAscii" w:cstheme="majorBidi"/>
      <w:color w:val="000000" w:themeColor="text1"/>
      <w:sz w:val="32"/>
      <w:szCs w:val="40"/>
      <w14:textFill>
        <w14:solidFill>
          <w14:schemeClr w14:val="tx1"/>
        </w14:solidFill>
      </w14:textFill>
    </w:rPr>
  </w:style>
  <w:style w:type="paragraph" w:styleId="4">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8">
    <w:name w:val="Default Paragraph Font"/>
    <w:autoRedefine/>
    <w:semiHidden/>
    <w:unhideWhenUsed/>
    <w:qFormat/>
    <w:uiPriority w:val="1"/>
  </w:style>
  <w:style w:type="table" w:default="1" w:styleId="7">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9">
    <w:name w:val="Strong"/>
    <w:basedOn w:val="8"/>
    <w:qFormat/>
    <w:uiPriority w:val="0"/>
    <w:rPr>
      <w:b/>
    </w:rPr>
  </w:style>
  <w:style w:type="character" w:customStyle="1" w:styleId="10">
    <w:name w:val="标题 1 字符"/>
    <w:basedOn w:val="8"/>
    <w:link w:val="2"/>
    <w:autoRedefine/>
    <w:qFormat/>
    <w:uiPriority w:val="9"/>
    <w:rPr>
      <w:rFonts w:eastAsia="宋体" w:asciiTheme="majorAscii" w:hAnsiTheme="majorAscii" w:cstheme="majorBidi"/>
      <w:b/>
      <w:color w:val="2E54A1" w:themeColor="accent1" w:themeShade="BF"/>
      <w:sz w:val="32"/>
      <w:szCs w:val="48"/>
    </w:rPr>
  </w:style>
  <w:style w:type="character" w:customStyle="1" w:styleId="11">
    <w:name w:val="标题 2 字符"/>
    <w:basedOn w:val="8"/>
    <w:link w:val="3"/>
    <w:autoRedefine/>
    <w:semiHidden/>
    <w:qFormat/>
    <w:uiPriority w:val="9"/>
    <w:rPr>
      <w:rFonts w:eastAsia="仿宋_GB2312" w:asciiTheme="majorAscii" w:hAnsiTheme="majorAscii" w:cstheme="majorBidi"/>
      <w:color w:val="2E54A1" w:themeColor="accent1" w:themeShade="BF"/>
      <w:sz w:val="32"/>
      <w:szCs w:val="40"/>
    </w:rPr>
  </w:style>
  <w:style w:type="paragraph" w:customStyle="1" w:styleId="12">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14">
    <w:name w:val="标准文件_章标题"/>
    <w:next w:val="1"/>
    <w:qFormat/>
    <w:uiPriority w:val="0"/>
    <w:pPr>
      <w:numPr>
        <w:ilvl w:val="1"/>
        <w:numId w:val="1"/>
      </w:numPr>
      <w:spacing w:before="100" w:beforeLines="100" w:after="100" w:afterLines="100"/>
      <w:jc w:val="both"/>
      <w:outlineLvl w:val="0"/>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5488</Words>
  <Characters>5589</Characters>
  <Lines>0</Lines>
  <Paragraphs>0</Paragraphs>
  <TotalTime>54</TotalTime>
  <ScaleCrop>false</ScaleCrop>
  <LinksUpToDate>false</LinksUpToDate>
  <CharactersWithSpaces>5593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2025-04-28T03:29:00Z</dcterms:created>
  <dc:creator>福尔摩斯琪</dc:creator>
  <cp:lastModifiedBy>福尔摩斯琪</cp:lastModifiedBy>
  <cp:lastPrinted>2025-07-01T05:38:00Z</cp:lastPrinted>
  <dcterms:modified xsi:type="dcterms:W3CDTF">2025-08-11T02:49:08Z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9A994E03C9E04D15827F5F0532D5E595_13</vt:lpwstr>
  </property>
  <property fmtid="{D5CDD505-2E9C-101B-9397-08002B2CF9AE}" pid="4" name="KSOTemplateDocerSaveRecord">
    <vt:lpwstr>eyJoZGlkIjoiZGFlMDJkODVjNzA3YzZlY2NlZWFmYzEzOGJmN2NiYWQiLCJ1c2VySWQiOiI1MjA2OTg2NjkifQ==</vt:lpwstr>
  </property>
</Properties>
</file>