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883"/>
        <w:jc w:val="center"/>
        <w:rPr>
          <w:b/>
          <w:sz w:val="44"/>
          <w:szCs w:val="44"/>
        </w:rPr>
      </w:pPr>
      <w:bookmarkStart w:id="27" w:name="_GoBack"/>
      <w:bookmarkEnd w:id="27"/>
    </w:p>
    <w:p>
      <w:pPr>
        <w:spacing w:line="560" w:lineRule="exact"/>
        <w:ind w:firstLine="0" w:firstLineChars="0"/>
        <w:jc w:val="center"/>
        <w:rPr>
          <w:rFonts w:ascii="方正小标宋简体" w:eastAsia="方正小标宋简体"/>
          <w:b/>
          <w:sz w:val="36"/>
          <w:szCs w:val="36"/>
        </w:rPr>
      </w:pPr>
      <w:r>
        <w:rPr>
          <w:rFonts w:hint="eastAsia" w:ascii="方正小标宋简体" w:eastAsia="方正小标宋简体"/>
          <w:b/>
          <w:sz w:val="36"/>
          <w:szCs w:val="36"/>
        </w:rPr>
        <w:t>《高精密生产企业地震应急处置服务指南》</w:t>
      </w:r>
    </w:p>
    <w:p>
      <w:pPr>
        <w:spacing w:line="560" w:lineRule="exact"/>
        <w:ind w:firstLine="0" w:firstLineChars="0"/>
        <w:jc w:val="center"/>
        <w:rPr>
          <w:rFonts w:ascii="方正小标宋简体" w:eastAsia="方正小标宋简体"/>
          <w:sz w:val="36"/>
          <w:szCs w:val="36"/>
        </w:rPr>
      </w:pPr>
      <w:r>
        <w:rPr>
          <w:rFonts w:hint="eastAsia" w:ascii="方正小标宋简体" w:eastAsia="方正小标宋简体"/>
          <w:sz w:val="36"/>
          <w:szCs w:val="36"/>
        </w:rPr>
        <w:t>地方标准</w:t>
      </w:r>
    </w:p>
    <w:p>
      <w:pPr>
        <w:spacing w:line="560" w:lineRule="exact"/>
        <w:ind w:firstLine="0" w:firstLineChars="0"/>
        <w:jc w:val="center"/>
        <w:rPr>
          <w:sz w:val="44"/>
          <w:szCs w:val="44"/>
        </w:rPr>
      </w:pPr>
    </w:p>
    <w:p>
      <w:pPr>
        <w:spacing w:line="560" w:lineRule="exact"/>
        <w:ind w:firstLine="0" w:firstLineChars="0"/>
        <w:jc w:val="center"/>
        <w:rPr>
          <w:sz w:val="44"/>
          <w:szCs w:val="44"/>
        </w:rPr>
      </w:pPr>
      <w:r>
        <w:rPr>
          <w:rFonts w:hint="eastAsia"/>
          <w:szCs w:val="28"/>
        </w:rPr>
        <w:t>（征求意见稿）</w:t>
      </w:r>
    </w:p>
    <w:p>
      <w:pPr>
        <w:spacing w:line="560" w:lineRule="exact"/>
        <w:ind w:firstLine="0" w:firstLineChars="0"/>
        <w:jc w:val="center"/>
        <w:rPr>
          <w:sz w:val="44"/>
          <w:szCs w:val="44"/>
        </w:rPr>
      </w:pPr>
    </w:p>
    <w:p>
      <w:pPr>
        <w:spacing w:line="560" w:lineRule="exact"/>
        <w:ind w:firstLine="0" w:firstLineChars="0"/>
        <w:jc w:val="center"/>
        <w:rPr>
          <w:sz w:val="44"/>
          <w:szCs w:val="44"/>
        </w:rPr>
      </w:pPr>
    </w:p>
    <w:p>
      <w:pPr>
        <w:spacing w:line="560" w:lineRule="exact"/>
        <w:ind w:firstLine="0" w:firstLineChars="0"/>
        <w:jc w:val="center"/>
        <w:rPr>
          <w:sz w:val="44"/>
          <w:szCs w:val="44"/>
        </w:rPr>
      </w:pPr>
    </w:p>
    <w:p>
      <w:pPr>
        <w:spacing w:line="560" w:lineRule="exact"/>
        <w:ind w:firstLine="0" w:firstLineChars="0"/>
        <w:jc w:val="center"/>
        <w:rPr>
          <w:sz w:val="44"/>
          <w:szCs w:val="44"/>
        </w:rPr>
      </w:pPr>
    </w:p>
    <w:p>
      <w:pPr>
        <w:spacing w:line="560" w:lineRule="exact"/>
        <w:ind w:firstLine="0" w:firstLineChars="0"/>
        <w:jc w:val="center"/>
        <w:rPr>
          <w:rFonts w:ascii="黑体" w:hAnsi="黑体" w:eastAsia="黑体"/>
          <w:sz w:val="44"/>
          <w:szCs w:val="44"/>
        </w:rPr>
      </w:pPr>
      <w:r>
        <w:rPr>
          <w:rFonts w:hint="eastAsia" w:ascii="黑体" w:hAnsi="黑体" w:eastAsia="黑体"/>
          <w:b/>
          <w:sz w:val="44"/>
          <w:szCs w:val="44"/>
        </w:rPr>
        <w:t>编制说明</w:t>
      </w:r>
    </w:p>
    <w:p>
      <w:pPr>
        <w:spacing w:line="560" w:lineRule="exact"/>
        <w:ind w:firstLine="880"/>
        <w:jc w:val="center"/>
        <w:rPr>
          <w:sz w:val="44"/>
          <w:szCs w:val="44"/>
        </w:rPr>
      </w:pPr>
    </w:p>
    <w:p>
      <w:pPr>
        <w:spacing w:line="560" w:lineRule="exact"/>
        <w:ind w:firstLine="880"/>
        <w:jc w:val="center"/>
        <w:rPr>
          <w:sz w:val="44"/>
          <w:szCs w:val="44"/>
        </w:rPr>
      </w:pPr>
    </w:p>
    <w:p>
      <w:pPr>
        <w:spacing w:line="560" w:lineRule="exact"/>
        <w:ind w:firstLine="880"/>
        <w:jc w:val="center"/>
        <w:rPr>
          <w:sz w:val="44"/>
          <w:szCs w:val="44"/>
        </w:rPr>
      </w:pPr>
    </w:p>
    <w:p>
      <w:pPr>
        <w:spacing w:line="560" w:lineRule="exact"/>
        <w:ind w:firstLine="880"/>
        <w:jc w:val="center"/>
        <w:rPr>
          <w:sz w:val="44"/>
          <w:szCs w:val="44"/>
        </w:rPr>
      </w:pPr>
    </w:p>
    <w:p>
      <w:pPr>
        <w:spacing w:line="560" w:lineRule="exact"/>
        <w:ind w:firstLine="880"/>
        <w:jc w:val="center"/>
        <w:rPr>
          <w:sz w:val="44"/>
          <w:szCs w:val="44"/>
        </w:rPr>
      </w:pPr>
    </w:p>
    <w:p>
      <w:pPr>
        <w:spacing w:line="560" w:lineRule="exact"/>
        <w:ind w:firstLine="880"/>
        <w:jc w:val="center"/>
        <w:rPr>
          <w:sz w:val="44"/>
          <w:szCs w:val="44"/>
        </w:rPr>
      </w:pPr>
    </w:p>
    <w:p>
      <w:pPr>
        <w:spacing w:line="560" w:lineRule="exact"/>
        <w:ind w:firstLine="880"/>
        <w:jc w:val="center"/>
        <w:rPr>
          <w:sz w:val="44"/>
          <w:szCs w:val="44"/>
        </w:rPr>
      </w:pPr>
    </w:p>
    <w:p>
      <w:pPr>
        <w:spacing w:line="560" w:lineRule="exact"/>
        <w:ind w:firstLine="880"/>
        <w:jc w:val="center"/>
        <w:rPr>
          <w:sz w:val="44"/>
          <w:szCs w:val="44"/>
        </w:rPr>
      </w:pPr>
    </w:p>
    <w:p>
      <w:pPr>
        <w:pStyle w:val="19"/>
        <w:spacing w:line="560" w:lineRule="exact"/>
        <w:ind w:firstLine="0" w:firstLineChars="0"/>
        <w:jc w:val="center"/>
        <w:rPr>
          <w:b/>
          <w:sz w:val="32"/>
          <w:szCs w:val="32"/>
        </w:rPr>
      </w:pPr>
      <w:r>
        <w:rPr>
          <w:rFonts w:hint="eastAsia"/>
          <w:b/>
          <w:sz w:val="32"/>
          <w:szCs w:val="32"/>
        </w:rPr>
        <w:t>陕西省地震局</w:t>
      </w:r>
    </w:p>
    <w:p>
      <w:pPr>
        <w:spacing w:line="560" w:lineRule="exact"/>
        <w:ind w:firstLine="0" w:firstLineChars="0"/>
        <w:jc w:val="center"/>
        <w:rPr>
          <w:b/>
          <w:sz w:val="30"/>
          <w:szCs w:val="30"/>
        </w:rPr>
      </w:pPr>
      <w:r>
        <w:rPr>
          <w:rFonts w:hint="eastAsia"/>
          <w:b/>
          <w:sz w:val="30"/>
          <w:szCs w:val="30"/>
        </w:rPr>
        <w:t>二○二五年十月</w:t>
      </w:r>
    </w:p>
    <w:p>
      <w:pPr>
        <w:widowControl/>
        <w:spacing w:line="560" w:lineRule="exact"/>
        <w:ind w:firstLine="0" w:firstLineChars="0"/>
        <w:jc w:val="left"/>
        <w:rPr>
          <w:sz w:val="44"/>
          <w:szCs w:val="44"/>
        </w:rPr>
      </w:pPr>
      <w:r>
        <w:rPr>
          <w:sz w:val="44"/>
          <w:szCs w:val="44"/>
        </w:rPr>
        <w:br w:type="page"/>
      </w:r>
    </w:p>
    <w:p>
      <w:pPr>
        <w:adjustRightInd w:val="0"/>
        <w:snapToGrid w:val="0"/>
        <w:spacing w:line="560" w:lineRule="exact"/>
        <w:ind w:firstLine="0" w:firstLineChars="0"/>
        <w:jc w:val="center"/>
        <w:rPr>
          <w:b/>
          <w:sz w:val="30"/>
          <w:szCs w:val="30"/>
        </w:rPr>
      </w:pPr>
      <w:bookmarkStart w:id="0" w:name="_Hlk141645938"/>
      <w:r>
        <w:rPr>
          <w:rFonts w:hint="eastAsia"/>
          <w:b/>
          <w:sz w:val="30"/>
          <w:szCs w:val="30"/>
        </w:rPr>
        <w:t>《高精密生产企业地震应急处置服务指南》</w:t>
      </w:r>
      <w:bookmarkEnd w:id="0"/>
    </w:p>
    <w:p>
      <w:pPr>
        <w:adjustRightInd w:val="0"/>
        <w:snapToGrid w:val="0"/>
        <w:spacing w:line="560" w:lineRule="exact"/>
        <w:ind w:firstLine="0" w:firstLineChars="0"/>
        <w:jc w:val="center"/>
        <w:rPr>
          <w:b/>
          <w:sz w:val="30"/>
          <w:szCs w:val="30"/>
        </w:rPr>
      </w:pPr>
      <w:r>
        <w:rPr>
          <w:rFonts w:hint="eastAsia"/>
          <w:b/>
          <w:sz w:val="30"/>
          <w:szCs w:val="30"/>
        </w:rPr>
        <w:t>地方标准（征求意见稿）</w:t>
      </w:r>
    </w:p>
    <w:p>
      <w:pPr>
        <w:adjustRightInd w:val="0"/>
        <w:snapToGrid w:val="0"/>
        <w:spacing w:after="240" w:line="560" w:lineRule="exact"/>
        <w:ind w:firstLine="0" w:firstLineChars="0"/>
        <w:jc w:val="center"/>
        <w:rPr>
          <w:b/>
          <w:sz w:val="30"/>
          <w:szCs w:val="30"/>
        </w:rPr>
      </w:pPr>
      <w:r>
        <w:rPr>
          <w:rFonts w:hint="eastAsia"/>
          <w:b/>
          <w:sz w:val="30"/>
          <w:szCs w:val="30"/>
        </w:rPr>
        <w:t>编制说明</w:t>
      </w:r>
    </w:p>
    <w:p>
      <w:pPr>
        <w:adjustRightInd w:val="0"/>
        <w:snapToGrid w:val="0"/>
        <w:spacing w:line="560" w:lineRule="exact"/>
        <w:ind w:firstLine="482"/>
        <w:jc w:val="center"/>
        <w:rPr>
          <w:b/>
          <w:sz w:val="24"/>
        </w:rPr>
      </w:pPr>
    </w:p>
    <w:p>
      <w:pPr>
        <w:pStyle w:val="39"/>
        <w:keepNext/>
        <w:keepLines/>
        <w:numPr>
          <w:ilvl w:val="0"/>
          <w:numId w:val="3"/>
        </w:numPr>
        <w:spacing w:line="560" w:lineRule="exact"/>
        <w:ind w:firstLineChars="0"/>
        <w:outlineLvl w:val="0"/>
        <w:rPr>
          <w:b/>
          <w:bCs/>
          <w:kern w:val="44"/>
          <w:sz w:val="32"/>
          <w:szCs w:val="32"/>
        </w:rPr>
      </w:pPr>
      <w:r>
        <w:rPr>
          <w:rFonts w:hint="eastAsia"/>
          <w:b/>
          <w:bCs/>
          <w:kern w:val="44"/>
          <w:sz w:val="32"/>
          <w:szCs w:val="32"/>
        </w:rPr>
        <w:t>工作概况</w:t>
      </w:r>
    </w:p>
    <w:p>
      <w:pPr>
        <w:pStyle w:val="39"/>
        <w:keepNext/>
        <w:keepLines/>
        <w:numPr>
          <w:ilvl w:val="1"/>
          <w:numId w:val="3"/>
        </w:numPr>
        <w:spacing w:line="560" w:lineRule="exact"/>
        <w:ind w:left="0" w:firstLine="0" w:firstLineChars="0"/>
        <w:outlineLvl w:val="0"/>
        <w:rPr>
          <w:b/>
          <w:bCs/>
          <w:kern w:val="44"/>
          <w:sz w:val="32"/>
          <w:szCs w:val="32"/>
        </w:rPr>
      </w:pPr>
      <w:r>
        <w:rPr>
          <w:rFonts w:hint="eastAsia"/>
          <w:b/>
          <w:bCs/>
          <w:kern w:val="44"/>
          <w:sz w:val="32"/>
          <w:szCs w:val="32"/>
        </w:rPr>
        <w:t xml:space="preserve"> 制定背景</w:t>
      </w:r>
      <w:bookmarkStart w:id="1" w:name="OLE_LINK71"/>
      <w:bookmarkStart w:id="2" w:name="OLE_LINK72"/>
    </w:p>
    <w:p>
      <w:pPr>
        <w:spacing w:line="560" w:lineRule="exact"/>
        <w:ind w:firstLine="640"/>
        <w:rPr>
          <w:rFonts w:ascii="仿宋_GB2312" w:eastAsia="仿宋_GB2312"/>
          <w:sz w:val="32"/>
        </w:rPr>
      </w:pPr>
      <w:r>
        <w:rPr>
          <w:rFonts w:hint="eastAsia" w:ascii="仿宋_GB2312" w:eastAsia="仿宋_GB2312"/>
          <w:sz w:val="32"/>
        </w:rPr>
        <w:t>随着科技进步、经济增长、国家安全及战略支持、产业升级与创新驱动等方面的发展，高精密制造业的重要性日益凸显。党的二十大报告明确提出“推进制造业高端化、智能化、绿色化”的发展目标，《“十四五”智能制造发展规划》亦将高精密制造业视为战略任务与重点发展方向之一。近年来，我国高精密制造业凭借其高技术密度和显著的附加值，展现出持续快速的增长态势，成为推动经济转型与升级的关键力量。</w:t>
      </w:r>
    </w:p>
    <w:bookmarkEnd w:id="1"/>
    <w:bookmarkEnd w:id="2"/>
    <w:p>
      <w:pPr>
        <w:spacing w:line="560" w:lineRule="exact"/>
        <w:ind w:firstLine="640"/>
        <w:rPr>
          <w:rFonts w:ascii="仿宋_GB2312" w:eastAsia="仿宋_GB2312"/>
          <w:sz w:val="32"/>
        </w:rPr>
      </w:pPr>
      <w:r>
        <w:rPr>
          <w:rFonts w:hint="eastAsia" w:ascii="仿宋_GB2312" w:eastAsia="仿宋_GB2312"/>
          <w:sz w:val="32"/>
        </w:rPr>
        <w:t>高精密制造业依赖于先进的加工工艺与自动化处理技术，追求加工精度与表面质量的极致，专注于生产精密乃至超精密产品。由于该行业生产设备的高度精密性和生产流程的复杂性，对地表微小震动极为敏感。因此，选择生产厂址时，必须全面评估地震等因素可能带来的影响，确保生产环境的稳定与安全。</w:t>
      </w:r>
      <w:bookmarkStart w:id="3" w:name="OLE_LINK81"/>
      <w:bookmarkStart w:id="4" w:name="OLE_LINK82"/>
      <w:r>
        <w:rPr>
          <w:rFonts w:hint="eastAsia" w:ascii="仿宋_GB2312" w:eastAsia="仿宋_GB2312"/>
          <w:sz w:val="32"/>
        </w:rPr>
        <w:t>生产企业为了应对地震等引起的震动，通常在设备设计阶段就集成气垫缓冲等减震装置，并通过建设大型隔震沟等措施来降低地震的影响，有效地处理了短周期、小幅度的震动。然而，</w:t>
      </w:r>
      <w:bookmarkStart w:id="5" w:name="OLE_LINK79"/>
      <w:bookmarkStart w:id="6" w:name="OLE_LINK80"/>
      <w:r>
        <w:rPr>
          <w:rFonts w:hint="eastAsia" w:ascii="仿宋_GB2312" w:eastAsia="仿宋_GB2312"/>
          <w:sz w:val="32"/>
        </w:rPr>
        <w:t>对于长周期地震波，现有的减隔震措施防护效果有限。即使是中等强度的远场地震所引起的微震动，也可能对千里之外的生产设备造成损害，导致材料浪费、生产线中断、设备损坏等直接经济损失，</w:t>
      </w:r>
      <w:bookmarkEnd w:id="3"/>
      <w:bookmarkEnd w:id="4"/>
      <w:r>
        <w:rPr>
          <w:rFonts w:hint="eastAsia" w:ascii="仿宋_GB2312" w:eastAsia="仿宋_GB2312"/>
          <w:sz w:val="32"/>
        </w:rPr>
        <w:t>甚至引起供应链波动，影响整个产业链的稳定性。</w:t>
      </w:r>
      <w:bookmarkEnd w:id="5"/>
      <w:bookmarkEnd w:id="6"/>
      <w:bookmarkStart w:id="7" w:name="OLE_LINK67"/>
      <w:bookmarkStart w:id="8" w:name="OLE_LINK68"/>
      <w:r>
        <w:rPr>
          <w:rFonts w:hint="eastAsia" w:ascii="仿宋_GB2312" w:eastAsia="仿宋_GB2312"/>
          <w:sz w:val="32"/>
        </w:rPr>
        <w:t>例如，</w:t>
      </w:r>
      <w:bookmarkStart w:id="9" w:name="OLE_LINK75"/>
      <w:bookmarkStart w:id="10" w:name="OLE_LINK76"/>
      <w:r>
        <w:rPr>
          <w:rFonts w:hint="eastAsia" w:ascii="仿宋_GB2312" w:eastAsia="仿宋_GB2312"/>
          <w:sz w:val="32"/>
        </w:rPr>
        <w:t>西安一家半导体制造企业在中国台湾、青海门源发生地震后，由于光刻机触发了自我保护机制进入休眠状态，导致晶圆等原材料受损，生产线被迫停止；同样地，</w:t>
      </w:r>
      <w:bookmarkStart w:id="11" w:name="OLE_LINK69"/>
      <w:bookmarkStart w:id="12" w:name="OLE_LINK70"/>
      <w:bookmarkStart w:id="13" w:name="OLE_LINK73"/>
      <w:bookmarkStart w:id="14" w:name="OLE_LINK74"/>
      <w:r>
        <w:rPr>
          <w:rFonts w:hint="eastAsia" w:ascii="仿宋_GB2312" w:eastAsia="仿宋_GB2312"/>
          <w:sz w:val="32"/>
        </w:rPr>
        <w:t>西安另一家涉密单位的高精密设备</w:t>
      </w:r>
      <w:bookmarkEnd w:id="11"/>
      <w:bookmarkEnd w:id="12"/>
      <w:r>
        <w:rPr>
          <w:rFonts w:hint="eastAsia" w:ascii="仿宋_GB2312" w:eastAsia="仿宋_GB2312"/>
          <w:sz w:val="32"/>
        </w:rPr>
        <w:t>也因青海</w:t>
      </w:r>
      <w:bookmarkEnd w:id="13"/>
      <w:bookmarkEnd w:id="14"/>
      <w:r>
        <w:rPr>
          <w:rFonts w:hint="eastAsia" w:ascii="仿宋_GB2312" w:eastAsia="仿宋_GB2312"/>
          <w:sz w:val="32"/>
        </w:rPr>
        <w:t>门源和四川泸定的地震受到了影响，这些案例充分证明了强化高精密制造业地震防护措施的必要性和紧迫性。</w:t>
      </w:r>
    </w:p>
    <w:bookmarkEnd w:id="7"/>
    <w:bookmarkEnd w:id="8"/>
    <w:bookmarkEnd w:id="9"/>
    <w:bookmarkEnd w:id="10"/>
    <w:p>
      <w:pPr>
        <w:spacing w:line="560" w:lineRule="exact"/>
        <w:ind w:firstLine="640"/>
        <w:rPr>
          <w:rFonts w:ascii="仿宋_GB2312" w:eastAsia="仿宋_GB2312"/>
          <w:sz w:val="32"/>
        </w:rPr>
      </w:pPr>
      <w:bookmarkStart w:id="15" w:name="OLE_LINK90"/>
      <w:bookmarkStart w:id="16" w:name="OLE_LINK91"/>
      <w:bookmarkStart w:id="17" w:name="OLE_LINK92"/>
      <w:bookmarkStart w:id="18" w:name="OLE_LINK93"/>
      <w:r>
        <w:rPr>
          <w:rFonts w:hint="eastAsia" w:ascii="仿宋_GB2312" w:eastAsia="仿宋_GB2312"/>
          <w:sz w:val="32"/>
        </w:rPr>
        <w:t>鉴于高精密生产企业对其设备的高度精密性要求，对地震安全处置提出了更高的需求。虽然我国已经建立了较为完善的地震安全法规与标准体系，但在针对高精密生产企业的地震安全处置服务方面仍存在空白。</w:t>
      </w:r>
      <w:bookmarkEnd w:id="15"/>
      <w:bookmarkEnd w:id="16"/>
      <w:bookmarkEnd w:id="17"/>
      <w:bookmarkEnd w:id="18"/>
      <w:r>
        <w:rPr>
          <w:rFonts w:hint="eastAsia" w:ascii="仿宋_GB2312" w:eastAsia="仿宋_GB2312"/>
          <w:sz w:val="32"/>
        </w:rPr>
        <w:t>因此，急需一份专业的地震安全处置服务指导文件，以帮助各企业制定科学合理的应急响应计划和措施。基于此，陕西省地震局重点关注高精密生产企业对地震安全服务的实际需求，利用自身独特的地震科技服务优势，同时广泛吸纳具备相关业务经验的局技术专家，通过深入研究与论证，开展了《高精密生产企业地震应急处置服务指南》（以下简称“指南”）的地方标准申报编制工作，旨在填补这一领域的空白，提升高精密制造业的地震安全水平。</w:t>
      </w:r>
    </w:p>
    <w:p>
      <w:pPr>
        <w:pStyle w:val="39"/>
        <w:keepNext/>
        <w:keepLines/>
        <w:numPr>
          <w:ilvl w:val="1"/>
          <w:numId w:val="3"/>
        </w:numPr>
        <w:spacing w:before="240" w:line="560" w:lineRule="exact"/>
        <w:ind w:left="0" w:firstLine="0" w:firstLineChars="0"/>
        <w:outlineLvl w:val="0"/>
        <w:rPr>
          <w:b/>
          <w:bCs/>
          <w:kern w:val="44"/>
          <w:sz w:val="32"/>
          <w:szCs w:val="32"/>
        </w:rPr>
      </w:pPr>
      <w:r>
        <w:rPr>
          <w:rFonts w:hint="eastAsia"/>
          <w:b/>
          <w:bCs/>
          <w:kern w:val="44"/>
          <w:sz w:val="32"/>
          <w:szCs w:val="32"/>
        </w:rPr>
        <w:t xml:space="preserve"> 任务来源</w:t>
      </w:r>
    </w:p>
    <w:p>
      <w:pPr>
        <w:autoSpaceDE w:val="0"/>
        <w:autoSpaceDN w:val="0"/>
        <w:adjustRightInd w:val="0"/>
        <w:spacing w:line="560" w:lineRule="exact"/>
        <w:ind w:firstLine="640"/>
        <w:jc w:val="left"/>
        <w:rPr>
          <w:rFonts w:ascii="仿宋_GB2312" w:eastAsia="仿宋_GB2312"/>
          <w:sz w:val="32"/>
        </w:rPr>
      </w:pPr>
      <w:r>
        <w:rPr>
          <w:rFonts w:hint="eastAsia" w:ascii="仿宋_GB2312" w:eastAsia="仿宋_GB2312"/>
          <w:sz w:val="32"/>
        </w:rPr>
        <w:t>在前期工作实践和应用研究的基础上，为陕西省地震相关业务单位向高精密生产企业提供科学、规范的地震监测、预警服务以及地震应急处置技术支持，制定统一标准与操作流程。根据陕市监标函〔2025〕32号《陕西省市场监督管理局关于下达2025年第一批陕西省地方标准项目计划的函》要求，陕西省地震局联合中国地震局工程力学研究所、三星(中国)半导体有限公司、陕西省标准化研究院、陕西省计量科学研究院共同完成了《指南》地方标准项目申报书，并向省市场监管局提出立项申请。通过初选、答辩、评审和公示等环节，该项目于2025年6月16日成功立项，项目编号</w:t>
      </w:r>
      <w:r>
        <w:rPr>
          <w:rFonts w:ascii="仿宋_GB2312" w:eastAsia="仿宋_GB2312"/>
          <w:sz w:val="32"/>
        </w:rPr>
        <w:t>SDBXM</w:t>
      </w:r>
      <w:r>
        <w:rPr>
          <w:rFonts w:hint="eastAsia" w:ascii="仿宋_GB2312" w:eastAsia="仿宋_GB2312"/>
          <w:sz w:val="32"/>
        </w:rPr>
        <w:t>030</w:t>
      </w:r>
      <w:r>
        <w:rPr>
          <w:rFonts w:ascii="仿宋_GB2312" w:eastAsia="仿宋_GB2312"/>
          <w:sz w:val="32"/>
        </w:rPr>
        <w:t>-202</w:t>
      </w:r>
      <w:r>
        <w:rPr>
          <w:rFonts w:hint="eastAsia" w:ascii="仿宋_GB2312" w:eastAsia="仿宋_GB2312"/>
          <w:sz w:val="32"/>
        </w:rPr>
        <w:t>5，项目研究周期1年。</w:t>
      </w:r>
    </w:p>
    <w:p>
      <w:pPr>
        <w:pStyle w:val="39"/>
        <w:keepNext/>
        <w:keepLines/>
        <w:numPr>
          <w:ilvl w:val="1"/>
          <w:numId w:val="3"/>
        </w:numPr>
        <w:spacing w:before="240" w:line="560" w:lineRule="exact"/>
        <w:ind w:left="0" w:firstLine="0" w:firstLineChars="0"/>
        <w:outlineLvl w:val="0"/>
        <w:rPr>
          <w:b/>
          <w:bCs/>
          <w:kern w:val="44"/>
          <w:sz w:val="32"/>
          <w:szCs w:val="32"/>
        </w:rPr>
      </w:pPr>
      <w:r>
        <w:rPr>
          <w:rFonts w:hint="eastAsia"/>
          <w:b/>
          <w:bCs/>
          <w:kern w:val="44"/>
          <w:sz w:val="32"/>
          <w:szCs w:val="32"/>
        </w:rPr>
        <w:t xml:space="preserve"> 目的意义</w:t>
      </w:r>
    </w:p>
    <w:p>
      <w:pPr>
        <w:autoSpaceDE w:val="0"/>
        <w:autoSpaceDN w:val="0"/>
        <w:adjustRightInd w:val="0"/>
        <w:spacing w:line="560" w:lineRule="exact"/>
        <w:ind w:firstLine="640"/>
        <w:rPr>
          <w:rFonts w:ascii="仿宋_GB2312" w:eastAsia="仿宋_GB2312"/>
          <w:sz w:val="32"/>
        </w:rPr>
      </w:pPr>
      <w:r>
        <w:rPr>
          <w:rFonts w:hint="eastAsia" w:ascii="仿宋_GB2312" w:eastAsia="仿宋_GB2312"/>
          <w:sz w:val="32"/>
        </w:rPr>
        <w:t>《指南》的制定,旨在填补高精密生产企业地震应急处置服务这领域的空白,落实《关于加强中国地震预警网信息服务工作的若干意见(试行)》(中震测发(2023)17号)以及《中国地震预警网地震预警信息发布指南》的要求,通过为企业提供精准的技术指导，助力其科学规划、合理布局，制定切实可行的应急响应预案和处置措施，从而最大限度降低地面震动对生产设备的不良影响守护企业的生产安全与经济效益。</w:t>
      </w:r>
    </w:p>
    <w:p>
      <w:pPr>
        <w:pStyle w:val="19"/>
        <w:adjustRightInd w:val="0"/>
        <w:snapToGrid w:val="0"/>
        <w:spacing w:before="0" w:beforeAutospacing="0" w:after="0" w:afterAutospacing="0" w:line="560" w:lineRule="exact"/>
        <w:ind w:firstLine="640"/>
        <w:jc w:val="both"/>
        <w:rPr>
          <w:rFonts w:ascii="仿宋_GB2312" w:hAnsi="Times New Roman" w:eastAsia="仿宋_GB2312" w:cs="Times New Roman"/>
          <w:kern w:val="2"/>
          <w:sz w:val="32"/>
        </w:rPr>
      </w:pPr>
      <w:r>
        <w:rPr>
          <w:rFonts w:hint="eastAsia" w:ascii="仿宋_GB2312" w:hAnsi="Times New Roman" w:eastAsia="仿宋_GB2312" w:cs="Times New Roman"/>
          <w:kern w:val="2"/>
          <w:sz w:val="32"/>
        </w:rPr>
        <w:t>《指南》的应用，从场地规划基础加固、地震设施设备建设等多个维度，为企业提供全方位、精细化的技术指导，助力企业科学合理地开展前期规划与布局,从源头上降低震动影响，为企业的稳定生产筑牢安全防线，全力守护企业的生产秩序与经济效益。同时完善并优化服务流程，提高了应急地震信息技术的应用水平，提升了企业应急响应能力，从而对提升我省高精密制造业整体地震安全水平起到关键推动作用。</w:t>
      </w:r>
    </w:p>
    <w:p>
      <w:pPr>
        <w:pStyle w:val="39"/>
        <w:keepNext/>
        <w:keepLines/>
        <w:numPr>
          <w:ilvl w:val="1"/>
          <w:numId w:val="3"/>
        </w:numPr>
        <w:spacing w:before="240" w:line="560" w:lineRule="exact"/>
        <w:ind w:left="0" w:firstLine="0" w:firstLineChars="0"/>
        <w:outlineLvl w:val="0"/>
        <w:rPr>
          <w:b/>
          <w:bCs/>
          <w:kern w:val="44"/>
          <w:sz w:val="32"/>
          <w:szCs w:val="32"/>
        </w:rPr>
      </w:pPr>
      <w:r>
        <w:rPr>
          <w:rFonts w:hint="eastAsia"/>
          <w:b/>
          <w:bCs/>
          <w:kern w:val="44"/>
          <w:sz w:val="32"/>
          <w:szCs w:val="32"/>
        </w:rPr>
        <w:t xml:space="preserve"> 承担单位</w:t>
      </w:r>
    </w:p>
    <w:p>
      <w:pPr>
        <w:pStyle w:val="19"/>
        <w:adjustRightInd w:val="0"/>
        <w:snapToGrid w:val="0"/>
        <w:spacing w:before="0" w:beforeAutospacing="0" w:after="0" w:afterAutospacing="0" w:line="560" w:lineRule="exact"/>
        <w:ind w:firstLine="640"/>
        <w:rPr>
          <w:rFonts w:ascii="仿宋_GB2312" w:hAnsi="Times New Roman" w:eastAsia="仿宋_GB2312" w:cs="Times New Roman"/>
          <w:kern w:val="2"/>
          <w:sz w:val="32"/>
        </w:rPr>
      </w:pPr>
      <w:r>
        <w:rPr>
          <w:rFonts w:hint="eastAsia" w:ascii="仿宋_GB2312" w:hAnsi="Times New Roman" w:eastAsia="仿宋_GB2312" w:cs="Times New Roman"/>
          <w:kern w:val="2"/>
          <w:sz w:val="32"/>
        </w:rPr>
        <w:t>本标准由陕西省地震局提出，中国地震局工程力学研究所、三星(中国)半导体有限公司、陕西省标准化研究院、陕西省计量科学研究院共同起草。陕西省地震局统一协调，各单位选派专业技术人员组成工作组，省地震局组织陕西地震台与中国地震局工程力学研究所负责技术层面，三星(中国)半导体有限公司负责实验验证应用层面，陕西省标准化研究院和陕西省计量科学研究院负责标准计量工作层面，工作组建立定期沟通交流机制，共同推进标准的研制与应用。</w:t>
      </w:r>
    </w:p>
    <w:p>
      <w:pPr>
        <w:pStyle w:val="39"/>
        <w:keepNext/>
        <w:keepLines/>
        <w:numPr>
          <w:ilvl w:val="1"/>
          <w:numId w:val="3"/>
        </w:numPr>
        <w:spacing w:before="240" w:line="560" w:lineRule="exact"/>
        <w:ind w:left="0" w:firstLine="0" w:firstLineChars="0"/>
        <w:outlineLvl w:val="0"/>
        <w:rPr>
          <w:b/>
          <w:bCs/>
          <w:kern w:val="44"/>
          <w:sz w:val="32"/>
          <w:szCs w:val="32"/>
        </w:rPr>
      </w:pPr>
      <w:r>
        <w:rPr>
          <w:rFonts w:hint="eastAsia"/>
          <w:b/>
          <w:bCs/>
          <w:kern w:val="44"/>
          <w:sz w:val="32"/>
          <w:szCs w:val="32"/>
        </w:rPr>
        <w:t xml:space="preserve"> 主要工作过程</w:t>
      </w:r>
    </w:p>
    <w:p>
      <w:pPr>
        <w:pStyle w:val="19"/>
        <w:adjustRightInd w:val="0"/>
        <w:snapToGrid w:val="0"/>
        <w:spacing w:before="0" w:beforeAutospacing="0" w:after="0" w:afterAutospacing="0" w:line="560" w:lineRule="exact"/>
        <w:ind w:firstLine="640"/>
        <w:jc w:val="both"/>
        <w:rPr>
          <w:rFonts w:ascii="仿宋_GB2312" w:hAnsi="Times New Roman" w:eastAsia="仿宋_GB2312" w:cs="Times New Roman"/>
          <w:kern w:val="2"/>
          <w:sz w:val="32"/>
        </w:rPr>
      </w:pPr>
      <w:r>
        <w:rPr>
          <w:rFonts w:hint="eastAsia" w:ascii="仿宋_GB2312" w:hAnsi="Times New Roman" w:eastAsia="仿宋_GB2312" w:cs="Times New Roman"/>
          <w:kern w:val="2"/>
          <w:sz w:val="32"/>
        </w:rPr>
        <w:t>研究团队为深入了解高精密生产企业在地震中的受损情况以及现有防护措施的不足，开展了一系列研究。在陕西一家高精密企业中建设地震监测台站，科学设计预警策略、评估地震影响并发布应急处置建议。这一服务策略在该企业运行两年，通过精准识别致灾点和致灾机制，收集关键数据并实验验证，为企业提供争取到更多的应急处置时间，实现了地震预警系统与高精密生产设备的自动化对接，大幅减少了企业的经济损失和人员伤亡风险。</w:t>
      </w:r>
    </w:p>
    <w:p>
      <w:pPr>
        <w:pStyle w:val="19"/>
        <w:adjustRightInd w:val="0"/>
        <w:snapToGrid w:val="0"/>
        <w:spacing w:before="0" w:beforeAutospacing="0" w:after="0" w:afterAutospacing="0" w:line="560" w:lineRule="exact"/>
        <w:ind w:firstLine="640"/>
        <w:rPr>
          <w:rFonts w:ascii="仿宋_GB2312" w:hAnsi="Times New Roman" w:eastAsia="仿宋_GB2312" w:cs="Times New Roman"/>
          <w:kern w:val="2"/>
          <w:sz w:val="32"/>
        </w:rPr>
      </w:pPr>
      <w:r>
        <w:rPr>
          <w:rFonts w:hint="eastAsia" w:ascii="仿宋_GB2312" w:hAnsi="Times New Roman" w:eastAsia="仿宋_GB2312" w:cs="Times New Roman"/>
          <w:kern w:val="2"/>
          <w:sz w:val="32"/>
        </w:rPr>
        <w:t>鉴于此项工作的研究基础，研究团队将研究成果转化为标准，申请地方标准立项。项目立项后，项目组迅速成立标准起草工作组，工作组根据项目整体要求，制定了工作计划，并严格按照项目进度推动标准的研制工作。项目在研究过程中，参考地震行业标准、部分省市地方标准的具体要求。力求保证本标准与相关标准的协调一致。在为期4个月的研究过程中，工作组实地调研应用单位情况，并多次召开研讨会，对标准的框架，内容以及表述都进行了细致的论证与分析，于20</w:t>
      </w:r>
      <w:r>
        <w:rPr>
          <w:rFonts w:ascii="仿宋_GB2312" w:hAnsi="Times New Roman" w:eastAsia="仿宋_GB2312" w:cs="Times New Roman"/>
          <w:kern w:val="2"/>
          <w:sz w:val="32"/>
        </w:rPr>
        <w:t>2</w:t>
      </w:r>
      <w:r>
        <w:rPr>
          <w:rFonts w:hint="eastAsia" w:ascii="仿宋_GB2312" w:hAnsi="Times New Roman" w:eastAsia="仿宋_GB2312" w:cs="Times New Roman"/>
          <w:kern w:val="2"/>
          <w:sz w:val="32"/>
        </w:rPr>
        <w:t>5年10月初形成征求意见稿。</w:t>
      </w:r>
    </w:p>
    <w:p>
      <w:pPr>
        <w:pStyle w:val="39"/>
        <w:keepNext/>
        <w:keepLines/>
        <w:numPr>
          <w:ilvl w:val="1"/>
          <w:numId w:val="3"/>
        </w:numPr>
        <w:spacing w:before="240" w:line="560" w:lineRule="exact"/>
        <w:ind w:left="0" w:firstLine="0" w:firstLineChars="0"/>
        <w:outlineLvl w:val="0"/>
        <w:rPr>
          <w:b/>
          <w:bCs/>
          <w:kern w:val="44"/>
          <w:sz w:val="32"/>
          <w:szCs w:val="32"/>
        </w:rPr>
      </w:pPr>
      <w:r>
        <w:rPr>
          <w:rFonts w:hint="eastAsia"/>
          <w:b/>
          <w:bCs/>
          <w:kern w:val="44"/>
          <w:sz w:val="32"/>
          <w:szCs w:val="32"/>
        </w:rPr>
        <w:t xml:space="preserve"> 起草组成员</w:t>
      </w:r>
    </w:p>
    <w:p>
      <w:pPr>
        <w:pStyle w:val="19"/>
        <w:adjustRightInd w:val="0"/>
        <w:snapToGrid w:val="0"/>
        <w:spacing w:before="0" w:beforeAutospacing="0" w:after="0" w:afterAutospacing="0" w:line="560" w:lineRule="exact"/>
        <w:ind w:firstLine="640"/>
        <w:rPr>
          <w:rFonts w:ascii="仿宋_GB2312" w:hAnsi="Times New Roman" w:eastAsia="仿宋_GB2312" w:cs="Times New Roman"/>
          <w:kern w:val="2"/>
          <w:sz w:val="32"/>
        </w:rPr>
      </w:pPr>
      <w:r>
        <w:rPr>
          <w:rFonts w:hint="eastAsia" w:ascii="仿宋_GB2312" w:hAnsi="Times New Roman" w:eastAsia="仿宋_GB2312" w:cs="Times New Roman"/>
          <w:kern w:val="2"/>
          <w:sz w:val="32"/>
        </w:rPr>
        <w:t>本标准归口单位：陕西省地震局</w:t>
      </w:r>
    </w:p>
    <w:p>
      <w:pPr>
        <w:pStyle w:val="19"/>
        <w:adjustRightInd w:val="0"/>
        <w:snapToGrid w:val="0"/>
        <w:spacing w:before="0" w:beforeAutospacing="0" w:after="0" w:afterAutospacing="0" w:line="560" w:lineRule="exact"/>
        <w:ind w:firstLine="640"/>
        <w:rPr>
          <w:rFonts w:ascii="仿宋_GB2312" w:hAnsi="Times New Roman" w:eastAsia="仿宋_GB2312" w:cs="Times New Roman"/>
          <w:kern w:val="2"/>
          <w:sz w:val="32"/>
        </w:rPr>
      </w:pPr>
      <w:r>
        <w:rPr>
          <w:rFonts w:hint="eastAsia" w:ascii="仿宋_GB2312" w:hAnsi="Times New Roman" w:eastAsia="仿宋_GB2312" w:cs="Times New Roman"/>
          <w:kern w:val="2"/>
          <w:sz w:val="32"/>
        </w:rPr>
        <w:t>本文件起草单位：陕西省地震局、三星（中国）半导体有限公司、陕西省计量科学研究院、中国地震局工程力学研究所、陕西省标准化研究院。</w:t>
      </w:r>
    </w:p>
    <w:p>
      <w:pPr>
        <w:pStyle w:val="19"/>
        <w:adjustRightInd w:val="0"/>
        <w:snapToGrid w:val="0"/>
        <w:spacing w:before="0" w:beforeAutospacing="0" w:after="0" w:afterAutospacing="0" w:line="560" w:lineRule="exact"/>
        <w:ind w:firstLine="640"/>
        <w:rPr>
          <w:rFonts w:ascii="仿宋_GB2312" w:hAnsi="Times New Roman" w:eastAsia="仿宋_GB2312" w:cs="Times New Roman"/>
          <w:kern w:val="2"/>
          <w:sz w:val="32"/>
        </w:rPr>
      </w:pPr>
      <w:r>
        <w:rPr>
          <w:rFonts w:hint="eastAsia" w:ascii="仿宋_GB2312" w:hAnsi="Times New Roman" w:eastAsia="仿宋_GB2312" w:cs="Times New Roman"/>
          <w:kern w:val="2"/>
          <w:sz w:val="32"/>
        </w:rPr>
        <w:t>本文件主要起草人:</w:t>
      </w:r>
      <w:r>
        <w:rPr>
          <w:rFonts w:ascii="仿宋_GB2312" w:hAnsi="Times New Roman" w:eastAsia="仿宋_GB2312" w:cs="Times New Roman"/>
          <w:kern w:val="2"/>
          <w:sz w:val="32"/>
        </w:rPr>
        <w:t xml:space="preserve"> </w:t>
      </w:r>
    </w:p>
    <w:p>
      <w:pPr>
        <w:pStyle w:val="19"/>
        <w:adjustRightInd w:val="0"/>
        <w:snapToGrid w:val="0"/>
        <w:spacing w:before="0" w:beforeAutospacing="0" w:after="0" w:afterAutospacing="0" w:line="560" w:lineRule="exact"/>
        <w:ind w:firstLine="640"/>
        <w:rPr>
          <w:rFonts w:ascii="仿宋_GB2312" w:hAnsi="Times New Roman" w:eastAsia="仿宋_GB2312" w:cs="Times New Roman"/>
          <w:kern w:val="2"/>
          <w:sz w:val="32"/>
        </w:rPr>
      </w:pPr>
      <w:r>
        <w:rPr>
          <w:rFonts w:hint="eastAsia" w:ascii="仿宋_GB2312" w:hAnsi="Times New Roman" w:eastAsia="仿宋_GB2312" w:cs="Times New Roman"/>
          <w:kern w:val="2"/>
          <w:sz w:val="32"/>
        </w:rPr>
        <w:t>分工情况如下：</w:t>
      </w:r>
    </w:p>
    <w:p>
      <w:pPr>
        <w:pStyle w:val="39"/>
        <w:keepNext/>
        <w:keepLines/>
        <w:numPr>
          <w:ilvl w:val="0"/>
          <w:numId w:val="3"/>
        </w:numPr>
        <w:spacing w:before="240" w:line="560" w:lineRule="exact"/>
        <w:ind w:left="0" w:firstLine="0" w:firstLineChars="0"/>
        <w:outlineLvl w:val="0"/>
        <w:rPr>
          <w:b/>
          <w:bCs/>
          <w:kern w:val="44"/>
          <w:sz w:val="32"/>
          <w:szCs w:val="32"/>
        </w:rPr>
      </w:pPr>
      <w:r>
        <w:rPr>
          <w:rFonts w:hint="eastAsia"/>
          <w:b/>
          <w:bCs/>
          <w:kern w:val="44"/>
          <w:sz w:val="30"/>
          <w:szCs w:val="44"/>
        </w:rPr>
        <w:t>标准编制的原则和标准主要内容</w:t>
      </w:r>
    </w:p>
    <w:p>
      <w:pPr>
        <w:pStyle w:val="39"/>
        <w:keepNext/>
        <w:keepLines/>
        <w:numPr>
          <w:ilvl w:val="1"/>
          <w:numId w:val="3"/>
        </w:numPr>
        <w:spacing w:line="560" w:lineRule="exact"/>
        <w:ind w:left="0" w:firstLine="0" w:firstLineChars="0"/>
        <w:outlineLvl w:val="0"/>
        <w:rPr>
          <w:b/>
          <w:bCs/>
          <w:kern w:val="44"/>
          <w:sz w:val="32"/>
          <w:szCs w:val="32"/>
        </w:rPr>
      </w:pPr>
      <w:r>
        <w:rPr>
          <w:rFonts w:hint="eastAsia"/>
          <w:b/>
          <w:bCs/>
          <w:kern w:val="44"/>
          <w:sz w:val="32"/>
          <w:szCs w:val="32"/>
        </w:rPr>
        <w:t xml:space="preserve"> 标准编制的主要原则</w:t>
      </w:r>
    </w:p>
    <w:p>
      <w:pPr>
        <w:spacing w:line="560" w:lineRule="exact"/>
        <w:ind w:firstLine="640"/>
        <w:rPr>
          <w:rFonts w:ascii="仿宋_GB2312" w:eastAsia="仿宋_GB2312"/>
          <w:sz w:val="32"/>
        </w:rPr>
      </w:pPr>
      <w:r>
        <w:rPr>
          <w:rFonts w:hint="eastAsia" w:ascii="仿宋_GB2312" w:eastAsia="仿宋_GB2312"/>
          <w:sz w:val="32"/>
        </w:rPr>
        <w:t>本标准主要依据GB/T 1.1、DB 61/T 1214的有关规定进行编写。在编写过程中还坚持以下原则：</w:t>
      </w:r>
    </w:p>
    <w:p>
      <w:pPr>
        <w:pStyle w:val="39"/>
        <w:numPr>
          <w:ilvl w:val="0"/>
          <w:numId w:val="4"/>
        </w:numPr>
        <w:spacing w:line="560" w:lineRule="exact"/>
        <w:ind w:left="0" w:firstLine="0" w:firstLineChars="0"/>
        <w:rPr>
          <w:rFonts w:ascii="仿宋_GB2312" w:eastAsia="仿宋_GB2312"/>
          <w:b/>
          <w:sz w:val="32"/>
        </w:rPr>
      </w:pPr>
      <w:r>
        <w:rPr>
          <w:rFonts w:hint="eastAsia" w:ascii="仿宋_GB2312" w:eastAsia="仿宋_GB2312"/>
          <w:b/>
          <w:sz w:val="32"/>
        </w:rPr>
        <w:t>统一性</w:t>
      </w:r>
    </w:p>
    <w:p>
      <w:pPr>
        <w:spacing w:line="560" w:lineRule="exact"/>
        <w:ind w:firstLine="640"/>
        <w:rPr>
          <w:rFonts w:ascii="仿宋_GB2312" w:eastAsia="仿宋_GB2312"/>
          <w:sz w:val="32"/>
        </w:rPr>
      </w:pPr>
      <w:r>
        <w:rPr>
          <w:rFonts w:hint="eastAsia" w:ascii="仿宋_GB2312" w:eastAsia="仿宋_GB2312"/>
          <w:sz w:val="32"/>
        </w:rPr>
        <w:t>统一性是对标准编写及表达方式的最基本的要求。统一性强调的是标准内部（即标准的每个部分、每项标准或系列标准内）的统一，包括：标准结构的统一，即标准的章、条、段、表、图和附录的排列顺序的一致；文体的统一，即类似的条款应由类似的措辞来表达，相同的条款应由相同的措辞来表达；术语的统一，即同一个概念应使用同一个术语；形式的统一，即标准的表述形式，诸如标准中条标题、图表标题的有无应是统一的。</w:t>
      </w:r>
    </w:p>
    <w:p>
      <w:pPr>
        <w:pStyle w:val="39"/>
        <w:numPr>
          <w:ilvl w:val="0"/>
          <w:numId w:val="4"/>
        </w:numPr>
        <w:spacing w:line="560" w:lineRule="exact"/>
        <w:ind w:left="0" w:firstLine="0" w:firstLineChars="0"/>
        <w:rPr>
          <w:rFonts w:ascii="仿宋_GB2312" w:eastAsia="仿宋_GB2312"/>
          <w:b/>
          <w:sz w:val="32"/>
        </w:rPr>
      </w:pPr>
      <w:r>
        <w:rPr>
          <w:rFonts w:hint="eastAsia" w:ascii="仿宋_GB2312" w:eastAsia="仿宋_GB2312"/>
          <w:b/>
          <w:sz w:val="32"/>
        </w:rPr>
        <w:t>协调性</w:t>
      </w:r>
    </w:p>
    <w:p>
      <w:pPr>
        <w:pStyle w:val="19"/>
        <w:spacing w:before="0" w:beforeAutospacing="0" w:after="0" w:afterAutospacing="0" w:line="560" w:lineRule="exact"/>
        <w:ind w:firstLine="640"/>
        <w:rPr>
          <w:rFonts w:ascii="仿宋_GB2312" w:hAnsi="Times New Roman" w:eastAsia="仿宋_GB2312" w:cs="Times New Roman"/>
          <w:kern w:val="2"/>
          <w:sz w:val="32"/>
        </w:rPr>
      </w:pPr>
      <w:r>
        <w:rPr>
          <w:rFonts w:hint="eastAsia" w:ascii="仿宋_GB2312" w:hAnsi="Times New Roman" w:eastAsia="仿宋_GB2312" w:cs="Times New Roman"/>
          <w:kern w:val="2"/>
          <w:sz w:val="32"/>
        </w:rPr>
        <w:t>标准是协商一致的产物，本标准在编制过程中始终坚持三个协调原则。标准研究与政策法规的协调，标准制定与现行标准体系的协调；标准实施与标准化利益相关方的协调。</w:t>
      </w:r>
    </w:p>
    <w:p>
      <w:pPr>
        <w:pStyle w:val="39"/>
        <w:numPr>
          <w:ilvl w:val="0"/>
          <w:numId w:val="4"/>
        </w:numPr>
        <w:spacing w:line="560" w:lineRule="exact"/>
        <w:ind w:left="0" w:firstLine="0" w:firstLineChars="0"/>
        <w:rPr>
          <w:rFonts w:ascii="仿宋_GB2312" w:hAnsi="Times New Roman" w:eastAsia="仿宋_GB2312"/>
          <w:sz w:val="32"/>
          <w:szCs w:val="24"/>
        </w:rPr>
      </w:pPr>
      <w:r>
        <w:rPr>
          <w:rFonts w:hint="eastAsia" w:ascii="仿宋_GB2312" w:eastAsia="仿宋_GB2312"/>
          <w:b/>
          <w:sz w:val="32"/>
        </w:rPr>
        <w:t>适用性</w:t>
      </w:r>
    </w:p>
    <w:p>
      <w:pPr>
        <w:spacing w:line="560" w:lineRule="exact"/>
        <w:ind w:firstLine="640"/>
        <w:rPr>
          <w:rFonts w:ascii="仿宋_GB2312" w:eastAsia="仿宋_GB2312"/>
          <w:sz w:val="32"/>
        </w:rPr>
      </w:pPr>
      <w:r>
        <w:rPr>
          <w:rFonts w:hint="eastAsia" w:ascii="仿宋_GB2312" w:eastAsia="仿宋_GB2312"/>
          <w:sz w:val="32"/>
        </w:rPr>
        <w:t>适用性指所制定的标准便于使用的特性，主要针对以下两个方面的内容。第一，适于直接使用。第二，便于被其他文件引用，GB/T 1.1对于层次设置、编号等的规定都是出于便于引用的考虑。</w:t>
      </w:r>
    </w:p>
    <w:p>
      <w:pPr>
        <w:pStyle w:val="39"/>
        <w:numPr>
          <w:ilvl w:val="0"/>
          <w:numId w:val="4"/>
        </w:numPr>
        <w:spacing w:line="560" w:lineRule="exact"/>
        <w:ind w:left="0" w:firstLine="0" w:firstLineChars="0"/>
        <w:rPr>
          <w:rFonts w:ascii="仿宋_GB2312" w:eastAsia="仿宋_GB2312"/>
          <w:b/>
          <w:sz w:val="32"/>
        </w:rPr>
      </w:pPr>
      <w:r>
        <w:rPr>
          <w:rFonts w:hint="eastAsia" w:ascii="仿宋_GB2312" w:eastAsia="仿宋_GB2312"/>
          <w:b/>
          <w:sz w:val="32"/>
        </w:rPr>
        <w:t>一致性</w:t>
      </w:r>
    </w:p>
    <w:p>
      <w:pPr>
        <w:spacing w:line="560" w:lineRule="exact"/>
        <w:ind w:firstLine="640"/>
        <w:rPr>
          <w:rFonts w:ascii="仿宋_GB2312" w:eastAsia="仿宋_GB2312"/>
          <w:sz w:val="32"/>
        </w:rPr>
      </w:pPr>
      <w:r>
        <w:rPr>
          <w:rFonts w:hint="eastAsia" w:ascii="仿宋_GB2312" w:eastAsia="仿宋_GB2312"/>
          <w:sz w:val="32"/>
        </w:rPr>
        <w:t>一致性指起草的标准应以对应的国际文件（如有）为基础并尽可能与国际文件保持一致。起草标准时如有对应的国际文件，首先应考虑以这些国际文件为基础制定我国标准，在此基础上还应尽可能保持与国际文件的一致性，按照GB/T 1.2确定一致性程度，即等同、修改或非等效。</w:t>
      </w:r>
    </w:p>
    <w:p>
      <w:pPr>
        <w:pStyle w:val="39"/>
        <w:numPr>
          <w:ilvl w:val="0"/>
          <w:numId w:val="4"/>
        </w:numPr>
        <w:spacing w:line="560" w:lineRule="exact"/>
        <w:ind w:left="0" w:firstLine="0" w:firstLineChars="0"/>
        <w:rPr>
          <w:rFonts w:ascii="仿宋_GB2312" w:eastAsia="仿宋_GB2312"/>
          <w:b/>
          <w:sz w:val="32"/>
        </w:rPr>
      </w:pPr>
      <w:r>
        <w:rPr>
          <w:rFonts w:hint="eastAsia" w:ascii="仿宋_GB2312" w:eastAsia="仿宋_GB2312"/>
          <w:b/>
          <w:sz w:val="32"/>
        </w:rPr>
        <w:t>规范性</w:t>
      </w:r>
    </w:p>
    <w:p>
      <w:pPr>
        <w:spacing w:line="560" w:lineRule="exact"/>
        <w:ind w:firstLine="640"/>
        <w:rPr>
          <w:rFonts w:ascii="仿宋_GB2312" w:eastAsia="仿宋_GB2312"/>
          <w:sz w:val="32"/>
        </w:rPr>
      </w:pPr>
      <w:r>
        <w:rPr>
          <w:rFonts w:hint="eastAsia" w:ascii="仿宋_GB2312" w:eastAsia="仿宋_GB2312"/>
          <w:sz w:val="32"/>
        </w:rPr>
        <w:t>规范性指起草标准时要遵守与标准制定有关的基础标准以及相关法律法规。我国已经建立了支撑标准制修订工作的基础性系列国家标准，包括：GB/T 1《标准化工作导则》、GB/T 20000《标准化工作指南》、GB/T 20001《标准编写规则》、 GB/T 20002《标准中特定内容的起草》。</w:t>
      </w:r>
    </w:p>
    <w:p>
      <w:pPr>
        <w:pStyle w:val="39"/>
        <w:keepNext/>
        <w:keepLines/>
        <w:numPr>
          <w:ilvl w:val="1"/>
          <w:numId w:val="3"/>
        </w:numPr>
        <w:spacing w:line="560" w:lineRule="exact"/>
        <w:ind w:left="0" w:firstLine="0" w:firstLineChars="0"/>
        <w:outlineLvl w:val="0"/>
        <w:rPr>
          <w:b/>
          <w:bCs/>
          <w:kern w:val="44"/>
          <w:sz w:val="32"/>
          <w:szCs w:val="32"/>
        </w:rPr>
      </w:pPr>
      <w:r>
        <w:rPr>
          <w:rFonts w:hint="eastAsia"/>
          <w:b/>
          <w:bCs/>
          <w:kern w:val="44"/>
          <w:sz w:val="32"/>
          <w:szCs w:val="32"/>
        </w:rPr>
        <w:t xml:space="preserve"> 标准的主要内容</w:t>
      </w:r>
    </w:p>
    <w:p>
      <w:pPr>
        <w:spacing w:line="560" w:lineRule="exact"/>
        <w:ind w:firstLine="640"/>
        <w:rPr>
          <w:rFonts w:ascii="仿宋_GB2312" w:eastAsia="仿宋_GB2312"/>
          <w:sz w:val="32"/>
        </w:rPr>
      </w:pPr>
      <w:r>
        <w:rPr>
          <w:rFonts w:hint="eastAsia" w:ascii="仿宋_GB2312" w:eastAsia="仿宋_GB2312"/>
          <w:sz w:val="32"/>
        </w:rPr>
        <w:t>本标准主要包括以下几个章节：</w:t>
      </w:r>
    </w:p>
    <w:p>
      <w:pPr>
        <w:tabs>
          <w:tab w:val="right" w:leader="dot" w:pos="9241"/>
        </w:tabs>
        <w:spacing w:before="78" w:beforeLines="25" w:after="78" w:afterLines="25"/>
        <w:ind w:firstLine="0" w:firstLineChars="0"/>
        <w:jc w:val="left"/>
        <w:rPr>
          <w:rFonts w:ascii="Calibri" w:hAnsi="Calibri"/>
          <w:sz w:val="21"/>
          <w:szCs w:val="22"/>
        </w:rPr>
      </w:pPr>
      <w:r>
        <w:rPr>
          <w:rFonts w:hint="eastAsia" w:ascii="宋体"/>
          <w:sz w:val="21"/>
          <w:szCs w:val="21"/>
        </w:rPr>
        <w:t>前言</w:t>
      </w:r>
      <w:r>
        <w:rPr>
          <w:rFonts w:ascii="宋体"/>
          <w:sz w:val="21"/>
          <w:szCs w:val="21"/>
        </w:rPr>
        <w:tab/>
      </w:r>
      <w:r>
        <w:rPr>
          <w:rFonts w:ascii="宋体"/>
          <w:sz w:val="21"/>
          <w:szCs w:val="21"/>
        </w:rPr>
        <w:fldChar w:fldCharType="begin" w:fldLock="1"/>
      </w:r>
      <w:r>
        <w:rPr>
          <w:rFonts w:ascii="宋体"/>
          <w:sz w:val="21"/>
          <w:szCs w:val="21"/>
        </w:rPr>
        <w:instrText xml:space="preserve"> PAGEREF _Toc211214215 \h </w:instrText>
      </w:r>
      <w:r>
        <w:rPr>
          <w:rFonts w:ascii="宋体"/>
          <w:sz w:val="21"/>
          <w:szCs w:val="21"/>
        </w:rPr>
        <w:fldChar w:fldCharType="separate"/>
      </w:r>
      <w:r>
        <w:rPr>
          <w:rFonts w:ascii="宋体"/>
          <w:sz w:val="21"/>
          <w:szCs w:val="21"/>
        </w:rPr>
        <w:t>II</w:t>
      </w:r>
      <w:r>
        <w:rPr>
          <w:rFonts w:ascii="宋体"/>
          <w:sz w:val="21"/>
          <w:szCs w:val="21"/>
        </w:rPr>
        <w:fldChar w:fldCharType="end"/>
      </w:r>
    </w:p>
    <w:p>
      <w:pPr>
        <w:tabs>
          <w:tab w:val="right" w:leader="dot" w:pos="9241"/>
        </w:tabs>
        <w:spacing w:before="78" w:beforeLines="25" w:after="78" w:afterLines="25"/>
        <w:ind w:firstLine="0" w:firstLineChars="0"/>
        <w:jc w:val="left"/>
        <w:rPr>
          <w:rFonts w:ascii="Calibri" w:hAnsi="Calibri"/>
          <w:sz w:val="21"/>
          <w:szCs w:val="22"/>
        </w:rPr>
      </w:pPr>
      <w:r>
        <w:rPr>
          <w:rFonts w:hint="eastAsia" w:ascii="宋体"/>
          <w:sz w:val="21"/>
          <w:szCs w:val="21"/>
        </w:rPr>
        <w:t>引言</w:t>
      </w:r>
      <w:r>
        <w:rPr>
          <w:rFonts w:ascii="宋体"/>
          <w:sz w:val="21"/>
          <w:szCs w:val="21"/>
        </w:rPr>
        <w:tab/>
      </w:r>
      <w:r>
        <w:rPr>
          <w:rFonts w:ascii="宋体"/>
          <w:sz w:val="21"/>
          <w:szCs w:val="21"/>
        </w:rPr>
        <w:fldChar w:fldCharType="begin" w:fldLock="1"/>
      </w:r>
      <w:r>
        <w:rPr>
          <w:rFonts w:ascii="宋体"/>
          <w:sz w:val="21"/>
          <w:szCs w:val="21"/>
        </w:rPr>
        <w:instrText xml:space="preserve"> PAGEREF _Toc211214216 \h </w:instrText>
      </w:r>
      <w:r>
        <w:rPr>
          <w:rFonts w:ascii="宋体"/>
          <w:sz w:val="21"/>
          <w:szCs w:val="21"/>
        </w:rPr>
        <w:fldChar w:fldCharType="separate"/>
      </w:r>
      <w:r>
        <w:rPr>
          <w:rFonts w:ascii="宋体"/>
          <w:sz w:val="21"/>
          <w:szCs w:val="21"/>
        </w:rPr>
        <w:t>III</w:t>
      </w:r>
      <w:r>
        <w:rPr>
          <w:rFonts w:ascii="宋体"/>
          <w:sz w:val="21"/>
          <w:szCs w:val="21"/>
        </w:rPr>
        <w:fldChar w:fldCharType="end"/>
      </w:r>
    </w:p>
    <w:p>
      <w:pPr>
        <w:tabs>
          <w:tab w:val="right" w:leader="dot" w:pos="9241"/>
        </w:tabs>
        <w:spacing w:before="78" w:beforeLines="25" w:after="78" w:afterLines="25"/>
        <w:ind w:firstLine="0" w:firstLineChars="0"/>
        <w:jc w:val="left"/>
        <w:rPr>
          <w:rFonts w:ascii="Calibri" w:hAnsi="Calibri"/>
          <w:sz w:val="21"/>
          <w:szCs w:val="22"/>
        </w:rPr>
      </w:pPr>
      <w:r>
        <w:rPr>
          <w:rFonts w:ascii="宋体"/>
          <w:sz w:val="21"/>
          <w:szCs w:val="21"/>
        </w:rPr>
        <w:t>1</w:t>
      </w:r>
      <w:r>
        <w:rPr>
          <w:rFonts w:hint="eastAsia" w:ascii="宋体"/>
          <w:sz w:val="21"/>
          <w:szCs w:val="21"/>
        </w:rPr>
        <w:t>　范围</w:t>
      </w:r>
      <w:r>
        <w:rPr>
          <w:rFonts w:ascii="宋体"/>
          <w:sz w:val="21"/>
          <w:szCs w:val="21"/>
        </w:rPr>
        <w:tab/>
      </w:r>
      <w:r>
        <w:rPr>
          <w:rFonts w:ascii="宋体"/>
          <w:sz w:val="21"/>
          <w:szCs w:val="21"/>
        </w:rPr>
        <w:fldChar w:fldCharType="begin" w:fldLock="1"/>
      </w:r>
      <w:r>
        <w:rPr>
          <w:rFonts w:ascii="宋体"/>
          <w:sz w:val="21"/>
          <w:szCs w:val="21"/>
        </w:rPr>
        <w:instrText xml:space="preserve"> PAGEREF _Toc211214217 \h </w:instrText>
      </w:r>
      <w:r>
        <w:rPr>
          <w:rFonts w:ascii="宋体"/>
          <w:sz w:val="21"/>
          <w:szCs w:val="21"/>
        </w:rPr>
        <w:fldChar w:fldCharType="separate"/>
      </w:r>
      <w:r>
        <w:rPr>
          <w:rFonts w:ascii="宋体"/>
          <w:sz w:val="21"/>
          <w:szCs w:val="21"/>
        </w:rPr>
        <w:t>1</w:t>
      </w:r>
      <w:r>
        <w:rPr>
          <w:rFonts w:ascii="宋体"/>
          <w:sz w:val="21"/>
          <w:szCs w:val="21"/>
        </w:rPr>
        <w:fldChar w:fldCharType="end"/>
      </w:r>
    </w:p>
    <w:p>
      <w:pPr>
        <w:tabs>
          <w:tab w:val="right" w:leader="dot" w:pos="9241"/>
        </w:tabs>
        <w:spacing w:before="78" w:beforeLines="25" w:after="78" w:afterLines="25"/>
        <w:ind w:firstLine="0" w:firstLineChars="0"/>
        <w:jc w:val="left"/>
        <w:rPr>
          <w:rFonts w:ascii="Calibri" w:hAnsi="Calibri"/>
          <w:sz w:val="21"/>
          <w:szCs w:val="22"/>
        </w:rPr>
      </w:pPr>
      <w:r>
        <w:rPr>
          <w:rFonts w:ascii="宋体"/>
          <w:sz w:val="21"/>
          <w:szCs w:val="21"/>
        </w:rPr>
        <w:t>2</w:t>
      </w:r>
      <w:r>
        <w:rPr>
          <w:rFonts w:hint="eastAsia" w:ascii="宋体"/>
          <w:sz w:val="21"/>
          <w:szCs w:val="21"/>
        </w:rPr>
        <w:t>　规范性引用文件</w:t>
      </w:r>
      <w:r>
        <w:rPr>
          <w:rFonts w:ascii="宋体"/>
          <w:sz w:val="21"/>
          <w:szCs w:val="21"/>
        </w:rPr>
        <w:tab/>
      </w:r>
      <w:r>
        <w:rPr>
          <w:rFonts w:ascii="宋体"/>
          <w:sz w:val="21"/>
          <w:szCs w:val="21"/>
        </w:rPr>
        <w:fldChar w:fldCharType="begin" w:fldLock="1"/>
      </w:r>
      <w:r>
        <w:rPr>
          <w:rFonts w:ascii="宋体"/>
          <w:sz w:val="21"/>
          <w:szCs w:val="21"/>
        </w:rPr>
        <w:instrText xml:space="preserve"> PAGEREF _Toc211214218 \h </w:instrText>
      </w:r>
      <w:r>
        <w:rPr>
          <w:rFonts w:ascii="宋体"/>
          <w:sz w:val="21"/>
          <w:szCs w:val="21"/>
        </w:rPr>
        <w:fldChar w:fldCharType="separate"/>
      </w:r>
      <w:r>
        <w:rPr>
          <w:rFonts w:ascii="宋体"/>
          <w:sz w:val="21"/>
          <w:szCs w:val="21"/>
        </w:rPr>
        <w:t>1</w:t>
      </w:r>
      <w:r>
        <w:rPr>
          <w:rFonts w:ascii="宋体"/>
          <w:sz w:val="21"/>
          <w:szCs w:val="21"/>
        </w:rPr>
        <w:fldChar w:fldCharType="end"/>
      </w:r>
    </w:p>
    <w:p>
      <w:pPr>
        <w:tabs>
          <w:tab w:val="right" w:leader="dot" w:pos="9241"/>
        </w:tabs>
        <w:spacing w:before="78" w:beforeLines="25" w:after="78" w:afterLines="25"/>
        <w:ind w:firstLine="0" w:firstLineChars="0"/>
        <w:jc w:val="left"/>
        <w:rPr>
          <w:rFonts w:ascii="Calibri" w:hAnsi="Calibri"/>
          <w:sz w:val="21"/>
          <w:szCs w:val="22"/>
        </w:rPr>
      </w:pPr>
      <w:r>
        <w:rPr>
          <w:rFonts w:ascii="宋体"/>
          <w:sz w:val="21"/>
          <w:szCs w:val="21"/>
        </w:rPr>
        <w:t>3</w:t>
      </w:r>
      <w:r>
        <w:rPr>
          <w:rFonts w:hint="eastAsia" w:ascii="宋体"/>
          <w:sz w:val="21"/>
          <w:szCs w:val="21"/>
        </w:rPr>
        <w:t>　术语和定义</w:t>
      </w:r>
      <w:r>
        <w:rPr>
          <w:rFonts w:ascii="宋体"/>
          <w:sz w:val="21"/>
          <w:szCs w:val="21"/>
        </w:rPr>
        <w:tab/>
      </w:r>
      <w:r>
        <w:rPr>
          <w:rFonts w:ascii="宋体"/>
          <w:sz w:val="21"/>
          <w:szCs w:val="21"/>
        </w:rPr>
        <w:fldChar w:fldCharType="begin" w:fldLock="1"/>
      </w:r>
      <w:r>
        <w:rPr>
          <w:rFonts w:ascii="宋体"/>
          <w:sz w:val="21"/>
          <w:szCs w:val="21"/>
        </w:rPr>
        <w:instrText xml:space="preserve"> PAGEREF _Toc211214219 \h </w:instrText>
      </w:r>
      <w:r>
        <w:rPr>
          <w:rFonts w:ascii="宋体"/>
          <w:sz w:val="21"/>
          <w:szCs w:val="21"/>
        </w:rPr>
        <w:fldChar w:fldCharType="separate"/>
      </w:r>
      <w:r>
        <w:rPr>
          <w:rFonts w:ascii="宋体"/>
          <w:sz w:val="21"/>
          <w:szCs w:val="21"/>
        </w:rPr>
        <w:t>1</w:t>
      </w:r>
      <w:r>
        <w:rPr>
          <w:rFonts w:ascii="宋体"/>
          <w:sz w:val="21"/>
          <w:szCs w:val="21"/>
        </w:rPr>
        <w:fldChar w:fldCharType="end"/>
      </w:r>
    </w:p>
    <w:p>
      <w:pPr>
        <w:tabs>
          <w:tab w:val="right" w:leader="dot" w:pos="9241"/>
        </w:tabs>
        <w:spacing w:before="78" w:beforeLines="25" w:after="78" w:afterLines="25"/>
        <w:ind w:firstLine="0" w:firstLineChars="0"/>
        <w:jc w:val="left"/>
        <w:rPr>
          <w:rFonts w:ascii="Calibri" w:hAnsi="Calibri"/>
          <w:sz w:val="21"/>
          <w:szCs w:val="22"/>
        </w:rPr>
      </w:pPr>
      <w:r>
        <w:rPr>
          <w:rFonts w:ascii="宋体"/>
          <w:sz w:val="21"/>
          <w:szCs w:val="21"/>
        </w:rPr>
        <w:t>4</w:t>
      </w:r>
      <w:r>
        <w:rPr>
          <w:rFonts w:hint="eastAsia" w:ascii="宋体"/>
          <w:sz w:val="21"/>
          <w:szCs w:val="21"/>
        </w:rPr>
        <w:t>　符号和缩略语</w:t>
      </w:r>
      <w:r>
        <w:rPr>
          <w:rFonts w:ascii="宋体"/>
          <w:sz w:val="21"/>
          <w:szCs w:val="21"/>
        </w:rPr>
        <w:tab/>
      </w:r>
      <w:r>
        <w:rPr>
          <w:rFonts w:ascii="宋体"/>
          <w:sz w:val="21"/>
          <w:szCs w:val="21"/>
        </w:rPr>
        <w:fldChar w:fldCharType="begin" w:fldLock="1"/>
      </w:r>
      <w:r>
        <w:rPr>
          <w:rFonts w:ascii="宋体"/>
          <w:sz w:val="21"/>
          <w:szCs w:val="21"/>
        </w:rPr>
        <w:instrText xml:space="preserve"> PAGEREF _Toc211214220 \h </w:instrText>
      </w:r>
      <w:r>
        <w:rPr>
          <w:rFonts w:ascii="宋体"/>
          <w:sz w:val="21"/>
          <w:szCs w:val="21"/>
        </w:rPr>
        <w:fldChar w:fldCharType="separate"/>
      </w:r>
      <w:r>
        <w:rPr>
          <w:rFonts w:ascii="宋体"/>
          <w:sz w:val="21"/>
          <w:szCs w:val="21"/>
        </w:rPr>
        <w:t>3</w:t>
      </w:r>
      <w:r>
        <w:rPr>
          <w:rFonts w:ascii="宋体"/>
          <w:sz w:val="21"/>
          <w:szCs w:val="21"/>
        </w:rPr>
        <w:fldChar w:fldCharType="end"/>
      </w:r>
    </w:p>
    <w:p>
      <w:pPr>
        <w:tabs>
          <w:tab w:val="right" w:leader="dot" w:pos="9241"/>
        </w:tabs>
        <w:spacing w:before="78" w:beforeLines="25" w:after="78" w:afterLines="25"/>
        <w:ind w:firstLine="0" w:firstLineChars="0"/>
        <w:jc w:val="left"/>
        <w:rPr>
          <w:rFonts w:ascii="Calibri" w:hAnsi="Calibri"/>
          <w:sz w:val="21"/>
          <w:szCs w:val="22"/>
        </w:rPr>
      </w:pPr>
      <w:r>
        <w:fldChar w:fldCharType="begin"/>
      </w:r>
      <w:r>
        <w:instrText xml:space="preserve"> HYPERLINK \l "_Toc211214221" </w:instrText>
      </w:r>
      <w:r>
        <w:fldChar w:fldCharType="separate"/>
      </w:r>
      <w:r>
        <w:rPr>
          <w:rFonts w:ascii="宋体"/>
          <w:sz w:val="21"/>
          <w:szCs w:val="21"/>
        </w:rPr>
        <w:t>5</w:t>
      </w:r>
      <w:r>
        <w:rPr>
          <w:rFonts w:hint="eastAsia" w:ascii="宋体"/>
          <w:sz w:val="21"/>
          <w:szCs w:val="21"/>
        </w:rPr>
        <w:t>　总体原则</w:t>
      </w:r>
      <w:r>
        <w:rPr>
          <w:rFonts w:ascii="宋体"/>
          <w:sz w:val="21"/>
          <w:szCs w:val="21"/>
        </w:rPr>
        <w:tab/>
      </w:r>
      <w:r>
        <w:rPr>
          <w:rFonts w:ascii="宋体"/>
          <w:sz w:val="21"/>
          <w:szCs w:val="21"/>
        </w:rPr>
        <w:fldChar w:fldCharType="begin" w:fldLock="1"/>
      </w:r>
      <w:r>
        <w:rPr>
          <w:rFonts w:ascii="宋体"/>
          <w:sz w:val="21"/>
          <w:szCs w:val="21"/>
        </w:rPr>
        <w:instrText xml:space="preserve"> PAGEREF _Toc211214221 \h </w:instrText>
      </w:r>
      <w:r>
        <w:rPr>
          <w:rFonts w:ascii="宋体"/>
          <w:sz w:val="21"/>
          <w:szCs w:val="21"/>
        </w:rPr>
        <w:fldChar w:fldCharType="separate"/>
      </w:r>
      <w:r>
        <w:rPr>
          <w:rFonts w:ascii="宋体"/>
          <w:sz w:val="21"/>
          <w:szCs w:val="21"/>
        </w:rPr>
        <w:t>3</w:t>
      </w:r>
      <w:r>
        <w:rPr>
          <w:rFonts w:ascii="宋体"/>
          <w:sz w:val="21"/>
          <w:szCs w:val="21"/>
        </w:rPr>
        <w:fldChar w:fldCharType="end"/>
      </w:r>
      <w:r>
        <w:rPr>
          <w:rFonts w:ascii="宋体"/>
          <w:sz w:val="21"/>
          <w:szCs w:val="21"/>
        </w:rPr>
        <w:fldChar w:fldCharType="end"/>
      </w:r>
    </w:p>
    <w:p>
      <w:pPr>
        <w:tabs>
          <w:tab w:val="right" w:leader="dot" w:pos="9241"/>
        </w:tabs>
        <w:spacing w:before="78" w:beforeLines="25" w:after="78" w:afterLines="25"/>
        <w:ind w:firstLine="0" w:firstLineChars="0"/>
        <w:jc w:val="left"/>
        <w:rPr>
          <w:rFonts w:ascii="Calibri" w:hAnsi="Calibri"/>
          <w:sz w:val="21"/>
          <w:szCs w:val="22"/>
        </w:rPr>
      </w:pPr>
      <w:r>
        <w:rPr>
          <w:rFonts w:ascii="宋体"/>
          <w:sz w:val="21"/>
          <w:szCs w:val="21"/>
        </w:rPr>
        <w:t>6</w:t>
      </w:r>
      <w:r>
        <w:rPr>
          <w:rFonts w:hint="eastAsia" w:ascii="宋体"/>
          <w:sz w:val="21"/>
          <w:szCs w:val="21"/>
        </w:rPr>
        <w:t>　</w:t>
      </w:r>
      <w:bookmarkStart w:id="19" w:name="OLE_LINK7"/>
      <w:r>
        <w:rPr>
          <w:rFonts w:hint="eastAsia" w:ascii="宋体"/>
          <w:sz w:val="21"/>
          <w:szCs w:val="21"/>
        </w:rPr>
        <w:t>服务内容</w:t>
      </w:r>
      <w:r>
        <w:rPr>
          <w:rFonts w:ascii="宋体"/>
          <w:sz w:val="21"/>
          <w:szCs w:val="21"/>
        </w:rPr>
        <w:tab/>
      </w:r>
      <w:r>
        <w:rPr>
          <w:rFonts w:ascii="宋体"/>
          <w:sz w:val="21"/>
          <w:szCs w:val="21"/>
        </w:rPr>
        <w:fldChar w:fldCharType="begin" w:fldLock="1"/>
      </w:r>
      <w:r>
        <w:rPr>
          <w:rFonts w:ascii="宋体"/>
          <w:sz w:val="21"/>
          <w:szCs w:val="21"/>
        </w:rPr>
        <w:instrText xml:space="preserve"> PAGEREF _Toc211214222 \h </w:instrText>
      </w:r>
      <w:r>
        <w:rPr>
          <w:rFonts w:ascii="宋体"/>
          <w:sz w:val="21"/>
          <w:szCs w:val="21"/>
        </w:rPr>
        <w:fldChar w:fldCharType="separate"/>
      </w:r>
      <w:r>
        <w:rPr>
          <w:rFonts w:ascii="宋体"/>
          <w:sz w:val="21"/>
          <w:szCs w:val="21"/>
        </w:rPr>
        <w:t>3</w:t>
      </w:r>
      <w:r>
        <w:rPr>
          <w:rFonts w:ascii="宋体"/>
          <w:sz w:val="21"/>
          <w:szCs w:val="21"/>
        </w:rPr>
        <w:fldChar w:fldCharType="end"/>
      </w:r>
    </w:p>
    <w:p>
      <w:pPr>
        <w:tabs>
          <w:tab w:val="right" w:leader="dot" w:pos="9241"/>
        </w:tabs>
        <w:spacing w:before="78" w:beforeLines="25" w:after="78" w:afterLines="25"/>
        <w:ind w:firstLine="0" w:firstLineChars="0"/>
        <w:jc w:val="left"/>
        <w:rPr>
          <w:rFonts w:ascii="Calibri" w:hAnsi="Calibri"/>
          <w:sz w:val="21"/>
          <w:szCs w:val="22"/>
        </w:rPr>
      </w:pPr>
      <w:r>
        <w:rPr>
          <w:rFonts w:ascii="宋体"/>
          <w:sz w:val="21"/>
          <w:szCs w:val="21"/>
        </w:rPr>
        <w:t>7</w:t>
      </w:r>
      <w:r>
        <w:rPr>
          <w:rFonts w:hint="eastAsia" w:ascii="宋体"/>
          <w:sz w:val="21"/>
          <w:szCs w:val="21"/>
        </w:rPr>
        <w:t>　服务方式</w:t>
      </w:r>
      <w:r>
        <w:rPr>
          <w:rFonts w:ascii="宋体"/>
          <w:sz w:val="21"/>
          <w:szCs w:val="21"/>
        </w:rPr>
        <w:tab/>
      </w:r>
      <w:r>
        <w:rPr>
          <w:rFonts w:ascii="宋体"/>
          <w:sz w:val="21"/>
          <w:szCs w:val="21"/>
        </w:rPr>
        <w:fldChar w:fldCharType="begin" w:fldLock="1"/>
      </w:r>
      <w:r>
        <w:rPr>
          <w:rFonts w:ascii="宋体"/>
          <w:sz w:val="21"/>
          <w:szCs w:val="21"/>
        </w:rPr>
        <w:instrText xml:space="preserve"> PAGEREF _Toc211214223 \h </w:instrText>
      </w:r>
      <w:r>
        <w:rPr>
          <w:rFonts w:ascii="宋体"/>
          <w:sz w:val="21"/>
          <w:szCs w:val="21"/>
        </w:rPr>
        <w:fldChar w:fldCharType="separate"/>
      </w:r>
      <w:r>
        <w:rPr>
          <w:rFonts w:ascii="宋体"/>
          <w:sz w:val="21"/>
          <w:szCs w:val="21"/>
        </w:rPr>
        <w:t>3</w:t>
      </w:r>
      <w:r>
        <w:rPr>
          <w:rFonts w:ascii="宋体"/>
          <w:sz w:val="21"/>
          <w:szCs w:val="21"/>
        </w:rPr>
        <w:fldChar w:fldCharType="end"/>
      </w:r>
    </w:p>
    <w:p>
      <w:pPr>
        <w:tabs>
          <w:tab w:val="right" w:leader="dot" w:pos="9241"/>
        </w:tabs>
        <w:spacing w:before="78" w:beforeLines="25" w:after="78" w:afterLines="25"/>
        <w:ind w:firstLine="0" w:firstLineChars="0"/>
        <w:jc w:val="left"/>
        <w:rPr>
          <w:rFonts w:ascii="Calibri" w:hAnsi="Calibri"/>
          <w:sz w:val="21"/>
          <w:szCs w:val="22"/>
        </w:rPr>
      </w:pPr>
      <w:r>
        <w:rPr>
          <w:rFonts w:ascii="宋体"/>
          <w:sz w:val="21"/>
          <w:szCs w:val="21"/>
        </w:rPr>
        <w:t>8</w:t>
      </w:r>
      <w:r>
        <w:rPr>
          <w:rFonts w:hint="eastAsia" w:ascii="宋体"/>
          <w:sz w:val="21"/>
          <w:szCs w:val="21"/>
        </w:rPr>
        <w:t>　地动监测站建设</w:t>
      </w:r>
      <w:r>
        <w:rPr>
          <w:rFonts w:ascii="宋体"/>
          <w:sz w:val="21"/>
          <w:szCs w:val="21"/>
        </w:rPr>
        <w:tab/>
      </w:r>
      <w:r>
        <w:rPr>
          <w:rFonts w:ascii="宋体"/>
          <w:sz w:val="21"/>
          <w:szCs w:val="21"/>
        </w:rPr>
        <w:fldChar w:fldCharType="begin" w:fldLock="1"/>
      </w:r>
      <w:r>
        <w:rPr>
          <w:rFonts w:ascii="宋体"/>
          <w:sz w:val="21"/>
          <w:szCs w:val="21"/>
        </w:rPr>
        <w:instrText xml:space="preserve"> PAGEREF _Toc211214224 \h </w:instrText>
      </w:r>
      <w:r>
        <w:rPr>
          <w:rFonts w:ascii="宋体"/>
          <w:sz w:val="21"/>
          <w:szCs w:val="21"/>
        </w:rPr>
        <w:fldChar w:fldCharType="separate"/>
      </w:r>
      <w:r>
        <w:rPr>
          <w:rFonts w:ascii="宋体"/>
          <w:sz w:val="21"/>
          <w:szCs w:val="21"/>
        </w:rPr>
        <w:t>3</w:t>
      </w:r>
      <w:r>
        <w:rPr>
          <w:rFonts w:ascii="宋体"/>
          <w:sz w:val="21"/>
          <w:szCs w:val="21"/>
        </w:rPr>
        <w:fldChar w:fldCharType="end"/>
      </w:r>
    </w:p>
    <w:p>
      <w:pPr>
        <w:tabs>
          <w:tab w:val="right" w:leader="dot" w:pos="9241"/>
        </w:tabs>
        <w:spacing w:before="78" w:beforeLines="25" w:after="78" w:afterLines="25"/>
        <w:ind w:firstLine="0" w:firstLineChars="0"/>
        <w:jc w:val="left"/>
        <w:rPr>
          <w:rFonts w:ascii="Calibri" w:hAnsi="Calibri"/>
          <w:sz w:val="21"/>
          <w:szCs w:val="22"/>
        </w:rPr>
      </w:pPr>
      <w:r>
        <w:rPr>
          <w:rFonts w:ascii="宋体"/>
          <w:sz w:val="21"/>
          <w:szCs w:val="21"/>
        </w:rPr>
        <w:t>9</w:t>
      </w:r>
      <w:r>
        <w:rPr>
          <w:rFonts w:hint="eastAsia" w:ascii="宋体"/>
          <w:sz w:val="21"/>
          <w:szCs w:val="21"/>
        </w:rPr>
        <w:t>　信息获取</w:t>
      </w:r>
      <w:r>
        <w:rPr>
          <w:rFonts w:ascii="宋体"/>
          <w:sz w:val="21"/>
          <w:szCs w:val="21"/>
        </w:rPr>
        <w:tab/>
      </w:r>
      <w:r>
        <w:rPr>
          <w:rFonts w:ascii="宋体"/>
          <w:sz w:val="21"/>
          <w:szCs w:val="21"/>
        </w:rPr>
        <w:fldChar w:fldCharType="begin" w:fldLock="1"/>
      </w:r>
      <w:r>
        <w:rPr>
          <w:rFonts w:ascii="宋体"/>
          <w:sz w:val="21"/>
          <w:szCs w:val="21"/>
        </w:rPr>
        <w:instrText xml:space="preserve"> PAGEREF _Toc211214225 \h </w:instrText>
      </w:r>
      <w:r>
        <w:rPr>
          <w:rFonts w:ascii="宋体"/>
          <w:sz w:val="21"/>
          <w:szCs w:val="21"/>
        </w:rPr>
        <w:fldChar w:fldCharType="separate"/>
      </w:r>
      <w:r>
        <w:rPr>
          <w:rFonts w:ascii="宋体"/>
          <w:sz w:val="21"/>
          <w:szCs w:val="21"/>
        </w:rPr>
        <w:t>5</w:t>
      </w:r>
      <w:r>
        <w:rPr>
          <w:rFonts w:ascii="宋体"/>
          <w:sz w:val="21"/>
          <w:szCs w:val="21"/>
        </w:rPr>
        <w:fldChar w:fldCharType="end"/>
      </w:r>
    </w:p>
    <w:p>
      <w:pPr>
        <w:tabs>
          <w:tab w:val="right" w:leader="dot" w:pos="9241"/>
        </w:tabs>
        <w:spacing w:before="78" w:beforeLines="25" w:after="78" w:afterLines="25"/>
        <w:ind w:firstLine="0" w:firstLineChars="0"/>
        <w:jc w:val="left"/>
        <w:rPr>
          <w:rFonts w:ascii="Calibri" w:hAnsi="Calibri"/>
          <w:sz w:val="21"/>
          <w:szCs w:val="22"/>
        </w:rPr>
      </w:pPr>
      <w:r>
        <w:rPr>
          <w:rFonts w:ascii="宋体"/>
          <w:sz w:val="21"/>
          <w:szCs w:val="21"/>
        </w:rPr>
        <w:t>10</w:t>
      </w:r>
      <w:r>
        <w:rPr>
          <w:rFonts w:hint="eastAsia" w:ascii="宋体"/>
          <w:sz w:val="21"/>
          <w:szCs w:val="21"/>
        </w:rPr>
        <w:t>　信息分析</w:t>
      </w:r>
      <w:r>
        <w:rPr>
          <w:rFonts w:ascii="宋体"/>
          <w:sz w:val="21"/>
          <w:szCs w:val="21"/>
        </w:rPr>
        <w:tab/>
      </w:r>
      <w:r>
        <w:rPr>
          <w:rFonts w:ascii="宋体"/>
          <w:sz w:val="21"/>
          <w:szCs w:val="21"/>
        </w:rPr>
        <w:fldChar w:fldCharType="begin" w:fldLock="1"/>
      </w:r>
      <w:r>
        <w:rPr>
          <w:rFonts w:ascii="宋体"/>
          <w:sz w:val="21"/>
          <w:szCs w:val="21"/>
        </w:rPr>
        <w:instrText xml:space="preserve"> PAGEREF _Toc211214226 \h </w:instrText>
      </w:r>
      <w:r>
        <w:rPr>
          <w:rFonts w:ascii="宋体"/>
          <w:sz w:val="21"/>
          <w:szCs w:val="21"/>
        </w:rPr>
        <w:fldChar w:fldCharType="separate"/>
      </w:r>
      <w:r>
        <w:rPr>
          <w:rFonts w:ascii="宋体"/>
          <w:sz w:val="21"/>
          <w:szCs w:val="21"/>
        </w:rPr>
        <w:t>6</w:t>
      </w:r>
      <w:r>
        <w:rPr>
          <w:rFonts w:ascii="宋体"/>
          <w:sz w:val="21"/>
          <w:szCs w:val="21"/>
        </w:rPr>
        <w:fldChar w:fldCharType="end"/>
      </w:r>
    </w:p>
    <w:p>
      <w:pPr>
        <w:tabs>
          <w:tab w:val="right" w:leader="dot" w:pos="9241"/>
        </w:tabs>
        <w:spacing w:before="78" w:beforeLines="25" w:after="78" w:afterLines="25"/>
        <w:ind w:firstLine="0" w:firstLineChars="0"/>
        <w:jc w:val="left"/>
        <w:rPr>
          <w:rFonts w:ascii="Calibri" w:hAnsi="Calibri"/>
          <w:sz w:val="21"/>
          <w:szCs w:val="22"/>
        </w:rPr>
      </w:pPr>
      <w:r>
        <w:rPr>
          <w:rFonts w:ascii="宋体"/>
          <w:sz w:val="21"/>
          <w:szCs w:val="21"/>
        </w:rPr>
        <w:t>11</w:t>
      </w:r>
      <w:r>
        <w:rPr>
          <w:rFonts w:hint="eastAsia" w:ascii="宋体"/>
          <w:sz w:val="21"/>
          <w:szCs w:val="21"/>
        </w:rPr>
        <w:t>　地震影响评估</w:t>
      </w:r>
      <w:r>
        <w:rPr>
          <w:rFonts w:ascii="宋体"/>
          <w:sz w:val="21"/>
          <w:szCs w:val="21"/>
        </w:rPr>
        <w:tab/>
      </w:r>
      <w:r>
        <w:rPr>
          <w:rFonts w:ascii="宋体"/>
          <w:sz w:val="21"/>
          <w:szCs w:val="21"/>
        </w:rPr>
        <w:fldChar w:fldCharType="begin" w:fldLock="1"/>
      </w:r>
      <w:r>
        <w:rPr>
          <w:rFonts w:ascii="宋体"/>
          <w:sz w:val="21"/>
          <w:szCs w:val="21"/>
        </w:rPr>
        <w:instrText xml:space="preserve"> PAGEREF _Toc211214227 \h </w:instrText>
      </w:r>
      <w:r>
        <w:rPr>
          <w:rFonts w:ascii="宋体"/>
          <w:sz w:val="21"/>
          <w:szCs w:val="21"/>
        </w:rPr>
        <w:fldChar w:fldCharType="separate"/>
      </w:r>
      <w:r>
        <w:rPr>
          <w:rFonts w:ascii="宋体"/>
          <w:sz w:val="21"/>
          <w:szCs w:val="21"/>
        </w:rPr>
        <w:t>6</w:t>
      </w:r>
      <w:r>
        <w:rPr>
          <w:rFonts w:ascii="宋体"/>
          <w:sz w:val="21"/>
          <w:szCs w:val="21"/>
        </w:rPr>
        <w:fldChar w:fldCharType="end"/>
      </w:r>
    </w:p>
    <w:p>
      <w:pPr>
        <w:tabs>
          <w:tab w:val="right" w:leader="dot" w:pos="9241"/>
        </w:tabs>
        <w:spacing w:before="78" w:beforeLines="25" w:after="78" w:afterLines="25"/>
        <w:ind w:firstLine="0" w:firstLineChars="0"/>
        <w:jc w:val="left"/>
        <w:rPr>
          <w:rFonts w:ascii="Calibri" w:hAnsi="Calibri"/>
          <w:sz w:val="21"/>
          <w:szCs w:val="22"/>
        </w:rPr>
      </w:pPr>
      <w:r>
        <w:rPr>
          <w:rFonts w:ascii="宋体"/>
          <w:sz w:val="21"/>
          <w:szCs w:val="21"/>
        </w:rPr>
        <w:t>12</w:t>
      </w:r>
      <w:r>
        <w:rPr>
          <w:rFonts w:hint="eastAsia" w:ascii="宋体"/>
          <w:sz w:val="21"/>
          <w:szCs w:val="21"/>
        </w:rPr>
        <w:t>　信息处理</w:t>
      </w:r>
      <w:r>
        <w:rPr>
          <w:rFonts w:ascii="宋体"/>
          <w:sz w:val="21"/>
          <w:szCs w:val="21"/>
        </w:rPr>
        <w:tab/>
      </w:r>
      <w:r>
        <w:rPr>
          <w:rFonts w:ascii="宋体"/>
          <w:sz w:val="21"/>
          <w:szCs w:val="21"/>
        </w:rPr>
        <w:fldChar w:fldCharType="begin" w:fldLock="1"/>
      </w:r>
      <w:r>
        <w:rPr>
          <w:rFonts w:ascii="宋体"/>
          <w:sz w:val="21"/>
          <w:szCs w:val="21"/>
        </w:rPr>
        <w:instrText xml:space="preserve"> PAGEREF _Toc211214228 \h </w:instrText>
      </w:r>
      <w:r>
        <w:rPr>
          <w:rFonts w:ascii="宋体"/>
          <w:sz w:val="21"/>
          <w:szCs w:val="21"/>
        </w:rPr>
        <w:fldChar w:fldCharType="separate"/>
      </w:r>
      <w:r>
        <w:rPr>
          <w:rFonts w:ascii="宋体"/>
          <w:sz w:val="21"/>
          <w:szCs w:val="21"/>
        </w:rPr>
        <w:t>8</w:t>
      </w:r>
      <w:r>
        <w:rPr>
          <w:rFonts w:ascii="宋体"/>
          <w:sz w:val="21"/>
          <w:szCs w:val="21"/>
        </w:rPr>
        <w:fldChar w:fldCharType="end"/>
      </w:r>
    </w:p>
    <w:p>
      <w:pPr>
        <w:tabs>
          <w:tab w:val="right" w:leader="dot" w:pos="9241"/>
        </w:tabs>
        <w:spacing w:before="78" w:beforeLines="25" w:after="78" w:afterLines="25"/>
        <w:ind w:firstLine="0" w:firstLineChars="0"/>
        <w:jc w:val="left"/>
        <w:rPr>
          <w:rFonts w:ascii="Calibri" w:hAnsi="Calibri"/>
          <w:sz w:val="21"/>
          <w:szCs w:val="22"/>
        </w:rPr>
      </w:pPr>
      <w:r>
        <w:rPr>
          <w:rFonts w:ascii="宋体"/>
          <w:sz w:val="21"/>
          <w:szCs w:val="21"/>
        </w:rPr>
        <w:t>13</w:t>
      </w:r>
      <w:r>
        <w:rPr>
          <w:rFonts w:hint="eastAsia" w:ascii="宋体"/>
          <w:sz w:val="21"/>
          <w:szCs w:val="21"/>
        </w:rPr>
        <w:t>　处置建议</w:t>
      </w:r>
      <w:bookmarkEnd w:id="19"/>
      <w:r>
        <w:rPr>
          <w:rFonts w:ascii="宋体"/>
          <w:sz w:val="21"/>
          <w:szCs w:val="21"/>
        </w:rPr>
        <w:tab/>
      </w:r>
      <w:r>
        <w:rPr>
          <w:rFonts w:ascii="宋体"/>
          <w:sz w:val="21"/>
          <w:szCs w:val="21"/>
        </w:rPr>
        <w:fldChar w:fldCharType="begin" w:fldLock="1"/>
      </w:r>
      <w:r>
        <w:rPr>
          <w:rFonts w:ascii="宋体"/>
          <w:sz w:val="21"/>
          <w:szCs w:val="21"/>
        </w:rPr>
        <w:instrText xml:space="preserve"> PAGEREF _Toc211214229 \h </w:instrText>
      </w:r>
      <w:r>
        <w:rPr>
          <w:rFonts w:ascii="宋体"/>
          <w:sz w:val="21"/>
          <w:szCs w:val="21"/>
        </w:rPr>
        <w:fldChar w:fldCharType="separate"/>
      </w:r>
      <w:r>
        <w:rPr>
          <w:rFonts w:ascii="宋体"/>
          <w:sz w:val="21"/>
          <w:szCs w:val="21"/>
        </w:rPr>
        <w:t>9</w:t>
      </w:r>
      <w:r>
        <w:rPr>
          <w:rFonts w:ascii="宋体"/>
          <w:sz w:val="21"/>
          <w:szCs w:val="21"/>
        </w:rPr>
        <w:fldChar w:fldCharType="end"/>
      </w:r>
    </w:p>
    <w:p>
      <w:pPr>
        <w:tabs>
          <w:tab w:val="right" w:leader="dot" w:pos="9241"/>
        </w:tabs>
        <w:spacing w:before="78" w:beforeLines="25" w:after="78" w:afterLines="25"/>
        <w:ind w:firstLine="0" w:firstLineChars="0"/>
        <w:jc w:val="left"/>
        <w:rPr>
          <w:rFonts w:ascii="Calibri" w:hAnsi="Calibri"/>
          <w:sz w:val="21"/>
          <w:szCs w:val="22"/>
        </w:rPr>
      </w:pPr>
      <w:r>
        <w:rPr>
          <w:rFonts w:hint="eastAsia" w:ascii="宋体"/>
          <w:sz w:val="21"/>
          <w:szCs w:val="21"/>
        </w:rPr>
        <w:t>附录A　（资料性）</w:t>
      </w:r>
      <w:r>
        <w:rPr>
          <w:rFonts w:ascii="宋体"/>
          <w:sz w:val="21"/>
          <w:szCs w:val="21"/>
        </w:rPr>
        <w:t>　</w:t>
      </w:r>
      <w:r>
        <w:rPr>
          <w:rFonts w:hint="eastAsia" w:ascii="宋体"/>
          <w:sz w:val="21"/>
          <w:szCs w:val="21"/>
        </w:rPr>
        <w:t>监测站点观测井建设方案</w:t>
      </w:r>
      <w:r>
        <w:rPr>
          <w:rFonts w:ascii="宋体"/>
          <w:sz w:val="21"/>
          <w:szCs w:val="21"/>
        </w:rPr>
        <w:tab/>
      </w:r>
      <w:r>
        <w:rPr>
          <w:rFonts w:ascii="宋体"/>
          <w:sz w:val="21"/>
          <w:szCs w:val="21"/>
        </w:rPr>
        <w:fldChar w:fldCharType="begin" w:fldLock="1"/>
      </w:r>
      <w:r>
        <w:rPr>
          <w:rFonts w:ascii="宋体"/>
          <w:sz w:val="21"/>
          <w:szCs w:val="21"/>
        </w:rPr>
        <w:instrText xml:space="preserve"> PAGEREF _Toc211214230 \h </w:instrText>
      </w:r>
      <w:r>
        <w:rPr>
          <w:rFonts w:ascii="宋体"/>
          <w:sz w:val="21"/>
          <w:szCs w:val="21"/>
        </w:rPr>
        <w:fldChar w:fldCharType="separate"/>
      </w:r>
      <w:r>
        <w:rPr>
          <w:rFonts w:ascii="宋体"/>
          <w:sz w:val="21"/>
          <w:szCs w:val="21"/>
        </w:rPr>
        <w:t>10</w:t>
      </w:r>
      <w:r>
        <w:rPr>
          <w:rFonts w:ascii="宋体"/>
          <w:sz w:val="21"/>
          <w:szCs w:val="21"/>
        </w:rPr>
        <w:fldChar w:fldCharType="end"/>
      </w:r>
    </w:p>
    <w:p>
      <w:pPr>
        <w:tabs>
          <w:tab w:val="right" w:leader="dot" w:pos="9241"/>
        </w:tabs>
        <w:spacing w:before="78" w:beforeLines="25" w:after="78" w:afterLines="25"/>
        <w:ind w:firstLine="0" w:firstLineChars="0"/>
        <w:jc w:val="left"/>
        <w:rPr>
          <w:rFonts w:ascii="Calibri" w:hAnsi="Calibri"/>
          <w:sz w:val="21"/>
          <w:szCs w:val="22"/>
        </w:rPr>
      </w:pPr>
      <w:r>
        <w:rPr>
          <w:rFonts w:hint="eastAsia" w:ascii="宋体"/>
          <w:sz w:val="21"/>
          <w:szCs w:val="21"/>
        </w:rPr>
        <w:t>附录B　（资料性）</w:t>
      </w:r>
      <w:r>
        <w:rPr>
          <w:rFonts w:ascii="宋体"/>
          <w:sz w:val="21"/>
          <w:szCs w:val="21"/>
        </w:rPr>
        <w:t>　</w:t>
      </w:r>
      <w:r>
        <w:rPr>
          <w:rFonts w:hint="eastAsia" w:ascii="宋体"/>
          <w:sz w:val="21"/>
          <w:szCs w:val="21"/>
        </w:rPr>
        <w:t>典型半导体生产企业地震预警等级划分示例</w:t>
      </w:r>
      <w:r>
        <w:rPr>
          <w:rFonts w:ascii="宋体"/>
          <w:sz w:val="21"/>
          <w:szCs w:val="21"/>
        </w:rPr>
        <w:tab/>
      </w:r>
      <w:r>
        <w:rPr>
          <w:rFonts w:ascii="宋体"/>
          <w:sz w:val="21"/>
          <w:szCs w:val="21"/>
        </w:rPr>
        <w:fldChar w:fldCharType="begin" w:fldLock="1"/>
      </w:r>
      <w:r>
        <w:rPr>
          <w:rFonts w:ascii="宋体"/>
          <w:sz w:val="21"/>
          <w:szCs w:val="21"/>
        </w:rPr>
        <w:instrText xml:space="preserve"> PAGEREF _Toc211214231 \h </w:instrText>
      </w:r>
      <w:r>
        <w:rPr>
          <w:rFonts w:ascii="宋体"/>
          <w:sz w:val="21"/>
          <w:szCs w:val="21"/>
        </w:rPr>
        <w:fldChar w:fldCharType="separate"/>
      </w:r>
      <w:r>
        <w:rPr>
          <w:rFonts w:ascii="宋体"/>
          <w:sz w:val="21"/>
          <w:szCs w:val="21"/>
        </w:rPr>
        <w:t>12</w:t>
      </w:r>
      <w:r>
        <w:rPr>
          <w:rFonts w:ascii="宋体"/>
          <w:sz w:val="21"/>
          <w:szCs w:val="21"/>
        </w:rPr>
        <w:fldChar w:fldCharType="end"/>
      </w:r>
    </w:p>
    <w:p>
      <w:pPr>
        <w:tabs>
          <w:tab w:val="right" w:leader="dot" w:pos="9241"/>
        </w:tabs>
        <w:spacing w:before="78" w:beforeLines="25" w:after="78" w:afterLines="25"/>
        <w:ind w:firstLine="0" w:firstLineChars="0"/>
        <w:jc w:val="left"/>
        <w:rPr>
          <w:rFonts w:ascii="Calibri" w:hAnsi="Calibri"/>
          <w:sz w:val="21"/>
          <w:szCs w:val="22"/>
        </w:rPr>
      </w:pPr>
      <w:r>
        <w:rPr>
          <w:rFonts w:hint="eastAsia" w:ascii="宋体"/>
          <w:sz w:val="21"/>
          <w:szCs w:val="21"/>
        </w:rPr>
        <w:t>附录C　（资料性）</w:t>
      </w:r>
      <w:r>
        <w:rPr>
          <w:rFonts w:ascii="宋体"/>
          <w:sz w:val="21"/>
          <w:szCs w:val="21"/>
        </w:rPr>
        <w:t>　</w:t>
      </w:r>
      <w:r>
        <w:rPr>
          <w:rFonts w:hint="eastAsia"/>
          <w:sz w:val="21"/>
          <w:szCs w:val="21"/>
        </w:rPr>
        <w:t>应急处置示例</w:t>
      </w:r>
      <w:r>
        <w:rPr>
          <w:rFonts w:ascii="宋体"/>
          <w:sz w:val="21"/>
          <w:szCs w:val="21"/>
        </w:rPr>
        <w:tab/>
      </w:r>
      <w:r>
        <w:rPr>
          <w:rFonts w:hint="eastAsia" w:ascii="宋体"/>
          <w:sz w:val="21"/>
          <w:szCs w:val="21"/>
        </w:rPr>
        <w:t>3</w:t>
      </w:r>
    </w:p>
    <w:p>
      <w:pPr>
        <w:spacing w:line="560" w:lineRule="exact"/>
        <w:ind w:firstLine="640"/>
        <w:rPr>
          <w:rFonts w:ascii="仿宋_GB2312" w:eastAsia="仿宋_GB2312"/>
          <w:sz w:val="32"/>
        </w:rPr>
      </w:pPr>
    </w:p>
    <w:p>
      <w:pPr>
        <w:spacing w:line="560" w:lineRule="exact"/>
        <w:ind w:firstLine="646" w:firstLineChars="202"/>
        <w:jc w:val="left"/>
        <w:rPr>
          <w:rFonts w:ascii="仿宋_GB2312" w:eastAsia="仿宋_GB2312"/>
          <w:sz w:val="32"/>
        </w:rPr>
      </w:pPr>
      <w:r>
        <w:rPr>
          <w:rFonts w:hint="eastAsia" w:ascii="仿宋_GB2312" w:eastAsia="仿宋_GB2312"/>
          <w:sz w:val="32"/>
        </w:rPr>
        <w:t>本文件提供了地震预警及应急处置服务的指导和建议，给出了服务内容、服务方式、地动监测站建设、信息获取、信息分析、地震影响评估、信息处理及处置建议的相关技术信息和方法。</w:t>
      </w:r>
    </w:p>
    <w:p>
      <w:pPr>
        <w:spacing w:line="560" w:lineRule="exact"/>
        <w:ind w:firstLine="646" w:firstLineChars="202"/>
        <w:jc w:val="left"/>
        <w:rPr>
          <w:rFonts w:ascii="仿宋_GB2312" w:eastAsia="仿宋_GB2312"/>
          <w:sz w:val="32"/>
        </w:rPr>
      </w:pPr>
      <w:r>
        <w:rPr>
          <w:rFonts w:hint="eastAsia" w:ascii="仿宋_GB2312" w:eastAsia="仿宋_GB2312"/>
          <w:sz w:val="32"/>
        </w:rPr>
        <w:t>本文件适用于高精密生产企业，及为高精密生产企业提供地震应急处置服务的组织。</w:t>
      </w:r>
    </w:p>
    <w:p>
      <w:pPr>
        <w:pStyle w:val="16"/>
        <w:spacing w:after="60" w:line="560" w:lineRule="exact"/>
        <w:ind w:firstLine="560"/>
        <w:rPr>
          <w:rFonts w:ascii="仿宋_GB2312" w:hAnsi="Times New Roman" w:eastAsia="仿宋_GB2312" w:cs="Times New Roman"/>
          <w:kern w:val="2"/>
          <w:sz w:val="32"/>
          <w:szCs w:val="24"/>
        </w:rPr>
      </w:pPr>
      <w:r>
        <w:rPr>
          <w:rFonts w:hint="eastAsia" w:ascii="仿宋_GB2312" w:hAnsi="Times New Roman" w:eastAsia="仿宋_GB2312" w:cs="Times New Roman"/>
          <w:kern w:val="2"/>
          <w:sz w:val="32"/>
          <w:szCs w:val="24"/>
        </w:rPr>
        <w:t>规范性引用文件引用了与本标准相关的10项标准，引用文件均为现行有效标准。为了便于理解标准内容，提供了与本标准相关的术语与定义10个，核心是以下</w:t>
      </w:r>
      <w:r>
        <w:rPr>
          <w:rFonts w:ascii="仿宋_GB2312" w:hAnsi="Times New Roman" w:eastAsia="仿宋_GB2312" w:cs="Times New Roman"/>
          <w:kern w:val="2"/>
          <w:sz w:val="32"/>
          <w:szCs w:val="24"/>
        </w:rPr>
        <w:t>5</w:t>
      </w:r>
      <w:r>
        <w:rPr>
          <w:rFonts w:hint="eastAsia" w:ascii="仿宋_GB2312" w:hAnsi="Times New Roman" w:eastAsia="仿宋_GB2312" w:cs="Times New Roman"/>
          <w:kern w:val="2"/>
          <w:sz w:val="32"/>
          <w:szCs w:val="24"/>
        </w:rPr>
        <w:t>个定义：</w:t>
      </w:r>
    </w:p>
    <w:p>
      <w:pPr>
        <w:pStyle w:val="63"/>
        <w:numPr>
          <w:ilvl w:val="0"/>
          <w:numId w:val="5"/>
        </w:numPr>
      </w:pPr>
      <w:bookmarkStart w:id="20" w:name="OLE_LINK11"/>
      <w:bookmarkStart w:id="21" w:name="OLE_LINK146"/>
      <w:bookmarkStart w:id="22" w:name="OLE_LINK147"/>
      <w:r>
        <w:rPr>
          <w:rFonts w:hint="eastAsia"/>
        </w:rPr>
        <w:t>紧急地震信息</w:t>
      </w:r>
      <w:bookmarkEnd w:id="20"/>
      <w:r>
        <w:rPr>
          <w:rFonts w:hint="eastAsia"/>
        </w:rPr>
        <w:t xml:space="preserve"> </w:t>
      </w:r>
      <w:bookmarkEnd w:id="21"/>
      <w:bookmarkEnd w:id="22"/>
      <w:r>
        <w:rPr>
          <w:rFonts w:hint="eastAsia"/>
        </w:rPr>
        <w:t xml:space="preserve"> </w:t>
      </w:r>
      <w:bookmarkStart w:id="23" w:name="OLE_LINK10"/>
      <w:bookmarkStart w:id="24" w:name="OLE_LINK9"/>
      <w:r>
        <w:rPr>
          <w:rFonts w:hint="eastAsia"/>
        </w:rPr>
        <w:t>earthquake-related early warning information</w:t>
      </w:r>
      <w:bookmarkEnd w:id="23"/>
      <w:bookmarkEnd w:id="24"/>
    </w:p>
    <w:p>
      <w:pPr>
        <w:pStyle w:val="61"/>
        <w:ind w:left="420" w:firstLine="0" w:firstLineChars="0"/>
        <w:rPr>
          <w:szCs w:val="21"/>
        </w:rPr>
      </w:pPr>
      <w:r>
        <w:rPr>
          <w:rFonts w:hint="eastAsia"/>
          <w:szCs w:val="21"/>
        </w:rPr>
        <w:t>是一种在地震发生前、发生过程中以及发生后短时间内发布的</w:t>
      </w:r>
      <w:r>
        <w:rPr>
          <w:rFonts w:ascii="Segoe UI" w:hAnsi="Segoe UI" w:cs="Segoe UI"/>
          <w:shd w:val="clear" w:color="auto" w:fill="FFFFFF"/>
        </w:rPr>
        <w:t>紧急通知信息</w:t>
      </w:r>
      <w:r>
        <w:rPr>
          <w:rFonts w:hint="eastAsia"/>
          <w:szCs w:val="21"/>
        </w:rPr>
        <w:t>，包括地震预警、地震参数速报、地震烈度速报、地震动参数速报等</w:t>
      </w:r>
      <w:r>
        <w:rPr>
          <w:rFonts w:ascii="Segoe UI" w:hAnsi="Segoe UI" w:cs="Segoe UI"/>
          <w:shd w:val="clear" w:color="auto" w:fill="FFFFFF"/>
        </w:rPr>
        <w:t>内容</w:t>
      </w:r>
      <w:r>
        <w:rPr>
          <w:rFonts w:hint="eastAsia"/>
          <w:szCs w:val="21"/>
        </w:rPr>
        <w:t>。</w:t>
      </w:r>
    </w:p>
    <w:p>
      <w:pPr>
        <w:pStyle w:val="65"/>
        <w:numPr>
          <w:ilvl w:val="0"/>
          <w:numId w:val="5"/>
        </w:numPr>
        <w:spacing w:before="156" w:after="156"/>
      </w:pPr>
      <w:r>
        <w:rPr>
          <w:rFonts w:hint="eastAsia"/>
        </w:rPr>
        <w:t>信息服务平台  information service platform</w:t>
      </w:r>
    </w:p>
    <w:p>
      <w:pPr>
        <w:pStyle w:val="61"/>
        <w:ind w:left="420" w:firstLine="0" w:firstLineChars="0"/>
      </w:pPr>
      <w:r>
        <w:rPr>
          <w:rFonts w:hint="eastAsia"/>
        </w:rPr>
        <w:t>用于接收地震基本参数信息和获取地震事件产生的影响评估结果并进行转发的平台。</w:t>
      </w:r>
    </w:p>
    <w:p>
      <w:pPr>
        <w:pStyle w:val="63"/>
        <w:numPr>
          <w:ilvl w:val="0"/>
          <w:numId w:val="5"/>
        </w:numPr>
      </w:pPr>
      <w:r>
        <w:rPr>
          <w:rFonts w:hint="eastAsia"/>
        </w:rPr>
        <w:t>厂区环境地动  factory regional ground motion</w:t>
      </w:r>
    </w:p>
    <w:p>
      <w:pPr>
        <w:pStyle w:val="39"/>
        <w:spacing w:line="276" w:lineRule="auto"/>
        <w:ind w:left="420" w:right="84" w:firstLine="0" w:firstLineChars="0"/>
        <w:jc w:val="left"/>
        <w:rPr>
          <w:rFonts w:ascii="宋体" w:hAnsi="Times New Roman"/>
          <w:kern w:val="0"/>
          <w:szCs w:val="21"/>
        </w:rPr>
      </w:pPr>
      <w:r>
        <w:rPr>
          <w:rFonts w:hint="eastAsia" w:ascii="宋体" w:hAnsi="Times New Roman"/>
          <w:kern w:val="0"/>
          <w:szCs w:val="21"/>
        </w:rPr>
        <w:t>指厂区在一定时间内因稳态振动、冲击振动或随机振动而产生的环境振动。</w:t>
      </w:r>
    </w:p>
    <w:p>
      <w:pPr>
        <w:spacing w:before="240" w:after="240" w:line="560" w:lineRule="exact"/>
        <w:ind w:firstLine="646" w:firstLineChars="202"/>
        <w:jc w:val="left"/>
      </w:pPr>
      <w:r>
        <w:rPr>
          <w:rFonts w:hint="eastAsia" w:ascii="仿宋_GB2312" w:eastAsia="仿宋_GB2312"/>
          <w:sz w:val="32"/>
        </w:rPr>
        <w:t>同时，为了使内容衔接紧密和明了，定义了</w:t>
      </w:r>
      <w:r>
        <w:rPr>
          <w:rFonts w:hint="eastAsia"/>
        </w:rPr>
        <w:t>缩略语6个，供文件使用者查阅，它们是：</w:t>
      </w:r>
    </w:p>
    <w:p>
      <w:pPr>
        <w:pStyle w:val="39"/>
        <w:numPr>
          <w:ilvl w:val="0"/>
          <w:numId w:val="5"/>
        </w:numPr>
        <w:ind w:right="84" w:firstLineChars="0"/>
        <w:jc w:val="left"/>
        <w:rPr>
          <w:rFonts w:ascii="Times New Roman" w:hAnsi="Times New Roman"/>
          <w:kern w:val="0"/>
          <w:szCs w:val="21"/>
        </w:rPr>
      </w:pPr>
      <w:r>
        <w:rPr>
          <w:rFonts w:hint="eastAsia" w:ascii="Times New Roman" w:hAnsi="Times New Roman"/>
          <w:kern w:val="0"/>
          <w:szCs w:val="21"/>
        </w:rPr>
        <w:t>PGA：合成地震动加速度记录的最大值（Peak Ground Acceleration），单位为米每二次方秒（m/s</w:t>
      </w:r>
      <w:r>
        <w:rPr>
          <w:rFonts w:ascii="Times New Roman" w:hAnsi="Times New Roman"/>
          <w:kern w:val="0"/>
          <w:szCs w:val="21"/>
          <w:vertAlign w:val="superscript"/>
        </w:rPr>
        <w:t>2</w:t>
      </w:r>
      <w:r>
        <w:rPr>
          <w:rFonts w:hint="eastAsia" w:ascii="Times New Roman" w:hAnsi="Times New Roman"/>
          <w:kern w:val="0"/>
          <w:szCs w:val="21"/>
        </w:rPr>
        <w:t>）</w:t>
      </w:r>
    </w:p>
    <w:p>
      <w:pPr>
        <w:pStyle w:val="39"/>
        <w:numPr>
          <w:ilvl w:val="0"/>
          <w:numId w:val="5"/>
        </w:numPr>
        <w:ind w:right="84" w:firstLineChars="0"/>
        <w:jc w:val="left"/>
        <w:rPr>
          <w:rFonts w:ascii="Times New Roman" w:hAnsi="Times New Roman"/>
          <w:kern w:val="0"/>
          <w:szCs w:val="21"/>
        </w:rPr>
      </w:pPr>
      <w:r>
        <w:rPr>
          <w:rFonts w:hint="eastAsia" w:ascii="Times New Roman" w:hAnsi="Times New Roman"/>
          <w:kern w:val="0"/>
          <w:szCs w:val="21"/>
        </w:rPr>
        <w:t>PGV：合成地震动速度记录的最大值（Peak Ground Velocity），单位为米每秒（m/s）</w:t>
      </w:r>
    </w:p>
    <w:p>
      <w:pPr>
        <w:pStyle w:val="39"/>
        <w:numPr>
          <w:ilvl w:val="0"/>
          <w:numId w:val="5"/>
        </w:numPr>
        <w:ind w:right="84" w:firstLineChars="0"/>
        <w:jc w:val="left"/>
        <w:rPr>
          <w:rFonts w:ascii="Times New Roman" w:hAnsi="Times New Roman"/>
          <w:kern w:val="0"/>
          <w:szCs w:val="21"/>
        </w:rPr>
      </w:pPr>
      <w:r>
        <w:rPr>
          <w:rFonts w:ascii="Times New Roman" w:hAnsi="Times New Roman"/>
          <w:b/>
          <w:bCs/>
        </w:rPr>
        <w:t>V</w:t>
      </w:r>
      <w:r>
        <w:rPr>
          <w:rFonts w:ascii="Times New Roman" w:hAnsi="Times New Roman"/>
          <w:b/>
          <w:bCs/>
          <w:vertAlign w:val="subscript"/>
        </w:rPr>
        <w:t>RMS</w:t>
      </w:r>
      <w:r>
        <w:rPr>
          <w:rFonts w:hint="eastAsia" w:ascii="Times New Roman" w:hAnsi="Times New Roman"/>
          <w:kern w:val="0"/>
          <w:szCs w:val="21"/>
        </w:rPr>
        <w:t>：1/3倍频程均方根速度（Root Mean Squares Speed），单位为微米每秒（</w:t>
      </w:r>
      <w:r>
        <w:rPr>
          <w:rFonts w:ascii="Times New Roman" w:hAnsi="Times New Roman"/>
          <w:kern w:val="0"/>
          <w:szCs w:val="21"/>
        </w:rPr>
        <w:t>μm/s）</w:t>
      </w:r>
    </w:p>
    <w:p>
      <w:pPr>
        <w:pStyle w:val="39"/>
        <w:numPr>
          <w:ilvl w:val="0"/>
          <w:numId w:val="5"/>
        </w:numPr>
        <w:ind w:right="84" w:firstLineChars="0"/>
        <w:jc w:val="left"/>
        <w:rPr>
          <w:kern w:val="0"/>
          <w:szCs w:val="21"/>
        </w:rPr>
      </w:pPr>
      <w:r>
        <w:rPr>
          <w:rFonts w:hint="eastAsia"/>
          <w:kern w:val="0"/>
          <w:szCs w:val="21"/>
        </w:rPr>
        <w:t>VESI：相对能量等效速度谱强度（Velocity Energy Spectral Intensity）</w:t>
      </w:r>
    </w:p>
    <w:p>
      <w:pPr>
        <w:pStyle w:val="39"/>
        <w:numPr>
          <w:ilvl w:val="0"/>
          <w:numId w:val="5"/>
        </w:numPr>
        <w:ind w:right="84" w:firstLineChars="0"/>
        <w:jc w:val="left"/>
        <w:rPr>
          <w:rFonts w:ascii="宋体"/>
          <w:kern w:val="0"/>
          <w:szCs w:val="21"/>
        </w:rPr>
      </w:pPr>
      <w:r>
        <w:rPr>
          <w:rFonts w:eastAsia="等线"/>
        </w:rPr>
        <w:t>IM</w:t>
      </w:r>
      <w:r>
        <w:rPr>
          <w:rFonts w:hint="eastAsia" w:eastAsia="等线"/>
          <w:vertAlign w:val="subscript"/>
        </w:rPr>
        <w:t>EQ</w:t>
      </w:r>
      <w:r>
        <w:rPr>
          <w:rFonts w:hint="eastAsia"/>
          <w:kern w:val="0"/>
          <w:szCs w:val="21"/>
        </w:rPr>
        <w:t>：</w:t>
      </w:r>
      <w:r>
        <w:rPr>
          <w:rFonts w:hint="eastAsia" w:ascii="宋体"/>
          <w:kern w:val="0"/>
          <w:szCs w:val="21"/>
        </w:rPr>
        <w:t>表征震中距和震级对高精密企业生产影响的指标（</w:t>
      </w:r>
      <w:r>
        <w:rPr>
          <w:kern w:val="0"/>
          <w:szCs w:val="21"/>
        </w:rPr>
        <w:t>impact of earthquake on the high-precision production</w:t>
      </w:r>
      <w:r>
        <w:rPr>
          <w:rFonts w:hint="eastAsia" w:ascii="宋体"/>
          <w:kern w:val="0"/>
          <w:szCs w:val="21"/>
        </w:rPr>
        <w:t>）</w:t>
      </w:r>
    </w:p>
    <w:p>
      <w:pPr>
        <w:pStyle w:val="39"/>
        <w:numPr>
          <w:ilvl w:val="0"/>
          <w:numId w:val="5"/>
        </w:numPr>
        <w:ind w:right="84" w:firstLineChars="0"/>
        <w:jc w:val="left"/>
        <w:rPr>
          <w:kern w:val="0"/>
          <w:szCs w:val="21"/>
        </w:rPr>
      </w:pPr>
      <w:bookmarkStart w:id="25" w:name="OLE_LINK16"/>
      <w:bookmarkStart w:id="26" w:name="OLE_LINK17"/>
      <w:r>
        <w:rPr>
          <w:rFonts w:hint="eastAsia"/>
          <w:kern w:val="0"/>
          <w:szCs w:val="21"/>
        </w:rPr>
        <w:t>MQTT</w:t>
      </w:r>
      <w:bookmarkEnd w:id="25"/>
      <w:bookmarkEnd w:id="26"/>
      <w:r>
        <w:rPr>
          <w:rFonts w:hint="eastAsia"/>
          <w:kern w:val="0"/>
          <w:szCs w:val="21"/>
        </w:rPr>
        <w:t>：消息队列遥测传输协议（Message Queuing Telemetry Transport）</w:t>
      </w:r>
    </w:p>
    <w:p>
      <w:pPr>
        <w:spacing w:before="240" w:line="560" w:lineRule="exact"/>
        <w:ind w:firstLine="646" w:firstLineChars="202"/>
        <w:jc w:val="left"/>
        <w:rPr>
          <w:rFonts w:ascii="仿宋_GB2312" w:eastAsia="仿宋_GB2312"/>
          <w:sz w:val="32"/>
        </w:rPr>
      </w:pPr>
      <w:r>
        <w:rPr>
          <w:rFonts w:hint="eastAsia" w:ascii="仿宋_GB2312" w:eastAsia="仿宋_GB2312"/>
          <w:sz w:val="32"/>
        </w:rPr>
        <w:t>地震预警信息指标，厂区地震动影响评估指标和应急处置建议是本文件的关键性内容。</w:t>
      </w:r>
    </w:p>
    <w:p>
      <w:pPr>
        <w:pStyle w:val="39"/>
        <w:numPr>
          <w:ilvl w:val="1"/>
          <w:numId w:val="4"/>
        </w:numPr>
        <w:spacing w:line="560" w:lineRule="exact"/>
        <w:ind w:left="0" w:firstLine="0" w:firstLineChars="0"/>
        <w:rPr>
          <w:rFonts w:ascii="仿宋_GB2312" w:eastAsia="仿宋_GB2312"/>
          <w:b/>
          <w:sz w:val="32"/>
        </w:rPr>
      </w:pPr>
      <w:r>
        <w:rPr>
          <w:rFonts w:hint="eastAsia" w:ascii="仿宋_GB2312" w:eastAsia="仿宋_GB2312"/>
          <w:b/>
          <w:sz w:val="32"/>
        </w:rPr>
        <w:t>地震预警信息指标</w:t>
      </w:r>
    </w:p>
    <w:p>
      <w:pPr>
        <w:spacing w:line="560" w:lineRule="exact"/>
        <w:ind w:firstLine="640"/>
        <w:rPr>
          <w:rFonts w:ascii="仿宋_GB2312" w:eastAsia="仿宋_GB2312"/>
          <w:sz w:val="32"/>
        </w:rPr>
      </w:pPr>
      <w:r>
        <w:rPr>
          <w:rFonts w:ascii="仿宋_GB2312" w:eastAsia="仿宋_GB2312"/>
          <w:sz w:val="32"/>
        </w:rPr>
        <w:t>建议为高精密生产企业建立专门的信息服务平台，通过中国地震预警网获取地震震级、发震时刻、震中经纬度、震中位置参考地名、预测地震烈度、震中预估烈度和震源深度等信息。鉴于高精密生产企业生产设备对远程大震</w:t>
      </w:r>
      <w:r>
        <w:rPr>
          <w:rFonts w:eastAsia="仿宋_GB2312"/>
          <w:sz w:val="32"/>
        </w:rPr>
        <w:t>S</w:t>
      </w:r>
      <w:r>
        <w:rPr>
          <w:rFonts w:ascii="仿宋_GB2312" w:eastAsia="仿宋_GB2312"/>
          <w:sz w:val="32"/>
        </w:rPr>
        <w:t>波的高敏感性，信息服务平台应采用不同于面向公众地震预警信息的预警时间估算方法，以提高地震预警时间的准确性。本《指南》明确了地震预警等级的划分，并提供了一种典型的半导体生产企业地震预警等级划分方法。根据不同企业的生产目标和生产设备特性，需设置不同的速度均方根值，以确保预警信息的精准性和有效性。</w:t>
      </w:r>
    </w:p>
    <w:p>
      <w:pPr>
        <w:pStyle w:val="39"/>
        <w:numPr>
          <w:ilvl w:val="1"/>
          <w:numId w:val="4"/>
        </w:numPr>
        <w:spacing w:line="560" w:lineRule="exact"/>
        <w:ind w:left="0" w:firstLine="0" w:firstLineChars="0"/>
        <w:rPr>
          <w:rFonts w:ascii="仿宋_GB2312" w:eastAsia="仿宋_GB2312"/>
          <w:b/>
          <w:sz w:val="32"/>
        </w:rPr>
      </w:pPr>
      <w:r>
        <w:rPr>
          <w:rFonts w:hint="eastAsia" w:ascii="仿宋_GB2312" w:eastAsia="仿宋_GB2312"/>
          <w:b/>
          <w:sz w:val="32"/>
        </w:rPr>
        <w:t>厂区地震动影响评估指标</w:t>
      </w:r>
    </w:p>
    <w:p>
      <w:pPr>
        <w:spacing w:line="560" w:lineRule="exact"/>
        <w:ind w:firstLine="640"/>
        <w:rPr>
          <w:rFonts w:ascii="仿宋_GB2312" w:eastAsia="仿宋_GB2312"/>
          <w:sz w:val="32"/>
        </w:rPr>
      </w:pPr>
      <w:r>
        <w:rPr>
          <w:rFonts w:hint="eastAsia" w:ascii="仿宋_GB2312" w:eastAsia="仿宋_GB2312"/>
          <w:sz w:val="32"/>
        </w:rPr>
        <w:t>建议为高精密生产企业设立厂区环境地震动监测站点，通过分析与计算监测数据，获得地震动影响评估指标，以此评估地震动对生产设施的影响。根据陕西省地震局前期的服务经验，高精密生产设备停机的时间与厂区地震监测设备记录的面波到达时间高度相关。因此，建议地震动监测站点配置宽频带地震仪或甚宽频带地震仪，以提高监测数据的准确性和可靠性。地震动监测站点的选址可参考国家标准</w:t>
      </w:r>
      <w:r>
        <w:rPr>
          <w:rFonts w:hint="eastAsia" w:eastAsia="仿宋_GB2312"/>
          <w:sz w:val="32"/>
        </w:rPr>
        <w:t>GB</w:t>
      </w:r>
      <w:r>
        <w:rPr>
          <w:rFonts w:hint="eastAsia" w:ascii="仿宋_GB2312" w:eastAsia="仿宋_GB2312"/>
          <w:sz w:val="32"/>
        </w:rPr>
        <w:t>/</w:t>
      </w:r>
      <w:r>
        <w:rPr>
          <w:rFonts w:hint="eastAsia" w:eastAsia="仿宋_GB2312"/>
          <w:sz w:val="32"/>
        </w:rPr>
        <w:t>T19531</w:t>
      </w:r>
      <w:r>
        <w:rPr>
          <w:rFonts w:hint="eastAsia" w:ascii="仿宋_GB2312" w:eastAsia="仿宋_GB2312"/>
          <w:sz w:val="32"/>
        </w:rPr>
        <w:t>.</w:t>
      </w:r>
      <w:r>
        <w:rPr>
          <w:rFonts w:hint="eastAsia" w:eastAsia="仿宋_GB2312"/>
          <w:sz w:val="32"/>
        </w:rPr>
        <w:t>1</w:t>
      </w:r>
      <w:r>
        <w:rPr>
          <w:rFonts w:hint="eastAsia" w:ascii="仿宋_GB2312" w:eastAsia="仿宋_GB2312"/>
          <w:sz w:val="32"/>
        </w:rPr>
        <w:t>—</w:t>
      </w:r>
      <w:r>
        <w:rPr>
          <w:rFonts w:hint="eastAsia" w:eastAsia="仿宋_GB2312"/>
          <w:sz w:val="32"/>
        </w:rPr>
        <w:t>2004</w:t>
      </w:r>
      <w:r>
        <w:rPr>
          <w:rFonts w:hint="eastAsia" w:ascii="仿宋_GB2312" w:eastAsia="仿宋_GB2312"/>
          <w:sz w:val="32"/>
        </w:rPr>
        <w:t>。对于不符合该标准相关规定的场地，可采用《指南》中推荐的观测井观测方案建设地震动监测站点。本《指南》提供了五个单项地震动影响评估指标的计算方法。通过为这五个单项评估指标设定响应阈值，将地震影响评估分为基本无影响、轻微影响和严重影响三个等级。每个单项评估强度指标均设有不同的权重参数，通过加权计算得出综合评估指标，并为综合评估指标设定响应阈值。</w:t>
      </w:r>
    </w:p>
    <w:p>
      <w:pPr>
        <w:pStyle w:val="39"/>
        <w:numPr>
          <w:ilvl w:val="1"/>
          <w:numId w:val="4"/>
        </w:numPr>
        <w:spacing w:line="560" w:lineRule="exact"/>
        <w:ind w:left="0" w:firstLine="0" w:firstLineChars="0"/>
        <w:rPr>
          <w:rFonts w:ascii="仿宋_GB2312" w:eastAsia="仿宋_GB2312"/>
          <w:b/>
          <w:sz w:val="32"/>
        </w:rPr>
      </w:pPr>
      <w:r>
        <w:rPr>
          <w:rFonts w:hint="eastAsia" w:ascii="仿宋_GB2312" w:eastAsia="仿宋_GB2312"/>
          <w:b/>
          <w:sz w:val="32"/>
        </w:rPr>
        <w:t>应急处置建议</w:t>
      </w:r>
    </w:p>
    <w:p>
      <w:pPr>
        <w:spacing w:line="560" w:lineRule="exact"/>
        <w:ind w:firstLine="640"/>
        <w:rPr>
          <w:rFonts w:ascii="仿宋_GB2312" w:eastAsia="仿宋_GB2312"/>
          <w:sz w:val="32"/>
        </w:rPr>
      </w:pPr>
      <w:r>
        <w:rPr>
          <w:rFonts w:hint="eastAsia" w:ascii="仿宋_GB2312" w:eastAsia="仿宋_GB2312"/>
          <w:sz w:val="32"/>
        </w:rPr>
        <w:t>高精密生产企业在接收到地震预警信息后，应根据地震预警时间和地震预警等级的不同，采取相应的自动或手动应急处理措施。针对不同级别的地震预警等级及地震影响评估结果，建议企业制定符合自身生产特点的损失评估、恢复生产等处置措施。本《指南》提供了一种典型半导体生产企业地震应急处置模式，旨在帮助企业有效应对地震事件，减少损失并迅速恢复正常生产。</w:t>
      </w:r>
    </w:p>
    <w:p>
      <w:pPr>
        <w:spacing w:line="560" w:lineRule="exact"/>
        <w:ind w:firstLine="646" w:firstLineChars="202"/>
        <w:jc w:val="left"/>
        <w:rPr>
          <w:rFonts w:ascii="仿宋_GB2312" w:eastAsia="仿宋_GB2312"/>
          <w:sz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Kingsoft Sign">
    <w:panose1 w:val="05050102010706020507"/>
    <w:charset w:val="00"/>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Cambria">
    <w:altName w:val="Georgia"/>
    <w:panose1 w:val="02040503050406030204"/>
    <w:charset w:val="00"/>
    <w:family w:val="roman"/>
    <w:pitch w:val="default"/>
    <w:sig w:usb0="00000000" w:usb1="00000000" w:usb2="00000000" w:usb3="00000000" w:csb0="0000019F" w:csb1="00000000"/>
  </w:font>
  <w:font w:name="E-BZ9-PK748456-Identity-H">
    <w:altName w:val="Times New Roman"/>
    <w:panose1 w:val="00000000000000000000"/>
    <w:charset w:val="00"/>
    <w:family w:val="roman"/>
    <w:pitch w:val="default"/>
    <w:sig w:usb0="00000000" w:usb1="00000000" w:usb2="00000000" w:usb3="00000000" w:csb0="00000001" w:csb1="00000000"/>
  </w:font>
  <w:font w:name="方正小标宋简体">
    <w:panose1 w:val="02000000000000000000"/>
    <w:charset w:val="86"/>
    <w:family w:val="auto"/>
    <w:pitch w:val="default"/>
    <w:sig w:usb0="A00002BF" w:usb1="184F6CFA" w:usb2="00000012" w:usb3="00000000" w:csb0="00040001" w:csb1="00000000"/>
  </w:font>
  <w:font w:name="Segoe UI">
    <w:altName w:val="Arial"/>
    <w:panose1 w:val="020B0502040204020203"/>
    <w:charset w:val="00"/>
    <w:family w:val="swiss"/>
    <w:pitch w:val="default"/>
    <w:sig w:usb0="00000000" w:usb1="00000000" w:usb2="00000029" w:usb3="00000000" w:csb0="000001DF" w:csb1="00000000"/>
  </w:font>
  <w:font w:name="Georgia">
    <w:panose1 w:val="02040502050405020303"/>
    <w:charset w:val="00"/>
    <w:family w:val="auto"/>
    <w:pitch w:val="default"/>
    <w:sig w:usb0="00000287" w:usb1="00000000" w:usb2="00000000" w:usb3="00000000" w:csb0="2000009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w:pict>
        <v:shape id="PowerPlusWaterMarkObject10888242" o:spid="_x0000_s2070" o:spt="136" type="#_x0000_t136" style="position:absolute;left:0pt;margin-left:500.05pt;margin-top:479.95pt;height:25pt;width:162pt;mso-position-horizontal-relative:margin;mso-position-vertical-relative:margin;rotation:-2949120f;z-index:-251635712;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10796855" o:spid="_x0000_s2069" o:spt="136" type="#_x0000_t136" style="position:absolute;left:0pt;margin-left:346.6pt;margin-top:633.4pt;height:25pt;width:162pt;mso-position-horizontal-relative:margin;mso-position-vertical-relative:margin;rotation:-2949120f;z-index:-251636736;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9900758" o:spid="_x0000_s2068" o:spt="136" type="#_x0000_t136" style="position:absolute;left:0pt;margin-left:193.15pt;margin-top:786.85pt;height:25pt;width:162pt;mso-position-horizontal-relative:margin;mso-position-vertical-relative:margin;rotation:-2949120f;z-index:-251637760;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9242003" o:spid="_x0000_s2067" o:spt="136" type="#_x0000_t136" style="position:absolute;left:0pt;margin-left:500.05pt;margin-top:274.65pt;height:25pt;width:162pt;mso-position-horizontal-relative:margin;mso-position-vertical-relative:margin;rotation:-2949120f;z-index:-251638784;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8780089" o:spid="_x0000_s2066" o:spt="136" type="#_x0000_t136" style="position:absolute;left:0pt;margin-left:346.6pt;margin-top:428.1pt;height:25pt;width:162pt;mso-position-horizontal-relative:margin;mso-position-vertical-relative:margin;rotation:-2949120f;z-index:-251639808;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8121312" o:spid="_x0000_s2065" o:spt="136" type="#_x0000_t136" style="position:absolute;left:0pt;margin-left:193.15pt;margin-top:581.5pt;height:25pt;width:162pt;mso-position-horizontal-relative:margin;mso-position-vertical-relative:margin;rotation:-2949120f;z-index:-251640832;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7727198" o:spid="_x0000_s2064" o:spt="136" type="#_x0000_t136" style="position:absolute;left:0pt;margin-left:39.7pt;margin-top:734.95pt;height:25pt;width:162pt;mso-position-horizontal-relative:margin;mso-position-vertical-relative:margin;rotation:-2949120f;z-index:-251641856;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7511283" o:spid="_x0000_s2063" o:spt="136" type="#_x0000_t136" style="position:absolute;left:0pt;margin-left:500.05pt;margin-top:69.3pt;height:25pt;width:162pt;mso-position-horizontal-relative:margin;mso-position-vertical-relative:margin;rotation:-2949120f;z-index:-251642880;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6917438" o:spid="_x0000_s2062" o:spt="136" type="#_x0000_t136" style="position:absolute;left:0pt;margin-left:346.6pt;margin-top:222.75pt;height:25pt;width:162pt;mso-position-horizontal-relative:margin;mso-position-vertical-relative:margin;rotation:-2949120f;z-index:-251643904;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6334868" o:spid="_x0000_s2061" o:spt="136" type="#_x0000_t136" style="position:absolute;left:0pt;margin-left:193.15pt;margin-top:376.2pt;height:25pt;width:162pt;mso-position-horizontal-relative:margin;mso-position-vertical-relative:margin;rotation:-2949120f;z-index:-251644928;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5506328" o:spid="_x0000_s2060" o:spt="136" type="#_x0000_t136" style="position:absolute;left:0pt;margin-left:39.7pt;margin-top:529.65pt;height:25pt;width:162pt;mso-position-horizontal-relative:margin;mso-position-vertical-relative:margin;rotation:-2949120f;z-index:-251645952;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5314269" o:spid="_x0000_s2059" o:spt="136" type="#_x0000_t136" style="position:absolute;left:0pt;margin-left:-113.7pt;margin-top:683.1pt;height:25pt;width:162pt;mso-position-horizontal-relative:margin;mso-position-vertical-relative:margin;rotation:-2949120f;z-index:-251646976;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4842900" o:spid="_x0000_s2058" o:spt="136" type="#_x0000_t136" style="position:absolute;left:0pt;margin-left:500.05pt;margin-top:-136pt;height:25pt;width:162pt;mso-position-horizontal-relative:margin;mso-position-vertical-relative:margin;rotation:-2949120f;z-index:-251648000;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4594299" o:spid="_x0000_s2057" o:spt="136" type="#_x0000_t136" style="position:absolute;left:0pt;margin-left:346.6pt;margin-top:17.45pt;height:25pt;width:162pt;mso-position-horizontal-relative:margin;mso-position-vertical-relative:margin;rotation:-2949120f;z-index:-251649024;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4488265" o:spid="_x0000_s2056" o:spt="136" type="#_x0000_t136" style="position:absolute;left:0pt;margin-left:193.15pt;margin-top:170.9pt;height:25pt;width:162pt;mso-position-horizontal-relative:margin;mso-position-vertical-relative:margin;rotation:-2949120f;z-index:-251650048;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4420533" o:spid="_x0000_s2055" o:spt="136" type="#_x0000_t136" style="position:absolute;left:0pt;margin-left:39.7pt;margin-top:324.35pt;height:25pt;width:162pt;mso-position-horizontal-relative:margin;mso-position-vertical-relative:margin;rotation:-2949120f;z-index:-251651072;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3605869" o:spid="_x0000_s2054" o:spt="136" type="#_x0000_t136" style="position:absolute;left:0pt;margin-left:-113.7pt;margin-top:477.75pt;height:25pt;width:162pt;mso-position-horizontal-relative:margin;mso-position-vertical-relative:margin;rotation:-2949120f;z-index:-251652096;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2935840" o:spid="_x0000_s2053" o:spt="136" type="#_x0000_t136" style="position:absolute;left:0pt;margin-left:193.15pt;margin-top:-34.4pt;height:25pt;width:162pt;mso-position-horizontal-relative:margin;mso-position-vertical-relative:margin;rotation:-2949120f;z-index:-251653120;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1975125" o:spid="_x0000_s2052" o:spt="136" type="#_x0000_t136" style="position:absolute;left:0pt;margin-left:39.7pt;margin-top:119pt;height:25pt;width:162pt;mso-position-horizontal-relative:margin;mso-position-vertical-relative:margin;rotation:-2949120f;z-index:-251654144;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1386337" o:spid="_x0000_s2051" o:spt="136" type="#_x0000_t136" style="position:absolute;left:0pt;margin-left:-113.7pt;margin-top:272.45pt;height:25pt;width:162pt;mso-position-horizontal-relative:margin;mso-position-vertical-relative:margin;rotation:-2949120f;z-index:-251655168;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1362864" o:spid="_x0000_s2050" o:spt="136" type="#_x0000_t136" style="position:absolute;left:0pt;margin-left:39.7pt;margin-top:-86.3pt;height:25pt;width:162pt;mso-position-horizontal-relative:margin;mso-position-vertical-relative:margin;rotation:-2949120f;z-index:-251656192;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r>
      <w:rPr>
        <w:sz w:val="18"/>
      </w:rPr>
      <w:pict>
        <v:shape id="PowerPlusWaterMarkObject366184" o:spid="_x0000_s2049" o:spt="136" type="#_x0000_t136" style="position:absolute;left:0pt;margin-left:-113.7pt;margin-top:67.15pt;height:25pt;width:162pt;mso-position-horizontal-relative:margin;mso-position-vertical-relative:margin;rotation:-2949120f;z-index:-251657216;mso-width-relative:page;mso-height-relative:page;" fillcolor="#DEDEDE" filled="t" stroked="f" coordsize="21600,21600" adj="10800">
          <v:path/>
          <v:fill on="t" opacity="26214f" focussize="0,0"/>
          <v:stroke on="f"/>
          <v:imagedata o:title=""/>
          <o:lock v:ext="edit" aspectratio="t"/>
          <v:textpath on="t" fitpath="t" trim="t" xscale="f" string="支萌-标准化管理处" style="font-family:汉仪旗黑KW 55S;font-size:25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7F2A92"/>
    <w:multiLevelType w:val="multilevel"/>
    <w:tmpl w:val="007F2A92"/>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1">
    <w:nsid w:val="0FED1C8B"/>
    <w:multiLevelType w:val="multilevel"/>
    <w:tmpl w:val="0FED1C8B"/>
    <w:lvl w:ilvl="0" w:tentative="0">
      <w:start w:val="1"/>
      <w:numFmt w:val="decimal"/>
      <w:lvlText w:val="（%1）"/>
      <w:lvlJc w:val="left"/>
      <w:pPr>
        <w:ind w:left="1060" w:hanging="420"/>
      </w:pPr>
      <w:rPr>
        <w:rFonts w:hint="eastAsia"/>
      </w:rPr>
    </w:lvl>
    <w:lvl w:ilvl="1" w:tentative="0">
      <w:start w:val="1"/>
      <w:numFmt w:val="decimal"/>
      <w:lvlText w:val="（%2）"/>
      <w:lvlJc w:val="left"/>
      <w:pPr>
        <w:ind w:left="1420" w:hanging="360"/>
      </w:pPr>
      <w:rPr>
        <w:rFonts w:hint="eastAsia"/>
      </w:r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1FA06A5D"/>
    <w:multiLevelType w:val="multilevel"/>
    <w:tmpl w:val="1FA06A5D"/>
    <w:lvl w:ilvl="0" w:tentative="0">
      <w:start w:val="1"/>
      <w:numFmt w:val="decimal"/>
      <w:lvlText w:val="%1"/>
      <w:lvlJc w:val="left"/>
      <w:pPr>
        <w:ind w:left="425" w:hanging="425"/>
      </w:pPr>
      <w:rPr>
        <w:rFonts w:hint="default"/>
      </w:r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3">
    <w:nsid w:val="1FC91163"/>
    <w:multiLevelType w:val="multilevel"/>
    <w:tmpl w:val="1FC91163"/>
    <w:lvl w:ilvl="0" w:tentative="0">
      <w:start w:val="1"/>
      <w:numFmt w:val="decimal"/>
      <w:pStyle w:val="6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3"/>
      <w:suff w:val="nothing"/>
      <w:lvlText w:val="%1.%2　"/>
      <w:lvlJc w:val="left"/>
      <w:pPr>
        <w:ind w:left="426"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65"/>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66"/>
      <w:suff w:val="nothing"/>
      <w:lvlText w:val="%1.%2.%3.%4.%5　"/>
      <w:lvlJc w:val="left"/>
      <w:pPr>
        <w:ind w:left="0" w:firstLine="0"/>
      </w:pPr>
      <w:rPr>
        <w:rFonts w:hint="eastAsia" w:ascii="黑体" w:hAnsi="Times New Roman" w:eastAsia="黑体"/>
        <w:b w:val="0"/>
        <w:i w:val="0"/>
        <w:sz w:val="21"/>
      </w:rPr>
    </w:lvl>
    <w:lvl w:ilvl="5" w:tentative="0">
      <w:start w:val="1"/>
      <w:numFmt w:val="decimal"/>
      <w:pStyle w:val="6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6EA21854"/>
    <w:multiLevelType w:val="multilevel"/>
    <w:tmpl w:val="6EA2185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CA3"/>
    <w:rsid w:val="00027D91"/>
    <w:rsid w:val="000A1D50"/>
    <w:rsid w:val="00180DB8"/>
    <w:rsid w:val="00182E4E"/>
    <w:rsid w:val="00194E9C"/>
    <w:rsid w:val="001C51FD"/>
    <w:rsid w:val="00211B81"/>
    <w:rsid w:val="00226322"/>
    <w:rsid w:val="002409A3"/>
    <w:rsid w:val="00283512"/>
    <w:rsid w:val="002C0735"/>
    <w:rsid w:val="002C702F"/>
    <w:rsid w:val="002E7CA3"/>
    <w:rsid w:val="002F0B9A"/>
    <w:rsid w:val="0032289A"/>
    <w:rsid w:val="003317A6"/>
    <w:rsid w:val="003A09A7"/>
    <w:rsid w:val="003A1CF7"/>
    <w:rsid w:val="003C4520"/>
    <w:rsid w:val="003F64BC"/>
    <w:rsid w:val="00404D78"/>
    <w:rsid w:val="004677F3"/>
    <w:rsid w:val="00486030"/>
    <w:rsid w:val="004D7E05"/>
    <w:rsid w:val="004E190B"/>
    <w:rsid w:val="004E74ED"/>
    <w:rsid w:val="004F3BDB"/>
    <w:rsid w:val="005756E2"/>
    <w:rsid w:val="00583286"/>
    <w:rsid w:val="00604707"/>
    <w:rsid w:val="00625E3E"/>
    <w:rsid w:val="006377FF"/>
    <w:rsid w:val="007324C7"/>
    <w:rsid w:val="007C5E08"/>
    <w:rsid w:val="007C6C65"/>
    <w:rsid w:val="007F0F98"/>
    <w:rsid w:val="007F68F8"/>
    <w:rsid w:val="008072F0"/>
    <w:rsid w:val="008373E3"/>
    <w:rsid w:val="008861A8"/>
    <w:rsid w:val="008A05FA"/>
    <w:rsid w:val="008F2320"/>
    <w:rsid w:val="0094625C"/>
    <w:rsid w:val="009476C4"/>
    <w:rsid w:val="0096239F"/>
    <w:rsid w:val="0096484D"/>
    <w:rsid w:val="00981835"/>
    <w:rsid w:val="009B567A"/>
    <w:rsid w:val="009C778B"/>
    <w:rsid w:val="009D2FEF"/>
    <w:rsid w:val="009F5824"/>
    <w:rsid w:val="00A0069B"/>
    <w:rsid w:val="00A327DC"/>
    <w:rsid w:val="00A7073B"/>
    <w:rsid w:val="00AF02E0"/>
    <w:rsid w:val="00AF103A"/>
    <w:rsid w:val="00B20E6C"/>
    <w:rsid w:val="00B32543"/>
    <w:rsid w:val="00B713B7"/>
    <w:rsid w:val="00B76F5D"/>
    <w:rsid w:val="00B84930"/>
    <w:rsid w:val="00BA1AF0"/>
    <w:rsid w:val="00BF578C"/>
    <w:rsid w:val="00C2181F"/>
    <w:rsid w:val="00C57FE1"/>
    <w:rsid w:val="00C810C7"/>
    <w:rsid w:val="00C9182D"/>
    <w:rsid w:val="00C930A0"/>
    <w:rsid w:val="00CB24B9"/>
    <w:rsid w:val="00DD168B"/>
    <w:rsid w:val="00E36227"/>
    <w:rsid w:val="00EA075F"/>
    <w:rsid w:val="00EA40F2"/>
    <w:rsid w:val="00F14989"/>
    <w:rsid w:val="00F32671"/>
    <w:rsid w:val="00F615E1"/>
    <w:rsid w:val="3FFCA1E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宋体" w:cs="Times New Roman"/>
      <w:kern w:val="2"/>
      <w:sz w:val="28"/>
      <w:szCs w:val="24"/>
      <w:lang w:val="en-US" w:eastAsia="zh-CN" w:bidi="ar-SA"/>
    </w:rPr>
  </w:style>
  <w:style w:type="paragraph" w:styleId="2">
    <w:name w:val="heading 1"/>
    <w:basedOn w:val="1"/>
    <w:next w:val="1"/>
    <w:link w:val="28"/>
    <w:qFormat/>
    <w:uiPriority w:val="9"/>
    <w:pPr>
      <w:keepNext/>
      <w:keepLines/>
      <w:numPr>
        <w:ilvl w:val="0"/>
        <w:numId w:val="1"/>
      </w:numPr>
      <w:spacing w:before="340" w:after="330" w:line="578" w:lineRule="auto"/>
      <w:ind w:firstLine="0" w:firstLineChars="0"/>
      <w:outlineLvl w:val="0"/>
    </w:pPr>
    <w:rPr>
      <w:rFonts w:eastAsia="仿宋_GB2312"/>
      <w:b/>
      <w:bCs/>
      <w:kern w:val="44"/>
      <w:sz w:val="44"/>
      <w:szCs w:val="44"/>
    </w:rPr>
  </w:style>
  <w:style w:type="paragraph" w:styleId="3">
    <w:name w:val="heading 2"/>
    <w:basedOn w:val="1"/>
    <w:next w:val="1"/>
    <w:link w:val="30"/>
    <w:unhideWhenUsed/>
    <w:qFormat/>
    <w:uiPriority w:val="9"/>
    <w:pPr>
      <w:keepNext/>
      <w:keepLines/>
      <w:numPr>
        <w:ilvl w:val="1"/>
        <w:numId w:val="1"/>
      </w:numPr>
      <w:spacing w:before="260" w:after="260" w:line="416" w:lineRule="auto"/>
      <w:ind w:firstLine="0" w:firstLineChars="0"/>
      <w:outlineLvl w:val="1"/>
    </w:pPr>
    <w:rPr>
      <w:rFonts w:asciiTheme="majorHAnsi" w:hAnsiTheme="majorHAnsi" w:eastAsiaTheme="majorEastAsia" w:cstheme="majorBidi"/>
      <w:b/>
      <w:bCs/>
      <w:sz w:val="32"/>
      <w:szCs w:val="32"/>
    </w:rPr>
  </w:style>
  <w:style w:type="paragraph" w:styleId="4">
    <w:name w:val="heading 3"/>
    <w:basedOn w:val="1"/>
    <w:next w:val="1"/>
    <w:link w:val="55"/>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1"/>
    <w:unhideWhenUsed/>
    <w:qFormat/>
    <w:uiPriority w:val="0"/>
    <w:pPr>
      <w:keepNext/>
      <w:keepLines/>
      <w:numPr>
        <w:ilvl w:val="3"/>
        <w:numId w:val="1"/>
      </w:numPr>
      <w:spacing w:before="280" w:after="290" w:line="376" w:lineRule="auto"/>
      <w:ind w:firstLine="0" w:firstLineChars="0"/>
      <w:outlineLvl w:val="3"/>
    </w:pPr>
    <w:rPr>
      <w:rFonts w:ascii="Cambria" w:hAnsi="Cambria"/>
      <w:b/>
      <w:bCs/>
      <w:szCs w:val="28"/>
    </w:rPr>
  </w:style>
  <w:style w:type="paragraph" w:styleId="6">
    <w:name w:val="heading 5"/>
    <w:basedOn w:val="1"/>
    <w:next w:val="1"/>
    <w:link w:val="56"/>
    <w:semiHidden/>
    <w:unhideWhenUsed/>
    <w:qFormat/>
    <w:uiPriority w:val="9"/>
    <w:pPr>
      <w:keepNext/>
      <w:keepLines/>
      <w:numPr>
        <w:ilvl w:val="4"/>
        <w:numId w:val="1"/>
      </w:numPr>
      <w:spacing w:before="280" w:after="290" w:line="376" w:lineRule="auto"/>
      <w:outlineLvl w:val="4"/>
    </w:pPr>
    <w:rPr>
      <w:b/>
      <w:bCs/>
      <w:szCs w:val="28"/>
    </w:rPr>
  </w:style>
  <w:style w:type="paragraph" w:styleId="7">
    <w:name w:val="heading 6"/>
    <w:basedOn w:val="1"/>
    <w:next w:val="1"/>
    <w:link w:val="57"/>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rPr>
  </w:style>
  <w:style w:type="paragraph" w:styleId="8">
    <w:name w:val="heading 7"/>
    <w:basedOn w:val="1"/>
    <w:next w:val="1"/>
    <w:link w:val="58"/>
    <w:semiHidden/>
    <w:unhideWhenUsed/>
    <w:qFormat/>
    <w:uiPriority w:val="9"/>
    <w:pPr>
      <w:keepNext/>
      <w:keepLines/>
      <w:numPr>
        <w:ilvl w:val="6"/>
        <w:numId w:val="1"/>
      </w:numPr>
      <w:spacing w:before="240" w:after="64" w:line="320" w:lineRule="auto"/>
      <w:outlineLvl w:val="6"/>
    </w:pPr>
    <w:rPr>
      <w:b/>
      <w:bCs/>
      <w:sz w:val="24"/>
    </w:rPr>
  </w:style>
  <w:style w:type="paragraph" w:styleId="9">
    <w:name w:val="heading 8"/>
    <w:basedOn w:val="1"/>
    <w:next w:val="1"/>
    <w:link w:val="59"/>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rPr>
  </w:style>
  <w:style w:type="paragraph" w:styleId="10">
    <w:name w:val="heading 9"/>
    <w:basedOn w:val="1"/>
    <w:next w:val="1"/>
    <w:link w:val="60"/>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 w:val="21"/>
      <w:szCs w:val="21"/>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11">
    <w:name w:val="caption"/>
    <w:next w:val="1"/>
    <w:link w:val="41"/>
    <w:unhideWhenUsed/>
    <w:qFormat/>
    <w:uiPriority w:val="0"/>
    <w:pPr>
      <w:widowControl w:val="0"/>
      <w:adjustRightInd w:val="0"/>
      <w:snapToGrid w:val="0"/>
      <w:spacing w:before="180" w:after="180"/>
      <w:jc w:val="center"/>
    </w:pPr>
    <w:rPr>
      <w:rFonts w:ascii="Times New Roman" w:hAnsi="Times New Roman" w:eastAsia="黑体" w:cs="Times New Roman"/>
      <w:b/>
      <w:snapToGrid w:val="0"/>
      <w:kern w:val="0"/>
      <w:sz w:val="21"/>
      <w:szCs w:val="24"/>
      <w:lang w:val="en-US" w:eastAsia="zh-CN" w:bidi="ar-SA"/>
    </w:rPr>
  </w:style>
  <w:style w:type="paragraph" w:styleId="12">
    <w:name w:val="toc 3"/>
    <w:basedOn w:val="1"/>
    <w:next w:val="1"/>
    <w:unhideWhenUsed/>
    <w:qFormat/>
    <w:uiPriority w:val="39"/>
    <w:pPr>
      <w:widowControl/>
      <w:spacing w:after="100" w:line="276" w:lineRule="auto"/>
      <w:ind w:left="440" w:firstLine="0" w:firstLineChars="0"/>
      <w:jc w:val="left"/>
    </w:pPr>
    <w:rPr>
      <w:rFonts w:asciiTheme="minorHAnsi" w:hAnsiTheme="minorHAnsi" w:eastAsiaTheme="minorEastAsia" w:cstheme="minorBidi"/>
      <w:kern w:val="0"/>
      <w:sz w:val="22"/>
      <w:szCs w:val="22"/>
    </w:rPr>
  </w:style>
  <w:style w:type="paragraph" w:styleId="13">
    <w:name w:val="Balloon Text"/>
    <w:basedOn w:val="1"/>
    <w:link w:val="40"/>
    <w:semiHidden/>
    <w:unhideWhenUsed/>
    <w:uiPriority w:val="99"/>
    <w:pPr>
      <w:ind w:firstLine="0" w:firstLineChars="0"/>
    </w:pPr>
    <w:rPr>
      <w:rFonts w:eastAsia="仿宋_GB2312"/>
      <w:sz w:val="18"/>
      <w:szCs w:val="18"/>
    </w:rPr>
  </w:style>
  <w:style w:type="paragraph" w:styleId="14">
    <w:name w:val="footer"/>
    <w:basedOn w:val="1"/>
    <w:link w:val="47"/>
    <w:uiPriority w:val="99"/>
    <w:pPr>
      <w:tabs>
        <w:tab w:val="center" w:pos="4153"/>
        <w:tab w:val="right" w:pos="8306"/>
      </w:tabs>
      <w:snapToGrid w:val="0"/>
      <w:ind w:firstLine="0" w:firstLineChars="0"/>
      <w:jc w:val="left"/>
    </w:pPr>
    <w:rPr>
      <w:rFonts w:eastAsia="仿宋_GB2312"/>
      <w:sz w:val="18"/>
      <w:szCs w:val="18"/>
    </w:rPr>
  </w:style>
  <w:style w:type="paragraph" w:styleId="15">
    <w:name w:val="header"/>
    <w:basedOn w:val="1"/>
    <w:link w:val="48"/>
    <w:unhideWhenUsed/>
    <w:uiPriority w:val="99"/>
    <w:pPr>
      <w:pBdr>
        <w:bottom w:val="single" w:color="auto" w:sz="6" w:space="1"/>
      </w:pBdr>
      <w:tabs>
        <w:tab w:val="center" w:pos="4153"/>
        <w:tab w:val="right" w:pos="8306"/>
      </w:tabs>
      <w:snapToGrid w:val="0"/>
      <w:ind w:firstLine="0" w:firstLineChars="0"/>
      <w:jc w:val="center"/>
    </w:pPr>
    <w:rPr>
      <w:rFonts w:eastAsia="仿宋_GB2312"/>
      <w:sz w:val="18"/>
      <w:szCs w:val="18"/>
    </w:rPr>
  </w:style>
  <w:style w:type="paragraph" w:styleId="16">
    <w:name w:val="toc 1"/>
    <w:basedOn w:val="1"/>
    <w:next w:val="1"/>
    <w:unhideWhenUsed/>
    <w:qFormat/>
    <w:uiPriority w:val="39"/>
    <w:pPr>
      <w:widowControl/>
      <w:spacing w:after="100" w:line="276" w:lineRule="auto"/>
      <w:ind w:firstLine="0" w:firstLineChars="0"/>
      <w:jc w:val="left"/>
    </w:pPr>
    <w:rPr>
      <w:rFonts w:asciiTheme="minorHAnsi" w:hAnsiTheme="minorHAnsi" w:eastAsiaTheme="minorEastAsia" w:cstheme="minorBidi"/>
      <w:kern w:val="0"/>
      <w:sz w:val="22"/>
      <w:szCs w:val="22"/>
    </w:rPr>
  </w:style>
  <w:style w:type="paragraph" w:styleId="17">
    <w:name w:val="footnote text"/>
    <w:basedOn w:val="1"/>
    <w:link w:val="36"/>
    <w:semiHidden/>
    <w:unhideWhenUsed/>
    <w:uiPriority w:val="99"/>
    <w:pPr>
      <w:snapToGrid w:val="0"/>
      <w:ind w:firstLine="0" w:firstLineChars="0"/>
      <w:jc w:val="left"/>
    </w:pPr>
    <w:rPr>
      <w:sz w:val="18"/>
      <w:szCs w:val="18"/>
    </w:rPr>
  </w:style>
  <w:style w:type="paragraph" w:styleId="18">
    <w:name w:val="toc 2"/>
    <w:basedOn w:val="1"/>
    <w:next w:val="1"/>
    <w:unhideWhenUsed/>
    <w:qFormat/>
    <w:uiPriority w:val="39"/>
    <w:pPr>
      <w:widowControl/>
      <w:spacing w:after="100" w:line="276" w:lineRule="auto"/>
      <w:ind w:left="220" w:firstLine="0" w:firstLineChars="0"/>
      <w:jc w:val="left"/>
    </w:pPr>
    <w:rPr>
      <w:rFonts w:asciiTheme="minorHAnsi" w:hAnsiTheme="minorHAnsi" w:eastAsiaTheme="minorEastAsia" w:cstheme="minorBidi"/>
      <w:kern w:val="0"/>
      <w:sz w:val="22"/>
      <w:szCs w:val="22"/>
    </w:rPr>
  </w:style>
  <w:style w:type="paragraph" w:styleId="19">
    <w:name w:val="Normal (Web)"/>
    <w:basedOn w:val="1"/>
    <w:uiPriority w:val="99"/>
    <w:pPr>
      <w:widowControl/>
      <w:spacing w:before="100" w:beforeAutospacing="1" w:after="100" w:afterAutospacing="1"/>
      <w:jc w:val="left"/>
    </w:pPr>
    <w:rPr>
      <w:rFonts w:ascii="宋体" w:hAnsi="宋体" w:cs="宋体"/>
      <w:kern w:val="0"/>
      <w:sz w:val="24"/>
    </w:rPr>
  </w:style>
  <w:style w:type="table" w:styleId="21">
    <w:name w:val="Table Grid"/>
    <w:basedOn w:val="20"/>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0"/>
    <w:rPr>
      <w:b/>
    </w:rPr>
  </w:style>
  <w:style w:type="character" w:styleId="24">
    <w:name w:val="page number"/>
    <w:basedOn w:val="22"/>
    <w:uiPriority w:val="0"/>
  </w:style>
  <w:style w:type="character" w:styleId="25">
    <w:name w:val="Hyperlink"/>
    <w:basedOn w:val="22"/>
    <w:unhideWhenUsed/>
    <w:uiPriority w:val="99"/>
    <w:rPr>
      <w:color w:val="0563C1" w:themeColor="hyperlink"/>
      <w:u w:val="single"/>
      <w14:textFill>
        <w14:solidFill>
          <w14:schemeClr w14:val="hlink"/>
        </w14:solidFill>
      </w14:textFill>
    </w:rPr>
  </w:style>
  <w:style w:type="character" w:styleId="26">
    <w:name w:val="footnote reference"/>
    <w:basedOn w:val="22"/>
    <w:semiHidden/>
    <w:unhideWhenUsed/>
    <w:uiPriority w:val="99"/>
    <w:rPr>
      <w:vertAlign w:val="superscript"/>
    </w:rPr>
  </w:style>
  <w:style w:type="character" w:customStyle="1" w:styleId="27">
    <w:name w:val="fontstyle01"/>
    <w:uiPriority w:val="0"/>
    <w:rPr>
      <w:rFonts w:hint="default" w:ascii="E-BZ9-PK748456-Identity-H" w:hAnsi="E-BZ9-PK748456-Identity-H"/>
      <w:color w:val="000000"/>
      <w:sz w:val="16"/>
      <w:szCs w:val="16"/>
    </w:rPr>
  </w:style>
  <w:style w:type="character" w:customStyle="1" w:styleId="28">
    <w:name w:val="标题 1 Char"/>
    <w:basedOn w:val="22"/>
    <w:link w:val="2"/>
    <w:uiPriority w:val="9"/>
    <w:rPr>
      <w:rFonts w:ascii="Times New Roman" w:hAnsi="Times New Roman" w:eastAsia="仿宋_GB2312" w:cs="Times New Roman"/>
      <w:b/>
      <w:bCs/>
      <w:kern w:val="44"/>
      <w:sz w:val="44"/>
      <w:szCs w:val="44"/>
    </w:rPr>
  </w:style>
  <w:style w:type="paragraph" w:customStyle="1" w:styleId="29">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30">
    <w:name w:val="标题 2 Char"/>
    <w:basedOn w:val="22"/>
    <w:link w:val="3"/>
    <w:uiPriority w:val="9"/>
    <w:rPr>
      <w:rFonts w:asciiTheme="majorHAnsi" w:hAnsiTheme="majorHAnsi" w:eastAsiaTheme="majorEastAsia" w:cstheme="majorBidi"/>
      <w:b/>
      <w:bCs/>
      <w:sz w:val="32"/>
      <w:szCs w:val="32"/>
    </w:rPr>
  </w:style>
  <w:style w:type="character" w:customStyle="1" w:styleId="31">
    <w:name w:val="标题 4 Char"/>
    <w:basedOn w:val="22"/>
    <w:link w:val="5"/>
    <w:uiPriority w:val="0"/>
    <w:rPr>
      <w:rFonts w:ascii="Cambria" w:hAnsi="Cambria" w:eastAsia="宋体" w:cs="Times New Roman"/>
      <w:b/>
      <w:bCs/>
      <w:sz w:val="28"/>
      <w:szCs w:val="28"/>
    </w:rPr>
  </w:style>
  <w:style w:type="paragraph" w:customStyle="1" w:styleId="32">
    <w:name w:val="表格样式"/>
    <w:link w:val="33"/>
    <w:unhideWhenUsed/>
    <w:qFormat/>
    <w:uiPriority w:val="0"/>
    <w:pPr>
      <w:widowControl w:val="0"/>
      <w:adjustRightInd w:val="0"/>
      <w:snapToGrid w:val="0"/>
    </w:pPr>
    <w:rPr>
      <w:rFonts w:ascii="Times New Roman" w:hAnsi="Times New Roman" w:eastAsia="宋体" w:cs="Times New Roman"/>
      <w:bCs/>
      <w:snapToGrid w:val="0"/>
      <w:kern w:val="0"/>
      <w:sz w:val="21"/>
      <w:szCs w:val="44"/>
      <w:lang w:val="en-US" w:eastAsia="zh-CN" w:bidi="ar-SA"/>
    </w:rPr>
  </w:style>
  <w:style w:type="character" w:customStyle="1" w:styleId="33">
    <w:name w:val="表格样式 字符"/>
    <w:link w:val="32"/>
    <w:qFormat/>
    <w:uiPriority w:val="0"/>
    <w:rPr>
      <w:rFonts w:ascii="Times New Roman" w:hAnsi="Times New Roman" w:eastAsia="宋体" w:cs="Times New Roman"/>
      <w:bCs/>
      <w:snapToGrid w:val="0"/>
      <w:kern w:val="0"/>
      <w:szCs w:val="44"/>
    </w:rPr>
  </w:style>
  <w:style w:type="paragraph" w:customStyle="1" w:styleId="34">
    <w:name w:val="表头样式"/>
    <w:link w:val="35"/>
    <w:unhideWhenUsed/>
    <w:qFormat/>
    <w:uiPriority w:val="0"/>
    <w:pPr>
      <w:keepNext/>
      <w:widowControl w:val="0"/>
      <w:adjustRightInd w:val="0"/>
      <w:snapToGrid w:val="0"/>
      <w:jc w:val="center"/>
    </w:pPr>
    <w:rPr>
      <w:rFonts w:asciiTheme="minorHAnsi" w:hAnsiTheme="minorHAnsi" w:eastAsiaTheme="minorEastAsia" w:cstheme="minorBidi"/>
      <w:b/>
      <w:bCs/>
      <w:snapToGrid w:val="0"/>
      <w:kern w:val="2"/>
      <w:sz w:val="21"/>
      <w:szCs w:val="44"/>
      <w:lang w:val="en-US" w:eastAsia="zh-CN" w:bidi="ar-SA"/>
    </w:rPr>
  </w:style>
  <w:style w:type="character" w:customStyle="1" w:styleId="35">
    <w:name w:val="表头样式 字符"/>
    <w:link w:val="34"/>
    <w:qFormat/>
    <w:uiPriority w:val="0"/>
    <w:rPr>
      <w:b/>
      <w:bCs/>
      <w:snapToGrid w:val="0"/>
      <w:szCs w:val="44"/>
    </w:rPr>
  </w:style>
  <w:style w:type="character" w:customStyle="1" w:styleId="36">
    <w:name w:val="脚注文本 Char"/>
    <w:basedOn w:val="22"/>
    <w:link w:val="17"/>
    <w:semiHidden/>
    <w:uiPriority w:val="99"/>
    <w:rPr>
      <w:rFonts w:ascii="Times New Roman" w:hAnsi="Times New Roman" w:eastAsia="宋体" w:cs="Times New Roman"/>
      <w:sz w:val="18"/>
      <w:szCs w:val="18"/>
    </w:rPr>
  </w:style>
  <w:style w:type="paragraph" w:customStyle="1" w:styleId="37">
    <w:name w:val="空行格式"/>
    <w:link w:val="38"/>
    <w:unhideWhenUsed/>
    <w:qFormat/>
    <w:uiPriority w:val="0"/>
    <w:pPr>
      <w:widowControl w:val="0"/>
      <w:adjustRightInd w:val="0"/>
      <w:snapToGrid w:val="0"/>
      <w:spacing w:line="20" w:lineRule="atLeast"/>
      <w:jc w:val="both"/>
    </w:pPr>
    <w:rPr>
      <w:rFonts w:ascii="Times New Roman" w:hAnsi="Times New Roman" w:eastAsia="宋体" w:cs="Times New Roman"/>
      <w:bCs/>
      <w:snapToGrid w:val="0"/>
      <w:kern w:val="0"/>
      <w:sz w:val="12"/>
      <w:szCs w:val="44"/>
      <w:lang w:val="en-US" w:eastAsia="zh-CN" w:bidi="ar-SA"/>
    </w:rPr>
  </w:style>
  <w:style w:type="character" w:customStyle="1" w:styleId="38">
    <w:name w:val="空行格式 字符"/>
    <w:link w:val="37"/>
    <w:qFormat/>
    <w:uiPriority w:val="0"/>
    <w:rPr>
      <w:rFonts w:ascii="Times New Roman" w:hAnsi="Times New Roman" w:eastAsia="宋体" w:cs="Times New Roman"/>
      <w:bCs/>
      <w:snapToGrid w:val="0"/>
      <w:kern w:val="0"/>
      <w:sz w:val="12"/>
      <w:szCs w:val="44"/>
    </w:rPr>
  </w:style>
  <w:style w:type="paragraph" w:styleId="39">
    <w:name w:val="List Paragraph"/>
    <w:basedOn w:val="1"/>
    <w:qFormat/>
    <w:uiPriority w:val="34"/>
    <w:pPr>
      <w:ind w:firstLine="420"/>
    </w:pPr>
    <w:rPr>
      <w:rFonts w:ascii="Calibri" w:hAnsi="Calibri"/>
      <w:sz w:val="21"/>
      <w:szCs w:val="22"/>
    </w:rPr>
  </w:style>
  <w:style w:type="character" w:customStyle="1" w:styleId="40">
    <w:name w:val="批注框文本 Char"/>
    <w:basedOn w:val="22"/>
    <w:link w:val="13"/>
    <w:semiHidden/>
    <w:uiPriority w:val="99"/>
    <w:rPr>
      <w:rFonts w:ascii="Times New Roman" w:hAnsi="Times New Roman" w:eastAsia="仿宋_GB2312" w:cs="Times New Roman"/>
      <w:sz w:val="18"/>
      <w:szCs w:val="18"/>
    </w:rPr>
  </w:style>
  <w:style w:type="character" w:customStyle="1" w:styleId="41">
    <w:name w:val="题注 Char"/>
    <w:link w:val="11"/>
    <w:qFormat/>
    <w:uiPriority w:val="0"/>
    <w:rPr>
      <w:rFonts w:ascii="Times New Roman" w:hAnsi="Times New Roman" w:eastAsia="黑体" w:cs="Times New Roman"/>
      <w:b/>
      <w:snapToGrid w:val="0"/>
      <w:kern w:val="0"/>
      <w:szCs w:val="24"/>
    </w:rPr>
  </w:style>
  <w:style w:type="paragraph" w:customStyle="1" w:styleId="42">
    <w:name w:val="图形样式"/>
    <w:next w:val="43"/>
    <w:link w:val="44"/>
    <w:unhideWhenUsed/>
    <w:qFormat/>
    <w:uiPriority w:val="0"/>
    <w:pPr>
      <w:widowControl w:val="0"/>
      <w:adjustRightInd w:val="0"/>
      <w:snapToGrid w:val="0"/>
      <w:spacing w:line="20" w:lineRule="atLeast"/>
      <w:jc w:val="center"/>
    </w:pPr>
    <w:rPr>
      <w:rFonts w:asciiTheme="minorHAnsi" w:hAnsiTheme="minorHAnsi" w:eastAsiaTheme="minorEastAsia" w:cstheme="minorBidi"/>
      <w:bCs/>
      <w:snapToGrid w:val="0"/>
      <w:kern w:val="2"/>
      <w:sz w:val="12"/>
      <w:szCs w:val="44"/>
      <w:lang w:val="en-US" w:eastAsia="zh-CN" w:bidi="ar-SA"/>
    </w:rPr>
  </w:style>
  <w:style w:type="paragraph" w:customStyle="1" w:styleId="43">
    <w:name w:val="正文样式"/>
    <w:link w:val="53"/>
    <w:unhideWhenUsed/>
    <w:qFormat/>
    <w:uiPriority w:val="99"/>
    <w:pPr>
      <w:widowControl w:val="0"/>
      <w:adjustRightInd w:val="0"/>
      <w:snapToGrid w:val="0"/>
      <w:spacing w:line="360" w:lineRule="auto"/>
      <w:ind w:firstLine="200" w:firstLineChars="200"/>
      <w:jc w:val="both"/>
    </w:pPr>
    <w:rPr>
      <w:rFonts w:asciiTheme="minorHAnsi" w:hAnsiTheme="minorHAnsi" w:eastAsiaTheme="minorEastAsia" w:cstheme="minorBidi"/>
      <w:bCs/>
      <w:snapToGrid w:val="0"/>
      <w:kern w:val="2"/>
      <w:sz w:val="24"/>
      <w:szCs w:val="44"/>
      <w:lang w:val="en-US" w:eastAsia="zh-CN" w:bidi="ar-SA"/>
    </w:rPr>
  </w:style>
  <w:style w:type="character" w:customStyle="1" w:styleId="44">
    <w:name w:val="图形样式 字符"/>
    <w:link w:val="42"/>
    <w:uiPriority w:val="0"/>
    <w:rPr>
      <w:bCs/>
      <w:snapToGrid w:val="0"/>
      <w:sz w:val="12"/>
      <w:szCs w:val="44"/>
    </w:rPr>
  </w:style>
  <w:style w:type="paragraph" w:styleId="45">
    <w:name w:val="No Spacing"/>
    <w:link w:val="46"/>
    <w:qFormat/>
    <w:uiPriority w:val="1"/>
    <w:rPr>
      <w:rFonts w:asciiTheme="minorHAnsi" w:hAnsiTheme="minorHAnsi" w:eastAsiaTheme="minorEastAsia" w:cstheme="minorBidi"/>
      <w:kern w:val="0"/>
      <w:sz w:val="22"/>
      <w:szCs w:val="22"/>
      <w:lang w:val="en-US" w:eastAsia="zh-CN" w:bidi="ar-SA"/>
    </w:rPr>
  </w:style>
  <w:style w:type="character" w:customStyle="1" w:styleId="46">
    <w:name w:val="无间隔 Char"/>
    <w:basedOn w:val="22"/>
    <w:link w:val="45"/>
    <w:uiPriority w:val="1"/>
    <w:rPr>
      <w:kern w:val="0"/>
      <w:sz w:val="22"/>
    </w:rPr>
  </w:style>
  <w:style w:type="character" w:customStyle="1" w:styleId="47">
    <w:name w:val="页脚 Char"/>
    <w:basedOn w:val="22"/>
    <w:link w:val="14"/>
    <w:uiPriority w:val="99"/>
    <w:rPr>
      <w:rFonts w:ascii="Times New Roman" w:hAnsi="Times New Roman" w:eastAsia="仿宋_GB2312" w:cs="Times New Roman"/>
      <w:sz w:val="18"/>
      <w:szCs w:val="18"/>
    </w:rPr>
  </w:style>
  <w:style w:type="character" w:customStyle="1" w:styleId="48">
    <w:name w:val="页眉 Char"/>
    <w:basedOn w:val="22"/>
    <w:link w:val="15"/>
    <w:uiPriority w:val="99"/>
    <w:rPr>
      <w:rFonts w:ascii="Times New Roman" w:hAnsi="Times New Roman" w:eastAsia="仿宋_GB2312" w:cs="Times New Roman"/>
      <w:sz w:val="18"/>
      <w:szCs w:val="18"/>
    </w:rPr>
  </w:style>
  <w:style w:type="paragraph" w:customStyle="1" w:styleId="49">
    <w:name w:val="正文1"/>
    <w:basedOn w:val="1"/>
    <w:link w:val="50"/>
    <w:qFormat/>
    <w:uiPriority w:val="0"/>
    <w:pPr>
      <w:ind w:firstLine="640"/>
    </w:pPr>
    <w:rPr>
      <w:rFonts w:eastAsia="仿宋_GB2312"/>
      <w:sz w:val="32"/>
      <w:szCs w:val="30"/>
    </w:rPr>
  </w:style>
  <w:style w:type="character" w:customStyle="1" w:styleId="50">
    <w:name w:val="正文1 字符"/>
    <w:basedOn w:val="22"/>
    <w:link w:val="49"/>
    <w:qFormat/>
    <w:uiPriority w:val="0"/>
    <w:rPr>
      <w:rFonts w:ascii="Times New Roman" w:hAnsi="Times New Roman" w:eastAsia="仿宋_GB2312" w:cs="Times New Roman"/>
      <w:sz w:val="32"/>
      <w:szCs w:val="30"/>
    </w:rPr>
  </w:style>
  <w:style w:type="paragraph" w:customStyle="1" w:styleId="51">
    <w:name w:val="正文文本模板"/>
    <w:basedOn w:val="1"/>
    <w:link w:val="52"/>
    <w:unhideWhenUsed/>
    <w:qFormat/>
    <w:uiPriority w:val="0"/>
    <w:pPr>
      <w:snapToGrid w:val="0"/>
      <w:spacing w:line="360" w:lineRule="auto"/>
    </w:pPr>
    <w:rPr>
      <w:rFonts w:cs="宋体"/>
      <w:sz w:val="24"/>
      <w:szCs w:val="20"/>
    </w:rPr>
  </w:style>
  <w:style w:type="character" w:customStyle="1" w:styleId="52">
    <w:name w:val="正文文本模板 Char"/>
    <w:link w:val="51"/>
    <w:qFormat/>
    <w:uiPriority w:val="0"/>
    <w:rPr>
      <w:rFonts w:ascii="Times New Roman" w:hAnsi="Times New Roman" w:eastAsia="宋体" w:cs="宋体"/>
      <w:sz w:val="24"/>
      <w:szCs w:val="20"/>
    </w:rPr>
  </w:style>
  <w:style w:type="character" w:customStyle="1" w:styleId="53">
    <w:name w:val="正文样式 字符"/>
    <w:link w:val="43"/>
    <w:qFormat/>
    <w:uiPriority w:val="99"/>
    <w:rPr>
      <w:bCs/>
      <w:snapToGrid w:val="0"/>
      <w:sz w:val="24"/>
      <w:szCs w:val="44"/>
    </w:rPr>
  </w:style>
  <w:style w:type="paragraph" w:customStyle="1" w:styleId="54">
    <w:name w:val="一级无"/>
    <w:basedOn w:val="1"/>
    <w:qFormat/>
    <w:uiPriority w:val="0"/>
    <w:pPr>
      <w:widowControl/>
      <w:ind w:firstLine="0" w:firstLineChars="0"/>
      <w:jc w:val="left"/>
      <w:outlineLvl w:val="2"/>
    </w:pPr>
    <w:rPr>
      <w:rFonts w:ascii="宋体"/>
      <w:kern w:val="0"/>
      <w:sz w:val="21"/>
      <w:szCs w:val="21"/>
    </w:rPr>
  </w:style>
  <w:style w:type="character" w:customStyle="1" w:styleId="55">
    <w:name w:val="标题 3 Char"/>
    <w:basedOn w:val="22"/>
    <w:link w:val="4"/>
    <w:uiPriority w:val="9"/>
    <w:rPr>
      <w:rFonts w:ascii="Times New Roman" w:hAnsi="Times New Roman" w:eastAsia="宋体" w:cs="Times New Roman"/>
      <w:b/>
      <w:bCs/>
      <w:sz w:val="32"/>
      <w:szCs w:val="32"/>
    </w:rPr>
  </w:style>
  <w:style w:type="character" w:customStyle="1" w:styleId="56">
    <w:name w:val="标题 5 Char"/>
    <w:basedOn w:val="22"/>
    <w:link w:val="6"/>
    <w:semiHidden/>
    <w:uiPriority w:val="9"/>
    <w:rPr>
      <w:rFonts w:ascii="Times New Roman" w:hAnsi="Times New Roman" w:eastAsia="宋体" w:cs="Times New Roman"/>
      <w:b/>
      <w:bCs/>
      <w:sz w:val="28"/>
      <w:szCs w:val="28"/>
    </w:rPr>
  </w:style>
  <w:style w:type="character" w:customStyle="1" w:styleId="57">
    <w:name w:val="标题 6 Char"/>
    <w:basedOn w:val="22"/>
    <w:link w:val="7"/>
    <w:semiHidden/>
    <w:uiPriority w:val="9"/>
    <w:rPr>
      <w:rFonts w:asciiTheme="majorHAnsi" w:hAnsiTheme="majorHAnsi" w:eastAsiaTheme="majorEastAsia" w:cstheme="majorBidi"/>
      <w:b/>
      <w:bCs/>
      <w:sz w:val="24"/>
      <w:szCs w:val="24"/>
    </w:rPr>
  </w:style>
  <w:style w:type="character" w:customStyle="1" w:styleId="58">
    <w:name w:val="标题 7 Char"/>
    <w:basedOn w:val="22"/>
    <w:link w:val="8"/>
    <w:semiHidden/>
    <w:uiPriority w:val="9"/>
    <w:rPr>
      <w:rFonts w:ascii="Times New Roman" w:hAnsi="Times New Roman" w:eastAsia="宋体" w:cs="Times New Roman"/>
      <w:b/>
      <w:bCs/>
      <w:sz w:val="24"/>
      <w:szCs w:val="24"/>
    </w:rPr>
  </w:style>
  <w:style w:type="character" w:customStyle="1" w:styleId="59">
    <w:name w:val="标题 8 Char"/>
    <w:basedOn w:val="22"/>
    <w:link w:val="9"/>
    <w:semiHidden/>
    <w:uiPriority w:val="9"/>
    <w:rPr>
      <w:rFonts w:asciiTheme="majorHAnsi" w:hAnsiTheme="majorHAnsi" w:eastAsiaTheme="majorEastAsia" w:cstheme="majorBidi"/>
      <w:sz w:val="24"/>
      <w:szCs w:val="24"/>
    </w:rPr>
  </w:style>
  <w:style w:type="character" w:customStyle="1" w:styleId="60">
    <w:name w:val="标题 9 Char"/>
    <w:basedOn w:val="22"/>
    <w:link w:val="10"/>
    <w:semiHidden/>
    <w:uiPriority w:val="9"/>
    <w:rPr>
      <w:rFonts w:asciiTheme="majorHAnsi" w:hAnsiTheme="majorHAnsi" w:eastAsiaTheme="majorEastAsia" w:cstheme="majorBidi"/>
      <w:szCs w:val="21"/>
    </w:rPr>
  </w:style>
  <w:style w:type="paragraph" w:customStyle="1" w:styleId="61">
    <w:name w:val="段"/>
    <w:link w:val="6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62">
    <w:name w:val="段 Char"/>
    <w:link w:val="61"/>
    <w:qFormat/>
    <w:uiPriority w:val="0"/>
    <w:rPr>
      <w:rFonts w:ascii="宋体" w:hAnsi="Times New Roman" w:eastAsia="宋体" w:cs="Times New Roman"/>
      <w:kern w:val="0"/>
      <w:szCs w:val="20"/>
    </w:rPr>
  </w:style>
  <w:style w:type="paragraph" w:customStyle="1" w:styleId="63">
    <w:name w:val="一级条标题"/>
    <w:next w:val="61"/>
    <w:uiPriority w:val="0"/>
    <w:pPr>
      <w:numPr>
        <w:ilvl w:val="1"/>
        <w:numId w:val="2"/>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64">
    <w:name w:val="章标题"/>
    <w:next w:val="61"/>
    <w:qFormat/>
    <w:uiPriority w:val="0"/>
    <w:pPr>
      <w:numPr>
        <w:ilvl w:val="0"/>
        <w:numId w:val="2"/>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65">
    <w:name w:val="二级条标题"/>
    <w:basedOn w:val="63"/>
    <w:next w:val="61"/>
    <w:qFormat/>
    <w:uiPriority w:val="0"/>
    <w:pPr>
      <w:numPr>
        <w:ilvl w:val="2"/>
      </w:numPr>
      <w:spacing w:before="50" w:after="50"/>
      <w:outlineLvl w:val="3"/>
    </w:pPr>
  </w:style>
  <w:style w:type="paragraph" w:customStyle="1" w:styleId="66">
    <w:name w:val="四级条标题"/>
    <w:basedOn w:val="1"/>
    <w:next w:val="61"/>
    <w:uiPriority w:val="0"/>
    <w:pPr>
      <w:widowControl/>
      <w:numPr>
        <w:ilvl w:val="4"/>
        <w:numId w:val="2"/>
      </w:numPr>
      <w:spacing w:before="50" w:beforeLines="50" w:after="50" w:afterLines="50"/>
      <w:ind w:firstLineChars="0"/>
      <w:jc w:val="left"/>
      <w:outlineLvl w:val="5"/>
    </w:pPr>
    <w:rPr>
      <w:rFonts w:ascii="黑体" w:eastAsia="黑体"/>
      <w:kern w:val="0"/>
      <w:sz w:val="21"/>
      <w:szCs w:val="21"/>
    </w:rPr>
  </w:style>
  <w:style w:type="paragraph" w:customStyle="1" w:styleId="67">
    <w:name w:val="五级条标题"/>
    <w:basedOn w:val="66"/>
    <w:next w:val="61"/>
    <w:uiPriority w:val="0"/>
    <w:pPr>
      <w:numPr>
        <w:ilvl w:val="5"/>
      </w:numPr>
      <w:outlineLvl w:val="6"/>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70"/>
    <customShpInfo spid="_x0000_s2069"/>
    <customShpInfo spid="_x0000_s2068"/>
    <customShpInfo spid="_x0000_s2067"/>
    <customShpInfo spid="_x0000_s2066"/>
    <customShpInfo spid="_x0000_s2065"/>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Info spid="_x0000_s2049"/>
  </customShpExts>
</s:customData>
</file>

<file path=customXml/item2.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B26FB4-4A8C-4E74-89C6-7B50B085C711}">
  <ds:schemaRefs/>
</ds:datastoreItem>
</file>

<file path=docProps/app.xml><?xml version="1.0" encoding="utf-8"?>
<Properties xmlns="http://schemas.openxmlformats.org/officeDocument/2006/extended-properties" xmlns:vt="http://schemas.openxmlformats.org/officeDocument/2006/docPropsVTypes">
  <Pages>10</Pages>
  <Words>852</Words>
  <Characters>4857</Characters>
  <Lines>40</Lines>
  <Paragraphs>11</Paragraphs>
  <TotalTime>86</TotalTime>
  <ScaleCrop>false</ScaleCrop>
  <LinksUpToDate>false</LinksUpToDate>
  <CharactersWithSpaces>5698</CharactersWithSpaces>
  <Application>WPS 文字</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2025-10-13T01:00:00Z</dcterms:created>
  <dc:creator>盼 刘</dc:creator>
  <cp:lastModifiedBy>lenovo</cp:lastModifiedBy>
  <dcterms:modified xsi:type="dcterms:W3CDTF">2025-11-10T09:32:34Z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