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0EAD4">
      <w:pPr>
        <w:framePr w:wrap="auto" w:vAnchor="page" w:hAnchor="margin" w:y="51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600" w:lineRule="exact"/>
        <w:jc w:val="left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ICS 65.020</w:t>
      </w:r>
    </w:p>
    <w:p w14:paraId="50EB6CE8">
      <w:pPr>
        <w:framePr w:wrap="auto" w:vAnchor="page" w:hAnchor="margin" w:y="51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600" w:lineRule="exact"/>
        <w:jc w:val="left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CCS B 38</w:t>
      </w:r>
    </w:p>
    <w:p w14:paraId="6EEDC931">
      <w:pPr>
        <w:pStyle w:val="9"/>
        <w:framePr w:vAnchor="page" w:hAnchor="margin" w:y="516"/>
        <w:rPr>
          <w:rFonts w:ascii="Times New Roman"/>
        </w:rPr>
      </w:pPr>
      <w:r>
        <w:rPr>
          <w:rFonts w:ascii="Times New Roman"/>
        </w:rPr>
        <w:t> </w:t>
      </w:r>
    </w:p>
    <w:p w14:paraId="046695FF">
      <w:pPr>
        <w:pStyle w:val="10"/>
      </w:pPr>
      <w:r>
        <w:t>DB</w:t>
      </w:r>
      <w:bookmarkStart w:id="0" w:name="c3"/>
      <w:r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61</w:t>
      </w:r>
      <w:r>
        <w:fldChar w:fldCharType="end"/>
      </w:r>
      <w:bookmarkEnd w:id="0"/>
    </w:p>
    <w:p w14:paraId="1FEF3675">
      <w:pPr>
        <w:pStyle w:val="12"/>
        <w:rPr>
          <w:rFonts w:ascii="Times New Roman" w:hAnsi="Times New Roman"/>
        </w:rPr>
      </w:pPr>
      <w:bookmarkStart w:id="1" w:name="c4"/>
      <w:r>
        <w:rPr>
          <w:rFonts w:ascii="Times New Roman" w:hAnsi="Times New Roman"/>
        </w:rPr>
        <w:fldChar w:fldCharType="begin">
          <w:ffData>
            <w:name w:val="c4"/>
            <w:enabled/>
            <w:calcOnExit w:val="0"/>
            <w:textInput/>
          </w:ffData>
        </w:fldChar>
      </w:r>
      <w:r>
        <w:rPr>
          <w:rFonts w:ascii="Times New Roman" w:hAnsi="Times New Roman"/>
        </w:rPr>
        <w:instrText xml:space="preserve"> FORMTEXT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陕西省</w:t>
      </w:r>
      <w:r>
        <w:rPr>
          <w:rFonts w:ascii="Times New Roman" w:hAnsi="Times New Roman"/>
        </w:rPr>
        <w:fldChar w:fldCharType="end"/>
      </w:r>
      <w:bookmarkEnd w:id="1"/>
      <w:r>
        <w:rPr>
          <w:rFonts w:ascii="Times New Roman" w:hAnsi="Times New Roman"/>
        </w:rPr>
        <w:t>地方标准</w:t>
      </w:r>
    </w:p>
    <w:p w14:paraId="75FCA6F1">
      <w:pPr>
        <w:pStyle w:val="13"/>
        <w:rPr>
          <w:rFonts w:hint="default" w:ascii="Times New Roman"/>
          <w:lang w:val="en-US"/>
        </w:rPr>
      </w:pPr>
      <w:r>
        <w:rPr>
          <w:rFonts w:ascii="Times New Roman"/>
        </w:rPr>
        <w:t xml:space="preserve">DB </w:t>
      </w:r>
      <w:bookmarkStart w:id="2" w:name="StdNo0"/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61</w:t>
      </w:r>
      <w:r>
        <w:rPr>
          <w:rFonts w:ascii="Times New Roman"/>
        </w:rPr>
        <w:fldChar w:fldCharType="end"/>
      </w:r>
      <w:bookmarkEnd w:id="2"/>
      <w:r>
        <w:rPr>
          <w:rFonts w:ascii="Times New Roman"/>
        </w:rPr>
        <w:t xml:space="preserve">/T </w:t>
      </w:r>
      <w:r>
        <w:rPr>
          <w:rFonts w:ascii="Times New Roman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bookmarkStart w:id="3" w:name="StdNo1"/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XXXXX</w:t>
      </w:r>
      <w:r>
        <w:rPr>
          <w:rFonts w:ascii="Times New Roman"/>
        </w:rPr>
        <w:fldChar w:fldCharType="end"/>
      </w:r>
      <w:bookmarkEnd w:id="3"/>
      <w:r>
        <w:rPr>
          <w:rFonts w:ascii="Times New Roman"/>
        </w:rPr>
        <w:t>—</w:t>
      </w:r>
      <w:r>
        <w:rPr>
          <w:rFonts w:hint="eastAsia" w:ascii="Times New Roman"/>
          <w:lang w:val="en-US" w:eastAsia="zh-CN"/>
        </w:rPr>
        <w:t>2025</w:t>
      </w:r>
    </w:p>
    <w:p w14:paraId="47156F41">
      <w:pPr>
        <w:pStyle w:val="13"/>
        <w:rPr>
          <w:rFonts w:ascii="Times New Roman"/>
        </w:rPr>
      </w:pPr>
    </w:p>
    <w:p w14:paraId="35F50739">
      <w:pPr>
        <w:pStyle w:val="13"/>
        <w:rPr>
          <w:rFonts w:ascii="Times New Roman"/>
        </w:rPr>
      </w:pPr>
    </w:p>
    <w:p w14:paraId="5B27B058">
      <w:pPr>
        <w:pStyle w:val="1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hAnsi="黑体" w:cs="黑体"/>
          <w:b/>
          <w:snapToGrid w:val="0"/>
          <w:sz w:val="52"/>
          <w:szCs w:val="52"/>
          <w:lang w:eastAsia="zh-CN"/>
        </w:rPr>
      </w:pPr>
    </w:p>
    <w:p w14:paraId="36905F99">
      <w:pPr>
        <w:pStyle w:val="14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 w:ascii="黑体" w:hAnsi="黑体" w:eastAsia="黑体" w:cs="黑体"/>
          <w:b w:val="0"/>
          <w:bCs/>
          <w:sz w:val="52"/>
          <w:szCs w:val="52"/>
        </w:rPr>
      </w:pPr>
      <w:r>
        <w:rPr>
          <w:rFonts w:hint="eastAsia" w:hAnsi="黑体" w:cs="黑体"/>
          <w:b w:val="0"/>
          <w:bCs/>
          <w:snapToGrid w:val="0"/>
          <w:sz w:val="52"/>
          <w:szCs w:val="52"/>
          <w:lang w:eastAsia="zh-CN"/>
        </w:rPr>
        <w:t>沙苑子种植技术规程</w:t>
      </w:r>
    </w:p>
    <w:p w14:paraId="73981341">
      <w:pPr>
        <w:pStyle w:val="1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right="565" w:rightChars="269"/>
        <w:rPr>
          <w:highlight w:val="yellow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   </w:t>
      </w:r>
      <w:r>
        <w:rPr>
          <w:rFonts w:hint="eastAsia" w:ascii="Times New Roman"/>
          <w:lang w:val="en-US" w:eastAsia="zh-CN"/>
        </w:rPr>
        <w:t xml:space="preserve">Technical regulation of planting Semen astragali complanati </w:t>
      </w:r>
      <w:r>
        <w:rPr>
          <w:rFonts w:hint="eastAsia" w:ascii="Times New Roman"/>
        </w:rPr>
        <w:t>(Draft)</w:t>
      </w:r>
    </w:p>
    <w:p w14:paraId="6D1F12B4">
      <w:pPr>
        <w:pStyle w:val="1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right="565" w:rightChars="269"/>
        <w:jc w:val="both"/>
        <w:rPr>
          <w:rFonts w:ascii="Times New Roman"/>
        </w:rPr>
      </w:pPr>
    </w:p>
    <w:p w14:paraId="188CA04C">
      <w:pPr>
        <w:pStyle w:val="1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right="565" w:rightChars="269"/>
        <w:rPr>
          <w:rFonts w:ascii="Times New Roman"/>
        </w:rPr>
      </w:pPr>
      <w:r>
        <w:rPr>
          <w:rFonts w:ascii="Times New Roman"/>
        </w:rPr>
        <w:t>（</w:t>
      </w:r>
      <w:r>
        <w:rPr>
          <w:rFonts w:hint="eastAsia" w:ascii="Times New Roman"/>
          <w:lang w:eastAsia="zh-CN"/>
        </w:rPr>
        <w:t>征求意见稿</w:t>
      </w:r>
      <w:r>
        <w:rPr>
          <w:rFonts w:ascii="Times New Roman"/>
        </w:rPr>
        <w:t>）</w:t>
      </w:r>
    </w:p>
    <w:p w14:paraId="09000E85">
      <w:pPr>
        <w:pStyle w:val="14"/>
        <w:rPr>
          <w:rFonts w:ascii="Times New Roman"/>
        </w:rPr>
      </w:pPr>
    </w:p>
    <w:p w14:paraId="0F4783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</w:pPr>
    </w:p>
    <w:p w14:paraId="2AE414AF">
      <w:pPr>
        <w:pStyle w:val="17"/>
      </w:pPr>
      <w:r>
        <w:rPr>
          <w:rFonts w:hint="eastAsia"/>
          <w:lang w:val="en-US" w:eastAsia="zh-CN"/>
        </w:rPr>
        <w:t>2025</w:t>
      </w:r>
      <w:r>
        <w:t xml:space="preserve"> - </w:t>
      </w:r>
      <w:r>
        <w:fldChar w:fldCharType="begin">
          <w:ffData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r>
        <w:t xml:space="preserve"> - </w:t>
      </w:r>
      <w: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4" w:name="FD"/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4"/>
      <w:r>
        <w:t>发布</w:t>
      </w: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4445" r="0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05pt;margin-top:728.5pt;height:0pt;width:481.9pt;mso-position-vertical-relative:page;z-index:251660288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YdrPNYAAAALAQAADwAAAAAAAAABACAAAAAiAAAAZHJzL2Rvd25yZXYueG1sUEsBAhQA&#10;FAAAAAgAh07iQJ8fASz0AQAA5A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4057E9D2">
      <w:pPr>
        <w:pStyle w:val="19"/>
      </w:pPr>
      <w: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5" w:name="SY"/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5"/>
      <w:r>
        <w:t xml:space="preserve"> - </w:t>
      </w:r>
      <w: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6" w:name="SM"/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6"/>
      <w:r>
        <w:t xml:space="preserve"> - </w:t>
      </w:r>
      <w: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7" w:name="SD"/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7"/>
      <w:r>
        <w:t>实施</w:t>
      </w:r>
    </w:p>
    <w:p w14:paraId="16590A19">
      <w:pPr>
        <w:pStyle w:val="21"/>
        <w:rPr>
          <w:rFonts w:hint="eastAsia" w:ascii="Times New Roma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567" w:right="1134" w:bottom="1134" w:left="1417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  <w:bookmarkStart w:id="8" w:name="fm"/>
      <w:r>
        <w:rPr>
          <w:rFonts w:ascii="Times New Roman"/>
          <w:w w:val="10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10160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55pt;margin-top:-310.45pt;height:24pt;width:100pt;z-index:-251653120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+bXu&#10;1tkAAAANAQAADwAAAAAAAAABACAAAAAiAAAAZHJzL2Rvd25yZXYueG1sUEsBAhQAFAAAAAgAh07i&#10;QJF4+ACvAQAAXwMAAA4AAAAAAAAAAQAgAAAAKAEAAGRycy9lMm9Eb2MueG1sUEsFBgAAAAAGAAYA&#10;WQEAAEk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/>
          <w:w w:val="10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7.55pt;margin-top:-585.45pt;height:18pt;width:90pt;z-index:-251654144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38mK&#10;EdoAAAAPAQAADwAAAAAAAAABACAAAAAiAAAAZHJzL2Rvd25yZXYueG1sUEsBAhQAFAAAAAgAh07i&#10;QA8mSYGuAQAAXwMAAA4AAAAAAAAAAQAgAAAAKQEAAGRycy9lMm9Eb2MueG1sUEsFBgAAAAAGAAYA&#10;WQEAAEk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/>
          <w:w w:val="1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6.6pt;margin-top:-552.85pt;height:0pt;width:481.9pt;z-index:251661312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7JZGg2AAAAA8BAAAPAAAAAAAAAAEAIAAAACIAAABkcnMvZG93bnJldi54bWxQSwEC&#10;FAAUAAAACACHTuJAuGMpmPQBAADkAwAADgAAAAAAAAABACAAAAAn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陕西省市场监督管理局</w:t>
      </w:r>
      <w:r>
        <w:rPr>
          <w:rFonts w:ascii="Times New Roman"/>
        </w:rPr>
        <w:fldChar w:fldCharType="end"/>
      </w:r>
      <w:bookmarkEnd w:id="8"/>
      <w:r>
        <w:rPr>
          <w:rFonts w:ascii="Times New Roman"/>
        </w:rPr>
        <w:t>   </w:t>
      </w:r>
      <w:r>
        <w:rPr>
          <w:rStyle w:val="24"/>
          <w:rFonts w:ascii="Times New Roman"/>
        </w:rPr>
        <w:t>发布</w:t>
      </w:r>
    </w:p>
    <w:p w14:paraId="0A7BD5F3"/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3969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sdtEndPr>
      <w:sdtContent>
        <w:p w14:paraId="42891539">
          <w:pPr>
            <w:pStyle w:val="23"/>
            <w:ind w:left="0" w:leftChars="0" w:right="565" w:rightChars="269" w:firstLine="0" w:firstLineChars="0"/>
            <w:jc w:val="center"/>
            <w:rPr>
              <w:rFonts w:ascii="宋体" w:hAnsi="宋体" w:eastAsia="宋体" w:cstheme="minorBidi"/>
              <w:kern w:val="2"/>
              <w:sz w:val="21"/>
              <w:szCs w:val="24"/>
              <w:lang w:val="en-US" w:eastAsia="zh-CN" w:bidi="ar-SA"/>
            </w:rPr>
          </w:pPr>
          <w:bookmarkStart w:id="34" w:name="_GoBack"/>
          <w:bookmarkEnd w:id="34"/>
        </w:p>
        <w:p w14:paraId="7EE1F4E0">
          <w:pPr>
            <w:pStyle w:val="23"/>
            <w:ind w:left="0" w:leftChars="0" w:right="565" w:rightChars="269" w:firstLine="0" w:firstLineChars="0"/>
            <w:jc w:val="center"/>
            <w:rPr>
              <w:rFonts w:ascii="宋体" w:hAnsi="宋体" w:eastAsia="宋体" w:cstheme="minorBidi"/>
              <w:kern w:val="2"/>
              <w:sz w:val="21"/>
              <w:szCs w:val="24"/>
              <w:lang w:val="en-US" w:eastAsia="zh-CN" w:bidi="ar-SA"/>
            </w:rPr>
          </w:pPr>
        </w:p>
        <w:p w14:paraId="206DDBF0">
          <w:pPr>
            <w:pStyle w:val="23"/>
            <w:spacing w:line="360" w:lineRule="auto"/>
            <w:ind w:left="0" w:leftChars="0" w:right="565" w:rightChars="269" w:firstLine="0" w:firstLineChars="0"/>
            <w:jc w:val="center"/>
            <w:rPr>
              <w:rFonts w:hint="eastAsia" w:ascii="黑体" w:hAnsi="黑体" w:eastAsia="黑体" w:cs="黑体"/>
              <w:kern w:val="2"/>
              <w:sz w:val="24"/>
              <w:szCs w:val="24"/>
              <w:lang w:val="en-US" w:eastAsia="zh-CN" w:bidi="ar-SA"/>
            </w:rPr>
          </w:pPr>
          <w:r>
            <w:rPr>
              <w:rFonts w:hint="eastAsia" w:ascii="黑体" w:hAnsi="黑体" w:eastAsia="黑体" w:cs="黑体"/>
              <w:kern w:val="2"/>
              <w:sz w:val="24"/>
              <w:szCs w:val="24"/>
              <w:lang w:val="en-US" w:eastAsia="zh-CN" w:bidi="ar-SA"/>
            </w:rPr>
            <w:t>目  录</w:t>
          </w:r>
        </w:p>
        <w:p w14:paraId="202A75E5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 w:val="24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 w:val="24"/>
              <w:szCs w:val="24"/>
              <w:lang w:val="en-US" w:eastAsia="zh-CN" w:bidi="ar-SA"/>
            </w:rPr>
            <w:instrText xml:space="preserve">TOC \o "1-1" \h \u </w:instrText>
          </w:r>
          <w:r>
            <w:rPr>
              <w:rFonts w:hint="eastAsia" w:ascii="黑体" w:hAnsi="黑体" w:eastAsia="黑体" w:cs="黑体"/>
              <w:sz w:val="24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_Toc21673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前  言</w:t>
          </w:r>
          <w:r>
            <w:tab/>
          </w:r>
          <w:r>
            <w:fldChar w:fldCharType="begin"/>
          </w:r>
          <w:r>
            <w:instrText xml:space="preserve"> PAGEREF _Toc21673 \h </w:instrText>
          </w:r>
          <w:r>
            <w:fldChar w:fldCharType="separate"/>
          </w:r>
          <w:r>
            <w:t>II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194CC180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_Toc23958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黑体" w:hAnsi="黑体" w:eastAsia="黑体" w:cs="黑体"/>
              <w:szCs w:val="21"/>
              <w:lang w:val="en-US" w:eastAsia="zh-CN"/>
            </w:rPr>
            <w:t>1 范围</w:t>
          </w:r>
          <w:r>
            <w:tab/>
          </w:r>
          <w:r>
            <w:fldChar w:fldCharType="begin"/>
          </w:r>
          <w:r>
            <w:instrText xml:space="preserve"> PAGEREF _Toc23958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71E798E9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_Toc8830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黑体" w:hAnsi="黑体" w:eastAsia="黑体" w:cs="黑体"/>
              <w:szCs w:val="21"/>
              <w:lang w:val="en-US" w:eastAsia="zh-CN"/>
            </w:rPr>
            <w:t>2 规范性引用文件</w:t>
          </w:r>
          <w:r>
            <w:tab/>
          </w:r>
          <w:r>
            <w:fldChar w:fldCharType="begin"/>
          </w:r>
          <w:r>
            <w:instrText xml:space="preserve"> PAGEREF _Toc8830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5EC03627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_Toc1374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黑体" w:hAnsi="黑体" w:eastAsia="黑体" w:cs="黑体"/>
              <w:szCs w:val="21"/>
              <w:lang w:val="en-US" w:eastAsia="zh-CN"/>
            </w:rPr>
            <w:t>3 术语和定义</w:t>
          </w:r>
          <w:r>
            <w:tab/>
          </w:r>
          <w:r>
            <w:fldChar w:fldCharType="begin"/>
          </w:r>
          <w:r>
            <w:instrText xml:space="preserve"> PAGEREF _Toc1374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5347BBE7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_Toc29664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黑体" w:hAnsi="黑体" w:eastAsia="黑体" w:cs="黑体"/>
              <w:szCs w:val="21"/>
              <w:lang w:val="en-US" w:eastAsia="zh-CN"/>
            </w:rPr>
            <w:t>4 产地环境</w:t>
          </w:r>
          <w:r>
            <w:tab/>
          </w:r>
          <w:r>
            <w:fldChar w:fldCharType="begin"/>
          </w:r>
          <w:r>
            <w:instrText xml:space="preserve"> PAGEREF _Toc29664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403119B2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_Toc7975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default" w:ascii="Times New Roman" w:hAnsi="Times New Roman" w:eastAsia="黑体" w:cs="Times New Roman"/>
              <w:szCs w:val="21"/>
              <w:lang w:val="en-US" w:eastAsia="zh-CN"/>
            </w:rPr>
            <w:t>5 选地整地</w:t>
          </w:r>
          <w:r>
            <w:tab/>
          </w:r>
          <w:r>
            <w:fldChar w:fldCharType="begin"/>
          </w:r>
          <w:r>
            <w:instrText xml:space="preserve"> PAGEREF _Toc7975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5B86A532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_Toc17501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default" w:ascii="Times New Roman" w:hAnsi="Times New Roman" w:eastAsia="黑体" w:cs="Times New Roman"/>
              <w:szCs w:val="21"/>
              <w:lang w:val="en-US" w:eastAsia="zh-CN"/>
            </w:rPr>
            <w:t>6</w:t>
          </w:r>
          <w:r>
            <w:rPr>
              <w:rFonts w:hint="eastAsia" w:ascii="Times New Roman" w:hAnsi="Times New Roman" w:eastAsia="黑体" w:cs="Times New Roman"/>
              <w:szCs w:val="21"/>
              <w:lang w:val="en-US" w:eastAsia="zh-CN"/>
            </w:rPr>
            <w:t xml:space="preserve"> 播种</w:t>
          </w:r>
          <w:r>
            <w:tab/>
          </w:r>
          <w:r>
            <w:fldChar w:fldCharType="begin"/>
          </w:r>
          <w:r>
            <w:instrText xml:space="preserve"> PAGEREF _Toc17501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5FB4EE1C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_Toc32071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default" w:ascii="Times New Roman" w:hAnsi="Times New Roman" w:eastAsia="黑体" w:cs="Times New Roman"/>
              <w:szCs w:val="21"/>
              <w:lang w:val="en-US" w:eastAsia="zh-CN"/>
            </w:rPr>
            <w:t>7</w:t>
          </w:r>
          <w:r>
            <w:rPr>
              <w:rFonts w:hint="eastAsia" w:ascii="Times New Roman" w:hAnsi="Times New Roman" w:eastAsia="黑体" w:cs="Times New Roman"/>
              <w:szCs w:val="21"/>
              <w:lang w:val="en-US" w:eastAsia="zh-CN"/>
            </w:rPr>
            <w:t xml:space="preserve"> </w:t>
          </w:r>
          <w:r>
            <w:rPr>
              <w:rFonts w:hint="default" w:ascii="Times New Roman" w:hAnsi="Times New Roman" w:eastAsia="黑体" w:cs="Times New Roman"/>
              <w:kern w:val="0"/>
              <w:szCs w:val="21"/>
              <w:lang w:val="en-US" w:eastAsia="zh-CN" w:bidi="ar"/>
            </w:rPr>
            <w:t>田间管理</w:t>
          </w:r>
          <w:r>
            <w:tab/>
          </w:r>
          <w:r>
            <w:fldChar w:fldCharType="begin"/>
          </w:r>
          <w:r>
            <w:instrText xml:space="preserve"> PAGEREF _Toc32071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109BA2BF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_Toc16339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default" w:ascii="Times New Roman" w:hAnsi="Times New Roman" w:eastAsia="黑体" w:cs="Times New Roman"/>
              <w:kern w:val="0"/>
              <w:szCs w:val="21"/>
              <w:lang w:val="en-US" w:eastAsia="zh-CN" w:bidi="ar"/>
            </w:rPr>
            <w:t>8 采收</w:t>
          </w:r>
          <w:r>
            <w:rPr>
              <w:rFonts w:hint="eastAsia" w:ascii="黑体" w:hAnsi="黑体" w:eastAsia="黑体" w:cs="黑体"/>
              <w:szCs w:val="21"/>
              <w:lang w:val="en-US" w:eastAsia="zh-CN"/>
            </w:rPr>
            <w:t>贮藏</w:t>
          </w:r>
          <w:r>
            <w:tab/>
          </w:r>
          <w:r>
            <w:fldChar w:fldCharType="begin"/>
          </w:r>
          <w:r>
            <w:instrText xml:space="preserve"> PAGEREF _Toc16339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71BC1C88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_Toc15237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Times New Roman" w:hAnsi="Times New Roman" w:eastAsia="黑体"/>
              <w:szCs w:val="21"/>
              <w:lang w:val="en-US" w:eastAsia="zh-CN"/>
            </w:rPr>
            <w:t>9</w:t>
          </w:r>
          <w:r>
            <w:rPr>
              <w:rFonts w:hint="eastAsia" w:ascii="Times New Roman" w:hAnsi="Times New Roman" w:eastAsia="黑体"/>
              <w:szCs w:val="21"/>
            </w:rPr>
            <w:t xml:space="preserve"> 规格等级</w:t>
          </w:r>
          <w:r>
            <w:tab/>
          </w:r>
          <w:r>
            <w:fldChar w:fldCharType="begin"/>
          </w:r>
          <w:r>
            <w:instrText xml:space="preserve"> PAGEREF _Toc15237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5FA0C1C7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_Toc7393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eastAsia" w:ascii="黑体" w:hAnsi="黑体" w:eastAsia="黑体"/>
              <w:szCs w:val="21"/>
            </w:rPr>
            <w:t>1</w:t>
          </w:r>
          <w:r>
            <w:rPr>
              <w:rFonts w:hint="eastAsia" w:ascii="黑体" w:hAnsi="黑体" w:eastAsia="黑体"/>
              <w:szCs w:val="21"/>
              <w:lang w:val="en-US" w:eastAsia="zh-CN"/>
            </w:rPr>
            <w:t>0</w:t>
          </w:r>
          <w:r>
            <w:rPr>
              <w:rFonts w:hint="eastAsia" w:ascii="黑体" w:hAnsi="黑体" w:eastAsia="黑体"/>
              <w:szCs w:val="21"/>
            </w:rPr>
            <w:t xml:space="preserve"> 质量要求</w:t>
          </w:r>
          <w:r>
            <w:tab/>
          </w:r>
          <w:r>
            <w:fldChar w:fldCharType="begin"/>
          </w:r>
          <w:r>
            <w:instrText xml:space="preserve"> PAGEREF _Toc7393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18C988B8">
          <w:pPr>
            <w:pStyle w:val="5"/>
            <w:tabs>
              <w:tab w:val="right" w:leader="dot" w:pos="9638"/>
            </w:tabs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begin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instrText xml:space="preserve"> HYPERLINK \l _Toc24616 </w:instrText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separate"/>
          </w:r>
          <w:r>
            <w:rPr>
              <w:rFonts w:hint="default" w:ascii="Times New Roman" w:hAnsi="Times New Roman" w:eastAsia="黑体" w:cs="Times New Roman"/>
              <w:kern w:val="0"/>
              <w:szCs w:val="21"/>
              <w:lang w:val="en-US" w:eastAsia="zh-CN" w:bidi="ar"/>
            </w:rPr>
            <w:t>参考文献</w:t>
          </w:r>
          <w:r>
            <w:tab/>
          </w:r>
          <w:r>
            <w:fldChar w:fldCharType="begin"/>
          </w:r>
          <w:r>
            <w:instrText xml:space="preserve"> PAGEREF _Toc24616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  <w:p w14:paraId="1F1DED5E">
          <w:pPr>
            <w:pStyle w:val="23"/>
            <w:spacing w:line="360" w:lineRule="auto"/>
            <w:ind w:left="0" w:leftChars="0" w:right="565" w:rightChars="269" w:firstLine="0" w:firstLineChars="0"/>
            <w:rPr>
              <w:rFonts w:ascii="Times New Roman" w:hAnsi="Times New Roman" w:eastAsia="宋体" w:cs="Times New Roman"/>
              <w:sz w:val="24"/>
              <w:szCs w:val="24"/>
              <w:lang w:val="en-US" w:eastAsia="zh-CN" w:bidi="ar-SA"/>
            </w:rPr>
          </w:pPr>
          <w:r>
            <w:rPr>
              <w:rFonts w:hint="eastAsia" w:ascii="黑体" w:hAnsi="黑体" w:eastAsia="黑体" w:cs="黑体"/>
              <w:szCs w:val="24"/>
              <w:lang w:val="en-US" w:eastAsia="zh-CN" w:bidi="ar-SA"/>
            </w:rPr>
            <w:fldChar w:fldCharType="end"/>
          </w:r>
        </w:p>
      </w:sdtContent>
    </w:sdt>
    <w:p w14:paraId="2B51CCF7">
      <w:pPr>
        <w:pStyle w:val="23"/>
        <w:spacing w:line="360" w:lineRule="auto"/>
        <w:ind w:left="0" w:leftChars="0" w:right="565" w:rightChars="269" w:firstLine="0" w:firstLineChars="0"/>
        <w:rPr>
          <w:rFonts w:ascii="Times New Roman" w:hAnsi="Times New Roman" w:eastAsia="宋体" w:cs="Times New Roman"/>
          <w:sz w:val="24"/>
          <w:szCs w:val="24"/>
          <w:lang w:val="en-US" w:eastAsia="zh-CN" w:bidi="ar-SA"/>
        </w:rPr>
        <w:sectPr>
          <w:footerReference r:id="rId8" w:type="default"/>
          <w:headerReference r:id="rId7" w:type="even"/>
          <w:footerReference r:id="rId9" w:type="even"/>
          <w:pgSz w:w="11906" w:h="16838"/>
          <w:pgMar w:top="567" w:right="850" w:bottom="1134" w:left="1418" w:header="0" w:footer="0" w:gutter="0"/>
          <w:pgNumType w:fmt="upperRoman" w:start="1"/>
          <w:cols w:space="720" w:num="1"/>
          <w:docGrid w:type="lines" w:linePitch="312" w:charSpace="0"/>
        </w:sectPr>
      </w:pPr>
    </w:p>
    <w:p w14:paraId="420F71C2">
      <w:pPr>
        <w:pStyle w:val="25"/>
        <w:jc w:val="center"/>
        <w:outlineLvl w:val="0"/>
        <w:rPr>
          <w:rFonts w:hint="default" w:ascii="Times New Roman" w:hAnsi="Times New Roman" w:eastAsia="仿宋" w:cs="Times New Roman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9" w:name="_Toc21673"/>
      <w:r>
        <w:rPr>
          <w:rFonts w:hint="default" w:ascii="Times New Roman" w:hAnsi="Times New Roman" w:cs="Times New Roman"/>
          <w:color w:val="auto"/>
        </w:rPr>
        <w:t>前</w:t>
      </w:r>
      <w:bookmarkStart w:id="10" w:name="BKQY"/>
      <w:r>
        <w:rPr>
          <w:rFonts w:hint="default" w:ascii="Times New Roman" w:hAnsi="Times New Roman" w:cs="Times New Roman"/>
          <w:color w:val="auto"/>
        </w:rPr>
        <w:t>  言</w:t>
      </w:r>
      <w:bookmarkEnd w:id="9"/>
      <w:bookmarkEnd w:id="10"/>
    </w:p>
    <w:p w14:paraId="2A11DC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按照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GB/T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1.1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—20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《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标准化工作导则 第1部分：标准的结构和编写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给出的规则起草。</w:t>
      </w:r>
    </w:p>
    <w:p w14:paraId="32EF22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由陕西省农业农村厅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提出并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归口。</w:t>
      </w:r>
    </w:p>
    <w:p w14:paraId="3A9151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主要起草单位：渭南市农业技术推广中心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；渭南市农产品质量安全检验检测中心；陕西沙苑红农业开发有限公司。</w:t>
      </w:r>
    </w:p>
    <w:p w14:paraId="413985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主要起草人：马青青、赵晓民、孟创鸽、陈亚林、赵楠、薛菁、李艳杰、王蕊亚、陈玉环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。</w:t>
      </w:r>
    </w:p>
    <w:p w14:paraId="00C3E8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由渭南市农业技术推广中心负责解释。</w:t>
      </w:r>
    </w:p>
    <w:p w14:paraId="02F257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本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文件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为首次发布。</w:t>
      </w:r>
    </w:p>
    <w:p w14:paraId="665F25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联系信息如下：</w:t>
      </w:r>
    </w:p>
    <w:p w14:paraId="46A5B6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单位：渭南市农业技术推广中心</w:t>
      </w:r>
    </w:p>
    <w:p w14:paraId="30B909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电话：18309130071</w:t>
      </w:r>
    </w:p>
    <w:p w14:paraId="00933E0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地址：渭南市临渭区东风大街中段60号</w:t>
      </w:r>
    </w:p>
    <w:p w14:paraId="4D4693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200"/>
        <w:jc w:val="left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邮编：714000</w:t>
      </w:r>
    </w:p>
    <w:p w14:paraId="238B01B9">
      <w:pPr>
        <w:jc w:val="left"/>
        <w:rPr>
          <w:rFonts w:hint="eastAsia" w:ascii="Times New Roman" w:hAnsi="Times New Roman" w:eastAsia="黑体"/>
          <w:color w:val="auto"/>
          <w:sz w:val="56"/>
          <w:szCs w:val="32"/>
        </w:rPr>
      </w:pPr>
    </w:p>
    <w:p w14:paraId="415AB25A">
      <w:pPr>
        <w:jc w:val="center"/>
        <w:outlineLvl w:val="9"/>
        <w:rPr>
          <w:rFonts w:hint="eastAsia" w:ascii="Times New Roman" w:hAnsi="Times New Roman" w:eastAsia="黑体"/>
          <w:color w:val="auto"/>
          <w:sz w:val="56"/>
          <w:szCs w:val="32"/>
          <w:lang w:eastAsia="zh-CN"/>
        </w:rPr>
      </w:pPr>
    </w:p>
    <w:p w14:paraId="55F7849D">
      <w:pPr>
        <w:jc w:val="center"/>
        <w:outlineLvl w:val="9"/>
        <w:rPr>
          <w:rFonts w:hint="eastAsia" w:ascii="Times New Roman" w:hAnsi="Times New Roman" w:eastAsia="黑体"/>
          <w:color w:val="auto"/>
          <w:sz w:val="56"/>
          <w:szCs w:val="32"/>
          <w:lang w:eastAsia="zh-CN"/>
        </w:rPr>
      </w:pPr>
    </w:p>
    <w:p w14:paraId="1C076BA2">
      <w:pPr>
        <w:jc w:val="center"/>
        <w:outlineLvl w:val="9"/>
        <w:rPr>
          <w:rFonts w:hint="eastAsia" w:ascii="Times New Roman" w:hAnsi="Times New Roman" w:eastAsia="黑体"/>
          <w:color w:val="auto"/>
          <w:sz w:val="56"/>
          <w:szCs w:val="32"/>
          <w:lang w:eastAsia="zh-CN"/>
        </w:rPr>
      </w:pPr>
    </w:p>
    <w:p w14:paraId="36262BF7">
      <w:pPr>
        <w:jc w:val="center"/>
        <w:outlineLvl w:val="9"/>
        <w:rPr>
          <w:rFonts w:hint="eastAsia" w:ascii="Times New Roman" w:hAnsi="Times New Roman" w:eastAsia="黑体"/>
          <w:color w:val="auto"/>
          <w:sz w:val="56"/>
          <w:szCs w:val="32"/>
          <w:lang w:eastAsia="zh-CN"/>
        </w:rPr>
      </w:pPr>
    </w:p>
    <w:p w14:paraId="1223BCE4">
      <w:pPr>
        <w:jc w:val="center"/>
        <w:outlineLvl w:val="9"/>
        <w:rPr>
          <w:rFonts w:hint="eastAsia" w:ascii="Times New Roman" w:hAnsi="Times New Roman" w:eastAsia="黑体"/>
          <w:color w:val="auto"/>
          <w:sz w:val="56"/>
          <w:szCs w:val="32"/>
          <w:lang w:eastAsia="zh-CN"/>
        </w:rPr>
      </w:pPr>
    </w:p>
    <w:p w14:paraId="59045FB4">
      <w:pPr>
        <w:jc w:val="center"/>
        <w:outlineLvl w:val="9"/>
        <w:rPr>
          <w:rFonts w:hint="eastAsia" w:ascii="Times New Roman" w:hAnsi="Times New Roman" w:eastAsia="黑体"/>
          <w:color w:val="auto"/>
          <w:sz w:val="56"/>
          <w:szCs w:val="32"/>
          <w:lang w:eastAsia="zh-CN"/>
        </w:rPr>
      </w:pPr>
    </w:p>
    <w:p w14:paraId="548EBE4B">
      <w:pPr>
        <w:jc w:val="both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 w14:paraId="233DF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napToGrid w:val="0"/>
          <w:sz w:val="32"/>
          <w:szCs w:val="32"/>
          <w:lang w:eastAsia="zh-CN"/>
        </w:rPr>
        <w:sectPr>
          <w:footerReference r:id="rId10" w:type="default"/>
          <w:pgSz w:w="11906" w:h="16838"/>
          <w:pgMar w:top="1440" w:right="1800" w:bottom="1440" w:left="1800" w:header="851" w:footer="992" w:gutter="0"/>
          <w:pgNumType w:fmt="upperRoman"/>
          <w:cols w:space="425" w:num="1"/>
          <w:docGrid w:type="lines" w:linePitch="312" w:charSpace="0"/>
        </w:sectPr>
      </w:pPr>
      <w:bookmarkStart w:id="11" w:name="_Toc22719"/>
    </w:p>
    <w:p w14:paraId="7EAF8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outlineLvl w:val="0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bookmarkStart w:id="12" w:name="_Toc15455"/>
      <w:bookmarkStart w:id="13" w:name="_Toc31059"/>
      <w:r>
        <w:rPr>
          <w:rFonts w:hint="eastAsia" w:ascii="黑体" w:hAnsi="黑体" w:eastAsia="黑体" w:cs="黑体"/>
          <w:b w:val="0"/>
          <w:bCs/>
          <w:snapToGrid w:val="0"/>
          <w:sz w:val="32"/>
          <w:szCs w:val="32"/>
          <w:lang w:eastAsia="zh-CN"/>
        </w:rPr>
        <w:t>沙苑子种植技术规程</w:t>
      </w:r>
      <w:bookmarkEnd w:id="12"/>
      <w:bookmarkEnd w:id="13"/>
    </w:p>
    <w:p w14:paraId="52689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</w:pPr>
      <w:bookmarkStart w:id="14" w:name="_Toc23958"/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1 范围</w:t>
      </w:r>
      <w:bookmarkEnd w:id="11"/>
      <w:bookmarkEnd w:id="14"/>
    </w:p>
    <w:p w14:paraId="5D874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本文件规定了沙苑子种植技术的定义、产地环境、选地整地、播种、田间管理、采收贮藏、规格等级、质量要求等内容。</w:t>
      </w:r>
    </w:p>
    <w:p w14:paraId="30BB5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本文件适用于关中地区沙苑子栽培与生产。</w:t>
      </w:r>
    </w:p>
    <w:p w14:paraId="292B8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</w:pPr>
      <w:bookmarkStart w:id="15" w:name="_Toc18313"/>
      <w:bookmarkStart w:id="16" w:name="_Toc8830"/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2 规范性引用文件</w:t>
      </w:r>
      <w:bookmarkEnd w:id="15"/>
      <w:bookmarkEnd w:id="16"/>
    </w:p>
    <w:p w14:paraId="4B34F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下列文件中的内容通过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文中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的规范性引用而构成本文件必不可少的条款。其中，注日期的引用文件，仅该日期对应的版本适用于本文件；不注日期的引用文件，其最新版本（包括所有的修改单）适用于本文件。</w:t>
      </w:r>
    </w:p>
    <w:p w14:paraId="10055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GB 3095 环境空气质量标准</w:t>
      </w:r>
    </w:p>
    <w:p w14:paraId="23C41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GB 5084 农田灌溉水质标准</w:t>
      </w:r>
    </w:p>
    <w:p w14:paraId="08981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GB/T 15618 土壤环境质量农用地土壤污染风险管控标准</w:t>
      </w:r>
    </w:p>
    <w:p w14:paraId="6904D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GB/T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8321 农药合理使用准则</w:t>
      </w:r>
    </w:p>
    <w:p w14:paraId="6894CD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>NY/T 393 绿色食品 农药使用准则</w:t>
      </w:r>
    </w:p>
    <w:p w14:paraId="19BF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>NY/T</w:t>
      </w:r>
      <w:r>
        <w:rPr>
          <w:rFonts w:hint="eastAsia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>394 绿色食品 肥料使用准则</w:t>
      </w:r>
    </w:p>
    <w:p w14:paraId="469ABF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>SB/T 11094中药材仓储管理规范</w:t>
      </w:r>
    </w:p>
    <w:p w14:paraId="52C3B8C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>SB/T 11182 中药材包装技术规范</w:t>
      </w:r>
    </w:p>
    <w:p w14:paraId="4B2C7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outlineLvl w:val="0"/>
        <w:rPr>
          <w:rFonts w:hint="eastAsia"/>
          <w:color w:val="auto"/>
          <w:sz w:val="21"/>
          <w:szCs w:val="21"/>
          <w:lang w:val="en-US" w:eastAsia="zh-CN"/>
        </w:rPr>
      </w:pPr>
      <w:bookmarkStart w:id="17" w:name="_Toc27336"/>
      <w:bookmarkStart w:id="18" w:name="_Toc1374"/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3 术语和定义</w:t>
      </w:r>
      <w:bookmarkEnd w:id="17"/>
      <w:bookmarkEnd w:id="18"/>
    </w:p>
    <w:p w14:paraId="6C9E9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本文件没有需要界定的术语和定义。</w:t>
      </w:r>
    </w:p>
    <w:p w14:paraId="46C1D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outlineLvl w:val="0"/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</w:pPr>
      <w:bookmarkStart w:id="19" w:name="_Toc32166"/>
      <w:bookmarkStart w:id="20" w:name="_Toc29664"/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4 产地环境</w:t>
      </w:r>
      <w:bookmarkEnd w:id="19"/>
      <w:bookmarkEnd w:id="20"/>
    </w:p>
    <w:p w14:paraId="0FAB3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选择生态环境良好的农业生产区域，</w:t>
      </w:r>
      <w:r>
        <w:rPr>
          <w:rFonts w:hint="eastAsia" w:ascii="Times New Roman" w:hAnsi="Times New Roman"/>
          <w:sz w:val="21"/>
          <w:szCs w:val="21"/>
        </w:rPr>
        <w:t>空气质量应</w:t>
      </w:r>
      <w:r>
        <w:rPr>
          <w:rFonts w:ascii="Times New Roman" w:hAnsi="Times New Roman"/>
          <w:sz w:val="21"/>
          <w:szCs w:val="21"/>
        </w:rPr>
        <w:t>符合GB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>3095</w:t>
      </w:r>
      <w:r>
        <w:rPr>
          <w:rFonts w:hint="eastAsia" w:ascii="Times New Roman" w:hAnsi="Times New Roman"/>
          <w:sz w:val="21"/>
          <w:szCs w:val="21"/>
        </w:rPr>
        <w:t>的规定</w:t>
      </w:r>
      <w:r>
        <w:rPr>
          <w:rFonts w:hint="eastAsia" w:ascii="Times New Roman" w:hAnsi="Times New Roman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</w:rPr>
        <w:t>农田灌溉水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质</w:t>
      </w:r>
      <w:r>
        <w:rPr>
          <w:rFonts w:hint="eastAsia" w:ascii="Times New Roman" w:hAnsi="Times New Roman"/>
          <w:sz w:val="21"/>
          <w:szCs w:val="21"/>
        </w:rPr>
        <w:t>应符合</w:t>
      </w:r>
      <w:r>
        <w:rPr>
          <w:rFonts w:ascii="Times New Roman" w:hAnsi="Times New Roman"/>
          <w:sz w:val="21"/>
          <w:szCs w:val="21"/>
        </w:rPr>
        <w:t>GB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>5084</w:t>
      </w:r>
      <w:r>
        <w:rPr>
          <w:rFonts w:hint="eastAsia" w:ascii="Times New Roman" w:hAnsi="Times New Roman"/>
          <w:sz w:val="21"/>
          <w:szCs w:val="21"/>
        </w:rPr>
        <w:t>的规定</w:t>
      </w:r>
      <w:r>
        <w:rPr>
          <w:rFonts w:hint="eastAsia" w:ascii="Times New Roman" w:hAnsi="Times New Roman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</w:rPr>
        <w:t>土壤环境质量</w:t>
      </w:r>
      <w:r>
        <w:rPr>
          <w:rFonts w:hint="eastAsia" w:ascii="Times New Roman" w:hAnsi="Times New Roman"/>
          <w:sz w:val="21"/>
          <w:szCs w:val="21"/>
        </w:rPr>
        <w:t>应符合</w:t>
      </w:r>
      <w:r>
        <w:rPr>
          <w:rFonts w:ascii="Times New Roman" w:hAnsi="Times New Roman"/>
          <w:sz w:val="21"/>
          <w:szCs w:val="21"/>
        </w:rPr>
        <w:t>GB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>15168的</w:t>
      </w:r>
      <w:r>
        <w:rPr>
          <w:rFonts w:hint="eastAsia" w:ascii="Times New Roman" w:hAnsi="Times New Roman"/>
          <w:sz w:val="21"/>
          <w:szCs w:val="21"/>
        </w:rPr>
        <w:t>规定</w:t>
      </w:r>
      <w:r>
        <w:rPr>
          <w:rFonts w:ascii="Times New Roman" w:hAnsi="Times New Roman"/>
          <w:sz w:val="21"/>
          <w:szCs w:val="21"/>
        </w:rPr>
        <w:t>。</w:t>
      </w:r>
    </w:p>
    <w:p w14:paraId="6460A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</w:pPr>
      <w:bookmarkStart w:id="21" w:name="_Toc11497"/>
      <w:bookmarkStart w:id="22" w:name="_Toc7975"/>
      <w:r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  <w:t>5 选地整地</w:t>
      </w:r>
      <w:bookmarkEnd w:id="21"/>
      <w:bookmarkEnd w:id="22"/>
    </w:p>
    <w:p w14:paraId="2407C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选择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阳光充足、通风、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排水良好的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壤土或砂质壤土，平地、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山坡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地角、田边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均可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。翻深25cm，耙细整平。</w:t>
      </w:r>
    </w:p>
    <w:p w14:paraId="5C62D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</w:pPr>
      <w:bookmarkStart w:id="23" w:name="_Toc3705"/>
      <w:bookmarkStart w:id="24" w:name="_Toc17501"/>
      <w:r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黑体" w:cs="Times New Roman"/>
          <w:color w:val="auto"/>
          <w:sz w:val="21"/>
          <w:szCs w:val="21"/>
          <w:lang w:val="en-US" w:eastAsia="zh-CN"/>
        </w:rPr>
        <w:t xml:space="preserve"> 播种</w:t>
      </w:r>
      <w:bookmarkEnd w:id="23"/>
      <w:bookmarkEnd w:id="24"/>
      <w:r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  <w:t xml:space="preserve"> </w:t>
      </w:r>
    </w:p>
    <w:p w14:paraId="139978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left"/>
        <w:textAlignment w:val="auto"/>
        <w:outlineLvl w:val="1"/>
        <w:rPr>
          <w:color w:val="auto"/>
        </w:rPr>
      </w:pPr>
      <w:r>
        <w:rPr>
          <w:rFonts w:hint="eastAsia" w:ascii="黑体" w:hAnsi="宋体" w:eastAsia="黑体" w:cs="黑体"/>
          <w:color w:val="auto"/>
          <w:kern w:val="0"/>
          <w:sz w:val="21"/>
          <w:szCs w:val="21"/>
          <w:lang w:val="en-US" w:eastAsia="zh-CN" w:bidi="ar"/>
        </w:rPr>
        <w:t>6</w:t>
      </w:r>
      <w:r>
        <w:rPr>
          <w:rFonts w:ascii="黑体" w:hAnsi="宋体" w:eastAsia="黑体" w:cs="黑体"/>
          <w:color w:val="auto"/>
          <w:kern w:val="0"/>
          <w:sz w:val="21"/>
          <w:szCs w:val="21"/>
          <w:lang w:val="en-US" w:eastAsia="zh-CN" w:bidi="ar"/>
        </w:rPr>
        <w:t xml:space="preserve">.1 种源 </w:t>
      </w:r>
    </w:p>
    <w:p w14:paraId="574254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left"/>
        <w:textAlignment w:val="auto"/>
        <w:rPr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应符合《中华人民共和国药典》（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202</w:t>
      </w:r>
      <w:r>
        <w:rPr>
          <w:rFonts w:hint="eastAsia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年版，一部）收载的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豆科植物扁茎黄芪（</w:t>
      </w:r>
      <w:r>
        <w:rPr>
          <w:rFonts w:hint="default" w:ascii="Times New Roman" w:hAnsi="Times New Roman" w:cs="Times New Roman"/>
          <w:i/>
          <w:iCs/>
          <w:color w:val="auto"/>
          <w:sz w:val="21"/>
          <w:szCs w:val="21"/>
          <w:lang w:val="en-US" w:eastAsia="zh-CN"/>
        </w:rPr>
        <w:t>Astragalus complanatus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R.Br.）的干燥成熟种子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的规定。 </w:t>
      </w:r>
    </w:p>
    <w:p w14:paraId="69D691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left"/>
        <w:textAlignment w:val="auto"/>
        <w:outlineLvl w:val="1"/>
        <w:rPr>
          <w:color w:val="auto"/>
        </w:rPr>
      </w:pPr>
      <w:r>
        <w:rPr>
          <w:rFonts w:hint="eastAsia" w:ascii="黑体" w:hAnsi="宋体" w:eastAsia="黑体" w:cs="黑体"/>
          <w:color w:val="auto"/>
          <w:kern w:val="0"/>
          <w:sz w:val="21"/>
          <w:szCs w:val="21"/>
          <w:lang w:val="en-US" w:eastAsia="zh-CN" w:bidi="ar"/>
        </w:rPr>
        <w:t xml:space="preserve">6.2 种子质量 </w:t>
      </w:r>
    </w:p>
    <w:p w14:paraId="134643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选择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身干、粒大、饱满、绿褐色或灰褐色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，无虫蛀或霉变的良种，贮存年份≤12m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千粒重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≥</w:t>
      </w:r>
      <w:r>
        <w:rPr>
          <w:rFonts w:hint="eastAsia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2.25g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、净度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≥95 %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、发芽率≥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70 %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、含水量≤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0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  <w:t>.0 %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。</w:t>
      </w:r>
    </w:p>
    <w:p w14:paraId="1B3DBA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left"/>
        <w:textAlignment w:val="auto"/>
        <w:outlineLvl w:val="1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 w:ascii="黑体" w:hAnsi="宋体" w:eastAsia="黑体" w:cs="黑体"/>
          <w:color w:val="auto"/>
          <w:kern w:val="0"/>
          <w:sz w:val="21"/>
          <w:szCs w:val="21"/>
          <w:lang w:val="en-US" w:eastAsia="zh-CN" w:bidi="ar"/>
        </w:rPr>
        <w:t xml:space="preserve">6.3 播种方式 </w:t>
      </w:r>
    </w:p>
    <w:p w14:paraId="33909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于3月下旬～4月下旬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，清明前后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进行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播种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条播，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每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667m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播种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0.4kg~0.5k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g，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行距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1.8m~2m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播深1cm~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2cm，覆土1cm～2cm，稍加镇压后浇水；或于播种前浇透水，1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～2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后地皮稍干再如上播种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；或降小雨前后播种。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播完轻轻耙平畦面、耙松表土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水质符合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GB 5084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的要求。</w:t>
      </w:r>
    </w:p>
    <w:p w14:paraId="695BF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</w:pPr>
      <w:bookmarkStart w:id="25" w:name="_Toc26350"/>
      <w:bookmarkStart w:id="26" w:name="_Toc32071"/>
      <w:r>
        <w:rPr>
          <w:rFonts w:hint="default" w:ascii="Times New Roman" w:hAnsi="Times New Roman" w:eastAsia="黑体" w:cs="Times New Roman"/>
          <w:color w:val="auto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黑体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kern w:val="0"/>
          <w:sz w:val="21"/>
          <w:szCs w:val="21"/>
          <w:lang w:val="en-US" w:eastAsia="zh-CN" w:bidi="ar"/>
        </w:rPr>
        <w:t>田间管理</w:t>
      </w:r>
      <w:bookmarkEnd w:id="25"/>
      <w:bookmarkEnd w:id="26"/>
    </w:p>
    <w:p w14:paraId="26F3A0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1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>7.1浇水</w:t>
      </w:r>
    </w:p>
    <w:p w14:paraId="10CC2F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根据土壤墒情及时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浇水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，喷灌、滴灌为宜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种子萌发期、幼苗期保持土壤湿润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，多次少量，花期及时浇水，生长后期少次多量，不宜经常浇水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。雨季注意排水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防涝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水质应符合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GB 5084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规定。</w:t>
      </w:r>
    </w:p>
    <w:p w14:paraId="04B080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1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>7.2 除草、松土</w:t>
      </w:r>
    </w:p>
    <w:p w14:paraId="677902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主要在苗期和初花期除草，幼苗期要浅除、勤除。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雨天土壤板结，及时耙松，以免发生缺苗。</w:t>
      </w:r>
    </w:p>
    <w:p w14:paraId="7473F6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1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>7.3 施肥</w:t>
      </w:r>
    </w:p>
    <w:p w14:paraId="782FB6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底肥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每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667m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vertAlign w:val="baseline"/>
          <w:lang w:val="en-US" w:eastAsia="zh-CN"/>
        </w:rPr>
        <w:t>施</w:t>
      </w:r>
      <w:r>
        <w:rPr>
          <w:rFonts w:hint="eastAsia" w:ascii="Times New Roman" w:hAnsi="Times New Roman" w:cs="Times New Roman"/>
          <w:color w:val="auto"/>
          <w:sz w:val="21"/>
          <w:szCs w:val="21"/>
          <w:vertAlign w:val="baseline"/>
          <w:lang w:val="en-US" w:eastAsia="zh-CN"/>
        </w:rPr>
        <w:t>商品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有机肥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或腐熟农家肥2000kg~2500kg。5月~7月上旬苗期中后期，追施含氮量较高的叶面肥2次。7月中旬~8月孕蕾期，追施含硼量较高的多元叶面肥和0.3%磷酸二氢钾2次~3次。9月初~10月中旬豆荚期，追施0.3%磷酸二氢钾和多元叶面肥多次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。</w:t>
      </w:r>
    </w:p>
    <w:p w14:paraId="2DF70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肥料使用符合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>NY/T</w:t>
      </w:r>
      <w:r>
        <w:rPr>
          <w:rFonts w:hint="eastAsia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>394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规定。</w:t>
      </w:r>
    </w:p>
    <w:p w14:paraId="79C08C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1"/>
        <w:rPr>
          <w:rFonts w:hint="eastAsia" w:ascii="黑体" w:hAnsi="黑体" w:eastAsia="黑体" w:cs="黑体"/>
          <w:color w:val="auto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 xml:space="preserve">7.4 病虫害防治 </w:t>
      </w:r>
    </w:p>
    <w:p w14:paraId="34986B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2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>7.4.1防治对象</w:t>
      </w:r>
    </w:p>
    <w:p w14:paraId="20A6541D">
      <w:pPr>
        <w:pStyle w:val="2"/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危害沙苑子的主要病虫害有白粉病、菜青虫。</w:t>
      </w:r>
    </w:p>
    <w:p w14:paraId="2A704E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2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>7.4.2 防治原则</w:t>
      </w:r>
    </w:p>
    <w:p w14:paraId="3C254B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420" w:firstLineChars="200"/>
        <w:jc w:val="both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坚持“预防为主、综合防治”的植保方针，以农业防治为基础，优先使用物理、生物防治。必要时合理使用化学防治。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农药使用应符合G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B/T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8321和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>NY/T 393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规定。</w:t>
      </w:r>
    </w:p>
    <w:p w14:paraId="2AD2A64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outlineLvl w:val="2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>7.4.3 防治措施</w:t>
      </w:r>
    </w:p>
    <w:p w14:paraId="750A72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outlineLvl w:val="3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>7.4.3.1农业防治</w:t>
      </w:r>
    </w:p>
    <w:p w14:paraId="08B437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与禾本科等作物轮作。加强田间通风、排水。及时清除病残体及杂草，破坏卵和蛹生存环境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。</w:t>
      </w:r>
    </w:p>
    <w:p w14:paraId="386C47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3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 xml:space="preserve"> 7.4.3.2物理防治</w:t>
      </w:r>
    </w:p>
    <w:p w14:paraId="0F563A84">
      <w:pPr>
        <w:pStyle w:val="2"/>
        <w:ind w:firstLine="420" w:firstLineChars="200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 w14:paraId="1B669826">
      <w:pPr>
        <w:pStyle w:val="2"/>
        <w:ind w:firstLine="420" w:firstLineChars="200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利用食诱剂、性诱剂、黑光灯、黄色粘虫板等诱杀害虫。</w:t>
      </w:r>
    </w:p>
    <w:p w14:paraId="6997E3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3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 xml:space="preserve"> 7.4.3.3生物防治</w:t>
      </w:r>
    </w:p>
    <w:p w14:paraId="41D0BE7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ind w:firstLine="420" w:firstLineChars="200"/>
        <w:jc w:val="both"/>
        <w:textAlignment w:val="auto"/>
        <w:rPr>
          <w:rFonts w:hint="default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cstheme="minorBidi"/>
          <w:kern w:val="2"/>
          <w:sz w:val="21"/>
          <w:szCs w:val="24"/>
          <w:lang w:val="en-US" w:eastAsia="zh-CN" w:bidi="ar-SA"/>
        </w:rPr>
        <w:t>维持农田生态系统和生物多样性，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保护瓢虫、赤眼蜂、草蛉、捕食螨、蜘蛛等天敌。可用苏云金芽孢杆菌、白僵菌、绿僵菌等微生物制剂防治虫害。可用哈茨木霉菌、枯草芽孢杆菌等微生物制剂防治白粉病。</w:t>
      </w:r>
    </w:p>
    <w:p w14:paraId="292B07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3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 xml:space="preserve"> 7.4.3.4化学防治</w:t>
      </w:r>
    </w:p>
    <w:p w14:paraId="38B0D4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1"/>
          <w:szCs w:val="21"/>
          <w:lang w:val="en-US" w:eastAsia="zh-CN" w:bidi="ar"/>
        </w:rPr>
        <w:t>白粉病</w:t>
      </w:r>
    </w:p>
    <w:p w14:paraId="4BBB06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常于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月～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9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月发生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。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发病初期用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或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戊唑醇悬浮剂喷雾，每66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7m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用药15ml~20ml，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每隔7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d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～10 d喷施1次，</w:t>
      </w: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可连续用药2次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，安全间隔期30天；或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65%代森锌400倍液喷雾防治，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交替使用，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每隔7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d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～10 d喷施1次，连续喷施2～3次。</w:t>
      </w:r>
    </w:p>
    <w:p w14:paraId="5E6330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>菜青虫</w:t>
      </w:r>
    </w:p>
    <w:p w14:paraId="6E2727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常于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月～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9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月发生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，防治时期应掌握在卵孵化盛期至幼虫三龄前，可用0.5%甲氨基阿维菌素苯甲酸盐微乳剂2000-3000倍液；或2%阿维·苏云菌可湿粉剂2000-3000倍液，交替使用，间隔10d~15d天喷1次。</w:t>
      </w:r>
    </w:p>
    <w:p w14:paraId="7AEB31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color w:val="auto"/>
          <w:sz w:val="21"/>
          <w:szCs w:val="21"/>
        </w:rPr>
      </w:pPr>
      <w:bookmarkStart w:id="27" w:name="_Toc17552"/>
      <w:bookmarkStart w:id="28" w:name="_Toc16339"/>
      <w:r>
        <w:rPr>
          <w:rFonts w:hint="default" w:ascii="Times New Roman" w:hAnsi="Times New Roman" w:eastAsia="黑体" w:cs="Times New Roman"/>
          <w:color w:val="auto"/>
          <w:kern w:val="0"/>
          <w:sz w:val="21"/>
          <w:szCs w:val="21"/>
          <w:lang w:val="en-US" w:eastAsia="zh-CN" w:bidi="ar"/>
        </w:rPr>
        <w:t>8 采收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贮藏</w:t>
      </w:r>
      <w:bookmarkEnd w:id="27"/>
      <w:bookmarkEnd w:id="28"/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"/>
        </w:rPr>
        <w:t xml:space="preserve"> </w:t>
      </w:r>
    </w:p>
    <w:p w14:paraId="0845B1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1"/>
        <w:rPr>
          <w:rFonts w:hint="eastAsia" w:ascii="Times New Roman" w:hAnsi="Times New Roman" w:eastAsia="黑体" w:cs="Times New Roman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黑体" w:cs="Times New Roman"/>
          <w:color w:val="auto"/>
          <w:kern w:val="0"/>
          <w:sz w:val="21"/>
          <w:szCs w:val="21"/>
          <w:lang w:val="en-US" w:eastAsia="zh-CN" w:bidi="ar"/>
        </w:rPr>
        <w:t>8.1采收</w:t>
      </w:r>
    </w:p>
    <w:p w14:paraId="38985AB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宜晴日采收。霜降后，一般在11月采收，等荚果发黑达到80％以上即可收获。收获时先人工收割，用铲子将沙苑子连根铲断，整株收集在田间准备机械脱粒。脱粒时，2台收割机联合作业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收割机首尾相连，第一台横筛，脱粒完，第二台再脱一遍，竖筛，防止未脱干净。随后将机械脱出的沙苑子用筛子人工去杂质。如有需要可脱粒第二遍。将杂质中含有的沙苑子荚再倒回收割机脱粒。</w:t>
      </w:r>
    </w:p>
    <w:p w14:paraId="023B4F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both"/>
        <w:textAlignment w:val="auto"/>
        <w:outlineLvl w:val="1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黑体" w:cs="Times New Roman"/>
          <w:color w:val="auto"/>
          <w:kern w:val="0"/>
          <w:sz w:val="21"/>
          <w:szCs w:val="21"/>
          <w:lang w:val="en-US" w:eastAsia="zh-CN" w:bidi="ar"/>
        </w:rPr>
        <w:t>8.2贮藏</w:t>
      </w:r>
    </w:p>
    <w:p w14:paraId="2FB63E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晴天，将去杂后的沙苑子均匀平铺在干净的地面或晾晒台上晾晒，注意通风，不可暴晒。晾晒期间防止雨淋、浸泡。阴雨天气可烘干。沙苑子含水量≤10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%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即可装袋，至于通风干燥处贮藏。包装按SB/T 11182的规定执行，贮存按SB/T 11094的规定执行。</w:t>
      </w:r>
    </w:p>
    <w:p w14:paraId="2B92E8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outlineLvl w:val="0"/>
        <w:rPr>
          <w:rFonts w:ascii="Times New Roman" w:hAnsi="Times New Roman" w:eastAsia="黑体"/>
          <w:sz w:val="21"/>
          <w:szCs w:val="21"/>
        </w:rPr>
      </w:pPr>
      <w:bookmarkStart w:id="29" w:name="_Toc6998"/>
      <w:bookmarkStart w:id="30" w:name="_Toc15237"/>
      <w:r>
        <w:rPr>
          <w:rFonts w:hint="eastAsia" w:ascii="Times New Roman" w:hAnsi="Times New Roman" w:eastAsia="黑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黑体"/>
          <w:sz w:val="21"/>
          <w:szCs w:val="21"/>
        </w:rPr>
        <w:t xml:space="preserve"> 规格等级</w:t>
      </w:r>
      <w:bookmarkEnd w:id="29"/>
      <w:bookmarkEnd w:id="30"/>
    </w:p>
    <w:p w14:paraId="436A639A">
      <w:pPr>
        <w:pStyle w:val="2"/>
        <w:spacing w:line="500" w:lineRule="exact"/>
        <w:ind w:firstLine="420" w:firstLineChars="200"/>
        <w:rPr>
          <w:rFonts w:ascii="Times New Roman" w:hAnsiTheme="minorEastAsia" w:eastAsiaTheme="minorEastAsia"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沙苑子按均匀度、含杂率分统货、选货两个等级。具体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按照T/CACM 1021.163执行。</w:t>
      </w:r>
    </w:p>
    <w:p w14:paraId="078DB1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textAlignment w:val="auto"/>
        <w:outlineLvl w:val="0"/>
        <w:rPr>
          <w:rFonts w:ascii="黑体" w:hAnsi="黑体" w:eastAsia="黑体"/>
          <w:sz w:val="21"/>
          <w:szCs w:val="21"/>
        </w:rPr>
      </w:pPr>
      <w:bookmarkStart w:id="31" w:name="_Toc6642"/>
      <w:bookmarkStart w:id="32" w:name="_Toc7393"/>
      <w:r>
        <w:rPr>
          <w:rFonts w:hint="eastAsia" w:ascii="黑体" w:hAnsi="黑体" w:eastAsia="黑体"/>
          <w:sz w:val="21"/>
          <w:szCs w:val="21"/>
        </w:rPr>
        <w:t>1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0</w:t>
      </w:r>
      <w:r>
        <w:rPr>
          <w:rFonts w:hint="eastAsia" w:ascii="黑体" w:hAnsi="黑体" w:eastAsia="黑体"/>
          <w:sz w:val="21"/>
          <w:szCs w:val="21"/>
        </w:rPr>
        <w:t xml:space="preserve"> 质量要求</w:t>
      </w:r>
      <w:bookmarkEnd w:id="31"/>
      <w:bookmarkEnd w:id="32"/>
    </w:p>
    <w:p w14:paraId="540A45DC">
      <w:pPr>
        <w:pStyle w:val="2"/>
        <w:spacing w:line="500" w:lineRule="exact"/>
        <w:ind w:firstLine="420" w:firstLineChars="200"/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>沙苑子</w:t>
      </w:r>
      <w:r>
        <w:rPr>
          <w:rFonts w:ascii="Times New Roman" w:hAnsiTheme="minorEastAsia" w:eastAsiaTheme="minorEastAsia"/>
          <w:color w:val="000000"/>
          <w:sz w:val="21"/>
          <w:szCs w:val="21"/>
          <w:shd w:val="clear" w:color="auto" w:fill="FFFFFF"/>
        </w:rPr>
        <w:t>水分</w:t>
      </w:r>
      <w:r>
        <w:rPr>
          <w:rFonts w:hint="eastAsia" w:ascii="Times New Roman" w:hAnsiTheme="minorEastAsia"/>
          <w:color w:val="000000"/>
          <w:sz w:val="21"/>
          <w:szCs w:val="21"/>
          <w:shd w:val="clear" w:color="auto" w:fill="FFFFFF"/>
          <w:lang w:eastAsia="zh-CN"/>
        </w:rPr>
        <w:t>≤</w:t>
      </w:r>
      <w:r>
        <w:rPr>
          <w:rFonts w:ascii="Times New Roman" w:hAnsi="Times New Roman" w:eastAsiaTheme="minorEastAsia"/>
          <w:color w:val="000000"/>
          <w:sz w:val="21"/>
          <w:szCs w:val="21"/>
          <w:shd w:val="clear" w:color="auto" w:fill="FFFFFF"/>
        </w:rPr>
        <w:t>1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val="en-US" w:eastAsia="zh-CN"/>
        </w:rPr>
        <w:t>0</w:t>
      </w:r>
      <w:r>
        <w:rPr>
          <w:rFonts w:ascii="Times New Roman" w:hAnsi="Times New Roman" w:eastAsiaTheme="minorEastAsia"/>
          <w:color w:val="000000"/>
          <w:sz w:val="21"/>
          <w:szCs w:val="21"/>
          <w:shd w:val="clear" w:color="auto" w:fill="FFFFFF"/>
        </w:rPr>
        <w:t>.0%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  <w:t>，总灰分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eastAsia="zh-CN"/>
        </w:rPr>
        <w:t>≤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  <w:t xml:space="preserve">5.0% 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  <w:t>酸不溶性灰分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eastAsia="zh-CN"/>
        </w:rPr>
        <w:t>≤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  <w:t>2.0%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  <w:t>沙苑子苷（C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  <w:vertAlign w:val="subscript"/>
        </w:rPr>
        <w:t>28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  <w:t>H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  <w:vertAlign w:val="subscript"/>
        </w:rPr>
        <w:t>32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  <w:t>O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  <w:vertAlign w:val="subscript"/>
        </w:rPr>
        <w:t>16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  <w:t>）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eastAsia="zh-CN"/>
        </w:rPr>
        <w:t>≥</w:t>
      </w:r>
      <w:r>
        <w:rPr>
          <w:rFonts w:hint="eastAsia" w:ascii="Times New Roman" w:hAnsi="Times New Roman" w:eastAsiaTheme="minorEastAsia"/>
          <w:color w:val="000000"/>
          <w:sz w:val="21"/>
          <w:szCs w:val="21"/>
          <w:shd w:val="clear" w:color="auto" w:fill="FFFFFF"/>
        </w:rPr>
        <w:t>0.060%。</w:t>
      </w:r>
    </w:p>
    <w:p w14:paraId="2CCFA9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</w:p>
    <w:p w14:paraId="070198CF">
      <w:pPr>
        <w:pStyle w:val="2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</w:p>
    <w:p w14:paraId="6CCB6B6E">
      <w:pPr>
        <w:pStyle w:val="2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</w:p>
    <w:p w14:paraId="79C276FE">
      <w:pPr>
        <w:pStyle w:val="2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</w:p>
    <w:p w14:paraId="06605AA8">
      <w:pPr>
        <w:pStyle w:val="2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</w:p>
    <w:p w14:paraId="4F335E9F">
      <w:pPr>
        <w:pStyle w:val="2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</w:p>
    <w:p w14:paraId="6920F190">
      <w:pPr>
        <w:pStyle w:val="2"/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</w:pPr>
    </w:p>
    <w:p w14:paraId="3D14F9AA">
      <w:pPr>
        <w:pStyle w:val="2"/>
        <w:jc w:val="center"/>
        <w:outlineLvl w:val="0"/>
        <w:rPr>
          <w:rFonts w:hint="default" w:ascii="Times New Roman" w:hAnsi="Times New Roman" w:eastAsia="黑体" w:cs="Times New Roman"/>
          <w:color w:val="auto"/>
          <w:kern w:val="0"/>
          <w:sz w:val="21"/>
          <w:szCs w:val="21"/>
          <w:lang w:val="en-US" w:eastAsia="zh-CN" w:bidi="ar"/>
        </w:rPr>
      </w:pPr>
      <w:bookmarkStart w:id="33" w:name="_Toc24616"/>
      <w:r>
        <w:rPr>
          <w:rFonts w:hint="default" w:ascii="Times New Roman" w:hAnsi="Times New Roman" w:eastAsia="黑体" w:cs="Times New Roman"/>
          <w:color w:val="auto"/>
          <w:kern w:val="0"/>
          <w:sz w:val="21"/>
          <w:szCs w:val="21"/>
          <w:lang w:val="en-US" w:eastAsia="zh-CN" w:bidi="ar"/>
        </w:rPr>
        <w:t>参考文献</w:t>
      </w:r>
      <w:bookmarkEnd w:id="33"/>
    </w:p>
    <w:p w14:paraId="6FE791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[1]《中华人民共和国药典》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(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2025版）</w:t>
      </w:r>
    </w:p>
    <w:p w14:paraId="79A064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cs="Times New Roman"/>
          <w:color w:val="auto"/>
          <w:kern w:val="0"/>
          <w:sz w:val="21"/>
          <w:szCs w:val="21"/>
          <w:lang w:val="en-US" w:eastAsia="zh-CN" w:bidi="ar"/>
        </w:rPr>
        <w:t>2</w:t>
      </w:r>
      <w:r>
        <w:rPr>
          <w:rFonts w:hint="default" w:ascii="Times New Roman" w:hAnsi="Times New Roman" w:cs="Times New Roman" w:eastAsiaTheme="minorEastAsia"/>
          <w:color w:val="auto"/>
          <w:kern w:val="0"/>
          <w:sz w:val="21"/>
          <w:szCs w:val="21"/>
          <w:lang w:val="en-US" w:eastAsia="zh-CN" w:bidi="ar"/>
        </w:rPr>
        <w:t>]</w:t>
      </w:r>
      <w:r>
        <w:rPr>
          <w:rFonts w:hint="default" w:ascii="Times New Roman" w:hAnsi="Times New Roman" w:cs="Times New Roman" w:eastAsiaTheme="minorEastAsia"/>
          <w:color w:val="auto"/>
          <w:kern w:val="2"/>
          <w:sz w:val="21"/>
          <w:szCs w:val="21"/>
          <w:lang w:val="en-US" w:eastAsia="zh-CN" w:bidi="ar-SA"/>
        </w:rPr>
        <w:t>T/CACM 1021.163 中药材商品规格等级 沙苑子</w:t>
      </w:r>
    </w:p>
    <w:p w14:paraId="2E09FDCA">
      <w:pPr>
        <w:pStyle w:val="2"/>
        <w:rPr>
          <w:rFonts w:hint="default" w:ascii="Times New Roman" w:hAnsi="Times New Roman" w:eastAsia="仿宋_GB2312" w:cs="Times New Roman"/>
          <w:color w:val="auto"/>
          <w:sz w:val="21"/>
          <w:szCs w:val="21"/>
          <w:lang w:val="en-US" w:eastAsia="zh-CN"/>
        </w:rPr>
      </w:pPr>
    </w:p>
    <w:p w14:paraId="57E26AB0">
      <w:pPr>
        <w:pStyle w:val="29"/>
        <w:framePr w:vAnchor="text" w:hAnchor="page" w:x="4269" w:y="366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_________________________________</w:t>
      </w:r>
    </w:p>
    <w:p w14:paraId="14E7A654">
      <w:pP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 w:bidi="ar"/>
        </w:rPr>
      </w:pPr>
    </w:p>
    <w:sectPr>
      <w:footerReference r:id="rId11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8A9C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35980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35980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D73AA">
    <w:pPr>
      <w:pStyle w:val="28"/>
    </w:pPr>
    <w:r>
      <w:fldChar w:fldCharType="begin"/>
    </w:r>
    <w:r>
      <w:instrText xml:space="preserve"> PAGE  \* MERGEFORMAT </w:instrText>
    </w:r>
    <w:r>
      <w:fldChar w:fldCharType="separate"/>
    </w:r>
    <w: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B4A2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CFD20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CFD20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31F1D">
    <w:pPr>
      <w:pStyle w:val="4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DEC6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18BF6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18BF6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0A11F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6665D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6665D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4F0B3">
    <w:pPr>
      <w:pStyle w:val="26"/>
      <w:rPr>
        <w:rFonts w:hint="eastAsia" w:eastAsia="黑体"/>
        <w:lang w:val="en-US" w:eastAsia="zh-CN"/>
      </w:rPr>
    </w:pPr>
    <w:r>
      <w:rPr>
        <w:rFonts w:hint="eastAsia"/>
        <w:lang w:eastAsia="zh-CN"/>
      </w:rPr>
      <w:tab/>
    </w:r>
    <w:r>
      <w:t>DB61/</w:t>
    </w:r>
    <w:r>
      <w:rPr>
        <w:rFonts w:hint="eastAsia"/>
      </w:rPr>
      <w:t>T</w:t>
    </w:r>
    <w:r>
      <w:t xml:space="preserve"> ****—202</w:t>
    </w:r>
    <w:r>
      <w:rPr>
        <w:rFonts w:hint="eastAsia"/>
        <w:lang w:val="en-US" w:eastAsia="zh-CN"/>
      </w:rPr>
      <w:t>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5C6FE">
    <w:pPr>
      <w:pStyle w:val="27"/>
    </w:pPr>
    <w:r>
      <w:t>DB61/T ****—2020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151AD">
    <w:pPr>
      <w:pStyle w:val="26"/>
      <w:jc w:val="left"/>
    </w:pPr>
    <w:r>
      <w:t>DB61/</w:t>
    </w:r>
    <w:r>
      <w:rPr>
        <w:rFonts w:hint="eastAsia"/>
      </w:rPr>
      <w:t>T</w:t>
    </w:r>
    <w:r>
      <w:t xml:space="preserve"> XXXXX—</w:t>
    </w:r>
    <w:r>
      <w:rPr>
        <w:rFonts w:hint="eastAsia"/>
      </w:rPr>
      <w:t>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hZDg3YmU0YzQzN2Q3MGYzMzgyMTI1NGRmMzQ3MzIifQ=="/>
  </w:docVars>
  <w:rsids>
    <w:rsidRoot w:val="75174524"/>
    <w:rsid w:val="00425A1B"/>
    <w:rsid w:val="008A5E9D"/>
    <w:rsid w:val="045241F2"/>
    <w:rsid w:val="076B0254"/>
    <w:rsid w:val="0FB04AF3"/>
    <w:rsid w:val="10085F0D"/>
    <w:rsid w:val="12255C4E"/>
    <w:rsid w:val="131B4F68"/>
    <w:rsid w:val="16BE3018"/>
    <w:rsid w:val="1C411EE7"/>
    <w:rsid w:val="1D8A4831"/>
    <w:rsid w:val="1DD87B86"/>
    <w:rsid w:val="2048168C"/>
    <w:rsid w:val="245744D6"/>
    <w:rsid w:val="24AC0C5F"/>
    <w:rsid w:val="27423913"/>
    <w:rsid w:val="29EE3E30"/>
    <w:rsid w:val="2C6C77F8"/>
    <w:rsid w:val="2E2708D5"/>
    <w:rsid w:val="317A6513"/>
    <w:rsid w:val="32F65CA3"/>
    <w:rsid w:val="38EA5738"/>
    <w:rsid w:val="397F3A50"/>
    <w:rsid w:val="3BF00E30"/>
    <w:rsid w:val="3C78586D"/>
    <w:rsid w:val="3DC90E58"/>
    <w:rsid w:val="3E7A3D52"/>
    <w:rsid w:val="3EB91796"/>
    <w:rsid w:val="3FC400FB"/>
    <w:rsid w:val="43F84DB5"/>
    <w:rsid w:val="4424697C"/>
    <w:rsid w:val="443609BF"/>
    <w:rsid w:val="44817E8C"/>
    <w:rsid w:val="47A93BD6"/>
    <w:rsid w:val="48361514"/>
    <w:rsid w:val="49484150"/>
    <w:rsid w:val="49E30A72"/>
    <w:rsid w:val="4C285091"/>
    <w:rsid w:val="4D0A0E72"/>
    <w:rsid w:val="4D9523E7"/>
    <w:rsid w:val="4DAA39C4"/>
    <w:rsid w:val="4DAD19F9"/>
    <w:rsid w:val="4F905CD4"/>
    <w:rsid w:val="50866E99"/>
    <w:rsid w:val="50974C76"/>
    <w:rsid w:val="53ED5DAF"/>
    <w:rsid w:val="54A12C0A"/>
    <w:rsid w:val="551774D8"/>
    <w:rsid w:val="570C5B60"/>
    <w:rsid w:val="57A063C3"/>
    <w:rsid w:val="57C33CB2"/>
    <w:rsid w:val="60262BC8"/>
    <w:rsid w:val="604E5DE1"/>
    <w:rsid w:val="605D5C37"/>
    <w:rsid w:val="60C939E2"/>
    <w:rsid w:val="612A335C"/>
    <w:rsid w:val="647023E5"/>
    <w:rsid w:val="64D348F8"/>
    <w:rsid w:val="66CE5E36"/>
    <w:rsid w:val="673B4183"/>
    <w:rsid w:val="72023B0B"/>
    <w:rsid w:val="74F1655B"/>
    <w:rsid w:val="75174524"/>
    <w:rsid w:val="779430E7"/>
    <w:rsid w:val="7AA65250"/>
    <w:rsid w:val="7DD7C020"/>
    <w:rsid w:val="7DDE2634"/>
    <w:rsid w:val="7EF6757D"/>
    <w:rsid w:val="7FB06A28"/>
    <w:rsid w:val="7FFD2DD6"/>
    <w:rsid w:val="97F4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customStyle="1" w:styleId="9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0">
    <w:name w:val="其他标准标志"/>
    <w:basedOn w:val="11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1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12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3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4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5">
    <w:name w:val="封面一致性程度标识"/>
    <w:basedOn w:val="16"/>
    <w:qFormat/>
    <w:uiPriority w:val="0"/>
    <w:pPr>
      <w:spacing w:before="440"/>
    </w:pPr>
    <w:rPr>
      <w:rFonts w:ascii="宋体" w:eastAsia="宋体"/>
    </w:rPr>
  </w:style>
  <w:style w:type="paragraph" w:customStyle="1" w:styleId="16">
    <w:name w:val="封面标准英文名称"/>
    <w:basedOn w:val="14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">
    <w:name w:val="其他发布日期"/>
    <w:basedOn w:val="18"/>
    <w:qFormat/>
    <w:uiPriority w:val="0"/>
    <w:pPr>
      <w:framePr w:vAnchor="page" w:hAnchor="page" w:x="1419"/>
    </w:pPr>
  </w:style>
  <w:style w:type="paragraph" w:customStyle="1" w:styleId="18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9">
    <w:name w:val="其他实施日期"/>
    <w:basedOn w:val="20"/>
    <w:qFormat/>
    <w:uiPriority w:val="0"/>
  </w:style>
  <w:style w:type="paragraph" w:customStyle="1" w:styleId="20">
    <w:name w:val="实施日期"/>
    <w:basedOn w:val="18"/>
    <w:qFormat/>
    <w:uiPriority w:val="0"/>
    <w:pPr>
      <w:framePr w:vAnchor="page" w:hAnchor="page"/>
      <w:jc w:val="right"/>
    </w:pPr>
  </w:style>
  <w:style w:type="paragraph" w:customStyle="1" w:styleId="21">
    <w:name w:val="其他发布部门"/>
    <w:basedOn w:val="22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22">
    <w:name w:val="发布部门"/>
    <w:next w:val="23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23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4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25">
    <w:name w:val="目次、标准名称标题"/>
    <w:basedOn w:val="1"/>
    <w:next w:val="2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7">
    <w:name w:val="标准书眉_偶数页"/>
    <w:basedOn w:val="26"/>
    <w:next w:val="1"/>
    <w:qFormat/>
    <w:uiPriority w:val="0"/>
    <w:pPr>
      <w:jc w:val="left"/>
    </w:pPr>
    <w:rPr>
      <w:rFonts w:ascii="黑体" w:eastAsia="黑体"/>
    </w:rPr>
  </w:style>
  <w:style w:type="paragraph" w:customStyle="1" w:styleId="28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9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3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2144</Words>
  <Characters>2656</Characters>
  <Lines>0</Lines>
  <Paragraphs>0</Paragraphs>
  <TotalTime>8</TotalTime>
  <ScaleCrop>false</ScaleCrop>
  <LinksUpToDate>false</LinksUpToDate>
  <CharactersWithSpaces>2800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2024-03-04T10:07:00Z</dcterms:created>
  <dc:creator>哈哈哈</dc:creator>
  <cp:lastModifiedBy>WPS_1711416228</cp:lastModifiedBy>
  <cp:lastPrinted>2025-08-29T08:54:00Z</cp:lastPrinted>
  <dcterms:modified xsi:type="dcterms:W3CDTF">2025-11-03T09:28:29Z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001736759F4640FDA2DC8ED56CAEECC6_13</vt:lpwstr>
  </property>
  <property fmtid="{D5CDD505-2E9C-101B-9397-08002B2CF9AE}" pid="4" name="KSOTemplateDocerSaveRecord">
    <vt:lpwstr>eyJoZGlkIjoiMWVhZDg3YmU0YzQzN2Q3MGYzMzgyMTI1NGRmMzQ3MzIiLCJ1c2VySWQiOiIxNTg5MTQxNTAwIn0=</vt:lpwstr>
  </property>
</Properties>
</file>