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8A224">
      <w:pPr>
        <w:rPr>
          <w:color w:val="auto"/>
          <w:highlight w:val="none"/>
        </w:rPr>
      </w:pPr>
      <w:bookmarkStart w:id="81" w:name="_GoBack"/>
    </w:p>
    <w:p w14:paraId="58E114A5">
      <w:pPr>
        <w:rPr>
          <w:color w:val="auto"/>
          <w:highlight w:val="none"/>
        </w:rPr>
      </w:pPr>
    </w:p>
    <w:p w14:paraId="4DE1E86A">
      <w:pPr>
        <w:rPr>
          <w:color w:val="auto"/>
          <w:highlight w:val="none"/>
        </w:rPr>
      </w:pPr>
    </w:p>
    <w:p w14:paraId="6E9E089D">
      <w:pPr>
        <w:rPr>
          <w:color w:val="auto"/>
          <w:highlight w:val="none"/>
        </w:rPr>
      </w:pPr>
    </w:p>
    <w:p w14:paraId="3FBD74A2">
      <w:pPr>
        <w:rPr>
          <w:color w:val="auto"/>
          <w:highlight w:val="none"/>
        </w:rPr>
      </w:pPr>
    </w:p>
    <w:p w14:paraId="62303F98">
      <w:pPr>
        <w:spacing w:line="600" w:lineRule="exact"/>
        <w:rPr>
          <w:color w:val="auto"/>
          <w:highlight w:val="none"/>
        </w:rPr>
      </w:pPr>
    </w:p>
    <w:p w14:paraId="700494C4">
      <w:pPr>
        <w:spacing w:line="800" w:lineRule="exact"/>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市县级矿产资源总体规划编制技术规范</w:t>
      </w:r>
    </w:p>
    <w:p w14:paraId="7ACC0847">
      <w:pPr>
        <w:spacing w:line="800" w:lineRule="exact"/>
        <w:jc w:val="center"/>
        <w:rPr>
          <w:rFonts w:hint="eastAsia" w:ascii="方正小标宋简体" w:hAnsi="方正小标宋简体" w:eastAsia="方正小标宋简体" w:cs="方正小标宋简体"/>
          <w:color w:val="auto"/>
          <w:sz w:val="52"/>
          <w:szCs w:val="52"/>
          <w:highlight w:val="none"/>
        </w:rPr>
      </w:pPr>
      <w:r>
        <w:rPr>
          <w:rFonts w:hint="eastAsia" w:ascii="方正小标宋简体" w:hAnsi="方正小标宋简体" w:eastAsia="方正小标宋简体" w:cs="方正小标宋简体"/>
          <w:color w:val="auto"/>
          <w:sz w:val="44"/>
          <w:szCs w:val="44"/>
          <w:highlight w:val="none"/>
        </w:rPr>
        <w:t>编制说明</w:t>
      </w:r>
    </w:p>
    <w:p w14:paraId="00668D59">
      <w:pPr>
        <w:spacing w:line="700" w:lineRule="exact"/>
        <w:jc w:val="center"/>
        <w:rPr>
          <w:rFonts w:hint="eastAsia" w:ascii="方正小标宋简体" w:hAnsi="方正小标宋简体" w:eastAsia="方正小标宋简体" w:cs="方正小标宋简体"/>
          <w:color w:val="auto"/>
          <w:sz w:val="44"/>
          <w:szCs w:val="44"/>
          <w:highlight w:val="none"/>
        </w:rPr>
      </w:pPr>
    </w:p>
    <w:p w14:paraId="7949450D">
      <w:pPr>
        <w:spacing w:line="700" w:lineRule="exact"/>
        <w:jc w:val="center"/>
        <w:rPr>
          <w:rFonts w:hint="eastAsia" w:ascii="方正小标宋简体" w:hAnsi="方正小标宋简体" w:eastAsia="方正小标宋简体" w:cs="方正小标宋简体"/>
          <w:color w:val="auto"/>
          <w:sz w:val="44"/>
          <w:szCs w:val="44"/>
          <w:highlight w:val="none"/>
        </w:rPr>
      </w:pPr>
    </w:p>
    <w:p w14:paraId="0AEB0CFF">
      <w:pPr>
        <w:spacing w:line="700" w:lineRule="exact"/>
        <w:jc w:val="center"/>
        <w:rPr>
          <w:rFonts w:hint="eastAsia" w:ascii="方正小标宋简体" w:hAnsi="方正小标宋简体" w:eastAsia="方正小标宋简体" w:cs="方正小标宋简体"/>
          <w:color w:val="auto"/>
          <w:sz w:val="44"/>
          <w:szCs w:val="44"/>
          <w:highlight w:val="none"/>
        </w:rPr>
      </w:pPr>
    </w:p>
    <w:p w14:paraId="765E4B81">
      <w:pPr>
        <w:spacing w:line="700" w:lineRule="exact"/>
        <w:jc w:val="center"/>
        <w:rPr>
          <w:rFonts w:hint="eastAsia" w:ascii="方正小标宋简体" w:hAnsi="方正小标宋简体" w:eastAsia="方正小标宋简体" w:cs="方正小标宋简体"/>
          <w:color w:val="auto"/>
          <w:sz w:val="44"/>
          <w:szCs w:val="44"/>
          <w:highlight w:val="none"/>
        </w:rPr>
      </w:pPr>
    </w:p>
    <w:p w14:paraId="1A838EE6">
      <w:pPr>
        <w:spacing w:line="700" w:lineRule="exact"/>
        <w:jc w:val="center"/>
        <w:rPr>
          <w:rFonts w:hint="eastAsia" w:ascii="方正小标宋简体" w:hAnsi="方正小标宋简体" w:eastAsia="方正小标宋简体" w:cs="方正小标宋简体"/>
          <w:color w:val="auto"/>
          <w:sz w:val="44"/>
          <w:szCs w:val="44"/>
          <w:highlight w:val="none"/>
        </w:rPr>
      </w:pPr>
    </w:p>
    <w:p w14:paraId="440DCAEC">
      <w:pPr>
        <w:spacing w:line="700" w:lineRule="exact"/>
        <w:jc w:val="center"/>
        <w:rPr>
          <w:rFonts w:hint="eastAsia" w:ascii="方正小标宋简体" w:hAnsi="方正小标宋简体" w:eastAsia="方正小标宋简体" w:cs="方正小标宋简体"/>
          <w:color w:val="auto"/>
          <w:sz w:val="44"/>
          <w:szCs w:val="44"/>
          <w:highlight w:val="none"/>
        </w:rPr>
      </w:pPr>
    </w:p>
    <w:p w14:paraId="602E9081">
      <w:pPr>
        <w:spacing w:line="700" w:lineRule="exact"/>
        <w:jc w:val="center"/>
        <w:rPr>
          <w:rFonts w:hint="eastAsia" w:ascii="方正小标宋简体" w:hAnsi="方正小标宋简体" w:eastAsia="方正小标宋简体" w:cs="方正小标宋简体"/>
          <w:color w:val="auto"/>
          <w:sz w:val="44"/>
          <w:szCs w:val="44"/>
          <w:highlight w:val="none"/>
        </w:rPr>
      </w:pPr>
    </w:p>
    <w:p w14:paraId="756A9DB8">
      <w:pPr>
        <w:spacing w:line="600" w:lineRule="exact"/>
        <w:rPr>
          <w:rFonts w:hint="eastAsia" w:ascii="方正小标宋简体" w:hAnsi="方正小标宋简体" w:eastAsia="方正小标宋简体" w:cs="方正小标宋简体"/>
          <w:color w:val="auto"/>
          <w:sz w:val="32"/>
          <w:szCs w:val="32"/>
          <w:highlight w:val="none"/>
        </w:rPr>
      </w:pPr>
    </w:p>
    <w:p w14:paraId="16319B86">
      <w:pPr>
        <w:spacing w:line="600" w:lineRule="exact"/>
        <w:rPr>
          <w:rFonts w:hint="eastAsia" w:ascii="方正小标宋简体" w:hAnsi="方正小标宋简体" w:eastAsia="方正小标宋简体" w:cs="方正小标宋简体"/>
          <w:color w:val="auto"/>
          <w:sz w:val="32"/>
          <w:szCs w:val="32"/>
          <w:highlight w:val="none"/>
        </w:rPr>
      </w:pPr>
    </w:p>
    <w:p w14:paraId="08282AF1">
      <w:pPr>
        <w:spacing w:line="600" w:lineRule="exact"/>
        <w:jc w:val="cente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陕西省国土空间勘测规划院</w:t>
      </w:r>
    </w:p>
    <w:p w14:paraId="08040911">
      <w:pPr>
        <w:spacing w:line="600" w:lineRule="exact"/>
        <w:jc w:val="center"/>
        <w:rPr>
          <w:rFonts w:hint="eastAsia" w:ascii="黑体" w:hAnsi="黑体" w:eastAsia="黑体" w:cs="黑体"/>
          <w:color w:val="auto"/>
          <w:sz w:val="24"/>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8"/>
          <w:szCs w:val="28"/>
          <w:highlight w:val="none"/>
        </w:rPr>
        <w:t>2025年11月</w:t>
      </w:r>
    </w:p>
    <w:p w14:paraId="1DDC766B">
      <w:pPr>
        <w:spacing w:after="156" w:afterLines="50" w:line="600" w:lineRule="exact"/>
        <w:jc w:val="center"/>
        <w:rPr>
          <w:rFonts w:hint="eastAsia" w:ascii="方正小标宋简体" w:hAnsi="方正小标宋简体" w:eastAsia="方正小标宋简体" w:cs="方正小标宋简体"/>
          <w:b/>
          <w:bCs/>
          <w:color w:val="auto"/>
          <w:sz w:val="40"/>
          <w:szCs w:val="40"/>
          <w:highlight w:val="none"/>
        </w:rPr>
      </w:pPr>
      <w:r>
        <w:rPr>
          <w:rFonts w:hint="eastAsia" w:ascii="方正小标宋简体" w:hAnsi="方正小标宋简体" w:eastAsia="方正小标宋简体" w:cs="方正小标宋简体"/>
          <w:b/>
          <w:bCs/>
          <w:color w:val="auto"/>
          <w:sz w:val="40"/>
          <w:szCs w:val="40"/>
          <w:highlight w:val="none"/>
        </w:rPr>
        <w:t>目  录</w:t>
      </w:r>
    </w:p>
    <w:p w14:paraId="2DB7A4EA">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"1-2" \h \u </w:instrText>
      </w:r>
      <w:r>
        <w:rPr>
          <w:rFonts w:hint="eastAsia" w:ascii="仿宋_GB2312" w:hAnsi="仿宋_GB2312" w:eastAsia="仿宋_GB2312" w:cs="仿宋_GB2312"/>
          <w:color w:val="auto"/>
          <w:sz w:val="32"/>
          <w:szCs w:val="32"/>
          <w:highlight w:val="none"/>
        </w:rPr>
        <w:fldChar w:fldCharType="separate"/>
      </w:r>
      <w:r>
        <w:rPr>
          <w:color w:val="auto"/>
          <w:highlight w:val="none"/>
        </w:rPr>
        <w:fldChar w:fldCharType="begin"/>
      </w:r>
      <w:r>
        <w:rPr>
          <w:color w:val="auto"/>
          <w:highlight w:val="none"/>
        </w:rPr>
        <w:instrText xml:space="preserve"> HYPERLINK \l "_Toc11071"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一、工作概况</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_Toc11071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2</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793E67C4">
      <w:pPr>
        <w:pStyle w:val="8"/>
        <w:tabs>
          <w:tab w:val="right" w:leader="dot" w:pos="8306"/>
        </w:tabs>
        <w:spacing w:line="560" w:lineRule="exact"/>
        <w:ind w:firstLine="640"/>
        <w:rPr>
          <w:rFonts w:hint="eastAsia" w:ascii="楷体" w:hAnsi="楷体" w:eastAsia="楷体" w:cs="楷体"/>
          <w:color w:val="auto"/>
          <w:sz w:val="32"/>
          <w:szCs w:val="32"/>
          <w:highlight w:val="none"/>
        </w:rPr>
      </w:pPr>
      <w:r>
        <w:rPr>
          <w:color w:val="auto"/>
          <w:highlight w:val="none"/>
        </w:rPr>
        <w:fldChar w:fldCharType="begin"/>
      </w:r>
      <w:r>
        <w:rPr>
          <w:color w:val="auto"/>
          <w:highlight w:val="none"/>
        </w:rPr>
        <w:instrText xml:space="preserve"> HYPERLINK \l "_Toc2269" </w:instrText>
      </w:r>
      <w:r>
        <w:rPr>
          <w:color w:val="auto"/>
          <w:highlight w:val="none"/>
        </w:rPr>
        <w:fldChar w:fldCharType="separate"/>
      </w:r>
      <w:r>
        <w:rPr>
          <w:rFonts w:hint="eastAsia" w:ascii="楷体" w:hAnsi="楷体" w:eastAsia="楷体" w:cs="楷体"/>
          <w:color w:val="auto"/>
          <w:sz w:val="32"/>
          <w:szCs w:val="32"/>
          <w:highlight w:val="none"/>
        </w:rPr>
        <w:t>（一）任务来源</w:t>
      </w:r>
      <w:r>
        <w:rPr>
          <w:rFonts w:hint="eastAsia" w:ascii="楷体" w:hAnsi="楷体" w:eastAsia="楷体" w:cs="楷体"/>
          <w:color w:val="auto"/>
          <w:sz w:val="32"/>
          <w:szCs w:val="32"/>
          <w:highlight w:val="none"/>
        </w:rPr>
        <w:tab/>
      </w:r>
      <w:r>
        <w:rPr>
          <w:rFonts w:hint="eastAsia" w:ascii="楷体" w:hAnsi="楷体" w:eastAsia="楷体" w:cs="楷体"/>
          <w:color w:val="auto"/>
          <w:sz w:val="32"/>
          <w:szCs w:val="32"/>
          <w:highlight w:val="none"/>
        </w:rPr>
        <w:fldChar w:fldCharType="begin"/>
      </w:r>
      <w:r>
        <w:rPr>
          <w:rFonts w:hint="eastAsia" w:ascii="楷体" w:hAnsi="楷体" w:eastAsia="楷体" w:cs="楷体"/>
          <w:color w:val="auto"/>
          <w:sz w:val="32"/>
          <w:szCs w:val="32"/>
          <w:highlight w:val="none"/>
        </w:rPr>
        <w:instrText xml:space="preserve"> PAGEREF _Toc2269 \h </w:instrText>
      </w:r>
      <w:r>
        <w:rPr>
          <w:rFonts w:hint="eastAsia" w:ascii="楷体" w:hAnsi="楷体" w:eastAsia="楷体" w:cs="楷体"/>
          <w:color w:val="auto"/>
          <w:sz w:val="32"/>
          <w:szCs w:val="32"/>
          <w:highlight w:val="none"/>
        </w:rPr>
        <w:fldChar w:fldCharType="separate"/>
      </w:r>
      <w:r>
        <w:rPr>
          <w:rFonts w:hint="eastAsia" w:ascii="楷体" w:hAnsi="楷体" w:eastAsia="楷体" w:cs="楷体"/>
          <w:color w:val="auto"/>
          <w:sz w:val="32"/>
          <w:szCs w:val="32"/>
          <w:highlight w:val="none"/>
        </w:rPr>
        <w:t>2</w:t>
      </w:r>
      <w:r>
        <w:rPr>
          <w:rFonts w:hint="eastAsia" w:ascii="楷体" w:hAnsi="楷体" w:eastAsia="楷体" w:cs="楷体"/>
          <w:color w:val="auto"/>
          <w:sz w:val="32"/>
          <w:szCs w:val="32"/>
          <w:highlight w:val="none"/>
        </w:rPr>
        <w:fldChar w:fldCharType="end"/>
      </w:r>
      <w:r>
        <w:rPr>
          <w:rFonts w:hint="eastAsia" w:ascii="楷体" w:hAnsi="楷体" w:eastAsia="楷体" w:cs="楷体"/>
          <w:color w:val="auto"/>
          <w:sz w:val="32"/>
          <w:szCs w:val="32"/>
          <w:highlight w:val="none"/>
        </w:rPr>
        <w:fldChar w:fldCharType="end"/>
      </w:r>
    </w:p>
    <w:p w14:paraId="6A1FC456">
      <w:pPr>
        <w:pStyle w:val="8"/>
        <w:tabs>
          <w:tab w:val="right" w:leader="dot" w:pos="8306"/>
        </w:tabs>
        <w:spacing w:line="560" w:lineRule="exact"/>
        <w:ind w:firstLine="640"/>
        <w:rPr>
          <w:rFonts w:hint="eastAsia" w:ascii="楷体" w:hAnsi="楷体" w:eastAsia="楷体" w:cs="楷体"/>
          <w:color w:val="auto"/>
          <w:sz w:val="32"/>
          <w:szCs w:val="32"/>
          <w:highlight w:val="none"/>
        </w:rPr>
      </w:pPr>
      <w:r>
        <w:rPr>
          <w:color w:val="auto"/>
          <w:highlight w:val="none"/>
        </w:rPr>
        <w:fldChar w:fldCharType="begin"/>
      </w:r>
      <w:r>
        <w:rPr>
          <w:color w:val="auto"/>
          <w:highlight w:val="none"/>
        </w:rPr>
        <w:instrText xml:space="preserve"> HYPERLINK \l "_Toc10394" </w:instrText>
      </w:r>
      <w:r>
        <w:rPr>
          <w:color w:val="auto"/>
          <w:highlight w:val="none"/>
        </w:rPr>
        <w:fldChar w:fldCharType="separate"/>
      </w:r>
      <w:r>
        <w:rPr>
          <w:rFonts w:hint="eastAsia" w:ascii="楷体" w:hAnsi="楷体" w:eastAsia="楷体" w:cs="楷体"/>
          <w:color w:val="auto"/>
          <w:sz w:val="32"/>
          <w:szCs w:val="32"/>
          <w:highlight w:val="none"/>
        </w:rPr>
        <w:t>（二）起草单位</w:t>
      </w:r>
      <w:r>
        <w:rPr>
          <w:rFonts w:hint="eastAsia" w:ascii="楷体" w:hAnsi="楷体" w:eastAsia="楷体" w:cs="楷体"/>
          <w:color w:val="auto"/>
          <w:sz w:val="32"/>
          <w:szCs w:val="32"/>
          <w:highlight w:val="none"/>
        </w:rPr>
        <w:tab/>
      </w:r>
      <w:r>
        <w:rPr>
          <w:rFonts w:hint="eastAsia" w:ascii="楷体" w:hAnsi="楷体" w:eastAsia="楷体" w:cs="楷体"/>
          <w:color w:val="auto"/>
          <w:sz w:val="32"/>
          <w:szCs w:val="32"/>
          <w:highlight w:val="none"/>
        </w:rPr>
        <w:fldChar w:fldCharType="begin"/>
      </w:r>
      <w:r>
        <w:rPr>
          <w:rFonts w:hint="eastAsia" w:ascii="楷体" w:hAnsi="楷体" w:eastAsia="楷体" w:cs="楷体"/>
          <w:color w:val="auto"/>
          <w:sz w:val="32"/>
          <w:szCs w:val="32"/>
          <w:highlight w:val="none"/>
        </w:rPr>
        <w:instrText xml:space="preserve"> PAGEREF _Toc10394 \h </w:instrText>
      </w:r>
      <w:r>
        <w:rPr>
          <w:rFonts w:hint="eastAsia" w:ascii="楷体" w:hAnsi="楷体" w:eastAsia="楷体" w:cs="楷体"/>
          <w:color w:val="auto"/>
          <w:sz w:val="32"/>
          <w:szCs w:val="32"/>
          <w:highlight w:val="none"/>
        </w:rPr>
        <w:fldChar w:fldCharType="separate"/>
      </w:r>
      <w:r>
        <w:rPr>
          <w:rFonts w:hint="eastAsia" w:ascii="楷体" w:hAnsi="楷体" w:eastAsia="楷体" w:cs="楷体"/>
          <w:color w:val="auto"/>
          <w:sz w:val="32"/>
          <w:szCs w:val="32"/>
          <w:highlight w:val="none"/>
        </w:rPr>
        <w:t>3</w:t>
      </w:r>
      <w:r>
        <w:rPr>
          <w:rFonts w:hint="eastAsia" w:ascii="楷体" w:hAnsi="楷体" w:eastAsia="楷体" w:cs="楷体"/>
          <w:color w:val="auto"/>
          <w:sz w:val="32"/>
          <w:szCs w:val="32"/>
          <w:highlight w:val="none"/>
        </w:rPr>
        <w:fldChar w:fldCharType="end"/>
      </w:r>
      <w:r>
        <w:rPr>
          <w:rFonts w:hint="eastAsia" w:ascii="楷体" w:hAnsi="楷体" w:eastAsia="楷体" w:cs="楷体"/>
          <w:color w:val="auto"/>
          <w:sz w:val="32"/>
          <w:szCs w:val="32"/>
          <w:highlight w:val="none"/>
        </w:rPr>
        <w:fldChar w:fldCharType="end"/>
      </w:r>
    </w:p>
    <w:p w14:paraId="5FBBF414">
      <w:pPr>
        <w:pStyle w:val="8"/>
        <w:tabs>
          <w:tab w:val="right" w:leader="dot" w:pos="8306"/>
        </w:tabs>
        <w:spacing w:line="560" w:lineRule="exact"/>
        <w:ind w:firstLine="640"/>
        <w:rPr>
          <w:rFonts w:hint="eastAsia" w:ascii="楷体" w:hAnsi="楷体" w:eastAsia="楷体" w:cs="楷体"/>
          <w:color w:val="auto"/>
          <w:sz w:val="32"/>
          <w:szCs w:val="32"/>
          <w:highlight w:val="none"/>
        </w:rPr>
      </w:pPr>
      <w:r>
        <w:rPr>
          <w:color w:val="auto"/>
          <w:highlight w:val="none"/>
        </w:rPr>
        <w:fldChar w:fldCharType="begin"/>
      </w:r>
      <w:r>
        <w:rPr>
          <w:color w:val="auto"/>
          <w:highlight w:val="none"/>
        </w:rPr>
        <w:instrText xml:space="preserve"> HYPERLINK \l "_Toc3448" </w:instrText>
      </w:r>
      <w:r>
        <w:rPr>
          <w:color w:val="auto"/>
          <w:highlight w:val="none"/>
        </w:rPr>
        <w:fldChar w:fldCharType="separate"/>
      </w:r>
      <w:r>
        <w:rPr>
          <w:rFonts w:hint="eastAsia" w:ascii="楷体" w:hAnsi="楷体" w:eastAsia="楷体" w:cs="楷体"/>
          <w:color w:val="auto"/>
          <w:sz w:val="32"/>
          <w:szCs w:val="32"/>
          <w:highlight w:val="none"/>
        </w:rPr>
        <w:t>（三）制定背景</w:t>
      </w:r>
      <w:r>
        <w:rPr>
          <w:rFonts w:hint="eastAsia" w:ascii="楷体" w:hAnsi="楷体" w:eastAsia="楷体" w:cs="楷体"/>
          <w:color w:val="auto"/>
          <w:sz w:val="32"/>
          <w:szCs w:val="32"/>
          <w:highlight w:val="none"/>
        </w:rPr>
        <w:tab/>
      </w:r>
      <w:r>
        <w:rPr>
          <w:rFonts w:hint="eastAsia" w:ascii="楷体" w:hAnsi="楷体" w:eastAsia="楷体" w:cs="楷体"/>
          <w:color w:val="auto"/>
          <w:sz w:val="32"/>
          <w:szCs w:val="32"/>
          <w:highlight w:val="none"/>
        </w:rPr>
        <w:fldChar w:fldCharType="begin"/>
      </w:r>
      <w:r>
        <w:rPr>
          <w:rFonts w:hint="eastAsia" w:ascii="楷体" w:hAnsi="楷体" w:eastAsia="楷体" w:cs="楷体"/>
          <w:color w:val="auto"/>
          <w:sz w:val="32"/>
          <w:szCs w:val="32"/>
          <w:highlight w:val="none"/>
        </w:rPr>
        <w:instrText xml:space="preserve"> PAGEREF _Toc3448 \h </w:instrText>
      </w:r>
      <w:r>
        <w:rPr>
          <w:rFonts w:hint="eastAsia" w:ascii="楷体" w:hAnsi="楷体" w:eastAsia="楷体" w:cs="楷体"/>
          <w:color w:val="auto"/>
          <w:sz w:val="32"/>
          <w:szCs w:val="32"/>
          <w:highlight w:val="none"/>
        </w:rPr>
        <w:fldChar w:fldCharType="separate"/>
      </w:r>
      <w:r>
        <w:rPr>
          <w:rFonts w:hint="eastAsia" w:ascii="楷体" w:hAnsi="楷体" w:eastAsia="楷体" w:cs="楷体"/>
          <w:color w:val="auto"/>
          <w:sz w:val="32"/>
          <w:szCs w:val="32"/>
          <w:highlight w:val="none"/>
        </w:rPr>
        <w:t>3</w:t>
      </w:r>
      <w:r>
        <w:rPr>
          <w:rFonts w:hint="eastAsia" w:ascii="楷体" w:hAnsi="楷体" w:eastAsia="楷体" w:cs="楷体"/>
          <w:color w:val="auto"/>
          <w:sz w:val="32"/>
          <w:szCs w:val="32"/>
          <w:highlight w:val="none"/>
        </w:rPr>
        <w:fldChar w:fldCharType="end"/>
      </w:r>
      <w:r>
        <w:rPr>
          <w:rFonts w:hint="eastAsia" w:ascii="楷体" w:hAnsi="楷体" w:eastAsia="楷体" w:cs="楷体"/>
          <w:color w:val="auto"/>
          <w:sz w:val="32"/>
          <w:szCs w:val="32"/>
          <w:highlight w:val="none"/>
        </w:rPr>
        <w:fldChar w:fldCharType="end"/>
      </w:r>
    </w:p>
    <w:p w14:paraId="488F7F21">
      <w:pPr>
        <w:pStyle w:val="8"/>
        <w:tabs>
          <w:tab w:val="right" w:leader="dot" w:pos="8306"/>
        </w:tabs>
        <w:spacing w:line="560" w:lineRule="exact"/>
        <w:ind w:firstLine="640"/>
        <w:rPr>
          <w:rFonts w:hint="eastAsia" w:ascii="楷体" w:hAnsi="楷体" w:eastAsia="楷体" w:cs="楷体"/>
          <w:color w:val="auto"/>
          <w:sz w:val="32"/>
          <w:szCs w:val="32"/>
          <w:highlight w:val="none"/>
        </w:rPr>
      </w:pPr>
      <w:r>
        <w:rPr>
          <w:color w:val="auto"/>
          <w:highlight w:val="none"/>
        </w:rPr>
        <w:fldChar w:fldCharType="begin"/>
      </w:r>
      <w:r>
        <w:rPr>
          <w:color w:val="auto"/>
          <w:highlight w:val="none"/>
        </w:rPr>
        <w:instrText xml:space="preserve"> HYPERLINK \l "_Toc26814" </w:instrText>
      </w:r>
      <w:r>
        <w:rPr>
          <w:color w:val="auto"/>
          <w:highlight w:val="none"/>
        </w:rPr>
        <w:fldChar w:fldCharType="separate"/>
      </w:r>
      <w:r>
        <w:rPr>
          <w:rFonts w:hint="eastAsia" w:ascii="楷体" w:hAnsi="楷体" w:eastAsia="楷体" w:cs="楷体"/>
          <w:color w:val="auto"/>
          <w:sz w:val="32"/>
          <w:szCs w:val="32"/>
          <w:highlight w:val="none"/>
        </w:rPr>
        <w:t>（四）起草过程</w:t>
      </w:r>
      <w:r>
        <w:rPr>
          <w:rFonts w:hint="eastAsia" w:ascii="楷体" w:hAnsi="楷体" w:eastAsia="楷体" w:cs="楷体"/>
          <w:color w:val="auto"/>
          <w:sz w:val="32"/>
          <w:szCs w:val="32"/>
          <w:highlight w:val="none"/>
        </w:rPr>
        <w:tab/>
      </w:r>
      <w:r>
        <w:rPr>
          <w:rFonts w:hint="eastAsia" w:ascii="楷体" w:hAnsi="楷体" w:eastAsia="楷体" w:cs="楷体"/>
          <w:color w:val="auto"/>
          <w:sz w:val="32"/>
          <w:szCs w:val="32"/>
          <w:highlight w:val="none"/>
        </w:rPr>
        <w:fldChar w:fldCharType="begin"/>
      </w:r>
      <w:r>
        <w:rPr>
          <w:rFonts w:hint="eastAsia" w:ascii="楷体" w:hAnsi="楷体" w:eastAsia="楷体" w:cs="楷体"/>
          <w:color w:val="auto"/>
          <w:sz w:val="32"/>
          <w:szCs w:val="32"/>
          <w:highlight w:val="none"/>
        </w:rPr>
        <w:instrText xml:space="preserve"> PAGEREF _Toc26814 \h </w:instrText>
      </w:r>
      <w:r>
        <w:rPr>
          <w:rFonts w:hint="eastAsia" w:ascii="楷体" w:hAnsi="楷体" w:eastAsia="楷体" w:cs="楷体"/>
          <w:color w:val="auto"/>
          <w:sz w:val="32"/>
          <w:szCs w:val="32"/>
          <w:highlight w:val="none"/>
        </w:rPr>
        <w:fldChar w:fldCharType="separate"/>
      </w:r>
      <w:r>
        <w:rPr>
          <w:rFonts w:hint="eastAsia" w:ascii="楷体" w:hAnsi="楷体" w:eastAsia="楷体" w:cs="楷体"/>
          <w:color w:val="auto"/>
          <w:sz w:val="32"/>
          <w:szCs w:val="32"/>
          <w:highlight w:val="none"/>
        </w:rPr>
        <w:t>4</w:t>
      </w:r>
      <w:r>
        <w:rPr>
          <w:rFonts w:hint="eastAsia" w:ascii="楷体" w:hAnsi="楷体" w:eastAsia="楷体" w:cs="楷体"/>
          <w:color w:val="auto"/>
          <w:sz w:val="32"/>
          <w:szCs w:val="32"/>
          <w:highlight w:val="none"/>
        </w:rPr>
        <w:fldChar w:fldCharType="end"/>
      </w:r>
      <w:r>
        <w:rPr>
          <w:rFonts w:hint="eastAsia" w:ascii="楷体" w:hAnsi="楷体" w:eastAsia="楷体" w:cs="楷体"/>
          <w:color w:val="auto"/>
          <w:sz w:val="32"/>
          <w:szCs w:val="32"/>
          <w:highlight w:val="none"/>
        </w:rPr>
        <w:fldChar w:fldCharType="end"/>
      </w:r>
    </w:p>
    <w:p w14:paraId="440CE2FD">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"_Toc13119"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二、编制原则和确定主要内容的论据</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_Toc13119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7</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3D6CE11F">
      <w:pPr>
        <w:pStyle w:val="8"/>
        <w:tabs>
          <w:tab w:val="right" w:leader="dot" w:pos="8306"/>
        </w:tabs>
        <w:spacing w:line="560" w:lineRule="exact"/>
        <w:ind w:firstLine="640"/>
        <w:rPr>
          <w:rFonts w:hint="eastAsia" w:ascii="楷体" w:hAnsi="楷体" w:eastAsia="楷体" w:cs="楷体"/>
          <w:color w:val="auto"/>
          <w:sz w:val="32"/>
          <w:szCs w:val="32"/>
          <w:highlight w:val="none"/>
        </w:rPr>
      </w:pPr>
      <w:r>
        <w:rPr>
          <w:color w:val="auto"/>
          <w:highlight w:val="none"/>
        </w:rPr>
        <w:fldChar w:fldCharType="begin"/>
      </w:r>
      <w:r>
        <w:rPr>
          <w:color w:val="auto"/>
          <w:highlight w:val="none"/>
        </w:rPr>
        <w:instrText xml:space="preserve"> HYPERLINK \l "_Toc3117" </w:instrText>
      </w:r>
      <w:r>
        <w:rPr>
          <w:color w:val="auto"/>
          <w:highlight w:val="none"/>
        </w:rPr>
        <w:fldChar w:fldCharType="separate"/>
      </w:r>
      <w:r>
        <w:rPr>
          <w:rFonts w:hint="eastAsia" w:ascii="楷体" w:hAnsi="楷体" w:eastAsia="楷体" w:cs="楷体"/>
          <w:color w:val="auto"/>
          <w:sz w:val="32"/>
          <w:szCs w:val="32"/>
          <w:highlight w:val="none"/>
        </w:rPr>
        <w:t>（一）编制原则</w:t>
      </w:r>
      <w:r>
        <w:rPr>
          <w:rFonts w:hint="eastAsia" w:ascii="楷体" w:hAnsi="楷体" w:eastAsia="楷体" w:cs="楷体"/>
          <w:color w:val="auto"/>
          <w:sz w:val="32"/>
          <w:szCs w:val="32"/>
          <w:highlight w:val="none"/>
        </w:rPr>
        <w:tab/>
      </w:r>
      <w:r>
        <w:rPr>
          <w:rFonts w:hint="eastAsia" w:ascii="楷体" w:hAnsi="楷体" w:eastAsia="楷体" w:cs="楷体"/>
          <w:color w:val="auto"/>
          <w:sz w:val="32"/>
          <w:szCs w:val="32"/>
          <w:highlight w:val="none"/>
        </w:rPr>
        <w:fldChar w:fldCharType="begin"/>
      </w:r>
      <w:r>
        <w:rPr>
          <w:rFonts w:hint="eastAsia" w:ascii="楷体" w:hAnsi="楷体" w:eastAsia="楷体" w:cs="楷体"/>
          <w:color w:val="auto"/>
          <w:sz w:val="32"/>
          <w:szCs w:val="32"/>
          <w:highlight w:val="none"/>
        </w:rPr>
        <w:instrText xml:space="preserve"> PAGEREF _Toc3117 \h </w:instrText>
      </w:r>
      <w:r>
        <w:rPr>
          <w:rFonts w:hint="eastAsia" w:ascii="楷体" w:hAnsi="楷体" w:eastAsia="楷体" w:cs="楷体"/>
          <w:color w:val="auto"/>
          <w:sz w:val="32"/>
          <w:szCs w:val="32"/>
          <w:highlight w:val="none"/>
        </w:rPr>
        <w:fldChar w:fldCharType="separate"/>
      </w:r>
      <w:r>
        <w:rPr>
          <w:rFonts w:hint="eastAsia" w:ascii="楷体" w:hAnsi="楷体" w:eastAsia="楷体" w:cs="楷体"/>
          <w:color w:val="auto"/>
          <w:sz w:val="32"/>
          <w:szCs w:val="32"/>
          <w:highlight w:val="none"/>
        </w:rPr>
        <w:t>7</w:t>
      </w:r>
      <w:r>
        <w:rPr>
          <w:rFonts w:hint="eastAsia" w:ascii="楷体" w:hAnsi="楷体" w:eastAsia="楷体" w:cs="楷体"/>
          <w:color w:val="auto"/>
          <w:sz w:val="32"/>
          <w:szCs w:val="32"/>
          <w:highlight w:val="none"/>
        </w:rPr>
        <w:fldChar w:fldCharType="end"/>
      </w:r>
      <w:r>
        <w:rPr>
          <w:rFonts w:hint="eastAsia" w:ascii="楷体" w:hAnsi="楷体" w:eastAsia="楷体" w:cs="楷体"/>
          <w:color w:val="auto"/>
          <w:sz w:val="32"/>
          <w:szCs w:val="32"/>
          <w:highlight w:val="none"/>
        </w:rPr>
        <w:fldChar w:fldCharType="end"/>
      </w:r>
    </w:p>
    <w:p w14:paraId="15053A9B">
      <w:pPr>
        <w:pStyle w:val="8"/>
        <w:tabs>
          <w:tab w:val="right" w:leader="dot" w:pos="8306"/>
        </w:tabs>
        <w:spacing w:line="560" w:lineRule="exact"/>
        <w:ind w:firstLine="640"/>
        <w:rPr>
          <w:rFonts w:hint="eastAsia" w:ascii="楷体" w:hAnsi="楷体" w:eastAsia="楷体" w:cs="楷体"/>
          <w:color w:val="auto"/>
          <w:sz w:val="32"/>
          <w:szCs w:val="32"/>
          <w:highlight w:val="none"/>
        </w:rPr>
      </w:pPr>
      <w:r>
        <w:rPr>
          <w:color w:val="auto"/>
          <w:highlight w:val="none"/>
        </w:rPr>
        <w:fldChar w:fldCharType="begin"/>
      </w:r>
      <w:r>
        <w:rPr>
          <w:color w:val="auto"/>
          <w:highlight w:val="none"/>
        </w:rPr>
        <w:instrText xml:space="preserve"> HYPERLINK \l "_Toc25777" </w:instrText>
      </w:r>
      <w:r>
        <w:rPr>
          <w:color w:val="auto"/>
          <w:highlight w:val="none"/>
        </w:rPr>
        <w:fldChar w:fldCharType="separate"/>
      </w:r>
      <w:r>
        <w:rPr>
          <w:rFonts w:hint="eastAsia" w:ascii="楷体" w:hAnsi="楷体" w:eastAsia="楷体" w:cs="楷体"/>
          <w:color w:val="auto"/>
          <w:sz w:val="32"/>
          <w:szCs w:val="32"/>
          <w:highlight w:val="none"/>
        </w:rPr>
        <w:t>（二）确定主要内容的论据</w:t>
      </w:r>
      <w:r>
        <w:rPr>
          <w:rFonts w:hint="eastAsia" w:ascii="楷体" w:hAnsi="楷体" w:eastAsia="楷体" w:cs="楷体"/>
          <w:color w:val="auto"/>
          <w:sz w:val="32"/>
          <w:szCs w:val="32"/>
          <w:highlight w:val="none"/>
        </w:rPr>
        <w:tab/>
      </w:r>
      <w:r>
        <w:rPr>
          <w:rFonts w:hint="eastAsia" w:ascii="楷体" w:hAnsi="楷体" w:eastAsia="楷体" w:cs="楷体"/>
          <w:color w:val="auto"/>
          <w:sz w:val="32"/>
          <w:szCs w:val="32"/>
          <w:highlight w:val="none"/>
        </w:rPr>
        <w:fldChar w:fldCharType="begin"/>
      </w:r>
      <w:r>
        <w:rPr>
          <w:rFonts w:hint="eastAsia" w:ascii="楷体" w:hAnsi="楷体" w:eastAsia="楷体" w:cs="楷体"/>
          <w:color w:val="auto"/>
          <w:sz w:val="32"/>
          <w:szCs w:val="32"/>
          <w:highlight w:val="none"/>
        </w:rPr>
        <w:instrText xml:space="preserve"> PAGEREF _Toc25777 \h </w:instrText>
      </w:r>
      <w:r>
        <w:rPr>
          <w:rFonts w:hint="eastAsia" w:ascii="楷体" w:hAnsi="楷体" w:eastAsia="楷体" w:cs="楷体"/>
          <w:color w:val="auto"/>
          <w:sz w:val="32"/>
          <w:szCs w:val="32"/>
          <w:highlight w:val="none"/>
        </w:rPr>
        <w:fldChar w:fldCharType="separate"/>
      </w:r>
      <w:r>
        <w:rPr>
          <w:rFonts w:hint="eastAsia" w:ascii="楷体" w:hAnsi="楷体" w:eastAsia="楷体" w:cs="楷体"/>
          <w:color w:val="auto"/>
          <w:sz w:val="32"/>
          <w:szCs w:val="32"/>
          <w:highlight w:val="none"/>
        </w:rPr>
        <w:t>8</w:t>
      </w:r>
      <w:r>
        <w:rPr>
          <w:rFonts w:hint="eastAsia" w:ascii="楷体" w:hAnsi="楷体" w:eastAsia="楷体" w:cs="楷体"/>
          <w:color w:val="auto"/>
          <w:sz w:val="32"/>
          <w:szCs w:val="32"/>
          <w:highlight w:val="none"/>
        </w:rPr>
        <w:fldChar w:fldCharType="end"/>
      </w:r>
      <w:r>
        <w:rPr>
          <w:rFonts w:hint="eastAsia" w:ascii="楷体" w:hAnsi="楷体" w:eastAsia="楷体" w:cs="楷体"/>
          <w:color w:val="auto"/>
          <w:sz w:val="32"/>
          <w:szCs w:val="32"/>
          <w:highlight w:val="none"/>
        </w:rPr>
        <w:fldChar w:fldCharType="end"/>
      </w:r>
    </w:p>
    <w:p w14:paraId="04A605B5">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"_Toc27569"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三、标准的主要内容</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_Toc27569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9</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7035A979">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"_Toc13755"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四、验证分析</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_Toc13755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14</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55B3740D">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"_Toc18542"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五、知识产权说明</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_Toc18542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14</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6078028B">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"_Toc21524"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六、采标情况</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_Toc21524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14</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770676F1">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"_Toc25423"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七、与现行法律规章及标准的协调性</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_Toc25423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15</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4E0E03B2">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"_Toc26309"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八、重大分歧意见的处理经过和依据</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_Toc26309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15</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0AB09F28">
      <w:pPr>
        <w:pStyle w:val="7"/>
        <w:tabs>
          <w:tab w:val="right" w:leader="dot" w:pos="8306"/>
          <w:tab w:val="clear" w:pos="8674"/>
        </w:tabs>
        <w:spacing w:before="156" w:line="560" w:lineRule="exact"/>
        <w:rPr>
          <w:rFonts w:hint="eastAsia" w:asciiTheme="majorEastAsia" w:hAnsiTheme="majorEastAsia" w:eastAsiaTheme="majorEastAsia" w:cstheme="majorEastAsia"/>
          <w:color w:val="auto"/>
          <w:sz w:val="32"/>
          <w:szCs w:val="32"/>
          <w:highlight w:val="none"/>
        </w:rPr>
      </w:pPr>
      <w:r>
        <w:rPr>
          <w:color w:val="auto"/>
          <w:highlight w:val="none"/>
        </w:rPr>
        <w:fldChar w:fldCharType="begin"/>
      </w:r>
      <w:r>
        <w:rPr>
          <w:color w:val="auto"/>
          <w:highlight w:val="none"/>
        </w:rPr>
        <w:instrText xml:space="preserve"> HYPERLINK \l "_Toc12772"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九、结论</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_Toc12772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15</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34D66CB1">
      <w:pPr>
        <w:pStyle w:val="7"/>
        <w:tabs>
          <w:tab w:val="right" w:leader="dot" w:pos="8306"/>
          <w:tab w:val="clear" w:pos="8674"/>
        </w:tabs>
        <w:spacing w:before="156" w:line="560" w:lineRule="exact"/>
        <w:rPr>
          <w:rFonts w:hint="eastAsia"/>
          <w:color w:val="auto"/>
          <w:sz w:val="32"/>
          <w:szCs w:val="32"/>
          <w:highlight w:val="none"/>
        </w:rPr>
      </w:pPr>
      <w:r>
        <w:rPr>
          <w:color w:val="auto"/>
          <w:highlight w:val="none"/>
        </w:rPr>
        <w:fldChar w:fldCharType="begin"/>
      </w:r>
      <w:r>
        <w:rPr>
          <w:color w:val="auto"/>
          <w:highlight w:val="none"/>
        </w:rPr>
        <w:instrText xml:space="preserve"> HYPERLINK \l "_Toc21815" </w:instrText>
      </w:r>
      <w:r>
        <w:rPr>
          <w:color w:val="auto"/>
          <w:highlight w:val="none"/>
        </w:rPr>
        <w:fldChar w:fldCharType="separate"/>
      </w:r>
      <w:r>
        <w:rPr>
          <w:rFonts w:hint="eastAsia" w:asciiTheme="majorEastAsia" w:hAnsiTheme="majorEastAsia" w:eastAsiaTheme="majorEastAsia" w:cstheme="majorEastAsia"/>
          <w:color w:val="auto"/>
          <w:sz w:val="32"/>
          <w:szCs w:val="32"/>
          <w:highlight w:val="none"/>
        </w:rPr>
        <w:t>十、其他应予说明的事项</w:t>
      </w:r>
      <w:r>
        <w:rPr>
          <w:rFonts w:hint="eastAsia" w:asciiTheme="majorEastAsia" w:hAnsiTheme="majorEastAsia" w:eastAsiaTheme="majorEastAsia" w:cstheme="majorEastAsia"/>
          <w:color w:val="auto"/>
          <w:sz w:val="32"/>
          <w:szCs w:val="32"/>
          <w:highlight w:val="none"/>
        </w:rPr>
        <w:tab/>
      </w:r>
      <w:r>
        <w:rPr>
          <w:rFonts w:hint="eastAsia" w:asciiTheme="majorEastAsia" w:hAnsiTheme="majorEastAsia" w:eastAsiaTheme="majorEastAsia" w:cstheme="majorEastAsia"/>
          <w:color w:val="auto"/>
          <w:sz w:val="32"/>
          <w:szCs w:val="32"/>
          <w:highlight w:val="none"/>
        </w:rPr>
        <w:fldChar w:fldCharType="begin"/>
      </w:r>
      <w:r>
        <w:rPr>
          <w:rFonts w:hint="eastAsia" w:asciiTheme="majorEastAsia" w:hAnsiTheme="majorEastAsia" w:eastAsiaTheme="majorEastAsia" w:cstheme="majorEastAsia"/>
          <w:color w:val="auto"/>
          <w:sz w:val="32"/>
          <w:szCs w:val="32"/>
          <w:highlight w:val="none"/>
        </w:rPr>
        <w:instrText xml:space="preserve"> PAGEREF _Toc21815 \h </w:instrText>
      </w:r>
      <w:r>
        <w:rPr>
          <w:rFonts w:hint="eastAsia" w:asciiTheme="majorEastAsia" w:hAnsiTheme="majorEastAsia" w:eastAsiaTheme="majorEastAsia" w:cstheme="majorEastAsia"/>
          <w:color w:val="auto"/>
          <w:sz w:val="32"/>
          <w:szCs w:val="32"/>
          <w:highlight w:val="none"/>
        </w:rPr>
        <w:fldChar w:fldCharType="separate"/>
      </w:r>
      <w:r>
        <w:rPr>
          <w:rFonts w:hint="eastAsia" w:asciiTheme="majorEastAsia" w:hAnsiTheme="majorEastAsia" w:eastAsiaTheme="majorEastAsia" w:cstheme="majorEastAsia"/>
          <w:color w:val="auto"/>
          <w:sz w:val="32"/>
          <w:szCs w:val="32"/>
          <w:highlight w:val="none"/>
        </w:rPr>
        <w:t>15</w:t>
      </w:r>
      <w:r>
        <w:rPr>
          <w:rFonts w:hint="eastAsia" w:asciiTheme="majorEastAsia" w:hAnsiTheme="majorEastAsia" w:eastAsiaTheme="majorEastAsia" w:cstheme="majorEastAsia"/>
          <w:color w:val="auto"/>
          <w:sz w:val="32"/>
          <w:szCs w:val="32"/>
          <w:highlight w:val="none"/>
        </w:rPr>
        <w:fldChar w:fldCharType="end"/>
      </w:r>
      <w:r>
        <w:rPr>
          <w:rFonts w:hint="eastAsia" w:asciiTheme="majorEastAsia" w:hAnsiTheme="majorEastAsia" w:eastAsiaTheme="majorEastAsia" w:cstheme="majorEastAsia"/>
          <w:color w:val="auto"/>
          <w:sz w:val="32"/>
          <w:szCs w:val="32"/>
          <w:highlight w:val="none"/>
        </w:rPr>
        <w:fldChar w:fldCharType="end"/>
      </w:r>
    </w:p>
    <w:p w14:paraId="21148DC1">
      <w:pPr>
        <w:spacing w:line="560" w:lineRule="exact"/>
        <w:contextualSpacing/>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end"/>
      </w:r>
    </w:p>
    <w:p w14:paraId="2C8EFB95">
      <w:pPr>
        <w:contextualSpacing/>
        <w:rPr>
          <w:rFonts w:hint="eastAsia" w:ascii="仿宋_GB2312" w:hAnsi="仿宋_GB2312" w:eastAsia="仿宋_GB2312" w:cs="仿宋_GB2312"/>
          <w:color w:val="auto"/>
          <w:szCs w:val="28"/>
          <w:highlight w:val="none"/>
        </w:rPr>
      </w:pPr>
    </w:p>
    <w:p w14:paraId="04564E23">
      <w:pPr>
        <w:contextualSpacing/>
        <w:rPr>
          <w:rFonts w:hint="eastAsia" w:ascii="仿宋_GB2312" w:hAnsi="仿宋_GB2312" w:eastAsia="仿宋_GB2312" w:cs="仿宋_GB2312"/>
          <w:color w:val="auto"/>
          <w:szCs w:val="28"/>
          <w:highlight w:val="none"/>
        </w:rPr>
      </w:pPr>
    </w:p>
    <w:p w14:paraId="7E00415E">
      <w:pPr>
        <w:contextualSpacing/>
        <w:rPr>
          <w:rFonts w:hint="eastAsia" w:ascii="仿宋_GB2312" w:hAnsi="仿宋_GB2312" w:eastAsia="仿宋_GB2312" w:cs="仿宋_GB2312"/>
          <w:color w:val="auto"/>
          <w:szCs w:val="28"/>
          <w:highlight w:val="none"/>
        </w:rPr>
      </w:pPr>
    </w:p>
    <w:p w14:paraId="6AD8BD3D">
      <w:pPr>
        <w:contextualSpacing/>
        <w:rPr>
          <w:rFonts w:hint="eastAsia" w:ascii="仿宋_GB2312" w:hAnsi="仿宋_GB2312" w:eastAsia="仿宋_GB2312" w:cs="仿宋_GB2312"/>
          <w:color w:val="auto"/>
          <w:szCs w:val="28"/>
          <w:highlight w:val="none"/>
        </w:rPr>
      </w:pPr>
    </w:p>
    <w:p w14:paraId="17E0C460">
      <w:pPr>
        <w:contextualSpacing/>
        <w:rPr>
          <w:rFonts w:hint="eastAsia" w:ascii="仿宋_GB2312" w:hAnsi="仿宋_GB2312" w:eastAsia="仿宋_GB2312" w:cs="仿宋_GB2312"/>
          <w:color w:val="auto"/>
          <w:szCs w:val="28"/>
          <w:highlight w:val="none"/>
        </w:rPr>
      </w:pPr>
    </w:p>
    <w:p w14:paraId="24DA4A0E">
      <w:pPr>
        <w:contextualSpacing/>
        <w:rPr>
          <w:rFonts w:hint="eastAsia" w:ascii="仿宋_GB2312" w:hAnsi="仿宋_GB2312" w:eastAsia="仿宋_GB2312" w:cs="仿宋_GB2312"/>
          <w:color w:val="auto"/>
          <w:szCs w:val="28"/>
          <w:highlight w:val="none"/>
        </w:rPr>
      </w:pPr>
    </w:p>
    <w:p w14:paraId="6557B0E2">
      <w:pPr>
        <w:contextualSpacing/>
        <w:rPr>
          <w:rFonts w:hint="eastAsia" w:ascii="仿宋_GB2312" w:hAnsi="仿宋_GB2312" w:eastAsia="仿宋_GB2312" w:cs="仿宋_GB2312"/>
          <w:color w:val="auto"/>
          <w:szCs w:val="28"/>
          <w:highlight w:val="none"/>
        </w:rPr>
      </w:pPr>
    </w:p>
    <w:p w14:paraId="7029B7F9">
      <w:pPr>
        <w:contextualSpacing/>
        <w:rPr>
          <w:rFonts w:hint="eastAsia" w:ascii="仿宋_GB2312" w:hAnsi="仿宋_GB2312" w:eastAsia="仿宋_GB2312" w:cs="仿宋_GB2312"/>
          <w:color w:val="auto"/>
          <w:szCs w:val="28"/>
          <w:highlight w:val="none"/>
        </w:rPr>
      </w:pPr>
    </w:p>
    <w:p w14:paraId="0B83BE8D">
      <w:pPr>
        <w:spacing w:line="600" w:lineRule="exact"/>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《市县级矿产资源总体规划编制技术规范》</w:t>
      </w:r>
    </w:p>
    <w:p w14:paraId="5831DAB2">
      <w:pPr>
        <w:spacing w:line="600" w:lineRule="exact"/>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编制说明</w:t>
      </w:r>
    </w:p>
    <w:p w14:paraId="0B9FD6B4">
      <w:pPr>
        <w:spacing w:line="600" w:lineRule="exact"/>
        <w:jc w:val="center"/>
        <w:rPr>
          <w:rFonts w:hint="eastAsia" w:ascii="黑体" w:hAnsi="黑体" w:eastAsia="黑体" w:cs="黑体"/>
          <w:color w:val="auto"/>
          <w:sz w:val="40"/>
          <w:szCs w:val="40"/>
          <w:highlight w:val="none"/>
        </w:rPr>
      </w:pPr>
    </w:p>
    <w:p w14:paraId="0DFC6A6C">
      <w:pPr>
        <w:spacing w:line="560" w:lineRule="exact"/>
        <w:ind w:firstLine="640" w:firstLineChars="200"/>
        <w:outlineLvl w:val="0"/>
        <w:rPr>
          <w:rFonts w:hint="eastAsia" w:ascii="黑体" w:hAnsi="黑体" w:eastAsia="黑体" w:cs="黑体"/>
          <w:color w:val="auto"/>
          <w:sz w:val="32"/>
          <w:szCs w:val="32"/>
          <w:highlight w:val="none"/>
        </w:rPr>
      </w:pPr>
      <w:bookmarkStart w:id="0" w:name="_Toc11071"/>
      <w:r>
        <w:rPr>
          <w:rFonts w:hint="eastAsia" w:ascii="黑体" w:hAnsi="黑体" w:eastAsia="黑体" w:cs="黑体"/>
          <w:color w:val="auto"/>
          <w:sz w:val="32"/>
          <w:szCs w:val="32"/>
          <w:highlight w:val="none"/>
        </w:rPr>
        <w:t>一、工作概况</w:t>
      </w:r>
      <w:bookmarkEnd w:id="0"/>
    </w:p>
    <w:p w14:paraId="278B5919">
      <w:pPr>
        <w:spacing w:line="560" w:lineRule="exact"/>
        <w:ind w:firstLine="600" w:firstLineChars="200"/>
        <w:outlineLvl w:val="1"/>
        <w:rPr>
          <w:rFonts w:hint="eastAsia" w:ascii="黑体" w:hAnsi="黑体" w:eastAsia="黑体" w:cs="黑体"/>
          <w:color w:val="auto"/>
          <w:sz w:val="30"/>
          <w:szCs w:val="30"/>
          <w:highlight w:val="none"/>
        </w:rPr>
      </w:pPr>
      <w:bookmarkStart w:id="1" w:name="_Toc2269"/>
      <w:r>
        <w:rPr>
          <w:rFonts w:hint="eastAsia" w:ascii="黑体" w:hAnsi="黑体" w:eastAsia="黑体" w:cs="黑体"/>
          <w:color w:val="auto"/>
          <w:sz w:val="30"/>
          <w:szCs w:val="30"/>
          <w:highlight w:val="none"/>
        </w:rPr>
        <w:t>（一）任务来源</w:t>
      </w:r>
      <w:bookmarkEnd w:id="1"/>
    </w:p>
    <w:p w14:paraId="27E5DFD6">
      <w:pPr>
        <w:pStyle w:val="2"/>
        <w:keepNext w:val="0"/>
        <w:keepLines w:val="0"/>
        <w:widowControl/>
        <w:spacing w:before="0" w:after="0" w:line="576" w:lineRule="atLeast"/>
        <w:ind w:firstLine="640" w:firstLineChars="200"/>
        <w:jc w:val="left"/>
        <w:rPr>
          <w:rFonts w:hint="eastAsia" w:ascii="仿宋_GB2312" w:hAnsi="仿宋_GB2312" w:eastAsia="仿宋_GB2312" w:cs="仿宋_GB2312"/>
          <w:b w:val="0"/>
          <w:bCs w:val="0"/>
          <w:color w:val="auto"/>
          <w:sz w:val="32"/>
          <w:szCs w:val="32"/>
          <w:highlight w:val="none"/>
        </w:rPr>
      </w:pPr>
      <w:bookmarkStart w:id="2" w:name="_Toc30911"/>
      <w:r>
        <w:rPr>
          <w:rFonts w:hint="eastAsia" w:ascii="仿宋_GB2312" w:hAnsi="仿宋_GB2312" w:eastAsia="仿宋_GB2312" w:cs="仿宋_GB2312"/>
          <w:b w:val="0"/>
          <w:bCs w:val="0"/>
          <w:color w:val="auto"/>
          <w:sz w:val="32"/>
          <w:szCs w:val="32"/>
          <w:highlight w:val="none"/>
        </w:rPr>
        <w:t>2025年1月24日，陕西省自然资源厅下发了《</w:t>
      </w:r>
      <w:r>
        <w:rPr>
          <w:rFonts w:hint="eastAsia" w:ascii="仿宋_GB2312" w:hAnsi="仿宋_GB2312" w:eastAsia="仿宋_GB2312" w:cs="仿宋_GB2312"/>
          <w:b w:val="0"/>
          <w:bCs w:val="0"/>
          <w:color w:val="auto"/>
          <w:sz w:val="32"/>
          <w:szCs w:val="32"/>
          <w:highlight w:val="none"/>
        </w:rPr>
        <w:t>关于征集2025年陕西省自然资源领域地方标准制修订项目的通知</w:t>
      </w:r>
      <w:r>
        <w:rPr>
          <w:rFonts w:hint="eastAsia" w:ascii="仿宋_GB2312" w:hAnsi="仿宋_GB2312" w:eastAsia="仿宋_GB2312" w:cs="仿宋_GB2312"/>
          <w:b w:val="0"/>
          <w:bCs w:val="0"/>
          <w:color w:val="auto"/>
          <w:sz w:val="32"/>
          <w:szCs w:val="32"/>
          <w:highlight w:val="none"/>
        </w:rPr>
        <w:t>》，面向陕西省自然资源领域征集地方标准制修订项目。陕西省国土空间勘测规划院联合相关单位起草了《</w:t>
      </w:r>
      <w:bookmarkStart w:id="3" w:name="_Hlk211185862"/>
      <w:r>
        <w:rPr>
          <w:rFonts w:hint="eastAsia" w:ascii="仿宋_GB2312" w:hAnsi="仿宋_GB2312" w:eastAsia="仿宋_GB2312" w:cs="仿宋_GB2312"/>
          <w:b w:val="0"/>
          <w:bCs w:val="0"/>
          <w:color w:val="auto"/>
          <w:sz w:val="32"/>
          <w:szCs w:val="32"/>
          <w:highlight w:val="none"/>
        </w:rPr>
        <w:t>市县级矿产资源规划编制技术规程</w:t>
      </w:r>
      <w:bookmarkEnd w:id="3"/>
      <w:r>
        <w:rPr>
          <w:rFonts w:hint="eastAsia" w:ascii="仿宋_GB2312" w:hAnsi="仿宋_GB2312" w:eastAsia="仿宋_GB2312" w:cs="仿宋_GB2312"/>
          <w:b w:val="0"/>
          <w:bCs w:val="0"/>
          <w:color w:val="auto"/>
          <w:sz w:val="32"/>
          <w:szCs w:val="32"/>
          <w:highlight w:val="none"/>
        </w:rPr>
        <w:t>》（草案）以及《陕西省地方标准制修订立项申请书》，向陕西省自然资源标准化技术委员会报送了标准制定项目。</w:t>
      </w:r>
      <w:bookmarkEnd w:id="2"/>
    </w:p>
    <w:p w14:paraId="38C8E0B8">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3月25日，陕西省自然资源标准化技术委员会在陕西省自然资源厅（西安市劳动南路180号）组织召开了2025年全省自然资源领域地方标准制申报预审会，邀请了专家及厅相关业务处室负责人，对标准内容进行审查，《市县级矿产资源规划编制技术规程》顺利通过预审。</w:t>
      </w:r>
    </w:p>
    <w:p w14:paraId="0D61D3BB">
      <w:pPr>
        <w:pStyle w:val="9"/>
        <w:widowControl/>
        <w:shd w:val="clear" w:color="auto" w:fill="FFFFFF"/>
        <w:spacing w:beforeAutospacing="0" w:afterAutospacing="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2025年5月16日，陕西省市场监督管理局组织召开了2025年第一批省级地方标准立项评审会，组织相关专家对61个省级地方标准推荐项目进行了立项审查，《市县级矿产资源规划编制技术</w:t>
      </w:r>
      <w:r>
        <w:rPr>
          <w:rFonts w:hint="eastAsia" w:ascii="仿宋_GB2312" w:hAnsi="仿宋_GB2312" w:eastAsia="仿宋_GB2312" w:cs="仿宋_GB2312"/>
          <w:color w:val="auto"/>
          <w:sz w:val="32"/>
          <w:szCs w:val="32"/>
          <w:highlight w:val="none"/>
          <w:lang w:eastAsia="zh-CN"/>
        </w:rPr>
        <w:t>规范</w:t>
      </w:r>
      <w:r>
        <w:rPr>
          <w:rFonts w:hint="eastAsia" w:ascii="仿宋_GB2312" w:hAnsi="仿宋_GB2312" w:eastAsia="仿宋_GB2312" w:cs="仿宋_GB2312"/>
          <w:color w:val="auto"/>
          <w:sz w:val="32"/>
          <w:szCs w:val="32"/>
          <w:highlight w:val="none"/>
        </w:rPr>
        <w:t>》顺利通过答辩审查。2025年6月16日，陕西省市场监督管理局印发了《陕西省市场监督管理局关于下达2025年第一批陕西省地方标准项目计划的函》（陕市监标函〔2025〕32号），《市县级矿产资源规划编制技术</w:t>
      </w:r>
      <w:r>
        <w:rPr>
          <w:rFonts w:hint="eastAsia" w:ascii="仿宋_GB2312" w:hAnsi="仿宋_GB2312" w:eastAsia="仿宋_GB2312" w:cs="仿宋_GB2312"/>
          <w:color w:val="auto"/>
          <w:sz w:val="32"/>
          <w:szCs w:val="32"/>
          <w:highlight w:val="none"/>
          <w:lang w:eastAsia="zh-CN"/>
        </w:rPr>
        <w:t>规范</w:t>
      </w:r>
      <w:r>
        <w:rPr>
          <w:rFonts w:hint="eastAsia" w:ascii="仿宋_GB2312" w:hAnsi="仿宋_GB2312" w:eastAsia="仿宋_GB2312" w:cs="仿宋_GB2312"/>
          <w:color w:val="auto"/>
          <w:sz w:val="32"/>
          <w:szCs w:val="32"/>
          <w:highlight w:val="none"/>
        </w:rPr>
        <w:t>》被列入2025年陕西省地方标准制修订项目计划。</w:t>
      </w:r>
    </w:p>
    <w:p w14:paraId="7D045B16">
      <w:pPr>
        <w:spacing w:line="560" w:lineRule="exact"/>
        <w:ind w:firstLine="600" w:firstLineChars="200"/>
        <w:outlineLvl w:val="1"/>
        <w:rPr>
          <w:rFonts w:hint="eastAsia" w:ascii="黑体" w:hAnsi="黑体" w:eastAsia="黑体" w:cs="黑体"/>
          <w:color w:val="auto"/>
          <w:sz w:val="30"/>
          <w:szCs w:val="30"/>
          <w:highlight w:val="none"/>
        </w:rPr>
      </w:pPr>
      <w:bookmarkStart w:id="4" w:name="_Toc10394"/>
      <w:r>
        <w:rPr>
          <w:rFonts w:hint="eastAsia" w:ascii="黑体" w:hAnsi="黑体" w:eastAsia="黑体" w:cs="黑体"/>
          <w:color w:val="auto"/>
          <w:sz w:val="30"/>
          <w:szCs w:val="30"/>
          <w:highlight w:val="none"/>
        </w:rPr>
        <w:t>（二）起草单位</w:t>
      </w:r>
      <w:bookmarkEnd w:id="4"/>
    </w:p>
    <w:p w14:paraId="2B275700">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本标准（草案）由</w:t>
      </w:r>
      <w:bookmarkStart w:id="5" w:name="_Hlk185582699"/>
      <w:r>
        <w:rPr>
          <w:rFonts w:hint="eastAsia" w:ascii="仿宋_GB2312" w:hAnsi="仿宋_GB2312" w:eastAsia="仿宋_GB2312" w:cs="仿宋_GB2312"/>
          <w:color w:val="auto"/>
          <w:kern w:val="0"/>
          <w:sz w:val="32"/>
          <w:szCs w:val="32"/>
          <w:highlight w:val="none"/>
          <w:lang w:bidi="ar"/>
        </w:rPr>
        <w:t>陕西省国土空间勘测规划院</w:t>
      </w:r>
      <w:bookmarkEnd w:id="5"/>
      <w:r>
        <w:rPr>
          <w:rFonts w:hint="eastAsia" w:ascii="仿宋_GB2312" w:hAnsi="仿宋_GB2312" w:eastAsia="仿宋_GB2312" w:cs="仿宋_GB2312"/>
          <w:color w:val="auto"/>
          <w:kern w:val="0"/>
          <w:sz w:val="32"/>
          <w:szCs w:val="32"/>
          <w:highlight w:val="none"/>
          <w:lang w:bidi="ar"/>
        </w:rPr>
        <w:t xml:space="preserve">牵头，陕西省自然资源厅矿产资源保护监督处、宝鸡西北有色七一七总队有限公司、西安地质矿产勘查开发院有限公司、宝鸡市自然资源和规划局、神木市自然资源和规划局、长安大学共同参与。 </w:t>
      </w:r>
    </w:p>
    <w:p w14:paraId="1F416628">
      <w:pPr>
        <w:spacing w:line="560" w:lineRule="exact"/>
        <w:ind w:firstLine="600" w:firstLineChars="200"/>
        <w:outlineLvl w:val="1"/>
        <w:rPr>
          <w:rFonts w:hint="eastAsia" w:ascii="黑体" w:hAnsi="黑体" w:eastAsia="黑体" w:cs="黑体"/>
          <w:color w:val="auto"/>
          <w:sz w:val="30"/>
          <w:szCs w:val="30"/>
          <w:highlight w:val="none"/>
        </w:rPr>
      </w:pPr>
      <w:bookmarkStart w:id="6" w:name="_Toc3448"/>
      <w:r>
        <w:rPr>
          <w:rFonts w:hint="eastAsia" w:ascii="黑体" w:hAnsi="黑体" w:eastAsia="黑体" w:cs="黑体"/>
          <w:color w:val="auto"/>
          <w:sz w:val="30"/>
          <w:szCs w:val="30"/>
          <w:highlight w:val="none"/>
        </w:rPr>
        <w:t>（三）制定背景</w:t>
      </w:r>
      <w:bookmarkEnd w:id="6"/>
    </w:p>
    <w:p w14:paraId="2AF8C720">
      <w:pPr>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最新修订的《中华人民共和国矿产资源法》将市县级矿产资源总体规划的编制写进法律。《矿产资源规划编制实施办法》提出“省级自然资源主管部门负责制定本行政区域内设区的市级、县级矿产资源规划编制技术要求”。自然资源部印发的《</w:t>
      </w:r>
      <w:r>
        <w:rPr>
          <w:rFonts w:hint="default" w:ascii="仿宋_GB2312" w:hAnsi="仿宋_GB2312" w:eastAsia="仿宋_GB2312" w:cs="仿宋_GB2312"/>
          <w:color w:val="auto"/>
          <w:kern w:val="0"/>
          <w:sz w:val="32"/>
          <w:szCs w:val="32"/>
          <w:highlight w:val="none"/>
          <w:lang w:val="en-US" w:eastAsia="zh-CN" w:bidi="ar"/>
        </w:rPr>
        <w:t>“</w:t>
      </w:r>
      <w:r>
        <w:rPr>
          <w:rFonts w:hint="eastAsia" w:ascii="仿宋_GB2312" w:hAnsi="仿宋_GB2312" w:eastAsia="仿宋_GB2312" w:cs="仿宋_GB2312"/>
          <w:color w:val="auto"/>
          <w:kern w:val="0"/>
          <w:sz w:val="32"/>
          <w:szCs w:val="32"/>
          <w:highlight w:val="none"/>
          <w:lang w:val="en-US" w:eastAsia="zh-CN" w:bidi="ar"/>
        </w:rPr>
        <w:t>十五五”</w:t>
      </w:r>
      <w:r>
        <w:rPr>
          <w:rFonts w:hint="eastAsia" w:ascii="仿宋_GB2312" w:hAnsi="仿宋_GB2312" w:eastAsia="仿宋_GB2312" w:cs="仿宋_GB2312"/>
          <w:color w:val="auto"/>
          <w:kern w:val="0"/>
          <w:sz w:val="32"/>
          <w:szCs w:val="32"/>
          <w:highlight w:val="none"/>
          <w:lang w:bidi="ar"/>
        </w:rPr>
        <w:t>市县级矿产资源规划编制</w:t>
      </w:r>
      <w:r>
        <w:rPr>
          <w:rFonts w:hint="eastAsia" w:ascii="仿宋_GB2312" w:hAnsi="仿宋_GB2312" w:eastAsia="仿宋_GB2312" w:cs="仿宋_GB2312"/>
          <w:color w:val="auto"/>
          <w:kern w:val="0"/>
          <w:sz w:val="32"/>
          <w:szCs w:val="32"/>
          <w:highlight w:val="none"/>
          <w:lang w:eastAsia="zh-CN" w:bidi="ar"/>
        </w:rPr>
        <w:t>指南</w:t>
      </w:r>
      <w:r>
        <w:rPr>
          <w:rFonts w:hint="eastAsia" w:ascii="仿宋_GB2312" w:hAnsi="仿宋_GB2312" w:eastAsia="仿宋_GB2312" w:cs="仿宋_GB2312"/>
          <w:color w:val="auto"/>
          <w:kern w:val="0"/>
          <w:sz w:val="32"/>
          <w:szCs w:val="32"/>
          <w:highlight w:val="none"/>
          <w:lang w:bidi="ar"/>
        </w:rPr>
        <w:t>》指出“各省级自然资源主管部门可参照《省级矿产资源规划编制技术规程》和本编制</w:t>
      </w:r>
      <w:r>
        <w:rPr>
          <w:rFonts w:hint="eastAsia" w:ascii="仿宋_GB2312" w:hAnsi="仿宋_GB2312" w:eastAsia="仿宋_GB2312" w:cs="仿宋_GB2312"/>
          <w:color w:val="auto"/>
          <w:kern w:val="0"/>
          <w:sz w:val="32"/>
          <w:szCs w:val="32"/>
          <w:highlight w:val="none"/>
          <w:lang w:eastAsia="zh-CN" w:bidi="ar"/>
        </w:rPr>
        <w:t>指南</w:t>
      </w:r>
      <w:r>
        <w:rPr>
          <w:rFonts w:hint="eastAsia" w:ascii="仿宋_GB2312" w:hAnsi="仿宋_GB2312" w:eastAsia="仿宋_GB2312" w:cs="仿宋_GB2312"/>
          <w:color w:val="auto"/>
          <w:kern w:val="0"/>
          <w:sz w:val="32"/>
          <w:szCs w:val="32"/>
          <w:highlight w:val="none"/>
          <w:lang w:bidi="ar"/>
        </w:rPr>
        <w:t>有关要求，</w:t>
      </w:r>
      <w:r>
        <w:rPr>
          <w:rFonts w:hint="eastAsia" w:ascii="仿宋_GB2312" w:hAnsi="仿宋_GB2312" w:eastAsia="仿宋_GB2312" w:cs="仿宋_GB2312"/>
          <w:color w:val="auto"/>
          <w:kern w:val="0"/>
          <w:sz w:val="32"/>
          <w:szCs w:val="32"/>
          <w:highlight w:val="none"/>
          <w:lang w:eastAsia="zh-CN" w:bidi="ar"/>
        </w:rPr>
        <w:t>结合地区实际，</w:t>
      </w:r>
      <w:r>
        <w:rPr>
          <w:rFonts w:hint="eastAsia" w:ascii="仿宋_GB2312" w:hAnsi="仿宋_GB2312" w:eastAsia="仿宋_GB2312" w:cs="仿宋_GB2312"/>
          <w:color w:val="auto"/>
          <w:kern w:val="0"/>
          <w:sz w:val="32"/>
          <w:szCs w:val="32"/>
          <w:highlight w:val="none"/>
          <w:lang w:bidi="ar"/>
        </w:rPr>
        <w:t>制定市县级规划编制技术要求或规范”。陕西省国土空间勘测规划院作为技术支撑单位对各市县提交的矿产资源总体规（2021-2025年）进行审查，发现了编制过程中存在的不足和问题。因此，在陕西省矿产资源总体规划（2026-2030年）编制项目中设置《市县级矿产资源规划编制思路与方法研究》专题研究项目。为了高质量完成陕西省矿产资源总体规划（2026-2030年）编制项目，</w:t>
      </w:r>
      <w:bookmarkStart w:id="7" w:name="_Hlk211197014"/>
      <w:r>
        <w:rPr>
          <w:rFonts w:hint="eastAsia" w:ascii="仿宋_GB2312" w:hAnsi="仿宋_GB2312" w:eastAsia="仿宋_GB2312" w:cs="仿宋_GB2312"/>
          <w:color w:val="auto"/>
          <w:kern w:val="0"/>
          <w:sz w:val="32"/>
          <w:szCs w:val="32"/>
          <w:highlight w:val="none"/>
          <w:lang w:bidi="ar"/>
        </w:rPr>
        <w:t>自然资源管理部门、技术牵头单位、专题研究单位成立调研组</w:t>
      </w:r>
      <w:bookmarkEnd w:id="7"/>
      <w:r>
        <w:rPr>
          <w:rFonts w:hint="eastAsia" w:ascii="仿宋_GB2312" w:hAnsi="仿宋_GB2312" w:eastAsia="仿宋_GB2312" w:cs="仿宋_GB2312"/>
          <w:color w:val="auto"/>
          <w:kern w:val="0"/>
          <w:sz w:val="32"/>
          <w:szCs w:val="32"/>
          <w:highlight w:val="none"/>
          <w:lang w:bidi="ar"/>
        </w:rPr>
        <w:t>，赴全省9个地级市、17个县、25座矿山开展实地调研工作，收集了规划实施大量的第一手资料的调研情况及研究成果。根据审查及调研情况发现市县级矿产资源总体规划存在报告质量参差不齐，缺乏地方资源特色，目标指标制定缺乏科学依据；规划编制方法思路不符合矿业发展的新形势、新要求；上位规划落实不彻底，不细致；规划编制进度差距较大，导致规划编制周期长、实施滞后；相关程序不清等问题，难以保障市县级规划编制质量、规划缺乏地方特色，影响了规划的操作性，故编制《市县级矿产资源总体规划编制技术规范》对市县级矿产资源总体规划编制工作进行规范。</w:t>
      </w:r>
    </w:p>
    <w:p w14:paraId="24FBF21D">
      <w:pPr>
        <w:spacing w:line="560" w:lineRule="exact"/>
        <w:ind w:firstLine="600" w:firstLineChars="200"/>
        <w:outlineLvl w:val="1"/>
        <w:rPr>
          <w:rFonts w:hint="eastAsia" w:ascii="黑体" w:hAnsi="黑体" w:eastAsia="黑体" w:cs="黑体"/>
          <w:color w:val="auto"/>
          <w:sz w:val="30"/>
          <w:szCs w:val="30"/>
          <w:highlight w:val="none"/>
        </w:rPr>
      </w:pPr>
      <w:bookmarkStart w:id="8" w:name="_Toc26814"/>
      <w:r>
        <w:rPr>
          <w:rFonts w:hint="eastAsia" w:ascii="黑体" w:hAnsi="黑体" w:eastAsia="黑体" w:cs="黑体"/>
          <w:color w:val="auto"/>
          <w:sz w:val="30"/>
          <w:szCs w:val="30"/>
          <w:highlight w:val="none"/>
        </w:rPr>
        <w:t>（四）起草过程</w:t>
      </w:r>
      <w:bookmarkEnd w:id="8"/>
    </w:p>
    <w:p w14:paraId="7084140E">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1.前期研究（2024年1月-2025年1月）</w:t>
      </w:r>
    </w:p>
    <w:p w14:paraId="16024EE8">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搜集相关资料，研读《中华人民共和国矿产资源法》、《矿产资源规划编制实施办法》、《省级矿产资源总体规划编制技术规程》、《</w:t>
      </w:r>
      <w:r>
        <w:rPr>
          <w:rFonts w:hint="eastAsia" w:ascii="仿宋_GB2312" w:hAnsi="仿宋_GB2312" w:eastAsia="仿宋_GB2312" w:cs="仿宋_GB2312"/>
          <w:color w:val="auto"/>
          <w:kern w:val="0"/>
          <w:sz w:val="32"/>
          <w:szCs w:val="32"/>
          <w:highlight w:val="none"/>
          <w:lang w:bidi="ar"/>
        </w:rPr>
        <w:t>市县级矿产资源</w:t>
      </w:r>
      <w:r>
        <w:rPr>
          <w:rFonts w:hint="eastAsia" w:ascii="仿宋_GB2312" w:hAnsi="仿宋_GB2312" w:eastAsia="仿宋_GB2312" w:cs="仿宋_GB2312"/>
          <w:color w:val="auto"/>
          <w:kern w:val="0"/>
          <w:sz w:val="32"/>
          <w:szCs w:val="32"/>
          <w:highlight w:val="none"/>
          <w:lang w:eastAsia="zh-CN" w:bidi="ar"/>
        </w:rPr>
        <w:t>总体</w:t>
      </w:r>
      <w:r>
        <w:rPr>
          <w:rFonts w:hint="eastAsia" w:ascii="仿宋_GB2312" w:hAnsi="仿宋_GB2312" w:eastAsia="仿宋_GB2312" w:cs="仿宋_GB2312"/>
          <w:color w:val="auto"/>
          <w:kern w:val="0"/>
          <w:sz w:val="32"/>
          <w:szCs w:val="32"/>
          <w:highlight w:val="none"/>
          <w:lang w:bidi="ar"/>
        </w:rPr>
        <w:t>规划编制要点</w:t>
      </w: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bidi="ar"/>
        </w:rPr>
        <w:t>，查阅市县级矿产资源总体规划、相关专项规划，梳理市县矿产资源规划的文本要点、技术要点及规划存在问题，完成《市县级矿产资源</w:t>
      </w:r>
      <w:r>
        <w:rPr>
          <w:rFonts w:hint="eastAsia" w:ascii="仿宋_GB2312" w:hAnsi="仿宋_GB2312" w:eastAsia="仿宋_GB2312" w:cs="仿宋_GB2312"/>
          <w:color w:val="auto"/>
          <w:kern w:val="0"/>
          <w:sz w:val="32"/>
          <w:szCs w:val="32"/>
          <w:highlight w:val="none"/>
          <w:lang w:eastAsia="zh-CN" w:bidi="ar"/>
        </w:rPr>
        <w:t>总体</w:t>
      </w:r>
      <w:r>
        <w:rPr>
          <w:rFonts w:hint="eastAsia" w:ascii="仿宋_GB2312" w:hAnsi="仿宋_GB2312" w:eastAsia="仿宋_GB2312" w:cs="仿宋_GB2312"/>
          <w:color w:val="auto"/>
          <w:kern w:val="0"/>
          <w:sz w:val="32"/>
          <w:szCs w:val="32"/>
          <w:highlight w:val="none"/>
          <w:lang w:bidi="ar"/>
        </w:rPr>
        <w:t>规划编制技术规程》（草案）的起草。</w:t>
      </w:r>
    </w:p>
    <w:p w14:paraId="7199CA75">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2.申请立项（2025年3月-2025年6月）</w:t>
      </w:r>
    </w:p>
    <w:p w14:paraId="33F8E2D7">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按照《陕西省市场监督管理局关于印发〈2025 年陕西省地方标准申报指南〉的通知》（陕市监标函〔2025〕3 号）要求，《陕西省自然资源厅关于征集2025年陕西省自然资源领域地方标准制修订项目的通知》等要求，按时完成了标准草案的起草与报送。3月25日，项目负责人参加了陕西省自然资源标准化技术委员会组织的预审会，项目通过答辩预审。</w:t>
      </w:r>
    </w:p>
    <w:p w14:paraId="6E232127">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2025年4月8日，召开标准专家咨询会，会议邀请了地质调查、矿产勘查、矿产资源开发利用等领域知名专家对标准进行讨论，会后结合专家意见，逐条讨论标准的修改细节，对相关内容进行修改，根据本次</w:t>
      </w:r>
      <w:r>
        <w:rPr>
          <w:rFonts w:hint="eastAsia" w:ascii="仿宋_GB2312" w:hAnsi="仿宋_GB2312" w:eastAsia="仿宋_GB2312" w:cs="仿宋_GB2312"/>
          <w:color w:val="auto"/>
          <w:kern w:val="0"/>
          <w:sz w:val="32"/>
          <w:szCs w:val="32"/>
          <w:highlight w:val="none"/>
          <w:lang w:eastAsia="zh-CN" w:bidi="ar"/>
        </w:rPr>
        <w:t>会议讨论结果，</w:t>
      </w:r>
      <w:r>
        <w:rPr>
          <w:rFonts w:hint="eastAsia" w:ascii="仿宋_GB2312" w:hAnsi="仿宋_GB2312" w:eastAsia="仿宋_GB2312" w:cs="仿宋_GB2312"/>
          <w:color w:val="auto"/>
          <w:kern w:val="0"/>
          <w:sz w:val="32"/>
          <w:szCs w:val="32"/>
          <w:highlight w:val="none"/>
          <w:lang w:bidi="ar"/>
        </w:rPr>
        <w:t>将《市县级矿产资源总体规划编制技术规程》改为《市县级矿产资源总体规划编制技术规范》。</w:t>
      </w:r>
    </w:p>
    <w:p w14:paraId="54BBC735">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2025年5月6日，召开了标准起草组初稿讨论会，会议邀请地质调查、矿产勘查、矿产资源开发利用等领域知名专家及长安大学专家与编制组主要成员针对标准相关内容的修改发表了意见，经过会议讨论，确定了标准的编制流程及技术要求、规划目标指标论证技术方法、勘查开采规划区块及砂石土类集中开采区划定的技术要求等内容。会后根据相关意见进行修改，形成标准讨论一稿。</w:t>
      </w:r>
    </w:p>
    <w:p w14:paraId="42D627C7">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5月16日，参加了</w:t>
      </w:r>
      <w:r>
        <w:rPr>
          <w:rFonts w:hint="eastAsia" w:ascii="仿宋_GB2312" w:hAnsi="仿宋_GB2312" w:eastAsia="仿宋_GB2312" w:cs="仿宋_GB2312"/>
          <w:color w:val="auto"/>
          <w:sz w:val="32"/>
          <w:szCs w:val="32"/>
          <w:highlight w:val="none"/>
        </w:rPr>
        <w:t>陕西省市场监督管理局组织的2025年第一批省级地方标准立项评审会，</w:t>
      </w:r>
      <w:r>
        <w:rPr>
          <w:rFonts w:hint="eastAsia" w:ascii="仿宋_GB2312" w:hAnsi="仿宋_GB2312" w:eastAsia="仿宋_GB2312" w:cs="仿宋_GB2312"/>
          <w:color w:val="auto"/>
          <w:kern w:val="0"/>
          <w:sz w:val="32"/>
          <w:szCs w:val="32"/>
          <w:highlight w:val="none"/>
          <w:lang w:bidi="ar"/>
        </w:rPr>
        <w:t>项目通过立项审查；6月16日，项目列入陕西省市场监督管理局印发的2025年标准制修订项目计划。</w:t>
      </w:r>
    </w:p>
    <w:p w14:paraId="2CC0C9DF">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2025年5月26日，召开了标准专家咨询会，会议邀请非金属矿产、流体矿产等领域专家对讨论一稿进行研讨，主要针对非金属矿产、流体矿产划定勘查、开采区块技术要求进行讨论，提出标准下一步修改方向，继续修改完善标准讨论一稿。</w:t>
      </w:r>
    </w:p>
    <w:p w14:paraId="7B0D3BE9">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3.标准制定与完善（2025年6月-2025年10月）</w:t>
      </w:r>
    </w:p>
    <w:p w14:paraId="45C059EC">
      <w:pPr>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2025年6月20日，召开了标准起草组成立会议，会议宣读了省市场监督管理局《关于下达2025年第一批陕西省地方标准项目计划的函》，并由项目负责人宣布</w:t>
      </w:r>
      <w:r>
        <w:rPr>
          <w:rFonts w:hint="eastAsia" w:ascii="仿宋_GB2312" w:hAnsi="仿宋_GB2312" w:eastAsia="仿宋_GB2312" w:cs="仿宋_GB2312"/>
          <w:color w:val="auto"/>
          <w:kern w:val="0"/>
          <w:sz w:val="32"/>
          <w:szCs w:val="32"/>
          <w:highlight w:val="none"/>
          <w:lang w:bidi="ar"/>
        </w:rPr>
        <w:t>市县级矿产资源总体规划编制技术规范标准起草组正式成立，会议</w:t>
      </w:r>
      <w:r>
        <w:rPr>
          <w:rFonts w:hint="eastAsia" w:ascii="仿宋_GB2312" w:hAnsi="仿宋_GB2312" w:eastAsia="仿宋_GB2312" w:cs="仿宋_GB2312"/>
          <w:color w:val="auto"/>
          <w:sz w:val="32"/>
          <w:szCs w:val="32"/>
          <w:highlight w:val="none"/>
        </w:rPr>
        <w:t>明确了标准编制的工作任务、进度安排、标准编制组人员组成及分工，会议确定了刘敬、杨勇、刘平立、黄佳岗、程功、李云涛、程功德、刘爽、雷亚萍、王龙、段少帅为标准编制组主要成员，全程参与标准编制相关工作。</w:t>
      </w:r>
    </w:p>
    <w:p w14:paraId="7F468B5F">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月25日至7月24日，陕西省国土空间勘测规划院作为牵头单位，与省自然资源厅、市县级矿产资源总体规划编制思路与方法专题研究单位组成联合调研组，先后赴10个市18个县（区）29个矿山进行实地调研，并在调研过程中发放/收回200余份调查问卷，主要针对规划设置的目标指标的完成情况、市县级矿产资源勘查开采工作布局的合理性、重点项目的实施情况及划编制过程中的其他相关问题展开调研，收集了规划编制实施大量的资料。结合本项目调研情况标准起草组主要成员对标准相关内容进行讨论，不断修改完善标准讨论一稿。标准起草组主要成员对标准相关目标指标的算法优化、矿产资源规划附图要求进行细致的讨论，修改完善后形成了标准讨论二稿。</w:t>
      </w:r>
    </w:p>
    <w:p w14:paraId="505DB725">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2025年9月，继续完善标准讨论稿，完成了标准讨论组二稿的修改。9月5日，陕西省国土空间勘测规划院组织召开了标准院内审查会，邀请了标准制定专家、行业专家等对标准讨论稿进行审查，会后根据专家意见对标准讨论稿进行修改完善，修改完善后形成了标准征求意见稿。</w:t>
      </w:r>
    </w:p>
    <w:p w14:paraId="3647D531">
      <w:pPr>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2025年10月，项目组赴全国矿产资源规划起草单位中国自然资源经济研究院进行业务对接，征求了部相关专家对标准的修改建议，标准起草组召开讨论会，对标准进一步修改完善，形成了征求意见稿。</w:t>
      </w:r>
    </w:p>
    <w:p w14:paraId="7CCA8EF7">
      <w:pPr>
        <w:spacing w:line="560" w:lineRule="exact"/>
        <w:ind w:firstLine="640" w:firstLineChars="200"/>
        <w:outlineLvl w:val="1"/>
        <w:rPr>
          <w:rFonts w:hint="eastAsia" w:ascii="仿宋_GB2312" w:hAnsi="仿宋_GB2312" w:eastAsia="仿宋_GB2312" w:cs="仿宋_GB2312"/>
          <w:color w:val="auto"/>
          <w:sz w:val="32"/>
          <w:szCs w:val="32"/>
          <w:highlight w:val="none"/>
        </w:rPr>
      </w:pPr>
      <w:bookmarkStart w:id="9" w:name="_Toc17340"/>
      <w:r>
        <w:rPr>
          <w:rFonts w:hint="eastAsia" w:ascii="仿宋_GB2312" w:hAnsi="仿宋_GB2312" w:eastAsia="仿宋_GB2312" w:cs="仿宋_GB2312"/>
          <w:color w:val="auto"/>
          <w:sz w:val="32"/>
          <w:szCs w:val="32"/>
          <w:highlight w:val="none"/>
        </w:rPr>
        <w:t>4.标准主要起草人及其工作</w:t>
      </w:r>
      <w:bookmarkEnd w:id="9"/>
    </w:p>
    <w:p w14:paraId="01DB9597">
      <w:pPr>
        <w:spacing w:line="560" w:lineRule="exact"/>
        <w:ind w:firstLine="640" w:firstLineChars="200"/>
        <w:rPr>
          <w:rFonts w:hint="eastAsia" w:asciiTheme="minorEastAsia" w:hAnsiTheme="minorEastAsia" w:cstheme="minorEastAsia"/>
          <w:b/>
          <w:bCs/>
          <w:color w:val="auto"/>
          <w:sz w:val="30"/>
          <w:szCs w:val="30"/>
          <w:highlight w:val="none"/>
        </w:rPr>
      </w:pPr>
      <w:r>
        <w:rPr>
          <w:rFonts w:hint="eastAsia" w:ascii="仿宋_GB2312" w:hAnsi="仿宋_GB2312" w:eastAsia="仿宋_GB2312" w:cs="仿宋_GB2312"/>
          <w:color w:val="auto"/>
          <w:sz w:val="32"/>
          <w:szCs w:val="32"/>
          <w:highlight w:val="none"/>
        </w:rPr>
        <w:t>标准主要起草人及其工作见下表。</w:t>
      </w:r>
    </w:p>
    <w:p w14:paraId="60067F12">
      <w:pPr>
        <w:spacing w:line="560" w:lineRule="exact"/>
        <w:jc w:val="center"/>
        <w:rPr>
          <w:rFonts w:hint="eastAsia" w:asciiTheme="minorEastAsia" w:hAnsiTheme="minorEastAsia" w:cstheme="minorEastAsia"/>
          <w:b/>
          <w:bCs/>
          <w:color w:val="auto"/>
          <w:sz w:val="30"/>
          <w:szCs w:val="30"/>
          <w:highlight w:val="none"/>
        </w:rPr>
      </w:pPr>
      <w:r>
        <w:rPr>
          <w:rFonts w:hint="eastAsia" w:asciiTheme="minorEastAsia" w:hAnsiTheme="minorEastAsia" w:cstheme="minorEastAsia"/>
          <w:b/>
          <w:bCs/>
          <w:color w:val="auto"/>
          <w:sz w:val="30"/>
          <w:szCs w:val="30"/>
          <w:highlight w:val="none"/>
        </w:rPr>
        <w:t>标准主要起草人分工表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00"/>
        <w:gridCol w:w="1580"/>
        <w:gridCol w:w="2810"/>
        <w:gridCol w:w="2316"/>
      </w:tblGrid>
      <w:tr w14:paraId="76F7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916" w:type="dxa"/>
            <w:vAlign w:val="center"/>
          </w:tcPr>
          <w:p w14:paraId="7445BEBD">
            <w:pPr>
              <w:spacing w:line="560" w:lineRule="exact"/>
              <w:jc w:val="center"/>
              <w:outlineLvl w:val="0"/>
              <w:rPr>
                <w:rFonts w:hint="eastAsia" w:asciiTheme="majorEastAsia" w:hAnsiTheme="majorEastAsia" w:eastAsiaTheme="majorEastAsia" w:cstheme="majorEastAsia"/>
                <w:b/>
                <w:bCs/>
                <w:color w:val="auto"/>
                <w:sz w:val="24"/>
                <w:highlight w:val="none"/>
              </w:rPr>
            </w:pPr>
            <w:bookmarkStart w:id="10" w:name="_Toc3330"/>
            <w:r>
              <w:rPr>
                <w:rFonts w:hint="eastAsia" w:asciiTheme="majorEastAsia" w:hAnsiTheme="majorEastAsia" w:eastAsiaTheme="majorEastAsia" w:cstheme="majorEastAsia"/>
                <w:b/>
                <w:bCs/>
                <w:color w:val="auto"/>
                <w:sz w:val="24"/>
                <w:highlight w:val="none"/>
              </w:rPr>
              <w:t>序号</w:t>
            </w:r>
            <w:bookmarkEnd w:id="10"/>
          </w:p>
        </w:tc>
        <w:tc>
          <w:tcPr>
            <w:tcW w:w="900" w:type="dxa"/>
            <w:vAlign w:val="center"/>
          </w:tcPr>
          <w:p w14:paraId="32B34A67">
            <w:pPr>
              <w:spacing w:line="560" w:lineRule="exact"/>
              <w:jc w:val="center"/>
              <w:outlineLvl w:val="0"/>
              <w:rPr>
                <w:rFonts w:hint="eastAsia" w:asciiTheme="majorEastAsia" w:hAnsiTheme="majorEastAsia" w:eastAsiaTheme="majorEastAsia" w:cstheme="majorEastAsia"/>
                <w:b/>
                <w:bCs/>
                <w:color w:val="auto"/>
                <w:sz w:val="24"/>
                <w:highlight w:val="none"/>
              </w:rPr>
            </w:pPr>
            <w:bookmarkStart w:id="11" w:name="_Toc100"/>
            <w:r>
              <w:rPr>
                <w:rFonts w:hint="eastAsia" w:asciiTheme="majorEastAsia" w:hAnsiTheme="majorEastAsia" w:eastAsiaTheme="majorEastAsia" w:cstheme="majorEastAsia"/>
                <w:b/>
                <w:bCs/>
                <w:color w:val="auto"/>
                <w:sz w:val="24"/>
                <w:highlight w:val="none"/>
              </w:rPr>
              <w:t>姓名</w:t>
            </w:r>
            <w:bookmarkEnd w:id="11"/>
          </w:p>
        </w:tc>
        <w:tc>
          <w:tcPr>
            <w:tcW w:w="1580" w:type="dxa"/>
            <w:vAlign w:val="center"/>
          </w:tcPr>
          <w:p w14:paraId="233A2112">
            <w:pPr>
              <w:spacing w:line="560" w:lineRule="exact"/>
              <w:jc w:val="center"/>
              <w:outlineLvl w:val="0"/>
              <w:rPr>
                <w:rFonts w:hint="eastAsia" w:asciiTheme="majorEastAsia" w:hAnsiTheme="majorEastAsia" w:eastAsiaTheme="majorEastAsia" w:cstheme="majorEastAsia"/>
                <w:b/>
                <w:bCs/>
                <w:color w:val="auto"/>
                <w:sz w:val="24"/>
                <w:highlight w:val="none"/>
              </w:rPr>
            </w:pPr>
            <w:bookmarkStart w:id="12" w:name="_Toc24273"/>
            <w:r>
              <w:rPr>
                <w:rFonts w:hint="eastAsia" w:asciiTheme="majorEastAsia" w:hAnsiTheme="majorEastAsia" w:eastAsiaTheme="majorEastAsia" w:cstheme="majorEastAsia"/>
                <w:b/>
                <w:bCs/>
                <w:color w:val="auto"/>
                <w:sz w:val="24"/>
                <w:highlight w:val="none"/>
              </w:rPr>
              <w:t>职称</w:t>
            </w:r>
            <w:bookmarkEnd w:id="12"/>
          </w:p>
        </w:tc>
        <w:tc>
          <w:tcPr>
            <w:tcW w:w="2810" w:type="dxa"/>
            <w:vAlign w:val="center"/>
          </w:tcPr>
          <w:p w14:paraId="0813663E">
            <w:pPr>
              <w:spacing w:line="560" w:lineRule="exact"/>
              <w:jc w:val="center"/>
              <w:outlineLvl w:val="0"/>
              <w:rPr>
                <w:rFonts w:hint="eastAsia" w:asciiTheme="majorEastAsia" w:hAnsiTheme="majorEastAsia" w:eastAsiaTheme="majorEastAsia" w:cstheme="majorEastAsia"/>
                <w:b/>
                <w:bCs/>
                <w:color w:val="auto"/>
                <w:sz w:val="24"/>
                <w:highlight w:val="none"/>
              </w:rPr>
            </w:pPr>
            <w:bookmarkStart w:id="13" w:name="_Toc26428"/>
            <w:r>
              <w:rPr>
                <w:rFonts w:hint="eastAsia" w:asciiTheme="majorEastAsia" w:hAnsiTheme="majorEastAsia" w:eastAsiaTheme="majorEastAsia" w:cstheme="majorEastAsia"/>
                <w:b/>
                <w:bCs/>
                <w:color w:val="auto"/>
                <w:sz w:val="24"/>
                <w:highlight w:val="none"/>
              </w:rPr>
              <w:t>工作单位</w:t>
            </w:r>
            <w:bookmarkEnd w:id="13"/>
          </w:p>
        </w:tc>
        <w:tc>
          <w:tcPr>
            <w:tcW w:w="2316" w:type="dxa"/>
            <w:vAlign w:val="center"/>
          </w:tcPr>
          <w:p w14:paraId="6B45FC90">
            <w:pPr>
              <w:spacing w:line="560" w:lineRule="exact"/>
              <w:jc w:val="center"/>
              <w:outlineLvl w:val="0"/>
              <w:rPr>
                <w:rFonts w:hint="eastAsia" w:asciiTheme="majorEastAsia" w:hAnsiTheme="majorEastAsia" w:eastAsiaTheme="majorEastAsia" w:cstheme="majorEastAsia"/>
                <w:b/>
                <w:bCs/>
                <w:color w:val="auto"/>
                <w:sz w:val="24"/>
                <w:highlight w:val="none"/>
              </w:rPr>
            </w:pPr>
            <w:bookmarkStart w:id="14" w:name="_Toc14997"/>
            <w:r>
              <w:rPr>
                <w:rFonts w:hint="eastAsia" w:asciiTheme="majorEastAsia" w:hAnsiTheme="majorEastAsia" w:eastAsiaTheme="majorEastAsia" w:cstheme="majorEastAsia"/>
                <w:b/>
                <w:bCs/>
                <w:color w:val="auto"/>
                <w:sz w:val="24"/>
                <w:highlight w:val="none"/>
              </w:rPr>
              <w:t>主要工作</w:t>
            </w:r>
            <w:bookmarkEnd w:id="14"/>
          </w:p>
        </w:tc>
      </w:tr>
      <w:tr w14:paraId="67B3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7E06C365">
            <w:pPr>
              <w:spacing w:line="560" w:lineRule="exact"/>
              <w:jc w:val="center"/>
              <w:outlineLvl w:val="0"/>
              <w:rPr>
                <w:rFonts w:hint="eastAsia" w:ascii="仿宋_GB2312" w:hAnsi="仿宋_GB2312" w:eastAsia="仿宋_GB2312" w:cs="仿宋_GB2312"/>
                <w:color w:val="auto"/>
                <w:szCs w:val="21"/>
                <w:highlight w:val="none"/>
              </w:rPr>
            </w:pPr>
            <w:bookmarkStart w:id="15" w:name="_Toc13231"/>
            <w:r>
              <w:rPr>
                <w:rFonts w:hint="eastAsia" w:ascii="仿宋_GB2312" w:hAnsi="仿宋_GB2312" w:eastAsia="仿宋_GB2312" w:cs="仿宋_GB2312"/>
                <w:color w:val="auto"/>
                <w:szCs w:val="21"/>
                <w:highlight w:val="none"/>
              </w:rPr>
              <w:t>1</w:t>
            </w:r>
            <w:bookmarkEnd w:id="15"/>
          </w:p>
        </w:tc>
        <w:tc>
          <w:tcPr>
            <w:tcW w:w="900" w:type="dxa"/>
            <w:vAlign w:val="center"/>
          </w:tcPr>
          <w:p w14:paraId="6482EDE7">
            <w:pPr>
              <w:spacing w:line="560" w:lineRule="exact"/>
              <w:jc w:val="center"/>
              <w:outlineLvl w:val="0"/>
              <w:rPr>
                <w:rFonts w:hint="eastAsia" w:ascii="仿宋_GB2312" w:hAnsi="仿宋_GB2312" w:eastAsia="仿宋_GB2312" w:cs="仿宋_GB2312"/>
                <w:color w:val="auto"/>
                <w:szCs w:val="21"/>
                <w:highlight w:val="none"/>
              </w:rPr>
            </w:pPr>
            <w:bookmarkStart w:id="16" w:name="_Toc1062"/>
            <w:r>
              <w:rPr>
                <w:rFonts w:hint="eastAsia" w:ascii="仿宋_GB2312" w:hAnsi="仿宋_GB2312" w:eastAsia="仿宋_GB2312" w:cs="仿宋_GB2312"/>
                <w:color w:val="auto"/>
                <w:szCs w:val="21"/>
                <w:highlight w:val="none"/>
              </w:rPr>
              <w:t>刘敬</w:t>
            </w:r>
            <w:bookmarkEnd w:id="16"/>
          </w:p>
        </w:tc>
        <w:tc>
          <w:tcPr>
            <w:tcW w:w="1580" w:type="dxa"/>
            <w:vAlign w:val="center"/>
          </w:tcPr>
          <w:p w14:paraId="0DEDACA2">
            <w:pPr>
              <w:spacing w:line="560" w:lineRule="exact"/>
              <w:jc w:val="center"/>
              <w:outlineLvl w:val="0"/>
              <w:rPr>
                <w:rFonts w:hint="eastAsia" w:ascii="仿宋_GB2312" w:hAnsi="仿宋_GB2312" w:eastAsia="仿宋_GB2312" w:cs="仿宋_GB2312"/>
                <w:color w:val="auto"/>
                <w:szCs w:val="21"/>
                <w:highlight w:val="none"/>
              </w:rPr>
            </w:pPr>
            <w:bookmarkStart w:id="17" w:name="_Toc24544"/>
            <w:r>
              <w:rPr>
                <w:rFonts w:hint="eastAsia" w:ascii="仿宋_GB2312" w:hAnsi="仿宋_GB2312" w:eastAsia="仿宋_GB2312" w:cs="仿宋_GB2312"/>
                <w:color w:val="auto"/>
                <w:szCs w:val="21"/>
                <w:highlight w:val="none"/>
              </w:rPr>
              <w:t>高级工程师</w:t>
            </w:r>
            <w:bookmarkEnd w:id="17"/>
          </w:p>
        </w:tc>
        <w:tc>
          <w:tcPr>
            <w:tcW w:w="2810" w:type="dxa"/>
            <w:vAlign w:val="center"/>
          </w:tcPr>
          <w:p w14:paraId="72048409">
            <w:pPr>
              <w:spacing w:line="560" w:lineRule="exact"/>
              <w:jc w:val="center"/>
              <w:outlineLvl w:val="0"/>
              <w:rPr>
                <w:rFonts w:hint="eastAsia" w:ascii="仿宋_GB2312" w:hAnsi="仿宋_GB2312" w:eastAsia="仿宋_GB2312" w:cs="仿宋_GB2312"/>
                <w:color w:val="auto"/>
                <w:szCs w:val="21"/>
                <w:highlight w:val="none"/>
              </w:rPr>
            </w:pPr>
            <w:bookmarkStart w:id="18" w:name="_Toc9216"/>
            <w:r>
              <w:rPr>
                <w:rFonts w:hint="eastAsia" w:ascii="仿宋_GB2312" w:hAnsi="仿宋_GB2312" w:eastAsia="仿宋_GB2312" w:cs="仿宋_GB2312"/>
                <w:color w:val="auto"/>
                <w:szCs w:val="21"/>
                <w:highlight w:val="none"/>
              </w:rPr>
              <w:t>陕西省国土空间勘测规划院</w:t>
            </w:r>
            <w:bookmarkEnd w:id="18"/>
          </w:p>
        </w:tc>
        <w:tc>
          <w:tcPr>
            <w:tcW w:w="2316" w:type="dxa"/>
            <w:vAlign w:val="center"/>
          </w:tcPr>
          <w:p w14:paraId="324A4E86">
            <w:pPr>
              <w:spacing w:line="560" w:lineRule="exact"/>
              <w:jc w:val="center"/>
              <w:outlineLvl w:val="0"/>
              <w:rPr>
                <w:rFonts w:hint="eastAsia" w:ascii="仿宋_GB2312" w:hAnsi="仿宋_GB2312" w:eastAsia="仿宋_GB2312" w:cs="仿宋_GB2312"/>
                <w:color w:val="auto"/>
                <w:szCs w:val="21"/>
                <w:highlight w:val="none"/>
              </w:rPr>
            </w:pPr>
            <w:bookmarkStart w:id="19" w:name="_Toc21920"/>
            <w:r>
              <w:rPr>
                <w:rFonts w:hint="eastAsia" w:ascii="仿宋_GB2312" w:hAnsi="仿宋_GB2312" w:eastAsia="仿宋_GB2312" w:cs="仿宋_GB2312"/>
                <w:color w:val="auto"/>
                <w:szCs w:val="21"/>
                <w:highlight w:val="none"/>
              </w:rPr>
              <w:t>项目负责人</w:t>
            </w:r>
            <w:bookmarkEnd w:id="19"/>
          </w:p>
        </w:tc>
      </w:tr>
      <w:tr w14:paraId="1D18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5F816037">
            <w:pPr>
              <w:spacing w:line="560" w:lineRule="exact"/>
              <w:jc w:val="center"/>
              <w:outlineLvl w:val="0"/>
              <w:rPr>
                <w:rFonts w:hint="eastAsia" w:ascii="仿宋_GB2312" w:hAnsi="仿宋_GB2312" w:eastAsia="仿宋_GB2312" w:cs="仿宋_GB2312"/>
                <w:color w:val="auto"/>
                <w:szCs w:val="21"/>
                <w:highlight w:val="none"/>
              </w:rPr>
            </w:pPr>
            <w:bookmarkStart w:id="20" w:name="_Toc31476"/>
            <w:r>
              <w:rPr>
                <w:rFonts w:hint="eastAsia" w:ascii="仿宋_GB2312" w:hAnsi="仿宋_GB2312" w:eastAsia="仿宋_GB2312" w:cs="仿宋_GB2312"/>
                <w:color w:val="auto"/>
                <w:szCs w:val="21"/>
                <w:highlight w:val="none"/>
              </w:rPr>
              <w:t>2</w:t>
            </w:r>
            <w:bookmarkEnd w:id="20"/>
          </w:p>
        </w:tc>
        <w:tc>
          <w:tcPr>
            <w:tcW w:w="900" w:type="dxa"/>
            <w:vAlign w:val="center"/>
          </w:tcPr>
          <w:p w14:paraId="015513B2">
            <w:pPr>
              <w:spacing w:line="560" w:lineRule="exact"/>
              <w:jc w:val="center"/>
              <w:outlineLvl w:val="0"/>
              <w:rPr>
                <w:rFonts w:hint="eastAsia" w:ascii="仿宋_GB2312" w:hAnsi="仿宋_GB2312" w:eastAsia="仿宋_GB2312" w:cs="仿宋_GB2312"/>
                <w:color w:val="auto"/>
                <w:szCs w:val="21"/>
                <w:highlight w:val="none"/>
              </w:rPr>
            </w:pPr>
            <w:bookmarkStart w:id="21" w:name="_Toc32721"/>
            <w:r>
              <w:rPr>
                <w:rFonts w:hint="eastAsia" w:ascii="仿宋_GB2312" w:hAnsi="仿宋_GB2312" w:eastAsia="仿宋_GB2312" w:cs="仿宋_GB2312"/>
                <w:color w:val="auto"/>
                <w:szCs w:val="21"/>
                <w:highlight w:val="none"/>
              </w:rPr>
              <w:t>杨勇</w:t>
            </w:r>
            <w:bookmarkEnd w:id="21"/>
          </w:p>
        </w:tc>
        <w:tc>
          <w:tcPr>
            <w:tcW w:w="1580" w:type="dxa"/>
            <w:vAlign w:val="center"/>
          </w:tcPr>
          <w:p w14:paraId="37E154DA">
            <w:pPr>
              <w:spacing w:line="560" w:lineRule="exact"/>
              <w:jc w:val="center"/>
              <w:outlineLvl w:val="0"/>
              <w:rPr>
                <w:rFonts w:hint="eastAsia" w:ascii="仿宋_GB2312" w:hAnsi="仿宋_GB2312" w:eastAsia="仿宋_GB2312" w:cs="仿宋_GB2312"/>
                <w:color w:val="auto"/>
                <w:szCs w:val="21"/>
                <w:highlight w:val="none"/>
              </w:rPr>
            </w:pPr>
            <w:bookmarkStart w:id="22" w:name="_Toc26717"/>
            <w:r>
              <w:rPr>
                <w:rFonts w:hint="eastAsia" w:ascii="仿宋_GB2312" w:hAnsi="仿宋_GB2312" w:eastAsia="仿宋_GB2312" w:cs="仿宋_GB2312"/>
                <w:color w:val="auto"/>
                <w:szCs w:val="21"/>
                <w:highlight w:val="none"/>
              </w:rPr>
              <w:t>工程师</w:t>
            </w:r>
            <w:bookmarkEnd w:id="22"/>
          </w:p>
        </w:tc>
        <w:tc>
          <w:tcPr>
            <w:tcW w:w="2810" w:type="dxa"/>
            <w:vAlign w:val="center"/>
          </w:tcPr>
          <w:p w14:paraId="5A810A15">
            <w:pPr>
              <w:spacing w:line="560" w:lineRule="exact"/>
              <w:jc w:val="center"/>
              <w:outlineLvl w:val="0"/>
              <w:rPr>
                <w:rFonts w:hint="eastAsia" w:ascii="仿宋_GB2312" w:hAnsi="仿宋_GB2312" w:eastAsia="仿宋_GB2312" w:cs="仿宋_GB2312"/>
                <w:color w:val="auto"/>
                <w:szCs w:val="21"/>
                <w:highlight w:val="none"/>
              </w:rPr>
            </w:pPr>
            <w:bookmarkStart w:id="23" w:name="_Toc2113"/>
            <w:r>
              <w:rPr>
                <w:rFonts w:hint="eastAsia" w:ascii="仿宋_GB2312" w:hAnsi="仿宋_GB2312" w:eastAsia="仿宋_GB2312" w:cs="仿宋_GB2312"/>
                <w:color w:val="auto"/>
                <w:szCs w:val="21"/>
                <w:highlight w:val="none"/>
              </w:rPr>
              <w:t>陕西省国土空间勘测规划院</w:t>
            </w:r>
            <w:bookmarkEnd w:id="23"/>
          </w:p>
        </w:tc>
        <w:tc>
          <w:tcPr>
            <w:tcW w:w="2316" w:type="dxa"/>
            <w:vAlign w:val="center"/>
          </w:tcPr>
          <w:p w14:paraId="236CB999">
            <w:pPr>
              <w:spacing w:line="560" w:lineRule="exact"/>
              <w:jc w:val="center"/>
              <w:outlineLvl w:val="0"/>
              <w:rPr>
                <w:rFonts w:hint="eastAsia" w:ascii="仿宋_GB2312" w:hAnsi="仿宋_GB2312" w:eastAsia="仿宋_GB2312" w:cs="仿宋_GB2312"/>
                <w:color w:val="auto"/>
                <w:szCs w:val="21"/>
                <w:highlight w:val="none"/>
              </w:rPr>
            </w:pPr>
            <w:bookmarkStart w:id="24" w:name="_Toc7984"/>
            <w:r>
              <w:rPr>
                <w:rFonts w:hint="eastAsia" w:ascii="仿宋_GB2312" w:hAnsi="仿宋_GB2312" w:eastAsia="仿宋_GB2312" w:cs="仿宋_GB2312"/>
                <w:color w:val="auto"/>
                <w:szCs w:val="21"/>
                <w:highlight w:val="none"/>
              </w:rPr>
              <w:t>技术负责、</w:t>
            </w:r>
            <w:bookmarkEnd w:id="24"/>
            <w:r>
              <w:rPr>
                <w:rFonts w:hint="eastAsia" w:ascii="仿宋_GB2312" w:hAnsi="仿宋_GB2312" w:eastAsia="仿宋_GB2312" w:cs="仿宋_GB2312"/>
                <w:color w:val="auto"/>
                <w:szCs w:val="21"/>
                <w:highlight w:val="none"/>
              </w:rPr>
              <w:t>编制人</w:t>
            </w:r>
          </w:p>
        </w:tc>
      </w:tr>
      <w:tr w14:paraId="2564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5E6E1CE2">
            <w:pPr>
              <w:spacing w:line="560" w:lineRule="exact"/>
              <w:jc w:val="center"/>
              <w:outlineLvl w:val="0"/>
              <w:rPr>
                <w:rFonts w:hint="eastAsia" w:ascii="仿宋_GB2312" w:hAnsi="仿宋_GB2312" w:eastAsia="仿宋_GB2312" w:cs="仿宋_GB2312"/>
                <w:color w:val="auto"/>
                <w:szCs w:val="21"/>
                <w:highlight w:val="none"/>
              </w:rPr>
            </w:pPr>
            <w:bookmarkStart w:id="25" w:name="_Toc11521"/>
            <w:r>
              <w:rPr>
                <w:rFonts w:hint="eastAsia" w:ascii="仿宋_GB2312" w:hAnsi="仿宋_GB2312" w:eastAsia="仿宋_GB2312" w:cs="仿宋_GB2312"/>
                <w:color w:val="auto"/>
                <w:szCs w:val="21"/>
                <w:highlight w:val="none"/>
              </w:rPr>
              <w:t>3</w:t>
            </w:r>
            <w:bookmarkEnd w:id="25"/>
          </w:p>
        </w:tc>
        <w:tc>
          <w:tcPr>
            <w:tcW w:w="900" w:type="dxa"/>
            <w:vAlign w:val="center"/>
          </w:tcPr>
          <w:p w14:paraId="4157043C">
            <w:pPr>
              <w:spacing w:line="560" w:lineRule="exact"/>
              <w:jc w:val="center"/>
              <w:outlineLvl w:val="0"/>
              <w:rPr>
                <w:rFonts w:hint="eastAsia" w:ascii="仿宋_GB2312" w:hAnsi="仿宋_GB2312" w:eastAsia="仿宋_GB2312" w:cs="仿宋_GB2312"/>
                <w:color w:val="auto"/>
                <w:szCs w:val="21"/>
                <w:highlight w:val="none"/>
              </w:rPr>
            </w:pPr>
            <w:bookmarkStart w:id="26" w:name="_Toc10335"/>
            <w:r>
              <w:rPr>
                <w:rFonts w:hint="eastAsia" w:ascii="仿宋_GB2312" w:hAnsi="仿宋_GB2312" w:eastAsia="仿宋_GB2312" w:cs="仿宋_GB2312"/>
                <w:color w:val="auto"/>
                <w:szCs w:val="21"/>
                <w:highlight w:val="none"/>
              </w:rPr>
              <w:t>刘平立</w:t>
            </w:r>
            <w:bookmarkEnd w:id="26"/>
          </w:p>
        </w:tc>
        <w:tc>
          <w:tcPr>
            <w:tcW w:w="1580" w:type="dxa"/>
            <w:vAlign w:val="center"/>
          </w:tcPr>
          <w:p w14:paraId="424A4E7C">
            <w:pPr>
              <w:spacing w:line="560" w:lineRule="exact"/>
              <w:jc w:val="center"/>
              <w:outlineLvl w:val="0"/>
              <w:rPr>
                <w:rFonts w:hint="eastAsia" w:ascii="仿宋_GB2312" w:hAnsi="仿宋_GB2312" w:eastAsia="仿宋_GB2312" w:cs="仿宋_GB2312"/>
                <w:color w:val="auto"/>
                <w:szCs w:val="21"/>
                <w:highlight w:val="none"/>
              </w:rPr>
            </w:pPr>
            <w:bookmarkStart w:id="27" w:name="_Toc12736"/>
            <w:r>
              <w:rPr>
                <w:rFonts w:hint="eastAsia" w:ascii="仿宋_GB2312" w:hAnsi="仿宋_GB2312" w:eastAsia="仿宋_GB2312" w:cs="仿宋_GB2312"/>
                <w:color w:val="auto"/>
                <w:szCs w:val="21"/>
                <w:highlight w:val="none"/>
              </w:rPr>
              <w:t>教授级高工</w:t>
            </w:r>
            <w:bookmarkEnd w:id="27"/>
          </w:p>
        </w:tc>
        <w:tc>
          <w:tcPr>
            <w:tcW w:w="2810" w:type="dxa"/>
            <w:vAlign w:val="center"/>
          </w:tcPr>
          <w:p w14:paraId="37B1B8F9">
            <w:pPr>
              <w:spacing w:line="560" w:lineRule="exact"/>
              <w:jc w:val="center"/>
              <w:outlineLvl w:val="0"/>
              <w:rPr>
                <w:rFonts w:hint="eastAsia" w:ascii="仿宋_GB2312" w:hAnsi="仿宋_GB2312" w:eastAsia="仿宋_GB2312" w:cs="仿宋_GB2312"/>
                <w:color w:val="auto"/>
                <w:szCs w:val="21"/>
                <w:highlight w:val="none"/>
              </w:rPr>
            </w:pPr>
            <w:bookmarkStart w:id="28" w:name="_Toc9566"/>
            <w:r>
              <w:rPr>
                <w:rFonts w:hint="eastAsia" w:ascii="仿宋_GB2312" w:hAnsi="仿宋_GB2312" w:eastAsia="仿宋_GB2312" w:cs="仿宋_GB2312"/>
                <w:color w:val="auto"/>
                <w:szCs w:val="21"/>
                <w:highlight w:val="none"/>
              </w:rPr>
              <w:t>陕西省国土空间勘测规划院</w:t>
            </w:r>
            <w:bookmarkEnd w:id="28"/>
          </w:p>
        </w:tc>
        <w:tc>
          <w:tcPr>
            <w:tcW w:w="2316" w:type="dxa"/>
            <w:vAlign w:val="center"/>
          </w:tcPr>
          <w:p w14:paraId="3811FEB3">
            <w:pPr>
              <w:spacing w:line="560" w:lineRule="exact"/>
              <w:jc w:val="center"/>
              <w:outlineLvl w:val="0"/>
              <w:rPr>
                <w:rFonts w:hint="eastAsia" w:ascii="仿宋_GB2312" w:hAnsi="仿宋_GB2312" w:eastAsia="仿宋_GB2312" w:cs="仿宋_GB2312"/>
                <w:color w:val="auto"/>
                <w:szCs w:val="21"/>
                <w:highlight w:val="none"/>
              </w:rPr>
            </w:pPr>
            <w:bookmarkStart w:id="29" w:name="_Toc21684"/>
            <w:r>
              <w:rPr>
                <w:rFonts w:hint="eastAsia" w:ascii="仿宋_GB2312" w:hAnsi="仿宋_GB2312" w:eastAsia="仿宋_GB2312" w:cs="仿宋_GB2312"/>
                <w:color w:val="auto"/>
                <w:szCs w:val="21"/>
                <w:highlight w:val="none"/>
              </w:rPr>
              <w:t>编制人</w:t>
            </w:r>
            <w:bookmarkEnd w:id="29"/>
          </w:p>
        </w:tc>
      </w:tr>
      <w:tr w14:paraId="4135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2D2A9BCC">
            <w:pPr>
              <w:spacing w:line="560" w:lineRule="exact"/>
              <w:jc w:val="center"/>
              <w:outlineLvl w:val="0"/>
              <w:rPr>
                <w:rFonts w:hint="eastAsia" w:ascii="仿宋_GB2312" w:hAnsi="仿宋_GB2312" w:eastAsia="仿宋_GB2312" w:cs="仿宋_GB2312"/>
                <w:color w:val="auto"/>
                <w:szCs w:val="21"/>
                <w:highlight w:val="none"/>
              </w:rPr>
            </w:pPr>
            <w:bookmarkStart w:id="30" w:name="_Toc15312"/>
            <w:r>
              <w:rPr>
                <w:rFonts w:hint="eastAsia" w:ascii="仿宋_GB2312" w:hAnsi="仿宋_GB2312" w:eastAsia="仿宋_GB2312" w:cs="仿宋_GB2312"/>
                <w:color w:val="auto"/>
                <w:szCs w:val="21"/>
                <w:highlight w:val="none"/>
              </w:rPr>
              <w:t>4</w:t>
            </w:r>
            <w:bookmarkEnd w:id="30"/>
          </w:p>
        </w:tc>
        <w:tc>
          <w:tcPr>
            <w:tcW w:w="900" w:type="dxa"/>
            <w:vAlign w:val="center"/>
          </w:tcPr>
          <w:p w14:paraId="56A79D5A">
            <w:pPr>
              <w:spacing w:line="560" w:lineRule="exact"/>
              <w:jc w:val="center"/>
              <w:outlineLvl w:val="0"/>
              <w:rPr>
                <w:rFonts w:hint="eastAsia" w:ascii="仿宋_GB2312" w:hAnsi="仿宋_GB2312" w:eastAsia="仿宋_GB2312" w:cs="仿宋_GB2312"/>
                <w:color w:val="auto"/>
                <w:szCs w:val="21"/>
                <w:highlight w:val="none"/>
              </w:rPr>
            </w:pPr>
            <w:bookmarkStart w:id="31" w:name="_Toc11285"/>
            <w:r>
              <w:rPr>
                <w:rFonts w:hint="eastAsia" w:ascii="仿宋_GB2312" w:hAnsi="仿宋_GB2312" w:eastAsia="仿宋_GB2312" w:cs="仿宋_GB2312"/>
                <w:color w:val="auto"/>
                <w:szCs w:val="21"/>
                <w:highlight w:val="none"/>
              </w:rPr>
              <w:t>黄佳岗</w:t>
            </w:r>
            <w:bookmarkEnd w:id="31"/>
          </w:p>
        </w:tc>
        <w:tc>
          <w:tcPr>
            <w:tcW w:w="1580" w:type="dxa"/>
            <w:vAlign w:val="center"/>
          </w:tcPr>
          <w:p w14:paraId="774C6108">
            <w:pPr>
              <w:spacing w:line="560" w:lineRule="exact"/>
              <w:jc w:val="center"/>
              <w:outlineLvl w:val="0"/>
              <w:rPr>
                <w:rFonts w:hint="eastAsia" w:ascii="仿宋_GB2312" w:hAnsi="仿宋_GB2312" w:eastAsia="仿宋_GB2312" w:cs="仿宋_GB2312"/>
                <w:color w:val="auto"/>
                <w:szCs w:val="21"/>
                <w:highlight w:val="none"/>
              </w:rPr>
            </w:pPr>
            <w:bookmarkStart w:id="32" w:name="_Toc7080"/>
            <w:r>
              <w:rPr>
                <w:rFonts w:hint="eastAsia" w:ascii="仿宋_GB2312" w:hAnsi="仿宋_GB2312" w:eastAsia="仿宋_GB2312" w:cs="仿宋_GB2312"/>
                <w:color w:val="auto"/>
                <w:szCs w:val="21"/>
                <w:highlight w:val="none"/>
              </w:rPr>
              <w:t>副处长</w:t>
            </w:r>
            <w:bookmarkEnd w:id="32"/>
          </w:p>
        </w:tc>
        <w:tc>
          <w:tcPr>
            <w:tcW w:w="2810" w:type="dxa"/>
            <w:vAlign w:val="center"/>
          </w:tcPr>
          <w:p w14:paraId="483359DB">
            <w:pPr>
              <w:spacing w:line="560" w:lineRule="exact"/>
              <w:jc w:val="center"/>
              <w:outlineLvl w:val="0"/>
              <w:rPr>
                <w:rFonts w:hint="eastAsia" w:ascii="仿宋_GB2312" w:hAnsi="仿宋_GB2312" w:eastAsia="仿宋_GB2312" w:cs="仿宋_GB2312"/>
                <w:color w:val="auto"/>
                <w:szCs w:val="21"/>
                <w:highlight w:val="none"/>
              </w:rPr>
            </w:pPr>
            <w:bookmarkStart w:id="33" w:name="_Toc14398"/>
            <w:r>
              <w:rPr>
                <w:rFonts w:hint="eastAsia" w:ascii="仿宋_GB2312" w:hAnsi="仿宋_GB2312" w:eastAsia="仿宋_GB2312" w:cs="仿宋_GB2312"/>
                <w:color w:val="auto"/>
                <w:szCs w:val="21"/>
                <w:highlight w:val="none"/>
              </w:rPr>
              <w:t>陕西省自然资源厅</w:t>
            </w:r>
            <w:bookmarkEnd w:id="33"/>
          </w:p>
        </w:tc>
        <w:tc>
          <w:tcPr>
            <w:tcW w:w="2316" w:type="dxa"/>
            <w:vAlign w:val="center"/>
          </w:tcPr>
          <w:p w14:paraId="750AFA67">
            <w:pPr>
              <w:spacing w:line="560" w:lineRule="exact"/>
              <w:jc w:val="center"/>
              <w:outlineLvl w:val="0"/>
              <w:rPr>
                <w:rFonts w:hint="eastAsia" w:ascii="仿宋_GB2312" w:hAnsi="仿宋_GB2312" w:eastAsia="仿宋_GB2312" w:cs="仿宋_GB2312"/>
                <w:color w:val="auto"/>
                <w:szCs w:val="21"/>
                <w:highlight w:val="none"/>
              </w:rPr>
            </w:pPr>
            <w:bookmarkStart w:id="34" w:name="_Toc23358"/>
            <w:r>
              <w:rPr>
                <w:rFonts w:hint="eastAsia" w:ascii="仿宋_GB2312" w:hAnsi="仿宋_GB2312" w:eastAsia="仿宋_GB2312" w:cs="仿宋_GB2312"/>
                <w:color w:val="auto"/>
                <w:szCs w:val="21"/>
                <w:highlight w:val="none"/>
              </w:rPr>
              <w:t>政策指导</w:t>
            </w:r>
            <w:bookmarkEnd w:id="34"/>
          </w:p>
        </w:tc>
      </w:tr>
      <w:tr w14:paraId="7DDD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2EDC13DC">
            <w:pPr>
              <w:spacing w:line="560" w:lineRule="exact"/>
              <w:jc w:val="center"/>
              <w:outlineLvl w:val="0"/>
              <w:rPr>
                <w:rFonts w:hint="eastAsia" w:ascii="仿宋_GB2312" w:hAnsi="仿宋_GB2312" w:eastAsia="仿宋_GB2312" w:cs="仿宋_GB2312"/>
                <w:color w:val="auto"/>
                <w:szCs w:val="21"/>
                <w:highlight w:val="none"/>
              </w:rPr>
            </w:pPr>
            <w:bookmarkStart w:id="35" w:name="_Toc6117"/>
            <w:r>
              <w:rPr>
                <w:rFonts w:hint="eastAsia" w:ascii="仿宋_GB2312" w:hAnsi="仿宋_GB2312" w:eastAsia="仿宋_GB2312" w:cs="仿宋_GB2312"/>
                <w:color w:val="auto"/>
                <w:szCs w:val="21"/>
                <w:highlight w:val="none"/>
              </w:rPr>
              <w:t>5</w:t>
            </w:r>
            <w:bookmarkEnd w:id="35"/>
          </w:p>
        </w:tc>
        <w:tc>
          <w:tcPr>
            <w:tcW w:w="900" w:type="dxa"/>
            <w:vAlign w:val="center"/>
          </w:tcPr>
          <w:p w14:paraId="4BF29D1D">
            <w:pPr>
              <w:spacing w:line="560" w:lineRule="exact"/>
              <w:jc w:val="center"/>
              <w:outlineLvl w:val="0"/>
              <w:rPr>
                <w:rFonts w:hint="eastAsia" w:ascii="仿宋_GB2312" w:hAnsi="仿宋_GB2312" w:eastAsia="仿宋_GB2312" w:cs="仿宋_GB2312"/>
                <w:color w:val="auto"/>
                <w:szCs w:val="21"/>
                <w:highlight w:val="none"/>
              </w:rPr>
            </w:pPr>
            <w:bookmarkStart w:id="36" w:name="_Toc301"/>
            <w:r>
              <w:rPr>
                <w:rFonts w:hint="eastAsia" w:ascii="仿宋_GB2312" w:hAnsi="仿宋_GB2312" w:eastAsia="仿宋_GB2312" w:cs="仿宋_GB2312"/>
                <w:color w:val="auto"/>
                <w:szCs w:val="21"/>
                <w:highlight w:val="none"/>
              </w:rPr>
              <w:t>李云涛</w:t>
            </w:r>
            <w:bookmarkEnd w:id="36"/>
          </w:p>
        </w:tc>
        <w:tc>
          <w:tcPr>
            <w:tcW w:w="1580" w:type="dxa"/>
            <w:vAlign w:val="center"/>
          </w:tcPr>
          <w:p w14:paraId="3582323C">
            <w:pPr>
              <w:spacing w:line="560" w:lineRule="exact"/>
              <w:jc w:val="center"/>
              <w:outlineLvl w:val="0"/>
              <w:rPr>
                <w:rFonts w:hint="eastAsia" w:ascii="仿宋_GB2312" w:hAnsi="仿宋_GB2312" w:eastAsia="仿宋_GB2312" w:cs="仿宋_GB2312"/>
                <w:color w:val="auto"/>
                <w:szCs w:val="21"/>
                <w:highlight w:val="none"/>
              </w:rPr>
            </w:pPr>
            <w:bookmarkStart w:id="37" w:name="_Toc30478"/>
            <w:r>
              <w:rPr>
                <w:rFonts w:hint="eastAsia" w:ascii="仿宋_GB2312" w:hAnsi="仿宋_GB2312" w:eastAsia="仿宋_GB2312" w:cs="仿宋_GB2312"/>
                <w:color w:val="auto"/>
                <w:szCs w:val="21"/>
                <w:highlight w:val="none"/>
              </w:rPr>
              <w:t>高级工程师</w:t>
            </w:r>
            <w:bookmarkEnd w:id="37"/>
          </w:p>
        </w:tc>
        <w:tc>
          <w:tcPr>
            <w:tcW w:w="2810" w:type="dxa"/>
            <w:vAlign w:val="center"/>
          </w:tcPr>
          <w:p w14:paraId="5ECDF353">
            <w:pPr>
              <w:spacing w:line="560" w:lineRule="exact"/>
              <w:jc w:val="center"/>
              <w:outlineLvl w:val="0"/>
              <w:rPr>
                <w:rFonts w:hint="eastAsia" w:ascii="仿宋_GB2312" w:hAnsi="仿宋_GB2312" w:eastAsia="仿宋_GB2312" w:cs="仿宋_GB2312"/>
                <w:color w:val="auto"/>
                <w:szCs w:val="21"/>
                <w:highlight w:val="none"/>
              </w:rPr>
            </w:pPr>
            <w:bookmarkStart w:id="38" w:name="_Toc4593"/>
            <w:r>
              <w:rPr>
                <w:rFonts w:hint="eastAsia" w:ascii="仿宋_GB2312" w:hAnsi="仿宋_GB2312" w:eastAsia="仿宋_GB2312" w:cs="仿宋_GB2312"/>
                <w:color w:val="auto"/>
                <w:szCs w:val="21"/>
                <w:highlight w:val="none"/>
              </w:rPr>
              <w:t>宝鸡西北有色七一七总队</w:t>
            </w:r>
            <w:bookmarkEnd w:id="38"/>
          </w:p>
        </w:tc>
        <w:tc>
          <w:tcPr>
            <w:tcW w:w="2316" w:type="dxa"/>
            <w:vAlign w:val="center"/>
          </w:tcPr>
          <w:p w14:paraId="1DFC9497">
            <w:pPr>
              <w:spacing w:line="560" w:lineRule="exact"/>
              <w:jc w:val="center"/>
              <w:outlineLvl w:val="0"/>
              <w:rPr>
                <w:rFonts w:hint="eastAsia" w:ascii="仿宋_GB2312" w:hAnsi="仿宋_GB2312" w:eastAsia="仿宋_GB2312" w:cs="仿宋_GB2312"/>
                <w:color w:val="auto"/>
                <w:szCs w:val="21"/>
                <w:highlight w:val="none"/>
              </w:rPr>
            </w:pPr>
            <w:bookmarkStart w:id="39" w:name="_Toc22182"/>
            <w:r>
              <w:rPr>
                <w:rFonts w:hint="eastAsia" w:ascii="仿宋_GB2312" w:hAnsi="仿宋_GB2312" w:eastAsia="仿宋_GB2312" w:cs="仿宋_GB2312"/>
                <w:color w:val="auto"/>
                <w:szCs w:val="21"/>
                <w:highlight w:val="none"/>
              </w:rPr>
              <w:t>编制人</w:t>
            </w:r>
            <w:bookmarkEnd w:id="39"/>
          </w:p>
        </w:tc>
      </w:tr>
      <w:tr w14:paraId="06F7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28E3C50F">
            <w:pPr>
              <w:spacing w:line="560" w:lineRule="exact"/>
              <w:jc w:val="center"/>
              <w:outlineLvl w:val="0"/>
              <w:rPr>
                <w:rFonts w:hint="eastAsia" w:ascii="仿宋_GB2312" w:hAnsi="仿宋_GB2312" w:eastAsia="仿宋_GB2312" w:cs="仿宋_GB2312"/>
                <w:color w:val="auto"/>
                <w:szCs w:val="21"/>
                <w:highlight w:val="none"/>
              </w:rPr>
            </w:pPr>
            <w:bookmarkStart w:id="40" w:name="_Toc26523"/>
            <w:r>
              <w:rPr>
                <w:rFonts w:hint="eastAsia" w:ascii="仿宋_GB2312" w:hAnsi="仿宋_GB2312" w:eastAsia="仿宋_GB2312" w:cs="仿宋_GB2312"/>
                <w:color w:val="auto"/>
                <w:szCs w:val="21"/>
                <w:highlight w:val="none"/>
              </w:rPr>
              <w:t>6</w:t>
            </w:r>
            <w:bookmarkEnd w:id="40"/>
          </w:p>
        </w:tc>
        <w:tc>
          <w:tcPr>
            <w:tcW w:w="900" w:type="dxa"/>
            <w:vAlign w:val="center"/>
          </w:tcPr>
          <w:p w14:paraId="450B8A5E">
            <w:pPr>
              <w:spacing w:line="560" w:lineRule="exact"/>
              <w:jc w:val="center"/>
              <w:outlineLvl w:val="0"/>
              <w:rPr>
                <w:rFonts w:hint="eastAsia" w:ascii="仿宋_GB2312" w:hAnsi="仿宋_GB2312" w:eastAsia="仿宋_GB2312" w:cs="仿宋_GB2312"/>
                <w:color w:val="auto"/>
                <w:szCs w:val="21"/>
                <w:highlight w:val="none"/>
              </w:rPr>
            </w:pPr>
            <w:bookmarkStart w:id="41" w:name="_Toc31211"/>
            <w:r>
              <w:rPr>
                <w:rFonts w:hint="eastAsia" w:ascii="仿宋_GB2312" w:hAnsi="仿宋_GB2312" w:eastAsia="仿宋_GB2312" w:cs="仿宋_GB2312"/>
                <w:color w:val="auto"/>
                <w:szCs w:val="21"/>
                <w:highlight w:val="none"/>
              </w:rPr>
              <w:t>程功德</w:t>
            </w:r>
            <w:bookmarkEnd w:id="41"/>
          </w:p>
        </w:tc>
        <w:tc>
          <w:tcPr>
            <w:tcW w:w="1580" w:type="dxa"/>
            <w:vAlign w:val="center"/>
          </w:tcPr>
          <w:p w14:paraId="66C821A5">
            <w:pPr>
              <w:spacing w:line="560" w:lineRule="exact"/>
              <w:jc w:val="center"/>
              <w:outlineLvl w:val="0"/>
              <w:rPr>
                <w:rFonts w:hint="eastAsia" w:ascii="仿宋_GB2312" w:hAnsi="仿宋_GB2312" w:eastAsia="仿宋_GB2312" w:cs="仿宋_GB2312"/>
                <w:color w:val="auto"/>
                <w:szCs w:val="21"/>
                <w:highlight w:val="none"/>
              </w:rPr>
            </w:pPr>
            <w:bookmarkStart w:id="42" w:name="_Toc3104"/>
            <w:r>
              <w:rPr>
                <w:rFonts w:hint="eastAsia" w:ascii="仿宋_GB2312" w:hAnsi="仿宋_GB2312" w:eastAsia="仿宋_GB2312" w:cs="仿宋_GB2312"/>
                <w:color w:val="auto"/>
                <w:szCs w:val="21"/>
                <w:highlight w:val="none"/>
              </w:rPr>
              <w:t>工程师</w:t>
            </w:r>
            <w:bookmarkEnd w:id="42"/>
          </w:p>
        </w:tc>
        <w:tc>
          <w:tcPr>
            <w:tcW w:w="2810" w:type="dxa"/>
            <w:vAlign w:val="center"/>
          </w:tcPr>
          <w:p w14:paraId="26BFAD8E">
            <w:pPr>
              <w:spacing w:line="560" w:lineRule="exact"/>
              <w:jc w:val="center"/>
              <w:outlineLvl w:val="0"/>
              <w:rPr>
                <w:rFonts w:hint="eastAsia" w:ascii="仿宋_GB2312" w:hAnsi="仿宋_GB2312" w:eastAsia="仿宋_GB2312" w:cs="仿宋_GB2312"/>
                <w:color w:val="auto"/>
                <w:szCs w:val="21"/>
                <w:highlight w:val="none"/>
              </w:rPr>
            </w:pPr>
            <w:bookmarkStart w:id="43" w:name="_Toc28677"/>
            <w:r>
              <w:rPr>
                <w:rFonts w:hint="eastAsia" w:ascii="仿宋_GB2312" w:hAnsi="仿宋_GB2312" w:eastAsia="仿宋_GB2312" w:cs="仿宋_GB2312"/>
                <w:color w:val="auto"/>
                <w:szCs w:val="21"/>
                <w:highlight w:val="none"/>
              </w:rPr>
              <w:t>宝鸡西北有色七一七总队</w:t>
            </w:r>
            <w:bookmarkEnd w:id="43"/>
          </w:p>
        </w:tc>
        <w:tc>
          <w:tcPr>
            <w:tcW w:w="2316" w:type="dxa"/>
            <w:vAlign w:val="center"/>
          </w:tcPr>
          <w:p w14:paraId="2271E8AB">
            <w:pPr>
              <w:spacing w:line="560" w:lineRule="exact"/>
              <w:jc w:val="center"/>
              <w:outlineLvl w:val="0"/>
              <w:rPr>
                <w:rFonts w:hint="eastAsia" w:ascii="仿宋_GB2312" w:hAnsi="仿宋_GB2312" w:eastAsia="仿宋_GB2312" w:cs="仿宋_GB2312"/>
                <w:color w:val="auto"/>
                <w:szCs w:val="21"/>
                <w:highlight w:val="none"/>
              </w:rPr>
            </w:pPr>
            <w:bookmarkStart w:id="44" w:name="_Toc21248"/>
            <w:r>
              <w:rPr>
                <w:rFonts w:hint="eastAsia" w:ascii="仿宋_GB2312" w:hAnsi="仿宋_GB2312" w:eastAsia="仿宋_GB2312" w:cs="仿宋_GB2312"/>
                <w:color w:val="auto"/>
                <w:szCs w:val="21"/>
                <w:highlight w:val="none"/>
              </w:rPr>
              <w:t>编制人</w:t>
            </w:r>
            <w:bookmarkEnd w:id="44"/>
          </w:p>
        </w:tc>
      </w:tr>
      <w:tr w14:paraId="078E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68579D5E">
            <w:pPr>
              <w:spacing w:line="560" w:lineRule="exact"/>
              <w:jc w:val="center"/>
              <w:outlineLvl w:val="0"/>
              <w:rPr>
                <w:rFonts w:hint="eastAsia" w:ascii="仿宋_GB2312" w:hAnsi="仿宋_GB2312" w:eastAsia="仿宋_GB2312" w:cs="仿宋_GB2312"/>
                <w:color w:val="auto"/>
                <w:szCs w:val="21"/>
                <w:highlight w:val="none"/>
              </w:rPr>
            </w:pPr>
            <w:bookmarkStart w:id="45" w:name="_Toc9086"/>
            <w:r>
              <w:rPr>
                <w:rFonts w:hint="eastAsia" w:ascii="仿宋_GB2312" w:hAnsi="仿宋_GB2312" w:eastAsia="仿宋_GB2312" w:cs="仿宋_GB2312"/>
                <w:color w:val="auto"/>
                <w:szCs w:val="21"/>
                <w:highlight w:val="none"/>
              </w:rPr>
              <w:t>7</w:t>
            </w:r>
            <w:bookmarkEnd w:id="45"/>
          </w:p>
        </w:tc>
        <w:tc>
          <w:tcPr>
            <w:tcW w:w="900" w:type="dxa"/>
            <w:vAlign w:val="center"/>
          </w:tcPr>
          <w:p w14:paraId="043D07AD">
            <w:pPr>
              <w:spacing w:line="560" w:lineRule="exact"/>
              <w:jc w:val="center"/>
              <w:outlineLvl w:val="0"/>
              <w:rPr>
                <w:rFonts w:hint="eastAsia" w:ascii="仿宋_GB2312" w:hAnsi="仿宋_GB2312" w:eastAsia="仿宋_GB2312" w:cs="仿宋_GB2312"/>
                <w:color w:val="auto"/>
                <w:szCs w:val="21"/>
                <w:highlight w:val="none"/>
              </w:rPr>
            </w:pPr>
            <w:bookmarkStart w:id="46" w:name="_Toc5476"/>
            <w:r>
              <w:rPr>
                <w:rFonts w:hint="eastAsia" w:ascii="仿宋_GB2312" w:hAnsi="仿宋_GB2312" w:eastAsia="仿宋_GB2312" w:cs="仿宋_GB2312"/>
                <w:color w:val="auto"/>
                <w:szCs w:val="21"/>
                <w:highlight w:val="none"/>
              </w:rPr>
              <w:t>程功</w:t>
            </w:r>
            <w:bookmarkEnd w:id="46"/>
          </w:p>
        </w:tc>
        <w:tc>
          <w:tcPr>
            <w:tcW w:w="1580" w:type="dxa"/>
            <w:vAlign w:val="center"/>
          </w:tcPr>
          <w:p w14:paraId="345C3A3C">
            <w:pPr>
              <w:spacing w:line="560" w:lineRule="exact"/>
              <w:jc w:val="center"/>
              <w:outlineLvl w:val="0"/>
              <w:rPr>
                <w:rFonts w:hint="eastAsia" w:ascii="仿宋_GB2312" w:hAnsi="仿宋_GB2312" w:eastAsia="仿宋_GB2312" w:cs="仿宋_GB2312"/>
                <w:color w:val="auto"/>
                <w:szCs w:val="21"/>
                <w:highlight w:val="none"/>
              </w:rPr>
            </w:pPr>
            <w:bookmarkStart w:id="47" w:name="_Toc26244"/>
            <w:r>
              <w:rPr>
                <w:rFonts w:hint="eastAsia" w:ascii="仿宋_GB2312" w:hAnsi="仿宋_GB2312" w:eastAsia="仿宋_GB2312" w:cs="仿宋_GB2312"/>
                <w:color w:val="auto"/>
                <w:szCs w:val="21"/>
                <w:highlight w:val="none"/>
              </w:rPr>
              <w:t>工程师</w:t>
            </w:r>
            <w:bookmarkEnd w:id="47"/>
          </w:p>
        </w:tc>
        <w:tc>
          <w:tcPr>
            <w:tcW w:w="2810" w:type="dxa"/>
            <w:vAlign w:val="center"/>
          </w:tcPr>
          <w:p w14:paraId="5132E716">
            <w:pPr>
              <w:spacing w:line="560" w:lineRule="exact"/>
              <w:jc w:val="center"/>
              <w:outlineLvl w:val="0"/>
              <w:rPr>
                <w:rFonts w:hint="eastAsia" w:ascii="仿宋_GB2312" w:hAnsi="仿宋_GB2312" w:eastAsia="仿宋_GB2312" w:cs="仿宋_GB2312"/>
                <w:color w:val="auto"/>
                <w:szCs w:val="21"/>
                <w:highlight w:val="none"/>
              </w:rPr>
            </w:pPr>
            <w:bookmarkStart w:id="48" w:name="_Toc19421"/>
            <w:r>
              <w:rPr>
                <w:rFonts w:hint="eastAsia" w:ascii="仿宋_GB2312" w:hAnsi="仿宋_GB2312" w:eastAsia="仿宋_GB2312" w:cs="仿宋_GB2312"/>
                <w:color w:val="auto"/>
                <w:szCs w:val="21"/>
                <w:highlight w:val="none"/>
              </w:rPr>
              <w:t>陕西省国土空间勘测规划院</w:t>
            </w:r>
            <w:bookmarkEnd w:id="48"/>
          </w:p>
        </w:tc>
        <w:tc>
          <w:tcPr>
            <w:tcW w:w="2316" w:type="dxa"/>
            <w:vAlign w:val="center"/>
          </w:tcPr>
          <w:p w14:paraId="28D82849">
            <w:pPr>
              <w:spacing w:line="560" w:lineRule="exact"/>
              <w:jc w:val="center"/>
              <w:outlineLvl w:val="0"/>
              <w:rPr>
                <w:rFonts w:hint="eastAsia" w:ascii="仿宋_GB2312" w:hAnsi="仿宋_GB2312" w:eastAsia="仿宋_GB2312" w:cs="仿宋_GB2312"/>
                <w:color w:val="auto"/>
                <w:szCs w:val="21"/>
                <w:highlight w:val="none"/>
              </w:rPr>
            </w:pPr>
            <w:bookmarkStart w:id="49" w:name="_Toc27153"/>
            <w:r>
              <w:rPr>
                <w:rFonts w:hint="eastAsia" w:ascii="仿宋_GB2312" w:hAnsi="仿宋_GB2312" w:eastAsia="仿宋_GB2312" w:cs="仿宋_GB2312"/>
                <w:color w:val="auto"/>
                <w:szCs w:val="21"/>
                <w:highlight w:val="none"/>
              </w:rPr>
              <w:t>规划编制技术总结</w:t>
            </w:r>
            <w:bookmarkEnd w:id="49"/>
          </w:p>
        </w:tc>
      </w:tr>
      <w:tr w14:paraId="31D2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77E97CE3">
            <w:pPr>
              <w:spacing w:line="560" w:lineRule="exact"/>
              <w:jc w:val="center"/>
              <w:outlineLvl w:val="0"/>
              <w:rPr>
                <w:rFonts w:hint="eastAsia" w:ascii="仿宋_GB2312" w:hAnsi="仿宋_GB2312" w:eastAsia="仿宋_GB2312" w:cs="仿宋_GB2312"/>
                <w:color w:val="auto"/>
                <w:szCs w:val="21"/>
                <w:highlight w:val="none"/>
              </w:rPr>
            </w:pPr>
            <w:bookmarkStart w:id="50" w:name="_Toc23404"/>
            <w:r>
              <w:rPr>
                <w:rFonts w:hint="eastAsia" w:ascii="仿宋_GB2312" w:hAnsi="仿宋_GB2312" w:eastAsia="仿宋_GB2312" w:cs="仿宋_GB2312"/>
                <w:color w:val="auto"/>
                <w:szCs w:val="21"/>
                <w:highlight w:val="none"/>
              </w:rPr>
              <w:t>8</w:t>
            </w:r>
            <w:bookmarkEnd w:id="50"/>
          </w:p>
        </w:tc>
        <w:tc>
          <w:tcPr>
            <w:tcW w:w="900" w:type="dxa"/>
            <w:vAlign w:val="center"/>
          </w:tcPr>
          <w:p w14:paraId="5369073A">
            <w:pPr>
              <w:spacing w:line="560" w:lineRule="exact"/>
              <w:jc w:val="center"/>
              <w:outlineLvl w:val="0"/>
              <w:rPr>
                <w:rFonts w:hint="eastAsia" w:ascii="仿宋_GB2312" w:hAnsi="仿宋_GB2312" w:eastAsia="仿宋_GB2312" w:cs="仿宋_GB2312"/>
                <w:color w:val="auto"/>
                <w:szCs w:val="21"/>
                <w:highlight w:val="none"/>
              </w:rPr>
            </w:pPr>
            <w:bookmarkStart w:id="51" w:name="_Toc16232"/>
            <w:r>
              <w:rPr>
                <w:rFonts w:hint="eastAsia" w:ascii="仿宋_GB2312" w:hAnsi="仿宋_GB2312" w:eastAsia="仿宋_GB2312" w:cs="仿宋_GB2312"/>
                <w:color w:val="auto"/>
                <w:szCs w:val="21"/>
                <w:highlight w:val="none"/>
              </w:rPr>
              <w:t>雷亚平</w:t>
            </w:r>
            <w:bookmarkEnd w:id="51"/>
          </w:p>
        </w:tc>
        <w:tc>
          <w:tcPr>
            <w:tcW w:w="1580" w:type="dxa"/>
            <w:vAlign w:val="center"/>
          </w:tcPr>
          <w:p w14:paraId="7F471229">
            <w:pPr>
              <w:spacing w:line="560" w:lineRule="exact"/>
              <w:jc w:val="center"/>
              <w:outlineLvl w:val="0"/>
              <w:rPr>
                <w:rFonts w:hint="eastAsia" w:ascii="仿宋_GB2312" w:hAnsi="仿宋_GB2312" w:eastAsia="仿宋_GB2312" w:cs="仿宋_GB2312"/>
                <w:color w:val="auto"/>
                <w:szCs w:val="21"/>
                <w:highlight w:val="none"/>
              </w:rPr>
            </w:pPr>
            <w:bookmarkStart w:id="52" w:name="_Toc22397"/>
            <w:r>
              <w:rPr>
                <w:rFonts w:hint="eastAsia" w:ascii="仿宋_GB2312" w:hAnsi="仿宋_GB2312" w:eastAsia="仿宋_GB2312" w:cs="仿宋_GB2312"/>
                <w:color w:val="auto"/>
                <w:szCs w:val="21"/>
                <w:highlight w:val="none"/>
              </w:rPr>
              <w:t>高级工程师</w:t>
            </w:r>
            <w:bookmarkEnd w:id="52"/>
          </w:p>
        </w:tc>
        <w:tc>
          <w:tcPr>
            <w:tcW w:w="2810" w:type="dxa"/>
            <w:vAlign w:val="center"/>
          </w:tcPr>
          <w:p w14:paraId="6490A3C8">
            <w:pPr>
              <w:spacing w:line="560" w:lineRule="exact"/>
              <w:jc w:val="center"/>
              <w:outlineLvl w:val="0"/>
              <w:rPr>
                <w:rFonts w:hint="eastAsia" w:ascii="仿宋_GB2312" w:hAnsi="仿宋_GB2312" w:eastAsia="仿宋_GB2312" w:cs="仿宋_GB2312"/>
                <w:color w:val="auto"/>
                <w:szCs w:val="21"/>
                <w:highlight w:val="none"/>
              </w:rPr>
            </w:pPr>
            <w:bookmarkStart w:id="53" w:name="_Toc16022"/>
            <w:r>
              <w:rPr>
                <w:rFonts w:hint="eastAsia" w:ascii="仿宋_GB2312" w:hAnsi="仿宋_GB2312" w:eastAsia="仿宋_GB2312" w:cs="仿宋_GB2312"/>
                <w:color w:val="auto"/>
                <w:szCs w:val="21"/>
                <w:highlight w:val="none"/>
              </w:rPr>
              <w:t>西安地质矿产勘查开发院</w:t>
            </w:r>
            <w:bookmarkEnd w:id="53"/>
          </w:p>
        </w:tc>
        <w:tc>
          <w:tcPr>
            <w:tcW w:w="2316" w:type="dxa"/>
            <w:vAlign w:val="center"/>
          </w:tcPr>
          <w:p w14:paraId="1BE81749">
            <w:pPr>
              <w:spacing w:line="560" w:lineRule="exact"/>
              <w:jc w:val="center"/>
              <w:outlineLvl w:val="0"/>
              <w:rPr>
                <w:rFonts w:hint="eastAsia" w:ascii="仿宋_GB2312" w:hAnsi="仿宋_GB2312" w:eastAsia="仿宋_GB2312" w:cs="仿宋_GB2312"/>
                <w:color w:val="auto"/>
                <w:szCs w:val="21"/>
                <w:highlight w:val="none"/>
              </w:rPr>
            </w:pPr>
            <w:bookmarkStart w:id="54" w:name="_Toc18675"/>
            <w:r>
              <w:rPr>
                <w:rFonts w:hint="eastAsia" w:ascii="仿宋_GB2312" w:hAnsi="仿宋_GB2312" w:eastAsia="仿宋_GB2312" w:cs="仿宋_GB2312"/>
                <w:color w:val="auto"/>
                <w:szCs w:val="21"/>
                <w:highlight w:val="none"/>
              </w:rPr>
              <w:t>规划编制技术总结</w:t>
            </w:r>
            <w:bookmarkEnd w:id="54"/>
          </w:p>
        </w:tc>
      </w:tr>
      <w:tr w14:paraId="48AB6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6163E078">
            <w:pPr>
              <w:spacing w:line="560" w:lineRule="exact"/>
              <w:jc w:val="center"/>
              <w:outlineLvl w:val="0"/>
              <w:rPr>
                <w:rFonts w:hint="eastAsia" w:ascii="仿宋_GB2312" w:hAnsi="仿宋_GB2312" w:eastAsia="仿宋_GB2312" w:cs="仿宋_GB2312"/>
                <w:color w:val="auto"/>
                <w:szCs w:val="21"/>
                <w:highlight w:val="none"/>
              </w:rPr>
            </w:pPr>
            <w:bookmarkStart w:id="55" w:name="_Toc16850"/>
            <w:r>
              <w:rPr>
                <w:rFonts w:hint="eastAsia" w:ascii="仿宋_GB2312" w:hAnsi="仿宋_GB2312" w:eastAsia="仿宋_GB2312" w:cs="仿宋_GB2312"/>
                <w:color w:val="auto"/>
                <w:szCs w:val="21"/>
                <w:highlight w:val="none"/>
              </w:rPr>
              <w:t>9</w:t>
            </w:r>
            <w:bookmarkEnd w:id="55"/>
          </w:p>
        </w:tc>
        <w:tc>
          <w:tcPr>
            <w:tcW w:w="900" w:type="dxa"/>
            <w:vAlign w:val="center"/>
          </w:tcPr>
          <w:p w14:paraId="4FA74864">
            <w:pPr>
              <w:spacing w:line="560" w:lineRule="exact"/>
              <w:jc w:val="center"/>
              <w:outlineLvl w:val="0"/>
              <w:rPr>
                <w:rFonts w:hint="eastAsia" w:ascii="仿宋_GB2312" w:hAnsi="仿宋_GB2312" w:eastAsia="仿宋_GB2312" w:cs="仿宋_GB2312"/>
                <w:color w:val="auto"/>
                <w:szCs w:val="21"/>
                <w:highlight w:val="none"/>
              </w:rPr>
            </w:pPr>
            <w:bookmarkStart w:id="56" w:name="_Toc19076"/>
            <w:r>
              <w:rPr>
                <w:rFonts w:hint="eastAsia" w:ascii="仿宋_GB2312" w:hAnsi="仿宋_GB2312" w:eastAsia="仿宋_GB2312" w:cs="仿宋_GB2312"/>
                <w:color w:val="auto"/>
                <w:szCs w:val="21"/>
                <w:highlight w:val="none"/>
              </w:rPr>
              <w:t>刘爽</w:t>
            </w:r>
            <w:bookmarkEnd w:id="56"/>
          </w:p>
        </w:tc>
        <w:tc>
          <w:tcPr>
            <w:tcW w:w="1580" w:type="dxa"/>
            <w:vAlign w:val="center"/>
          </w:tcPr>
          <w:p w14:paraId="5F90F446">
            <w:pPr>
              <w:spacing w:line="560" w:lineRule="exact"/>
              <w:jc w:val="center"/>
              <w:outlineLvl w:val="0"/>
              <w:rPr>
                <w:rFonts w:hint="eastAsia" w:ascii="仿宋_GB2312" w:hAnsi="仿宋_GB2312" w:eastAsia="仿宋_GB2312" w:cs="仿宋_GB2312"/>
                <w:color w:val="auto"/>
                <w:szCs w:val="21"/>
                <w:highlight w:val="none"/>
              </w:rPr>
            </w:pPr>
            <w:bookmarkStart w:id="57" w:name="_Toc25835"/>
            <w:r>
              <w:rPr>
                <w:rFonts w:hint="eastAsia" w:ascii="仿宋_GB2312" w:hAnsi="仿宋_GB2312" w:eastAsia="仿宋_GB2312" w:cs="仿宋_GB2312"/>
                <w:color w:val="auto"/>
                <w:szCs w:val="21"/>
                <w:highlight w:val="none"/>
              </w:rPr>
              <w:t>高级工程师</w:t>
            </w:r>
            <w:bookmarkEnd w:id="57"/>
          </w:p>
        </w:tc>
        <w:tc>
          <w:tcPr>
            <w:tcW w:w="2810" w:type="dxa"/>
            <w:vAlign w:val="center"/>
          </w:tcPr>
          <w:p w14:paraId="56F81A5D">
            <w:pPr>
              <w:spacing w:line="560" w:lineRule="exact"/>
              <w:jc w:val="center"/>
              <w:outlineLvl w:val="0"/>
              <w:rPr>
                <w:rFonts w:hint="eastAsia" w:ascii="仿宋_GB2312" w:hAnsi="仿宋_GB2312" w:eastAsia="仿宋_GB2312" w:cs="仿宋_GB2312"/>
                <w:color w:val="auto"/>
                <w:szCs w:val="21"/>
                <w:highlight w:val="none"/>
              </w:rPr>
            </w:pPr>
            <w:bookmarkStart w:id="58" w:name="_Toc3311"/>
            <w:r>
              <w:rPr>
                <w:rFonts w:hint="eastAsia" w:ascii="仿宋_GB2312" w:hAnsi="仿宋_GB2312" w:eastAsia="仿宋_GB2312" w:cs="仿宋_GB2312"/>
                <w:color w:val="auto"/>
                <w:szCs w:val="21"/>
                <w:highlight w:val="none"/>
              </w:rPr>
              <w:t>西安地质矿产勘查开发院</w:t>
            </w:r>
            <w:bookmarkEnd w:id="58"/>
          </w:p>
        </w:tc>
        <w:tc>
          <w:tcPr>
            <w:tcW w:w="2316" w:type="dxa"/>
            <w:vAlign w:val="center"/>
          </w:tcPr>
          <w:p w14:paraId="07184212">
            <w:pPr>
              <w:spacing w:line="560" w:lineRule="exact"/>
              <w:jc w:val="center"/>
              <w:outlineLvl w:val="0"/>
              <w:rPr>
                <w:rFonts w:hint="eastAsia" w:ascii="仿宋_GB2312" w:hAnsi="仿宋_GB2312" w:eastAsia="仿宋_GB2312" w:cs="仿宋_GB2312"/>
                <w:color w:val="auto"/>
                <w:szCs w:val="21"/>
                <w:highlight w:val="none"/>
              </w:rPr>
            </w:pPr>
            <w:bookmarkStart w:id="59" w:name="_Toc12588"/>
            <w:r>
              <w:rPr>
                <w:rFonts w:hint="eastAsia" w:ascii="仿宋_GB2312" w:hAnsi="仿宋_GB2312" w:eastAsia="仿宋_GB2312" w:cs="仿宋_GB2312"/>
                <w:color w:val="auto"/>
                <w:szCs w:val="21"/>
                <w:highlight w:val="none"/>
              </w:rPr>
              <w:t>规划编制技术总结</w:t>
            </w:r>
            <w:bookmarkEnd w:id="59"/>
          </w:p>
        </w:tc>
      </w:tr>
      <w:tr w14:paraId="1730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73E81018">
            <w:pPr>
              <w:spacing w:line="560" w:lineRule="exact"/>
              <w:jc w:val="center"/>
              <w:outlineLvl w:val="0"/>
              <w:rPr>
                <w:rFonts w:hint="eastAsia" w:ascii="仿宋_GB2312" w:hAnsi="仿宋_GB2312" w:eastAsia="仿宋_GB2312" w:cs="仿宋_GB2312"/>
                <w:color w:val="auto"/>
                <w:szCs w:val="21"/>
                <w:highlight w:val="none"/>
              </w:rPr>
            </w:pPr>
            <w:bookmarkStart w:id="60" w:name="_Toc10699"/>
            <w:r>
              <w:rPr>
                <w:rFonts w:hint="eastAsia" w:ascii="仿宋_GB2312" w:hAnsi="仿宋_GB2312" w:eastAsia="仿宋_GB2312" w:cs="仿宋_GB2312"/>
                <w:color w:val="auto"/>
                <w:szCs w:val="21"/>
                <w:highlight w:val="none"/>
              </w:rPr>
              <w:t>10</w:t>
            </w:r>
            <w:bookmarkEnd w:id="60"/>
          </w:p>
        </w:tc>
        <w:tc>
          <w:tcPr>
            <w:tcW w:w="900" w:type="dxa"/>
            <w:vAlign w:val="center"/>
          </w:tcPr>
          <w:p w14:paraId="28BE572A">
            <w:pPr>
              <w:spacing w:line="560" w:lineRule="exact"/>
              <w:jc w:val="center"/>
              <w:outlineLvl w:val="0"/>
              <w:rPr>
                <w:rFonts w:hint="eastAsia" w:ascii="仿宋_GB2312" w:hAnsi="仿宋_GB2312" w:eastAsia="仿宋_GB2312" w:cs="仿宋_GB2312"/>
                <w:color w:val="auto"/>
                <w:szCs w:val="21"/>
                <w:highlight w:val="none"/>
              </w:rPr>
            </w:pPr>
            <w:bookmarkStart w:id="61" w:name="_Toc8540"/>
            <w:r>
              <w:rPr>
                <w:rFonts w:hint="eastAsia" w:ascii="仿宋_GB2312" w:hAnsi="仿宋_GB2312" w:eastAsia="仿宋_GB2312" w:cs="仿宋_GB2312"/>
                <w:color w:val="auto"/>
                <w:szCs w:val="21"/>
                <w:highlight w:val="none"/>
              </w:rPr>
              <w:t>王龙</w:t>
            </w:r>
            <w:bookmarkEnd w:id="61"/>
          </w:p>
        </w:tc>
        <w:tc>
          <w:tcPr>
            <w:tcW w:w="1580" w:type="dxa"/>
            <w:vAlign w:val="center"/>
          </w:tcPr>
          <w:p w14:paraId="2922B635">
            <w:pPr>
              <w:spacing w:line="560" w:lineRule="exact"/>
              <w:jc w:val="center"/>
              <w:outlineLvl w:val="0"/>
              <w:rPr>
                <w:rFonts w:hint="eastAsia" w:ascii="仿宋_GB2312" w:hAnsi="仿宋_GB2312" w:eastAsia="仿宋_GB2312" w:cs="仿宋_GB2312"/>
                <w:color w:val="auto"/>
                <w:szCs w:val="21"/>
                <w:highlight w:val="none"/>
              </w:rPr>
            </w:pPr>
            <w:bookmarkStart w:id="62" w:name="_Toc8715"/>
            <w:r>
              <w:rPr>
                <w:rFonts w:hint="eastAsia" w:ascii="仿宋_GB2312" w:hAnsi="仿宋_GB2312" w:eastAsia="仿宋_GB2312" w:cs="仿宋_GB2312"/>
                <w:color w:val="auto"/>
                <w:szCs w:val="21"/>
                <w:highlight w:val="none"/>
              </w:rPr>
              <w:t>高级工程师</w:t>
            </w:r>
            <w:bookmarkEnd w:id="62"/>
          </w:p>
        </w:tc>
        <w:tc>
          <w:tcPr>
            <w:tcW w:w="2810" w:type="dxa"/>
            <w:vAlign w:val="center"/>
          </w:tcPr>
          <w:p w14:paraId="33B4E1D3">
            <w:pPr>
              <w:spacing w:line="560" w:lineRule="exact"/>
              <w:jc w:val="center"/>
              <w:outlineLvl w:val="0"/>
              <w:rPr>
                <w:rFonts w:hint="eastAsia" w:ascii="仿宋_GB2312" w:hAnsi="仿宋_GB2312" w:eastAsia="仿宋_GB2312" w:cs="仿宋_GB2312"/>
                <w:color w:val="auto"/>
                <w:szCs w:val="21"/>
                <w:highlight w:val="none"/>
              </w:rPr>
            </w:pPr>
            <w:bookmarkStart w:id="63" w:name="_Toc1734"/>
            <w:r>
              <w:rPr>
                <w:rFonts w:hint="eastAsia" w:ascii="仿宋_GB2312" w:hAnsi="仿宋_GB2312" w:eastAsia="仿宋_GB2312" w:cs="仿宋_GB2312"/>
                <w:color w:val="auto"/>
                <w:szCs w:val="21"/>
                <w:highlight w:val="none"/>
              </w:rPr>
              <w:t>陕西地矿区研院有限公司</w:t>
            </w:r>
            <w:bookmarkEnd w:id="63"/>
          </w:p>
        </w:tc>
        <w:tc>
          <w:tcPr>
            <w:tcW w:w="2316" w:type="dxa"/>
            <w:vAlign w:val="center"/>
          </w:tcPr>
          <w:p w14:paraId="3D483BF0">
            <w:pPr>
              <w:spacing w:line="560" w:lineRule="exact"/>
              <w:jc w:val="center"/>
              <w:outlineLvl w:val="0"/>
              <w:rPr>
                <w:rFonts w:hint="eastAsia" w:ascii="仿宋_GB2312" w:hAnsi="仿宋_GB2312" w:eastAsia="仿宋_GB2312" w:cs="仿宋_GB2312"/>
                <w:color w:val="auto"/>
                <w:szCs w:val="21"/>
                <w:highlight w:val="none"/>
              </w:rPr>
            </w:pPr>
            <w:bookmarkStart w:id="64" w:name="_Toc3435"/>
            <w:r>
              <w:rPr>
                <w:rFonts w:hint="eastAsia" w:ascii="仿宋_GB2312" w:hAnsi="仿宋_GB2312" w:eastAsia="仿宋_GB2312" w:cs="仿宋_GB2312"/>
                <w:color w:val="auto"/>
                <w:szCs w:val="21"/>
                <w:highlight w:val="none"/>
              </w:rPr>
              <w:t>规划编制技术总结</w:t>
            </w:r>
            <w:bookmarkEnd w:id="64"/>
          </w:p>
        </w:tc>
      </w:tr>
      <w:tr w14:paraId="4DA28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2DAE2567">
            <w:pPr>
              <w:spacing w:line="560" w:lineRule="exact"/>
              <w:jc w:val="center"/>
              <w:outlineLvl w:val="0"/>
              <w:rPr>
                <w:rFonts w:hint="eastAsia" w:ascii="仿宋_GB2312" w:hAnsi="仿宋_GB2312" w:eastAsia="仿宋_GB2312" w:cs="仿宋_GB2312"/>
                <w:color w:val="auto"/>
                <w:szCs w:val="21"/>
                <w:highlight w:val="none"/>
              </w:rPr>
            </w:pPr>
            <w:bookmarkStart w:id="65" w:name="_Toc24426"/>
            <w:r>
              <w:rPr>
                <w:rFonts w:hint="eastAsia" w:ascii="仿宋_GB2312" w:hAnsi="仿宋_GB2312" w:eastAsia="仿宋_GB2312" w:cs="仿宋_GB2312"/>
                <w:color w:val="auto"/>
                <w:szCs w:val="21"/>
                <w:highlight w:val="none"/>
              </w:rPr>
              <w:t>11</w:t>
            </w:r>
            <w:bookmarkEnd w:id="65"/>
          </w:p>
        </w:tc>
        <w:tc>
          <w:tcPr>
            <w:tcW w:w="900" w:type="dxa"/>
            <w:vAlign w:val="center"/>
          </w:tcPr>
          <w:p w14:paraId="0CDDA881">
            <w:pPr>
              <w:spacing w:line="560" w:lineRule="exact"/>
              <w:jc w:val="center"/>
              <w:outlineLvl w:val="0"/>
              <w:rPr>
                <w:rFonts w:hint="eastAsia" w:ascii="仿宋_GB2312" w:hAnsi="仿宋_GB2312" w:eastAsia="仿宋_GB2312" w:cs="仿宋_GB2312"/>
                <w:color w:val="auto"/>
                <w:szCs w:val="21"/>
                <w:highlight w:val="none"/>
              </w:rPr>
            </w:pPr>
            <w:bookmarkStart w:id="66" w:name="_Toc27224"/>
            <w:r>
              <w:rPr>
                <w:rFonts w:hint="eastAsia" w:ascii="仿宋_GB2312" w:hAnsi="仿宋_GB2312" w:eastAsia="仿宋_GB2312" w:cs="仿宋_GB2312"/>
                <w:color w:val="auto"/>
                <w:szCs w:val="21"/>
                <w:highlight w:val="none"/>
              </w:rPr>
              <w:t>段少帅</w:t>
            </w:r>
            <w:bookmarkEnd w:id="66"/>
          </w:p>
        </w:tc>
        <w:tc>
          <w:tcPr>
            <w:tcW w:w="1580" w:type="dxa"/>
            <w:vAlign w:val="center"/>
          </w:tcPr>
          <w:p w14:paraId="2E96064D">
            <w:pPr>
              <w:spacing w:line="560" w:lineRule="exact"/>
              <w:jc w:val="center"/>
              <w:outlineLvl w:val="0"/>
              <w:rPr>
                <w:rFonts w:hint="eastAsia" w:ascii="仿宋_GB2312" w:hAnsi="仿宋_GB2312" w:eastAsia="仿宋_GB2312" w:cs="仿宋_GB2312"/>
                <w:color w:val="auto"/>
                <w:szCs w:val="21"/>
                <w:highlight w:val="none"/>
              </w:rPr>
            </w:pPr>
            <w:bookmarkStart w:id="67" w:name="_Toc28353"/>
            <w:r>
              <w:rPr>
                <w:rFonts w:hint="eastAsia" w:ascii="仿宋_GB2312" w:hAnsi="仿宋_GB2312" w:eastAsia="仿宋_GB2312" w:cs="仿宋_GB2312"/>
                <w:color w:val="auto"/>
                <w:szCs w:val="21"/>
                <w:highlight w:val="none"/>
              </w:rPr>
              <w:t>讲师</w:t>
            </w:r>
            <w:bookmarkEnd w:id="67"/>
          </w:p>
        </w:tc>
        <w:tc>
          <w:tcPr>
            <w:tcW w:w="2810" w:type="dxa"/>
            <w:vAlign w:val="center"/>
          </w:tcPr>
          <w:p w14:paraId="4C7C7C9B">
            <w:pPr>
              <w:spacing w:line="560" w:lineRule="exact"/>
              <w:jc w:val="center"/>
              <w:outlineLvl w:val="0"/>
              <w:rPr>
                <w:rFonts w:hint="eastAsia" w:ascii="仿宋_GB2312" w:hAnsi="仿宋_GB2312" w:eastAsia="仿宋_GB2312" w:cs="仿宋_GB2312"/>
                <w:color w:val="auto"/>
                <w:szCs w:val="21"/>
                <w:highlight w:val="none"/>
              </w:rPr>
            </w:pPr>
            <w:bookmarkStart w:id="68" w:name="_Toc14872"/>
            <w:r>
              <w:rPr>
                <w:rFonts w:hint="eastAsia" w:ascii="仿宋_GB2312" w:hAnsi="仿宋_GB2312" w:eastAsia="仿宋_GB2312" w:cs="仿宋_GB2312"/>
                <w:color w:val="auto"/>
                <w:szCs w:val="21"/>
                <w:highlight w:val="none"/>
              </w:rPr>
              <w:t>长安大学</w:t>
            </w:r>
            <w:bookmarkEnd w:id="68"/>
          </w:p>
        </w:tc>
        <w:tc>
          <w:tcPr>
            <w:tcW w:w="2316" w:type="dxa"/>
            <w:vAlign w:val="center"/>
          </w:tcPr>
          <w:p w14:paraId="5EC52ED5">
            <w:pPr>
              <w:spacing w:line="560" w:lineRule="exact"/>
              <w:jc w:val="center"/>
              <w:outlineLvl w:val="0"/>
              <w:rPr>
                <w:rFonts w:hint="eastAsia" w:ascii="仿宋_GB2312" w:hAnsi="仿宋_GB2312" w:eastAsia="仿宋_GB2312" w:cs="仿宋_GB2312"/>
                <w:color w:val="auto"/>
                <w:szCs w:val="21"/>
                <w:highlight w:val="none"/>
              </w:rPr>
            </w:pPr>
            <w:bookmarkStart w:id="69" w:name="_Toc13770"/>
            <w:r>
              <w:rPr>
                <w:rFonts w:hint="eastAsia" w:ascii="仿宋_GB2312" w:hAnsi="仿宋_GB2312" w:eastAsia="仿宋_GB2312" w:cs="仿宋_GB2312"/>
                <w:color w:val="auto"/>
                <w:szCs w:val="21"/>
                <w:highlight w:val="none"/>
              </w:rPr>
              <w:t>算法实验验证</w:t>
            </w:r>
            <w:bookmarkEnd w:id="69"/>
          </w:p>
        </w:tc>
      </w:tr>
    </w:tbl>
    <w:p w14:paraId="6F99EB47">
      <w:pPr>
        <w:spacing w:line="560" w:lineRule="exact"/>
        <w:ind w:firstLine="640" w:firstLineChars="200"/>
        <w:outlineLvl w:val="0"/>
        <w:rPr>
          <w:rFonts w:hint="eastAsia" w:ascii="黑体" w:hAnsi="黑体" w:eastAsia="黑体" w:cs="黑体"/>
          <w:color w:val="auto"/>
          <w:sz w:val="32"/>
          <w:szCs w:val="32"/>
          <w:highlight w:val="none"/>
        </w:rPr>
      </w:pPr>
      <w:bookmarkStart w:id="70" w:name="_Toc13119"/>
      <w:r>
        <w:rPr>
          <w:rFonts w:hint="eastAsia" w:ascii="黑体" w:hAnsi="黑体" w:eastAsia="黑体" w:cs="黑体"/>
          <w:color w:val="auto"/>
          <w:sz w:val="32"/>
          <w:szCs w:val="32"/>
          <w:highlight w:val="none"/>
        </w:rPr>
        <w:t>二、编制原则和确定主要内容的论据</w:t>
      </w:r>
      <w:bookmarkEnd w:id="70"/>
    </w:p>
    <w:p w14:paraId="7EE3F415">
      <w:pPr>
        <w:spacing w:line="560" w:lineRule="exact"/>
        <w:ind w:left="420" w:leftChars="200"/>
        <w:outlineLvl w:val="1"/>
        <w:rPr>
          <w:rFonts w:hint="eastAsia" w:ascii="黑体" w:hAnsi="黑体" w:eastAsia="黑体" w:cs="黑体"/>
          <w:color w:val="auto"/>
          <w:sz w:val="30"/>
          <w:szCs w:val="30"/>
          <w:highlight w:val="none"/>
        </w:rPr>
      </w:pPr>
      <w:bookmarkStart w:id="71" w:name="_Toc3117"/>
      <w:r>
        <w:rPr>
          <w:rFonts w:hint="eastAsia" w:ascii="黑体" w:hAnsi="黑体" w:eastAsia="黑体" w:cs="黑体"/>
          <w:color w:val="auto"/>
          <w:sz w:val="30"/>
          <w:szCs w:val="30"/>
          <w:highlight w:val="none"/>
        </w:rPr>
        <w:t>（一）编制原则</w:t>
      </w:r>
      <w:bookmarkEnd w:id="71"/>
    </w:p>
    <w:p w14:paraId="0A17BC0C">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标准编制工作依据标准化管理的有关要求，在相关国家标准、行业标准、地方标准等文件的基础上，结合陕西省矿产资源分布特点、上轮规划编制工作中的难点与存在问题，形成了市县级矿产资源总体规划编制技术规范，明确了市县级矿产资源总体规划编制范围，应遵守的编制原则、编制流程、技术要点、编制内容、成果表达等内容，通过对相关内容的规定和明确，进一步提高市县级矿产资源总体规划编制质量，为市县级矿产资源总体规划编制提供有力支撑。</w:t>
      </w:r>
    </w:p>
    <w:p w14:paraId="4B95D9EC">
      <w:pPr>
        <w:spacing w:line="560" w:lineRule="exact"/>
        <w:ind w:firstLine="600" w:firstLineChars="200"/>
        <w:outlineLvl w:val="1"/>
        <w:rPr>
          <w:rFonts w:hint="eastAsia" w:ascii="黑体" w:hAnsi="黑体" w:eastAsia="黑体" w:cs="黑体"/>
          <w:color w:val="auto"/>
          <w:sz w:val="30"/>
          <w:szCs w:val="30"/>
          <w:highlight w:val="none"/>
        </w:rPr>
      </w:pPr>
      <w:bookmarkStart w:id="72" w:name="_Toc25777"/>
      <w:r>
        <w:rPr>
          <w:rFonts w:hint="eastAsia" w:ascii="黑体" w:hAnsi="黑体" w:eastAsia="黑体" w:cs="黑体"/>
          <w:color w:val="auto"/>
          <w:sz w:val="30"/>
          <w:szCs w:val="30"/>
          <w:highlight w:val="none"/>
        </w:rPr>
        <w:t>（二）确定主要内容的论据</w:t>
      </w:r>
      <w:bookmarkEnd w:id="72"/>
    </w:p>
    <w:p w14:paraId="4ED60A1A">
      <w:pPr>
        <w:widowControl/>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一是部省相关法律法规和技术文件。根据最新修订的《中华人民共和国矿产资源法》、自然资源部印发的</w:t>
      </w:r>
      <w:r>
        <w:rPr>
          <w:rFonts w:hint="eastAsia" w:ascii="仿宋_GB2312" w:hAnsi="仿宋_GB2312" w:eastAsia="仿宋_GB2312" w:cs="仿宋_GB2312"/>
          <w:color w:val="auto"/>
          <w:kern w:val="0"/>
          <w:sz w:val="32"/>
          <w:szCs w:val="32"/>
          <w:highlight w:val="none"/>
          <w:lang w:bidi="ar"/>
        </w:rPr>
        <w:t>《</w:t>
      </w:r>
      <w:r>
        <w:rPr>
          <w:rFonts w:hint="default" w:ascii="仿宋_GB2312" w:hAnsi="仿宋_GB2312" w:eastAsia="仿宋_GB2312" w:cs="仿宋_GB2312"/>
          <w:color w:val="auto"/>
          <w:kern w:val="0"/>
          <w:sz w:val="32"/>
          <w:szCs w:val="32"/>
          <w:highlight w:val="none"/>
          <w:lang w:val="en-US" w:eastAsia="zh-CN" w:bidi="ar"/>
        </w:rPr>
        <w:t>“</w:t>
      </w:r>
      <w:r>
        <w:rPr>
          <w:rFonts w:hint="eastAsia" w:ascii="仿宋_GB2312" w:hAnsi="仿宋_GB2312" w:eastAsia="仿宋_GB2312" w:cs="仿宋_GB2312"/>
          <w:color w:val="auto"/>
          <w:kern w:val="0"/>
          <w:sz w:val="32"/>
          <w:szCs w:val="32"/>
          <w:highlight w:val="none"/>
          <w:lang w:val="en-US" w:eastAsia="zh-CN" w:bidi="ar"/>
        </w:rPr>
        <w:t>十五五”</w:t>
      </w:r>
      <w:r>
        <w:rPr>
          <w:rFonts w:hint="eastAsia" w:ascii="仿宋_GB2312" w:hAnsi="仿宋_GB2312" w:eastAsia="仿宋_GB2312" w:cs="仿宋_GB2312"/>
          <w:color w:val="auto"/>
          <w:kern w:val="0"/>
          <w:sz w:val="32"/>
          <w:szCs w:val="32"/>
          <w:highlight w:val="none"/>
          <w:lang w:bidi="ar"/>
        </w:rPr>
        <w:t>市县级矿产资源规划编制</w:t>
      </w:r>
      <w:r>
        <w:rPr>
          <w:rFonts w:hint="eastAsia" w:ascii="仿宋_GB2312" w:hAnsi="仿宋_GB2312" w:eastAsia="仿宋_GB2312" w:cs="仿宋_GB2312"/>
          <w:color w:val="auto"/>
          <w:kern w:val="0"/>
          <w:sz w:val="32"/>
          <w:szCs w:val="32"/>
          <w:highlight w:val="none"/>
          <w:lang w:eastAsia="zh-CN" w:bidi="ar"/>
        </w:rPr>
        <w:t>指南</w:t>
      </w:r>
      <w:r>
        <w:rPr>
          <w:rFonts w:hint="eastAsia" w:ascii="仿宋_GB2312" w:hAnsi="仿宋_GB2312" w:eastAsia="仿宋_GB2312" w:cs="仿宋_GB2312"/>
          <w:color w:val="auto"/>
          <w:kern w:val="0"/>
          <w:sz w:val="32"/>
          <w:szCs w:val="32"/>
          <w:highlight w:val="none"/>
          <w:lang w:bidi="ar"/>
        </w:rPr>
        <w:t>》</w:t>
      </w:r>
      <w:r>
        <w:rPr>
          <w:rFonts w:hint="eastAsia" w:ascii="仿宋_GB2312" w:hAnsi="仿宋_GB2312" w:eastAsia="仿宋_GB2312" w:cs="仿宋_GB2312"/>
          <w:color w:val="auto"/>
          <w:kern w:val="0"/>
          <w:sz w:val="32"/>
          <w:szCs w:val="32"/>
          <w:highlight w:val="none"/>
          <w:lang w:bidi="ar"/>
        </w:rPr>
        <w:t>和《省级矿产资源总体规划编制技术规程》（DZ/T 0444—2023）建立标准的基本框架，咨询相关行业专家，确定了规划编制内容，明确将规划指标、规划布局与分区、确定开采总量、开发利用结构调整等内容作为技术要点；按照《标准化工作导则 第1部分：标准化文件的结构和起草规则》（GB/T1.1—2020）和《地方标准制定规范》（DB/T 1214—2020）确定了标准的基本形式。</w:t>
      </w:r>
    </w:p>
    <w:p w14:paraId="044E5959">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依据“十三五”和“十四五”矿产资源总体规划编制的技术经验。项目主导单位陕西省国土空间勘测规划院自矿产资源总体规划制度实施以来，承担了4轮省级矿产资源总体规划编制，并组织了市级矿产资源规划审查，标准编制相关人员参与了多个县级矿产资源规划的评审，积累了丰富的省、市、县三级矿产资源规划编制经验。参与单位均为从事了多个市县级矿产资源规划编制的专业技术队伍，在历次规划编制中积累了丰富经验。以上工作经验均为标准主要内容的确立依据。</w:t>
      </w:r>
    </w:p>
    <w:p w14:paraId="4CC64CE6">
      <w:pPr>
        <w:widowControl/>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sz w:val="32"/>
          <w:szCs w:val="32"/>
          <w:highlight w:val="none"/>
        </w:rPr>
        <w:t>三是依据调研结果。6月25日至7月24日，陕西省国土空间勘测规划院作为牵头单位，与省自然资源厅、市县级矿产资源总体规划编制思路与方法专题研究单位组成联合调研组，先后赴10个市18个县（区）29个矿山进行实地调研，了解规划设置的目标指标的完成情况、市县级矿产资源勘查开采工作布局的合理性、重点项目的实施情况及划编制过程中的其他相关问题，</w:t>
      </w:r>
      <w:r>
        <w:rPr>
          <w:rFonts w:hint="eastAsia" w:ascii="仿宋_GB2312" w:hAnsi="仿宋_GB2312" w:eastAsia="仿宋_GB2312" w:cs="仿宋_GB2312"/>
          <w:color w:val="auto"/>
          <w:kern w:val="0"/>
          <w:sz w:val="32"/>
          <w:szCs w:val="32"/>
          <w:highlight w:val="none"/>
          <w:lang w:bidi="ar"/>
        </w:rPr>
        <w:t>收集了规划编制实施大量的资料并开展研究，为标准打下了坚实基础。总结规划编制流程、规划指标论证技术方法、规划布局与分区、勘查开采规划区块技术要求、开采总量、开发利用结构调整、规划成果规范化表达，形成标准的主要内容。</w:t>
      </w:r>
    </w:p>
    <w:p w14:paraId="6E80FBC7">
      <w:pPr>
        <w:spacing w:line="560" w:lineRule="exact"/>
        <w:ind w:firstLine="640" w:firstLineChars="200"/>
        <w:outlineLvl w:val="0"/>
        <w:rPr>
          <w:rFonts w:hint="eastAsia" w:ascii="黑体" w:hAnsi="黑体" w:eastAsia="黑体" w:cs="黑体"/>
          <w:color w:val="auto"/>
          <w:sz w:val="32"/>
          <w:szCs w:val="32"/>
          <w:highlight w:val="none"/>
        </w:rPr>
      </w:pPr>
      <w:bookmarkStart w:id="73" w:name="_Toc27569"/>
      <w:r>
        <w:rPr>
          <w:rFonts w:hint="eastAsia" w:ascii="黑体" w:hAnsi="黑体" w:eastAsia="黑体" w:cs="黑体"/>
          <w:color w:val="auto"/>
          <w:sz w:val="32"/>
          <w:szCs w:val="32"/>
          <w:highlight w:val="none"/>
        </w:rPr>
        <w:t>三、标准的主要内容</w:t>
      </w:r>
      <w:bookmarkEnd w:id="73"/>
    </w:p>
    <w:p w14:paraId="6547F488">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《市县级矿产资源总体规划编制技术规范》（征求意见稿）由前言、正文和附录组成。</w:t>
      </w:r>
    </w:p>
    <w:p w14:paraId="147CED56">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前言：说明了标准起草的依据、归口单位、起草单位、起草人解释权归属及其他相关信息。</w:t>
      </w:r>
    </w:p>
    <w:p w14:paraId="17A9AD40">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1.范围：说明标准包含的主要内容、适用范围。</w:t>
      </w:r>
    </w:p>
    <w:p w14:paraId="63681BC8">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2.规范性引用文件：说明引用的主要规范性文件。</w:t>
      </w:r>
    </w:p>
    <w:p w14:paraId="2BFEB5F4">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3.术语和定义。说明本标准中术语与定义的来源。</w:t>
      </w:r>
    </w:p>
    <w:p w14:paraId="65971380">
      <w:pPr>
        <w:widowControl/>
        <w:spacing w:line="560" w:lineRule="exact"/>
        <w:ind w:firstLine="640" w:firstLineChars="200"/>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4.总则：明确了市县级矿产资源总体规划的定位、范围、期限、编制依据、编制原则、主要任务。</w:t>
      </w:r>
    </w:p>
    <w:p w14:paraId="6FD408BD">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5.编制流程：明确了规划的工作流程。规划编制包含资料收集、编制工作方案、规划实施评估与调研、专题研究、文本编制、成果完善六个阶段，明确各个阶段的工作内容及要求（参照附录A）。</w:t>
      </w:r>
    </w:p>
    <w:p w14:paraId="34602270">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6.</w:t>
      </w:r>
      <w:r>
        <w:rPr>
          <w:rFonts w:hint="eastAsia"/>
          <w:color w:val="auto"/>
          <w:sz w:val="32"/>
          <w:szCs w:val="32"/>
          <w:highlight w:val="none"/>
        </w:rPr>
        <w:t xml:space="preserve"> </w:t>
      </w:r>
      <w:r>
        <w:rPr>
          <w:rFonts w:hint="eastAsia" w:ascii="仿宋_GB2312" w:hAnsi="仿宋_GB2312" w:eastAsia="仿宋_GB2312" w:cs="仿宋_GB2312"/>
          <w:color w:val="auto"/>
          <w:kern w:val="0"/>
          <w:sz w:val="32"/>
          <w:szCs w:val="32"/>
          <w:highlight w:val="none"/>
          <w:lang w:bidi="ar"/>
        </w:rPr>
        <w:t>规划文本要点:明确规划文本要点包含规划背景、指导思想与基本原则、规划目标、总体布局（矿产资源勘查开采优化方向；矿产资源产业重点发展区域；勘查开采与保护规划分区）、矿产资源调查评价与勘查（矿产资源调查评价；矿产资源勘查；勘查规划区块）、矿产资源开发利用与保护（开采总量引导；开发利用结构调整；矿产资源节约与综合利用；开采规划区块；矿产资源开发管理）、绿色矿业发展（绿色矿山建设；矿区生态修复）、重点项目、规划实施与管理等九部分内容，明确各部分的详细内容及要求。</w:t>
      </w:r>
    </w:p>
    <w:p w14:paraId="6715EC31">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7.技术要点：主要包括规划指标、规划布局与分区、确定开采总量、开发利用结构调整。</w:t>
      </w:r>
    </w:p>
    <w:p w14:paraId="4F12F4E8">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7.1规划指标：明确规划指标分类及规划指标体系，规划体系包含基础地质调查、矿产资源勘查、矿产资源开采、结构与效率及结合本地实际设置具有本地特色的指标等内容，各项指标值的确定与论证方法，详见附录B。</w:t>
      </w:r>
    </w:p>
    <w:p w14:paraId="254A51B5">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7.2规划布局与分区：主要包含矿产资源产业发展布局、</w:t>
      </w:r>
      <w:r>
        <w:rPr>
          <w:rFonts w:hint="eastAsia" w:ascii="仿宋_GB2312" w:hAnsi="仿宋_GB2312" w:eastAsia="仿宋_GB2312" w:cs="仿宋_GB2312"/>
          <w:color w:val="auto"/>
          <w:kern w:val="0"/>
          <w:sz w:val="32"/>
          <w:szCs w:val="32"/>
          <w:highlight w:val="none"/>
          <w:lang w:eastAsia="zh-CN" w:bidi="ar"/>
        </w:rPr>
        <w:t>战略性矿产</w:t>
      </w:r>
      <w:r>
        <w:rPr>
          <w:rFonts w:hint="eastAsia" w:ascii="仿宋_GB2312" w:hAnsi="仿宋_GB2312" w:eastAsia="仿宋_GB2312" w:cs="仿宋_GB2312"/>
          <w:color w:val="auto"/>
          <w:kern w:val="0"/>
          <w:sz w:val="32"/>
          <w:szCs w:val="32"/>
          <w:highlight w:val="none"/>
          <w:lang w:bidi="ar"/>
        </w:rPr>
        <w:t>资源安全保障布局</w:t>
      </w:r>
      <w:r>
        <w:rPr>
          <w:rFonts w:hint="eastAsia" w:ascii="仿宋_GB2312" w:hAnsi="仿宋_GB2312" w:eastAsia="仿宋_GB2312" w:cs="仿宋_GB2312"/>
          <w:color w:val="auto"/>
          <w:kern w:val="0"/>
          <w:sz w:val="32"/>
          <w:szCs w:val="32"/>
          <w:highlight w:val="none"/>
          <w:lang w:bidi="ar"/>
        </w:rPr>
        <w:t>、勘查开采工作布局。</w:t>
      </w:r>
    </w:p>
    <w:p w14:paraId="2F2D5609">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 xml:space="preserve">矿产资源产业发展布局：明确确定本行政区内矿产资源开发及相关产业发展重点区域和方向时须结合区域经济发展和矿产资源相关产业空间布局，突出资源开发与区域经济协调发展和空间格局优化及相关考量因素。 </w:t>
      </w:r>
    </w:p>
    <w:p w14:paraId="794A6378">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eastAsia="zh-CN" w:bidi="ar"/>
        </w:rPr>
        <w:t>战略性矿产</w:t>
      </w:r>
      <w:r>
        <w:rPr>
          <w:rFonts w:hint="eastAsia" w:ascii="仿宋_GB2312" w:hAnsi="仿宋_GB2312" w:eastAsia="仿宋_GB2312" w:cs="仿宋_GB2312"/>
          <w:color w:val="auto"/>
          <w:kern w:val="0"/>
          <w:sz w:val="32"/>
          <w:szCs w:val="32"/>
          <w:highlight w:val="none"/>
          <w:lang w:bidi="ar"/>
        </w:rPr>
        <w:t>资源安全保障布局</w:t>
      </w:r>
      <w:r>
        <w:rPr>
          <w:rFonts w:hint="eastAsia" w:ascii="仿宋_GB2312" w:hAnsi="仿宋_GB2312" w:eastAsia="仿宋_GB2312" w:cs="仿宋_GB2312"/>
          <w:color w:val="auto"/>
          <w:kern w:val="0"/>
          <w:sz w:val="32"/>
          <w:szCs w:val="32"/>
          <w:highlight w:val="none"/>
          <w:lang w:bidi="ar"/>
        </w:rPr>
        <w:t>：落实上级规划确定的能源资源安全保障布局空间范围，提出促进规划发展建设的相应政策措施，具体划定技术要求参照DZ/T 0444执行。</w:t>
      </w:r>
    </w:p>
    <w:p w14:paraId="35D6E862">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勘查开采工作布局：包含重点勘查区、重点开采区、集中开采区的划定，明确重点勘查区、重点开采区划定时需考量的因素。集中开采区划定时在资源禀赋、开发条件、生产安全、规划协调等方面提出了具体要求。</w:t>
      </w:r>
    </w:p>
    <w:p w14:paraId="109DBFC3">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勘查开采规划区块：明确了勘查开采规划区块的作用是为依法审批和监督管理矿产资源勘查开采活动，合理配置资源和引导矿业权设置提供参考依据。主要任务落实上级矿产资源规划在本辖区内划定的勘查、开采规划区块；科学、合理划定本级的矿产资源勘查、开采规划区块。市级发证权限矿种中，地热、矿泉水等流体矿产根据地质成因类型、区域资源现状划定勘查规划区块、开采规划区块，成矿背景简单，开发条件成熟有利的矿产地可直接划定开采规划区块，也可划定集中开采区。县级发证权限矿种，可根据资源赋存、产业配套等因素划定开采规划区块，也可只划定集中开采区。根据成矿地质条件、勘查程度、资源禀赋情况和外部条件等因素制定了勘查开采规划区块划定技术要求参照附录C执行。</w:t>
      </w:r>
    </w:p>
    <w:p w14:paraId="56ABAAF4">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8.</w:t>
      </w:r>
      <w:r>
        <w:rPr>
          <w:rFonts w:hint="eastAsia"/>
          <w:color w:val="auto"/>
          <w:sz w:val="32"/>
          <w:szCs w:val="32"/>
          <w:highlight w:val="none"/>
        </w:rPr>
        <w:t xml:space="preserve"> </w:t>
      </w:r>
      <w:r>
        <w:rPr>
          <w:rFonts w:hint="eastAsia" w:ascii="仿宋_GB2312" w:hAnsi="仿宋_GB2312" w:eastAsia="仿宋_GB2312" w:cs="仿宋_GB2312"/>
          <w:color w:val="auto"/>
          <w:kern w:val="0"/>
          <w:sz w:val="32"/>
          <w:szCs w:val="32"/>
          <w:highlight w:val="none"/>
          <w:lang w:bidi="ar"/>
        </w:rPr>
        <w:t>规划环境影响评价：明确规划环境影响评价编制主体，市级规划编写环境影响篇章或说明，县级规划原则上不开展规划环境影响评价。环境影响篇章或说明提出明确的要求，坚持资源开发与环境保护协调发展，提出的优化调整建议和减缓不利环境影响的对策措施，强化资源开发合理布局、节约集约利用和 矿区生态保护。</w:t>
      </w:r>
    </w:p>
    <w:p w14:paraId="12CA37DF">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9.成果要求：规划成果包括但不限于规划文本、附表、附图、编制说明和数据库，并明确了具体要求。</w:t>
      </w:r>
    </w:p>
    <w:p w14:paraId="72CE28B2">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9.1规划文本：规划文本应简明扼要、重点突出、目标明确、任务具体、文字表达规范、数据准确，数据单位参照DZ/T0444中的附录B执行。</w:t>
      </w:r>
    </w:p>
    <w:p w14:paraId="69FC27D4">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9.2规划附表：明确了规划附表的基本要求，具体附表表格格式、要素、填写要求等具体要求参照附录D执行。</w:t>
      </w:r>
    </w:p>
    <w:p w14:paraId="0990D0E7">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9.3 规划附图：明确规划附图的基本要求，具体要求参照附录E执行。</w:t>
      </w:r>
    </w:p>
    <w:p w14:paraId="13AADC14">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9.5 规划编制说明：明确规划编制说明内容主要包含规划编制的主要依据、原则及指导思想；基本思路、主要内容和特点；规划编制过程、规划研究情况；规划目标、任务、主要指标及主要内容的确定；规划环境影响评价的有关内容(市级);规划的衔接情况；规划的审批、征求意见、协调论证；其他需要说明的问题。</w:t>
      </w:r>
    </w:p>
    <w:p w14:paraId="1CC99A8C">
      <w:pPr>
        <w:widowControl/>
        <w:spacing w:line="560" w:lineRule="exact"/>
        <w:ind w:firstLine="561"/>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9.6 规划数据库：明确数据库的建设、汇交执行标准。</w:t>
      </w:r>
    </w:p>
    <w:p w14:paraId="7D3AB7EF">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附录A 规划编制流程及要求：明确了规划编制流程包含资料收集、编制工作方案、规划实施评估与调研、专题研究、文本编制、成果完善6个环节，并对每个环节提出了具体要求。</w:t>
      </w:r>
    </w:p>
    <w:p w14:paraId="3079AFF1">
      <w:pPr>
        <w:widowControl/>
        <w:spacing w:line="560" w:lineRule="exact"/>
        <w:ind w:firstLine="640" w:firstLineChars="200"/>
        <w:jc w:val="left"/>
        <w:rPr>
          <w:rFonts w:hint="eastAsia" w:ascii="仿宋_GB2312" w:hAnsi="仿宋_GB2312" w:eastAsia="仿宋_GB2312" w:cs="仿宋_GB2312"/>
          <w:strike/>
          <w:color w:val="auto"/>
          <w:kern w:val="0"/>
          <w:sz w:val="32"/>
          <w:szCs w:val="32"/>
          <w:highlight w:val="none"/>
          <w:lang w:eastAsia="zh-CN" w:bidi="ar"/>
        </w:rPr>
      </w:pPr>
      <w:r>
        <w:rPr>
          <w:rFonts w:hint="eastAsia" w:ascii="仿宋_GB2312" w:hAnsi="仿宋_GB2312" w:eastAsia="仿宋_GB2312" w:cs="仿宋_GB2312"/>
          <w:color w:val="auto"/>
          <w:kern w:val="0"/>
          <w:sz w:val="32"/>
          <w:szCs w:val="32"/>
          <w:highlight w:val="none"/>
          <w:lang w:bidi="ar"/>
        </w:rPr>
        <w:t>附录B 规划指标论证技术方法：参照省级矿产资源规划、市县级矿产资源规划，以及相关的专项规划，总结形成了矿产资源规划指标体系，明确了规划指标体系包含了基础地质调查、矿产资源勘查、年开采量、结构与效率、自主设置指标等5个大类，大类中细化具体指标，形成规划主要指标体系表。依据指标作用将指标属性分为预期性和约束性。明确了各项指标考量因素</w:t>
      </w:r>
      <w:r>
        <w:rPr>
          <w:rFonts w:hint="eastAsia" w:ascii="仿宋_GB2312" w:hAnsi="仿宋_GB2312" w:eastAsia="仿宋_GB2312" w:cs="仿宋_GB2312"/>
          <w:strike w:val="0"/>
          <w:color w:val="auto"/>
          <w:kern w:val="0"/>
          <w:sz w:val="32"/>
          <w:szCs w:val="32"/>
          <w:highlight w:val="none"/>
          <w:lang w:eastAsia="zh-CN" w:bidi="ar"/>
        </w:rPr>
        <w:t>。</w:t>
      </w:r>
    </w:p>
    <w:p w14:paraId="700A3A07">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附录C 勘查开采规划区块技术要求：明确了勘查开采规划区块划定的总体要求。勘查规划区块划定明确了划分原则、基本范围，根据矿产资源类别分别从固体矿产、流体矿产两大类在勘查规划区块划定的基本要求、划分依据、其他因素等方面明确具体技术要求。开采规划区块划定明确了划分原则，根据矿产资源类别分别从固体矿产、流体矿产两大类在开采规划区块划定明确了具体技术要求，同时明确了需考量的其他外部因素。</w:t>
      </w:r>
    </w:p>
    <w:p w14:paraId="53611D05">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附录D 矿产资源规划附表表式：确定了附表包含能源资源基地表、国家规划矿区表、战略性矿产</w:t>
      </w:r>
      <w:r>
        <w:rPr>
          <w:rFonts w:hint="eastAsia" w:ascii="仿宋_GB2312" w:hAnsi="仿宋_GB2312" w:eastAsia="仿宋_GB2312" w:cs="仿宋_GB2312"/>
          <w:color w:val="auto"/>
          <w:kern w:val="0"/>
          <w:sz w:val="32"/>
          <w:szCs w:val="32"/>
          <w:highlight w:val="none"/>
          <w:lang w:eastAsia="zh-CN" w:bidi="ar"/>
        </w:rPr>
        <w:t>资源储备地</w:t>
      </w:r>
      <w:r>
        <w:rPr>
          <w:rFonts w:hint="eastAsia" w:ascii="仿宋_GB2312" w:hAnsi="仿宋_GB2312" w:eastAsia="仿宋_GB2312" w:cs="仿宋_GB2312"/>
          <w:color w:val="auto"/>
          <w:kern w:val="0"/>
          <w:sz w:val="32"/>
          <w:szCs w:val="32"/>
          <w:highlight w:val="none"/>
          <w:lang w:bidi="ar"/>
        </w:rPr>
        <w:t>表、矿产资源重点勘查区表、勘查规划区块表、矿产资源重点开采区表、</w:t>
      </w:r>
      <w:r>
        <w:rPr>
          <w:rFonts w:hint="eastAsia" w:ascii="仿宋_GB2312" w:hAnsi="仿宋_GB2312" w:eastAsia="仿宋_GB2312" w:cs="仿宋_GB2312"/>
          <w:color w:val="auto"/>
          <w:kern w:val="0"/>
          <w:sz w:val="32"/>
          <w:szCs w:val="32"/>
          <w:highlight w:val="none"/>
          <w:lang w:eastAsia="zh-CN" w:bidi="ar"/>
        </w:rPr>
        <w:t>建筑用砂石黏土类矿产</w:t>
      </w:r>
      <w:r>
        <w:rPr>
          <w:rFonts w:hint="eastAsia" w:ascii="仿宋_GB2312" w:hAnsi="仿宋_GB2312" w:eastAsia="仿宋_GB2312" w:cs="仿宋_GB2312"/>
          <w:color w:val="auto"/>
          <w:kern w:val="0"/>
          <w:sz w:val="32"/>
          <w:szCs w:val="32"/>
          <w:highlight w:val="none"/>
          <w:lang w:bidi="ar"/>
        </w:rPr>
        <w:t>集中开采区表、开采规划区块表、矿产资源重点勘查项目规划表、矿产资源重点开采项目规划表、重点矿种矿山最低开采规模规划表等内容，明确了表格格式、表格内容、填写要求。</w:t>
      </w:r>
    </w:p>
    <w:p w14:paraId="4FA33A08">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附录E 矿产资源规划附图要求：确定了附图包含矿产资源分布图、矿产资源勘查开发利用现状图、矿产资源勘查开发保护总体布局图、矿产资源勘查规划图、矿产资源开采规划图。明确了图件图面的地理要素要求，依据图面内容分别对矿产资源要素、矿产资源勘查开发利用状况要素、规划要素明确图面表达要求。规划图件电子数据明确制图软件，从图层划分、图层字段属性、图示图例、图形数据检查等方面明确其执行标准。</w:t>
      </w:r>
    </w:p>
    <w:p w14:paraId="43F6305A">
      <w:pPr>
        <w:spacing w:line="560" w:lineRule="exact"/>
        <w:ind w:firstLine="640" w:firstLineChars="200"/>
        <w:outlineLvl w:val="0"/>
        <w:rPr>
          <w:rFonts w:hint="eastAsia" w:ascii="黑体" w:hAnsi="黑体" w:eastAsia="黑体" w:cs="黑体"/>
          <w:color w:val="auto"/>
          <w:kern w:val="0"/>
          <w:sz w:val="30"/>
          <w:szCs w:val="30"/>
          <w:highlight w:val="none"/>
          <w:lang w:bidi="ar"/>
        </w:rPr>
      </w:pPr>
      <w:bookmarkStart w:id="74" w:name="_Toc13755"/>
      <w:r>
        <w:rPr>
          <w:rFonts w:hint="eastAsia" w:ascii="黑体" w:hAnsi="黑体" w:eastAsia="黑体" w:cs="黑体"/>
          <w:color w:val="auto"/>
          <w:sz w:val="32"/>
          <w:szCs w:val="32"/>
          <w:highlight w:val="none"/>
        </w:rPr>
        <w:t>四、验证分析</w:t>
      </w:r>
      <w:bookmarkEnd w:id="74"/>
    </w:p>
    <w:p w14:paraId="56A9D8AA">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标准起草组讨论二稿形成后，标准参与单位宝鸡西北有色七一七总队总队有限公司（宝鸡市及下辖数个县区“十四五”规划编制单位）依据本标准正在开展宝鸡市矿产资源资源总体规划（2026-2030年）编制工作，结合初步开展情况，本标准适用较强，总体编制流程明确，规划文本要点齐全，技术要点操作性较强，成果表达要求较为明晰，能够较好的指导规划编制工作。</w:t>
      </w:r>
    </w:p>
    <w:p w14:paraId="4CE9E825">
      <w:pPr>
        <w:widowControl/>
        <w:spacing w:line="560" w:lineRule="exact"/>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通过实证结果来看，宝鸡西北有色七一七总队总队有限公司建议针对附录C中流体矿产勘查开采规划区块划分依据不够明晰，建议对其进行进一步细化，对该意见进行采纳。</w:t>
      </w:r>
    </w:p>
    <w:p w14:paraId="447BACFB">
      <w:pPr>
        <w:spacing w:line="560" w:lineRule="exact"/>
        <w:ind w:firstLine="640" w:firstLineChars="200"/>
        <w:outlineLvl w:val="0"/>
        <w:rPr>
          <w:rFonts w:hint="eastAsia" w:ascii="黑体" w:hAnsi="黑体" w:eastAsia="黑体" w:cs="黑体"/>
          <w:color w:val="auto"/>
          <w:sz w:val="32"/>
          <w:szCs w:val="32"/>
          <w:highlight w:val="none"/>
        </w:rPr>
      </w:pPr>
      <w:bookmarkStart w:id="75" w:name="_Toc18542"/>
      <w:r>
        <w:rPr>
          <w:rFonts w:hint="eastAsia" w:ascii="黑体" w:hAnsi="黑体" w:eastAsia="黑体" w:cs="黑体"/>
          <w:color w:val="auto"/>
          <w:sz w:val="32"/>
          <w:szCs w:val="32"/>
          <w:highlight w:val="none"/>
        </w:rPr>
        <w:t>五、知识产权说明</w:t>
      </w:r>
      <w:bookmarkEnd w:id="75"/>
    </w:p>
    <w:p w14:paraId="57A7F558">
      <w:pPr>
        <w:widowControl/>
        <w:ind w:firstLine="640" w:firstLineChars="200"/>
        <w:jc w:val="left"/>
        <w:rPr>
          <w:rFonts w:hint="eastAsia" w:ascii="仿宋_GB2312" w:hAnsi="仿宋_GB2312" w:eastAsia="仿宋_GB2312" w:cs="仿宋_GB2312"/>
          <w:color w:val="auto"/>
          <w:kern w:val="0"/>
          <w:sz w:val="32"/>
          <w:szCs w:val="32"/>
          <w:highlight w:val="none"/>
          <w:lang w:bidi="ar"/>
        </w:rPr>
      </w:pPr>
      <w:r>
        <w:rPr>
          <w:rFonts w:hint="eastAsia" w:ascii="仿宋_GB2312" w:hAnsi="仿宋_GB2312" w:eastAsia="仿宋_GB2312" w:cs="仿宋_GB2312"/>
          <w:color w:val="auto"/>
          <w:kern w:val="0"/>
          <w:sz w:val="32"/>
          <w:szCs w:val="32"/>
          <w:highlight w:val="none"/>
          <w:lang w:bidi="ar"/>
        </w:rPr>
        <w:t>请注意本文件的某些内容可能涉及专利。本文件的发布机构不承担识别专利的责任。</w:t>
      </w:r>
    </w:p>
    <w:p w14:paraId="617C1AD7">
      <w:pPr>
        <w:spacing w:line="560" w:lineRule="exact"/>
        <w:ind w:firstLine="640" w:firstLineChars="200"/>
        <w:outlineLvl w:val="0"/>
        <w:rPr>
          <w:rFonts w:hint="eastAsia" w:ascii="黑体" w:hAnsi="黑体" w:eastAsia="黑体" w:cs="黑体"/>
          <w:color w:val="auto"/>
          <w:sz w:val="32"/>
          <w:szCs w:val="32"/>
          <w:highlight w:val="none"/>
        </w:rPr>
      </w:pPr>
      <w:bookmarkStart w:id="76" w:name="_Toc21524"/>
      <w:r>
        <w:rPr>
          <w:rFonts w:hint="eastAsia" w:ascii="黑体" w:hAnsi="黑体" w:eastAsia="黑体" w:cs="黑体"/>
          <w:color w:val="auto"/>
          <w:sz w:val="32"/>
          <w:szCs w:val="32"/>
          <w:highlight w:val="none"/>
        </w:rPr>
        <w:t>六、采标情况</w:t>
      </w:r>
      <w:bookmarkEnd w:id="76"/>
    </w:p>
    <w:p w14:paraId="711E9D31">
      <w:pPr>
        <w:widowControl/>
        <w:ind w:firstLine="570"/>
        <w:jc w:val="left"/>
        <w:rPr>
          <w:rFonts w:hint="eastAsia" w:ascii="仿宋_GB2312" w:hAnsi="仿宋_GB2312" w:eastAsia="仿宋_GB2312" w:cs="仿宋_GB2312"/>
          <w:color w:val="auto"/>
          <w:kern w:val="0"/>
          <w:sz w:val="30"/>
          <w:szCs w:val="30"/>
          <w:highlight w:val="none"/>
          <w:lang w:bidi="ar"/>
        </w:rPr>
      </w:pPr>
      <w:r>
        <w:rPr>
          <w:rFonts w:hint="eastAsia" w:ascii="仿宋_GB2312" w:hAnsi="仿宋_GB2312" w:eastAsia="仿宋_GB2312" w:cs="仿宋_GB2312"/>
          <w:color w:val="auto"/>
          <w:kern w:val="0"/>
          <w:sz w:val="30"/>
          <w:szCs w:val="30"/>
          <w:highlight w:val="none"/>
          <w:lang w:bidi="ar"/>
        </w:rPr>
        <w:t>无。</w:t>
      </w:r>
    </w:p>
    <w:p w14:paraId="3E816101">
      <w:pPr>
        <w:spacing w:line="560" w:lineRule="exact"/>
        <w:ind w:firstLine="640" w:firstLineChars="200"/>
        <w:outlineLvl w:val="0"/>
        <w:rPr>
          <w:rFonts w:hint="eastAsia" w:ascii="黑体" w:hAnsi="黑体" w:eastAsia="黑体" w:cs="黑体"/>
          <w:color w:val="auto"/>
          <w:sz w:val="32"/>
          <w:szCs w:val="32"/>
          <w:highlight w:val="none"/>
        </w:rPr>
      </w:pPr>
      <w:bookmarkStart w:id="77" w:name="_Toc25423"/>
      <w:r>
        <w:rPr>
          <w:rFonts w:hint="eastAsia" w:ascii="黑体" w:hAnsi="黑体" w:eastAsia="黑体" w:cs="黑体"/>
          <w:color w:val="auto"/>
          <w:sz w:val="32"/>
          <w:szCs w:val="32"/>
          <w:highlight w:val="none"/>
        </w:rPr>
        <w:t>七、与现行法律规章及标准的协调性</w:t>
      </w:r>
      <w:bookmarkEnd w:id="77"/>
      <w:r>
        <w:rPr>
          <w:rFonts w:hint="eastAsia" w:ascii="黑体" w:hAnsi="黑体" w:eastAsia="黑体" w:cs="黑体"/>
          <w:color w:val="auto"/>
          <w:sz w:val="32"/>
          <w:szCs w:val="32"/>
          <w:highlight w:val="none"/>
        </w:rPr>
        <w:t xml:space="preserve"> </w:t>
      </w:r>
    </w:p>
    <w:p w14:paraId="0473351D">
      <w:pPr>
        <w:widowControl/>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bidi="ar"/>
        </w:rPr>
        <w:t xml:space="preserve">本标准与现行的国家相关法律法规和强制性标准不冲突。 </w:t>
      </w:r>
    </w:p>
    <w:p w14:paraId="52C95387">
      <w:pPr>
        <w:spacing w:line="560" w:lineRule="exact"/>
        <w:ind w:firstLine="640" w:firstLineChars="200"/>
        <w:outlineLvl w:val="0"/>
        <w:rPr>
          <w:rFonts w:hint="eastAsia" w:ascii="黑体" w:hAnsi="黑体" w:eastAsia="黑体" w:cs="黑体"/>
          <w:color w:val="auto"/>
          <w:sz w:val="32"/>
          <w:szCs w:val="32"/>
          <w:highlight w:val="none"/>
        </w:rPr>
      </w:pPr>
      <w:bookmarkStart w:id="78" w:name="_Toc26309"/>
      <w:r>
        <w:rPr>
          <w:rFonts w:hint="eastAsia" w:ascii="黑体" w:hAnsi="黑体" w:eastAsia="黑体" w:cs="黑体"/>
          <w:color w:val="auto"/>
          <w:sz w:val="32"/>
          <w:szCs w:val="32"/>
          <w:highlight w:val="none"/>
        </w:rPr>
        <w:t>八、重大分歧意见的处理经过和依据</w:t>
      </w:r>
      <w:bookmarkEnd w:id="78"/>
      <w:r>
        <w:rPr>
          <w:rFonts w:hint="eastAsia" w:ascii="黑体" w:hAnsi="黑体" w:eastAsia="黑体" w:cs="黑体"/>
          <w:color w:val="auto"/>
          <w:sz w:val="32"/>
          <w:szCs w:val="32"/>
          <w:highlight w:val="none"/>
        </w:rPr>
        <w:t xml:space="preserve"> </w:t>
      </w:r>
    </w:p>
    <w:p w14:paraId="10965283">
      <w:pPr>
        <w:widowControl/>
        <w:ind w:firstLine="600" w:firstLineChars="200"/>
        <w:jc w:val="left"/>
        <w:rPr>
          <w:rFonts w:hint="eastAsia" w:ascii="仿宋_GB2312" w:hAnsi="仿宋_GB2312" w:eastAsia="仿宋_GB2312" w:cs="仿宋_GB2312"/>
          <w:color w:val="auto"/>
          <w:kern w:val="0"/>
          <w:sz w:val="30"/>
          <w:szCs w:val="30"/>
          <w:highlight w:val="none"/>
          <w:lang w:bidi="ar"/>
        </w:rPr>
      </w:pPr>
      <w:r>
        <w:rPr>
          <w:rFonts w:hint="eastAsia" w:ascii="仿宋_GB2312" w:hAnsi="仿宋_GB2312" w:eastAsia="仿宋_GB2312" w:cs="仿宋_GB2312"/>
          <w:color w:val="auto"/>
          <w:kern w:val="0"/>
          <w:sz w:val="30"/>
          <w:szCs w:val="30"/>
          <w:highlight w:val="none"/>
          <w:lang w:bidi="ar"/>
        </w:rPr>
        <w:t xml:space="preserve">无。 </w:t>
      </w:r>
    </w:p>
    <w:p w14:paraId="71E837B7">
      <w:pPr>
        <w:widowControl/>
        <w:ind w:firstLine="640" w:firstLineChars="200"/>
        <w:jc w:val="left"/>
        <w:rPr>
          <w:rFonts w:hint="eastAsia" w:ascii="仿宋_GB2312" w:hAnsi="仿宋_GB2312" w:eastAsia="黑体" w:cs="仿宋_GB2312"/>
          <w:color w:val="auto"/>
          <w:kern w:val="0"/>
          <w:sz w:val="30"/>
          <w:szCs w:val="30"/>
          <w:highlight w:val="none"/>
          <w:lang w:bidi="ar"/>
        </w:rPr>
      </w:pPr>
      <w:r>
        <w:rPr>
          <w:rFonts w:hint="eastAsia" w:ascii="黑体" w:hAnsi="黑体" w:eastAsia="黑体" w:cs="黑体"/>
          <w:color w:val="auto"/>
          <w:sz w:val="32"/>
          <w:szCs w:val="32"/>
          <w:highlight w:val="none"/>
        </w:rPr>
        <w:t>九、结论</w:t>
      </w:r>
    </w:p>
    <w:p w14:paraId="74AE564C">
      <w:pPr>
        <w:spacing w:line="560" w:lineRule="exact"/>
        <w:ind w:firstLine="640" w:firstLineChars="200"/>
        <w:outlineLvl w:val="0"/>
        <w:rPr>
          <w:rFonts w:hint="eastAsia" w:ascii="黑体" w:hAnsi="黑体" w:eastAsia="仿宋_GB2312" w:cs="黑体"/>
          <w:color w:val="auto"/>
          <w:sz w:val="32"/>
          <w:szCs w:val="32"/>
          <w:highlight w:val="none"/>
        </w:rPr>
      </w:pPr>
      <w:bookmarkStart w:id="79" w:name="_Toc12772"/>
      <w:r>
        <w:rPr>
          <w:rFonts w:hint="eastAsia" w:ascii="仿宋_GB2312" w:hAnsi="仿宋_GB2312" w:eastAsia="仿宋_GB2312" w:cs="仿宋_GB2312"/>
          <w:color w:val="auto"/>
          <w:sz w:val="32"/>
          <w:szCs w:val="32"/>
          <w:highlight w:val="none"/>
        </w:rPr>
        <w:t>《市县级矿产资源总体规划编制技术规范》对市县级矿产资源总体规划的编制基本要求、编制流程、主要技术要点、规划文本的主要内容、规划成果要求等进行了全面详细的规定，是对市县级矿产资源总体规划体系建立以来多年规划编制经验的系统梳理和总结，是结合陕西省矿产资源条件对矿产资源规划编制工作做出的针对性指引。该标准实施后将有效规范规划编制程序，提高规划编制的科学性，有效提升矿产资源规划对行业的引领和指引作用。</w:t>
      </w:r>
      <w:bookmarkEnd w:id="79"/>
    </w:p>
    <w:p w14:paraId="5F319453">
      <w:pPr>
        <w:spacing w:line="560" w:lineRule="exact"/>
        <w:ind w:firstLine="640" w:firstLineChars="200"/>
        <w:outlineLvl w:val="0"/>
        <w:rPr>
          <w:rFonts w:hint="eastAsia" w:ascii="黑体" w:hAnsi="黑体" w:eastAsia="黑体" w:cs="黑体"/>
          <w:color w:val="auto"/>
          <w:sz w:val="32"/>
          <w:szCs w:val="32"/>
          <w:highlight w:val="none"/>
        </w:rPr>
      </w:pPr>
      <w:bookmarkStart w:id="80" w:name="_Toc21815"/>
      <w:r>
        <w:rPr>
          <w:rFonts w:hint="eastAsia" w:ascii="黑体" w:hAnsi="黑体" w:eastAsia="黑体" w:cs="黑体"/>
          <w:color w:val="auto"/>
          <w:sz w:val="32"/>
          <w:szCs w:val="32"/>
          <w:highlight w:val="none"/>
        </w:rPr>
        <w:t>十、其他应予说明的事项</w:t>
      </w:r>
      <w:bookmarkEnd w:id="80"/>
      <w:r>
        <w:rPr>
          <w:rFonts w:hint="eastAsia" w:ascii="黑体" w:hAnsi="黑体" w:eastAsia="黑体" w:cs="黑体"/>
          <w:color w:val="auto"/>
          <w:sz w:val="32"/>
          <w:szCs w:val="32"/>
          <w:highlight w:val="none"/>
        </w:rPr>
        <w:t xml:space="preserve"> </w:t>
      </w:r>
    </w:p>
    <w:p w14:paraId="0C141197">
      <w:pPr>
        <w:widowControl/>
        <w:ind w:firstLine="570"/>
        <w:jc w:val="left"/>
        <w:rPr>
          <w:rFonts w:hint="eastAsia" w:asciiTheme="minorEastAsia" w:hAnsiTheme="minorEastAsia" w:cstheme="minorEastAsia"/>
          <w:color w:val="auto"/>
          <w:kern w:val="0"/>
          <w:sz w:val="30"/>
          <w:szCs w:val="30"/>
          <w:highlight w:val="none"/>
          <w:lang w:bidi="ar"/>
        </w:rPr>
      </w:pPr>
      <w:r>
        <w:rPr>
          <w:rFonts w:hint="eastAsia" w:ascii="仿宋_GB2312" w:hAnsi="仿宋_GB2312" w:eastAsia="仿宋_GB2312" w:cs="仿宋_GB2312"/>
          <w:color w:val="auto"/>
          <w:kern w:val="0"/>
          <w:sz w:val="30"/>
          <w:szCs w:val="30"/>
          <w:highlight w:val="none"/>
          <w:lang w:bidi="ar"/>
        </w:rPr>
        <w:t>无。</w:t>
      </w:r>
    </w:p>
    <w:bookmarkEnd w:id="81"/>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仿宋_GB2312"/>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1D7F5">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DFEDE9">
                          <w:pPr>
                            <w:pStyle w:val="5"/>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8DFEDE9">
                    <w:pPr>
                      <w:pStyle w:val="5"/>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jYjcxNjFiNzI5NDhlOTVlMDNjMTRhY2RkNDY2M2UifQ=="/>
  </w:docVars>
  <w:rsids>
    <w:rsidRoot w:val="006623E3"/>
    <w:rsid w:val="000058DF"/>
    <w:rsid w:val="00025E00"/>
    <w:rsid w:val="000266AC"/>
    <w:rsid w:val="00035876"/>
    <w:rsid w:val="000653B5"/>
    <w:rsid w:val="00076A88"/>
    <w:rsid w:val="000907EC"/>
    <w:rsid w:val="00112E92"/>
    <w:rsid w:val="00134D3E"/>
    <w:rsid w:val="001360C1"/>
    <w:rsid w:val="00141BD7"/>
    <w:rsid w:val="00141EE0"/>
    <w:rsid w:val="00145634"/>
    <w:rsid w:val="0016076E"/>
    <w:rsid w:val="00163C20"/>
    <w:rsid w:val="00176921"/>
    <w:rsid w:val="00194D41"/>
    <w:rsid w:val="0019517C"/>
    <w:rsid w:val="00196BF5"/>
    <w:rsid w:val="001C3CC7"/>
    <w:rsid w:val="001C7278"/>
    <w:rsid w:val="00220086"/>
    <w:rsid w:val="00230BAB"/>
    <w:rsid w:val="002401BB"/>
    <w:rsid w:val="002650B4"/>
    <w:rsid w:val="00267442"/>
    <w:rsid w:val="00272BB1"/>
    <w:rsid w:val="002806FE"/>
    <w:rsid w:val="002D5387"/>
    <w:rsid w:val="002E1BC6"/>
    <w:rsid w:val="002E62A0"/>
    <w:rsid w:val="002E6D73"/>
    <w:rsid w:val="002E7DEB"/>
    <w:rsid w:val="003029DC"/>
    <w:rsid w:val="00305AD9"/>
    <w:rsid w:val="003101F9"/>
    <w:rsid w:val="00311619"/>
    <w:rsid w:val="00311982"/>
    <w:rsid w:val="00323526"/>
    <w:rsid w:val="00337198"/>
    <w:rsid w:val="003460CF"/>
    <w:rsid w:val="00346890"/>
    <w:rsid w:val="00364793"/>
    <w:rsid w:val="00384CBF"/>
    <w:rsid w:val="00387240"/>
    <w:rsid w:val="003A0F36"/>
    <w:rsid w:val="003A4D92"/>
    <w:rsid w:val="003B46E6"/>
    <w:rsid w:val="003C0C00"/>
    <w:rsid w:val="003C1424"/>
    <w:rsid w:val="003C1C8D"/>
    <w:rsid w:val="003F20DC"/>
    <w:rsid w:val="003F51A2"/>
    <w:rsid w:val="00412DD5"/>
    <w:rsid w:val="00446DF5"/>
    <w:rsid w:val="00460B79"/>
    <w:rsid w:val="0046623C"/>
    <w:rsid w:val="00475B97"/>
    <w:rsid w:val="004A36BD"/>
    <w:rsid w:val="004B3A98"/>
    <w:rsid w:val="004C3F1B"/>
    <w:rsid w:val="004C64B4"/>
    <w:rsid w:val="004D2908"/>
    <w:rsid w:val="004E53AF"/>
    <w:rsid w:val="004F53A2"/>
    <w:rsid w:val="005012DA"/>
    <w:rsid w:val="00507655"/>
    <w:rsid w:val="00511051"/>
    <w:rsid w:val="00524E5E"/>
    <w:rsid w:val="00535327"/>
    <w:rsid w:val="005361A0"/>
    <w:rsid w:val="00547982"/>
    <w:rsid w:val="005560D4"/>
    <w:rsid w:val="00564A9E"/>
    <w:rsid w:val="00571221"/>
    <w:rsid w:val="0057440B"/>
    <w:rsid w:val="00575E79"/>
    <w:rsid w:val="00577769"/>
    <w:rsid w:val="005A5744"/>
    <w:rsid w:val="005A772A"/>
    <w:rsid w:val="005D0B0A"/>
    <w:rsid w:val="005E1619"/>
    <w:rsid w:val="005E3C7C"/>
    <w:rsid w:val="006623E3"/>
    <w:rsid w:val="00680F17"/>
    <w:rsid w:val="00682532"/>
    <w:rsid w:val="006B50D0"/>
    <w:rsid w:val="006D3D48"/>
    <w:rsid w:val="006E1C5C"/>
    <w:rsid w:val="006F4616"/>
    <w:rsid w:val="00724EEA"/>
    <w:rsid w:val="007318EB"/>
    <w:rsid w:val="00736261"/>
    <w:rsid w:val="007373C0"/>
    <w:rsid w:val="007614F8"/>
    <w:rsid w:val="00762F21"/>
    <w:rsid w:val="00771F8D"/>
    <w:rsid w:val="00790C43"/>
    <w:rsid w:val="007A7082"/>
    <w:rsid w:val="007B0150"/>
    <w:rsid w:val="007E66E2"/>
    <w:rsid w:val="00806083"/>
    <w:rsid w:val="00816B26"/>
    <w:rsid w:val="008207A7"/>
    <w:rsid w:val="00821EAB"/>
    <w:rsid w:val="00835B82"/>
    <w:rsid w:val="00860A97"/>
    <w:rsid w:val="008671F9"/>
    <w:rsid w:val="008A6631"/>
    <w:rsid w:val="008E60CD"/>
    <w:rsid w:val="008F77C6"/>
    <w:rsid w:val="00905326"/>
    <w:rsid w:val="00923760"/>
    <w:rsid w:val="00973BE7"/>
    <w:rsid w:val="00975EC6"/>
    <w:rsid w:val="009A35C8"/>
    <w:rsid w:val="009D0051"/>
    <w:rsid w:val="009D28EC"/>
    <w:rsid w:val="009E591A"/>
    <w:rsid w:val="009F2AD2"/>
    <w:rsid w:val="009F6668"/>
    <w:rsid w:val="00A15381"/>
    <w:rsid w:val="00A313F9"/>
    <w:rsid w:val="00A57959"/>
    <w:rsid w:val="00A64F30"/>
    <w:rsid w:val="00A7428B"/>
    <w:rsid w:val="00A96291"/>
    <w:rsid w:val="00AB75D1"/>
    <w:rsid w:val="00AD6B01"/>
    <w:rsid w:val="00B032EA"/>
    <w:rsid w:val="00B33735"/>
    <w:rsid w:val="00B33A07"/>
    <w:rsid w:val="00B42AAD"/>
    <w:rsid w:val="00B54B16"/>
    <w:rsid w:val="00B737E5"/>
    <w:rsid w:val="00B876E5"/>
    <w:rsid w:val="00B92A05"/>
    <w:rsid w:val="00B96074"/>
    <w:rsid w:val="00BE68D9"/>
    <w:rsid w:val="00C03F32"/>
    <w:rsid w:val="00C1242C"/>
    <w:rsid w:val="00C176A3"/>
    <w:rsid w:val="00C25C89"/>
    <w:rsid w:val="00C31614"/>
    <w:rsid w:val="00C35A3E"/>
    <w:rsid w:val="00C406A5"/>
    <w:rsid w:val="00C41FFA"/>
    <w:rsid w:val="00C4271E"/>
    <w:rsid w:val="00C504D5"/>
    <w:rsid w:val="00C845BE"/>
    <w:rsid w:val="00C903C1"/>
    <w:rsid w:val="00C951DB"/>
    <w:rsid w:val="00C9537A"/>
    <w:rsid w:val="00CA4571"/>
    <w:rsid w:val="00CB5BEA"/>
    <w:rsid w:val="00CD0CF1"/>
    <w:rsid w:val="00CE6808"/>
    <w:rsid w:val="00D1393D"/>
    <w:rsid w:val="00D25F5F"/>
    <w:rsid w:val="00D27892"/>
    <w:rsid w:val="00D418A5"/>
    <w:rsid w:val="00D52DD9"/>
    <w:rsid w:val="00D67085"/>
    <w:rsid w:val="00D81A25"/>
    <w:rsid w:val="00DA4D75"/>
    <w:rsid w:val="00DC6426"/>
    <w:rsid w:val="00DD60D8"/>
    <w:rsid w:val="00DE0D33"/>
    <w:rsid w:val="00DE254C"/>
    <w:rsid w:val="00E254CD"/>
    <w:rsid w:val="00E348F4"/>
    <w:rsid w:val="00E35C93"/>
    <w:rsid w:val="00E37AFC"/>
    <w:rsid w:val="00E41022"/>
    <w:rsid w:val="00E42B3D"/>
    <w:rsid w:val="00E833C3"/>
    <w:rsid w:val="00E85C66"/>
    <w:rsid w:val="00EA0B75"/>
    <w:rsid w:val="00EA790F"/>
    <w:rsid w:val="00EB1F75"/>
    <w:rsid w:val="00EC062B"/>
    <w:rsid w:val="00ED04E5"/>
    <w:rsid w:val="00F11B28"/>
    <w:rsid w:val="00F1579E"/>
    <w:rsid w:val="00F21DC8"/>
    <w:rsid w:val="00F26DAF"/>
    <w:rsid w:val="00F475E6"/>
    <w:rsid w:val="00F54A7C"/>
    <w:rsid w:val="00F56349"/>
    <w:rsid w:val="00F61CB7"/>
    <w:rsid w:val="00F664E9"/>
    <w:rsid w:val="00F67DC0"/>
    <w:rsid w:val="00F9149C"/>
    <w:rsid w:val="00FA118E"/>
    <w:rsid w:val="00FA15A6"/>
    <w:rsid w:val="00FC12AD"/>
    <w:rsid w:val="00FC1ED8"/>
    <w:rsid w:val="00FD5005"/>
    <w:rsid w:val="00FD5748"/>
    <w:rsid w:val="0101375A"/>
    <w:rsid w:val="01A5135B"/>
    <w:rsid w:val="01D134FA"/>
    <w:rsid w:val="01FA65AD"/>
    <w:rsid w:val="02072F98"/>
    <w:rsid w:val="023D46EC"/>
    <w:rsid w:val="02F54FC6"/>
    <w:rsid w:val="034951D8"/>
    <w:rsid w:val="043941C0"/>
    <w:rsid w:val="05595CE0"/>
    <w:rsid w:val="05654EBA"/>
    <w:rsid w:val="06210361"/>
    <w:rsid w:val="074B3407"/>
    <w:rsid w:val="075C612F"/>
    <w:rsid w:val="07951AE8"/>
    <w:rsid w:val="07A20802"/>
    <w:rsid w:val="08EA5BBA"/>
    <w:rsid w:val="097A4477"/>
    <w:rsid w:val="0C216E2C"/>
    <w:rsid w:val="0C4E5226"/>
    <w:rsid w:val="0DAE04C9"/>
    <w:rsid w:val="0DD3727C"/>
    <w:rsid w:val="0E367CC6"/>
    <w:rsid w:val="0F2E3D3A"/>
    <w:rsid w:val="0FA515AF"/>
    <w:rsid w:val="0FB26719"/>
    <w:rsid w:val="129A1502"/>
    <w:rsid w:val="134D0507"/>
    <w:rsid w:val="135E2170"/>
    <w:rsid w:val="146327FC"/>
    <w:rsid w:val="149332F1"/>
    <w:rsid w:val="1571103B"/>
    <w:rsid w:val="15EB0286"/>
    <w:rsid w:val="164125A5"/>
    <w:rsid w:val="17210CB3"/>
    <w:rsid w:val="173D671E"/>
    <w:rsid w:val="17793FC0"/>
    <w:rsid w:val="18243F2C"/>
    <w:rsid w:val="18617483"/>
    <w:rsid w:val="18AE49A1"/>
    <w:rsid w:val="1BEA0BCE"/>
    <w:rsid w:val="1C16024F"/>
    <w:rsid w:val="1CD13F56"/>
    <w:rsid w:val="1E0F2F55"/>
    <w:rsid w:val="1E1B36DB"/>
    <w:rsid w:val="1FE43FA1"/>
    <w:rsid w:val="1FED78ED"/>
    <w:rsid w:val="217C26FE"/>
    <w:rsid w:val="24507E57"/>
    <w:rsid w:val="24DE5462"/>
    <w:rsid w:val="2543314B"/>
    <w:rsid w:val="25983863"/>
    <w:rsid w:val="25F638DA"/>
    <w:rsid w:val="264834DB"/>
    <w:rsid w:val="268F2EB8"/>
    <w:rsid w:val="27035E62"/>
    <w:rsid w:val="278D0032"/>
    <w:rsid w:val="2B3E6C5B"/>
    <w:rsid w:val="2C66643D"/>
    <w:rsid w:val="2D485B6F"/>
    <w:rsid w:val="2D7B23E8"/>
    <w:rsid w:val="2DAE631A"/>
    <w:rsid w:val="2E331A18"/>
    <w:rsid w:val="2E552C39"/>
    <w:rsid w:val="2EBB3517"/>
    <w:rsid w:val="302723B3"/>
    <w:rsid w:val="309537C1"/>
    <w:rsid w:val="30AB4D93"/>
    <w:rsid w:val="314B3E80"/>
    <w:rsid w:val="31F96334"/>
    <w:rsid w:val="31FD0E4A"/>
    <w:rsid w:val="326571C3"/>
    <w:rsid w:val="3291620A"/>
    <w:rsid w:val="32923225"/>
    <w:rsid w:val="32E62DD6"/>
    <w:rsid w:val="33AD654B"/>
    <w:rsid w:val="3431754F"/>
    <w:rsid w:val="35BA15D4"/>
    <w:rsid w:val="383F665F"/>
    <w:rsid w:val="3A0A0D7C"/>
    <w:rsid w:val="3BBF5B96"/>
    <w:rsid w:val="3BED2703"/>
    <w:rsid w:val="3C90308E"/>
    <w:rsid w:val="3DE23DBE"/>
    <w:rsid w:val="3EB66824"/>
    <w:rsid w:val="40647563"/>
    <w:rsid w:val="408F694B"/>
    <w:rsid w:val="412A5860"/>
    <w:rsid w:val="41782A6F"/>
    <w:rsid w:val="421573DC"/>
    <w:rsid w:val="42843695"/>
    <w:rsid w:val="435766B4"/>
    <w:rsid w:val="438043C7"/>
    <w:rsid w:val="44DF2E05"/>
    <w:rsid w:val="45D40490"/>
    <w:rsid w:val="466B38E7"/>
    <w:rsid w:val="47413903"/>
    <w:rsid w:val="47C562E2"/>
    <w:rsid w:val="4839282C"/>
    <w:rsid w:val="48EB621C"/>
    <w:rsid w:val="49701051"/>
    <w:rsid w:val="4A0B41AC"/>
    <w:rsid w:val="4A5439CD"/>
    <w:rsid w:val="4DFE530B"/>
    <w:rsid w:val="4E323FA5"/>
    <w:rsid w:val="4F1B712F"/>
    <w:rsid w:val="4F9071D6"/>
    <w:rsid w:val="50E579F5"/>
    <w:rsid w:val="51160A34"/>
    <w:rsid w:val="5116195C"/>
    <w:rsid w:val="52065E75"/>
    <w:rsid w:val="521045FE"/>
    <w:rsid w:val="5238325A"/>
    <w:rsid w:val="533A28BD"/>
    <w:rsid w:val="535624AB"/>
    <w:rsid w:val="53C25DCC"/>
    <w:rsid w:val="54AB6860"/>
    <w:rsid w:val="552F123F"/>
    <w:rsid w:val="562F43C7"/>
    <w:rsid w:val="56E04EE6"/>
    <w:rsid w:val="58580AAD"/>
    <w:rsid w:val="587A6C75"/>
    <w:rsid w:val="58AB6702"/>
    <w:rsid w:val="592E534C"/>
    <w:rsid w:val="5AC266B1"/>
    <w:rsid w:val="5B8F47E5"/>
    <w:rsid w:val="5C821B6E"/>
    <w:rsid w:val="5CFA6423"/>
    <w:rsid w:val="5E8E2623"/>
    <w:rsid w:val="5EB34C8F"/>
    <w:rsid w:val="5EFC4888"/>
    <w:rsid w:val="60251BBC"/>
    <w:rsid w:val="606721D5"/>
    <w:rsid w:val="60874F77"/>
    <w:rsid w:val="61992DEB"/>
    <w:rsid w:val="619A0388"/>
    <w:rsid w:val="61F21F72"/>
    <w:rsid w:val="659E7F2A"/>
    <w:rsid w:val="67E759A9"/>
    <w:rsid w:val="69797AAE"/>
    <w:rsid w:val="6C223454"/>
    <w:rsid w:val="6CD1263B"/>
    <w:rsid w:val="6D3B47CD"/>
    <w:rsid w:val="6D594C53"/>
    <w:rsid w:val="6F492224"/>
    <w:rsid w:val="6FBB1A05"/>
    <w:rsid w:val="70CD4315"/>
    <w:rsid w:val="70EE1B56"/>
    <w:rsid w:val="715C2F64"/>
    <w:rsid w:val="72610CF7"/>
    <w:rsid w:val="736A5E0C"/>
    <w:rsid w:val="75010FFD"/>
    <w:rsid w:val="75B25848"/>
    <w:rsid w:val="76042D01"/>
    <w:rsid w:val="76164029"/>
    <w:rsid w:val="76D65566"/>
    <w:rsid w:val="77676F6D"/>
    <w:rsid w:val="79030169"/>
    <w:rsid w:val="791A5BDE"/>
    <w:rsid w:val="7A49604F"/>
    <w:rsid w:val="7A8D23E0"/>
    <w:rsid w:val="7B6E2F9B"/>
    <w:rsid w:val="7CCB71F0"/>
    <w:rsid w:val="7E852D49"/>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autoRedefine/>
    <w:unhideWhenUsed/>
    <w:qFormat/>
    <w:uiPriority w:val="39"/>
    <w:pPr>
      <w:widowControl/>
      <w:spacing w:after="100" w:line="259" w:lineRule="auto"/>
      <w:ind w:left="440"/>
      <w:jc w:val="left"/>
    </w:pPr>
    <w:rPr>
      <w:rFonts w:cs="Times New Roman"/>
      <w:kern w:val="0"/>
      <w:sz w:val="22"/>
      <w:szCs w:val="2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tabs>
        <w:tab w:val="right" w:leader="dot" w:pos="8674"/>
      </w:tabs>
      <w:spacing w:before="50" w:beforeLines="50" w:line="540" w:lineRule="exact"/>
      <w:jc w:val="left"/>
    </w:pPr>
    <w:rPr>
      <w:rFonts w:ascii="黑体" w:hAnsi="黑体" w:eastAsia="黑体"/>
      <w:sz w:val="30"/>
      <w:szCs w:val="36"/>
    </w:rPr>
  </w:style>
  <w:style w:type="paragraph" w:styleId="8">
    <w:name w:val="toc 2"/>
    <w:basedOn w:val="1"/>
    <w:next w:val="1"/>
    <w:qFormat/>
    <w:uiPriority w:val="39"/>
    <w:pPr>
      <w:spacing w:line="540" w:lineRule="exact"/>
      <w:ind w:firstLine="420" w:firstLineChars="200"/>
    </w:pPr>
    <w:rPr>
      <w:rFonts w:eastAsia="黑体"/>
      <w:sz w:val="2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026E5" w:themeColor="hyperlink"/>
      <w:u w:val="single"/>
      <w14:textFill>
        <w14:solidFill>
          <w14:schemeClr w14:val="hlink"/>
        </w14:solidFill>
      </w14:textFill>
    </w:rPr>
  </w:style>
  <w:style w:type="paragraph" w:customStyle="1" w:styleId="14">
    <w:name w:val="标准文件_附录表标题"/>
    <w:next w:val="15"/>
    <w:qFormat/>
    <w:uiPriority w:val="0"/>
    <w:pPr>
      <w:numPr>
        <w:ilvl w:val="1"/>
        <w:numId w:val="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Table Text"/>
    <w:basedOn w:val="1"/>
    <w:semiHidden/>
    <w:qFormat/>
    <w:uiPriority w:val="0"/>
    <w:rPr>
      <w:rFonts w:ascii="宋体" w:hAnsi="宋体" w:eastAsia="宋体" w:cs="宋体"/>
      <w:sz w:val="20"/>
      <w:szCs w:val="20"/>
      <w:lang w:eastAsia="en-US"/>
    </w:rPr>
  </w:style>
  <w:style w:type="paragraph" w:styleId="17">
    <w:name w:val="List Paragraph"/>
    <w:basedOn w:val="1"/>
    <w:unhideWhenUsed/>
    <w:qFormat/>
    <w:uiPriority w:val="99"/>
    <w:pPr>
      <w:ind w:firstLine="420" w:firstLineChars="200"/>
    </w:pPr>
  </w:style>
  <w:style w:type="character" w:customStyle="1" w:styleId="18">
    <w:name w:val="标题 1 字符"/>
    <w:basedOn w:val="12"/>
    <w:link w:val="2"/>
    <w:qFormat/>
    <w:uiPriority w:val="0"/>
    <w:rPr>
      <w:rFonts w:asciiTheme="minorHAnsi" w:hAnsiTheme="minorHAnsi" w:eastAsiaTheme="minorEastAsia" w:cstheme="minorBidi"/>
      <w:b/>
      <w:bCs/>
      <w:kern w:val="44"/>
      <w:sz w:val="44"/>
      <w:szCs w:val="44"/>
    </w:rPr>
  </w:style>
  <w:style w:type="paragraph" w:customStyle="1" w:styleId="1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AF6711-D6C7-493F-8AFD-A59791B261C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2792</Words>
  <Characters>2934</Characters>
  <Lines>566</Lines>
  <Paragraphs>368</Paragraphs>
  <TotalTime>17</TotalTime>
  <ScaleCrop>false</ScaleCrop>
  <LinksUpToDate>false</LinksUpToDate>
  <CharactersWithSpaces>2955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2022-09-02T00:47:00Z</dcterms:created>
  <dc:creator>Administrator</dc:creator>
  <cp:lastModifiedBy>面包牛奶</cp:lastModifiedBy>
  <cp:lastPrinted>2024-05-23T05:33:00Z</cp:lastPrinted>
  <dcterms:modified xsi:type="dcterms:W3CDTF">2025-12-03T11:30:18Z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C4F065FDC05B402985814008BFDF67B1_13</vt:lpwstr>
  </property>
  <property fmtid="{D5CDD505-2E9C-101B-9397-08002B2CF9AE}" pid="4" name="KSOTemplateDocerSaveRecord">
    <vt:lpwstr>eyJoZGlkIjoiMGIxN2JlNzRjYTJiZjUyMTJjMzJkNjNiYzNmODcyMDQiLCJ1c2VySWQiOiIxNzM0ODIzOTYyIn0=</vt:lpwstr>
  </property>
</Properties>
</file>